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BF3" w:rsidRDefault="00694BF3" w:rsidP="00F54ECB">
      <w:pPr>
        <w:jc w:val="both"/>
      </w:pPr>
    </w:p>
    <w:p w:rsidR="009C128D" w:rsidRDefault="009C128D" w:rsidP="00F54ECB">
      <w:pPr>
        <w:jc w:val="both"/>
      </w:pPr>
    </w:p>
    <w:p w:rsidR="009C128D" w:rsidRDefault="009C128D" w:rsidP="00F54EC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Projet de loi confortant le respect des principes de la </w:t>
      </w:r>
      <w:r w:rsidR="00F02A14"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</w:rPr>
        <w:t>épublique</w:t>
      </w:r>
    </w:p>
    <w:p w:rsidR="009C128D" w:rsidRDefault="009C128D" w:rsidP="00F54ECB">
      <w:pPr>
        <w:jc w:val="both"/>
        <w:rPr>
          <w:rFonts w:ascii="Arial" w:hAnsi="Arial" w:cs="Arial"/>
          <w:color w:val="000000"/>
        </w:rPr>
      </w:pPr>
    </w:p>
    <w:p w:rsidR="009C128D" w:rsidRDefault="009C128D" w:rsidP="00F54ECB">
      <w:pPr>
        <w:jc w:val="both"/>
        <w:rPr>
          <w:rFonts w:ascii="Arial" w:hAnsi="Arial" w:cs="Arial"/>
          <w:color w:val="000000"/>
        </w:rPr>
      </w:pPr>
    </w:p>
    <w:p w:rsidR="009C128D" w:rsidRDefault="009C128D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1"/>
          <w:szCs w:val="21"/>
        </w:rPr>
      </w:pPr>
      <w:r>
        <w:rPr>
          <w:rFonts w:ascii="Times-Bold" w:hAnsi="Times-Bold" w:cs="Times-Bold"/>
          <w:b/>
          <w:bCs/>
          <w:sz w:val="21"/>
          <w:szCs w:val="21"/>
        </w:rPr>
        <w:t>Article 19</w:t>
      </w:r>
    </w:p>
    <w:p w:rsidR="00F54ECB" w:rsidRDefault="00F54ECB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9C128D" w:rsidRDefault="009C128D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Le chapitre II du titre I</w:t>
      </w:r>
      <w:r>
        <w:rPr>
          <w:rFonts w:ascii="Times-Roman" w:hAnsi="Times-Roman" w:cs="Times-Roman"/>
          <w:sz w:val="14"/>
          <w:szCs w:val="14"/>
        </w:rPr>
        <w:t xml:space="preserve">er </w:t>
      </w:r>
      <w:r>
        <w:rPr>
          <w:rFonts w:ascii="Times-Roman" w:hAnsi="Times-Roman" w:cs="Times-Roman"/>
          <w:sz w:val="21"/>
          <w:szCs w:val="21"/>
        </w:rPr>
        <w:t>de la loi n° 2</w:t>
      </w:r>
      <w:r w:rsidR="004E021A">
        <w:rPr>
          <w:rFonts w:ascii="Times-Roman" w:hAnsi="Times-Roman" w:cs="Times-Roman"/>
          <w:sz w:val="21"/>
          <w:szCs w:val="21"/>
        </w:rPr>
        <w:t xml:space="preserve">004-575 du 21 juin 2004 pour la </w:t>
      </w:r>
      <w:r>
        <w:rPr>
          <w:rFonts w:ascii="Times-Roman" w:hAnsi="Times-Roman" w:cs="Times-Roman"/>
          <w:sz w:val="21"/>
          <w:szCs w:val="21"/>
        </w:rPr>
        <w:t>confiance dans l’économie numérique est ainsi modifié :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9C128D" w:rsidRDefault="009C128D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1° </w:t>
      </w:r>
      <w:r>
        <w:rPr>
          <w:rFonts w:ascii="Times-Italic" w:hAnsi="Times-Italic" w:cs="Times-Italic"/>
          <w:i/>
          <w:iCs/>
          <w:sz w:val="21"/>
          <w:szCs w:val="21"/>
        </w:rPr>
        <w:t xml:space="preserve">(nouveau) </w:t>
      </w:r>
      <w:r>
        <w:rPr>
          <w:rFonts w:ascii="Times-Roman" w:hAnsi="Times-Roman" w:cs="Times-Roman"/>
          <w:sz w:val="21"/>
          <w:szCs w:val="21"/>
        </w:rPr>
        <w:t>Au 8 du I de l’article 6, les mots</w:t>
      </w:r>
      <w:r w:rsidR="004E021A">
        <w:rPr>
          <w:rFonts w:ascii="Times-Roman" w:hAnsi="Times-Roman" w:cs="Times-Roman"/>
          <w:sz w:val="21"/>
          <w:szCs w:val="21"/>
        </w:rPr>
        <w:t xml:space="preserve"> : « au 2 ou, à défaut, à toute </w:t>
      </w:r>
      <w:r>
        <w:rPr>
          <w:rFonts w:ascii="Times-Roman" w:hAnsi="Times-Roman" w:cs="Times-Roman"/>
          <w:sz w:val="21"/>
          <w:szCs w:val="21"/>
        </w:rPr>
        <w:t>personne mentionnée au 1, » sont remplacés par les références : « aux 1 ou 2 » ;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9C128D" w:rsidRDefault="009C128D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2° Après l’article 6-2 dans sa rédaction r</w:t>
      </w:r>
      <w:r w:rsidR="004E021A">
        <w:rPr>
          <w:rFonts w:ascii="Times-Roman" w:hAnsi="Times-Roman" w:cs="Times-Roman"/>
          <w:sz w:val="21"/>
          <w:szCs w:val="21"/>
        </w:rPr>
        <w:t xml:space="preserve">ésultant de la loi n° 2020-1266 </w:t>
      </w:r>
      <w:r>
        <w:rPr>
          <w:rFonts w:ascii="Times-Roman" w:hAnsi="Times-Roman" w:cs="Times-Roman"/>
          <w:sz w:val="21"/>
          <w:szCs w:val="21"/>
        </w:rPr>
        <w:t>du 19 octobre 2020 visant à encadrer l’exploitation commerciale de l’</w:t>
      </w:r>
      <w:r w:rsidR="004E021A">
        <w:rPr>
          <w:rFonts w:ascii="Times-Roman" w:hAnsi="Times-Roman" w:cs="Times-Roman"/>
          <w:sz w:val="21"/>
          <w:szCs w:val="21"/>
        </w:rPr>
        <w:t xml:space="preserve">image </w:t>
      </w:r>
      <w:r>
        <w:rPr>
          <w:rFonts w:ascii="Times-Roman" w:hAnsi="Times-Roman" w:cs="Times-Roman"/>
          <w:sz w:val="21"/>
          <w:szCs w:val="21"/>
        </w:rPr>
        <w:t>d’enfants de moins de seize ans sur les platefo</w:t>
      </w:r>
      <w:r w:rsidR="004E021A">
        <w:rPr>
          <w:rFonts w:ascii="Times-Roman" w:hAnsi="Times-Roman" w:cs="Times-Roman"/>
          <w:sz w:val="21"/>
          <w:szCs w:val="21"/>
        </w:rPr>
        <w:t xml:space="preserve">rmes en ligne, sont insérés des </w:t>
      </w:r>
      <w:r>
        <w:rPr>
          <w:rFonts w:ascii="Times-Roman" w:hAnsi="Times-Roman" w:cs="Times-Roman"/>
          <w:sz w:val="21"/>
          <w:szCs w:val="21"/>
        </w:rPr>
        <w:t>articles 6-3 et 6-4 ainsi rédigés :</w:t>
      </w:r>
    </w:p>
    <w:p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« </w:t>
      </w:r>
      <w:r>
        <w:rPr>
          <w:rFonts w:ascii="Times-Italic" w:hAnsi="Times-Italic" w:cs="Times-Italic"/>
          <w:i/>
          <w:iCs/>
          <w:sz w:val="21"/>
          <w:szCs w:val="21"/>
        </w:rPr>
        <w:t xml:space="preserve">Art. 6-4. </w:t>
      </w:r>
      <w:r>
        <w:rPr>
          <w:rFonts w:ascii="Times-Roman" w:hAnsi="Times-Roman" w:cs="Times-Roman"/>
          <w:sz w:val="21"/>
          <w:szCs w:val="21"/>
        </w:rPr>
        <w:t>– Lorsqu’une décision judici</w:t>
      </w:r>
      <w:r w:rsidR="004E021A">
        <w:rPr>
          <w:rFonts w:ascii="Times-Roman" w:hAnsi="Times-Roman" w:cs="Times-Roman"/>
          <w:sz w:val="21"/>
          <w:szCs w:val="21"/>
        </w:rPr>
        <w:t xml:space="preserve">aire exécutoire a ordonné toute </w:t>
      </w:r>
      <w:r>
        <w:rPr>
          <w:rFonts w:ascii="Times-Roman" w:hAnsi="Times-Roman" w:cs="Times-Roman"/>
          <w:sz w:val="21"/>
          <w:szCs w:val="21"/>
        </w:rPr>
        <w:t>mesure propre à empêcher l’accès à un service de com</w:t>
      </w:r>
      <w:r w:rsidR="004E021A">
        <w:rPr>
          <w:rFonts w:ascii="Times-Roman" w:hAnsi="Times-Roman" w:cs="Times-Roman"/>
          <w:sz w:val="21"/>
          <w:szCs w:val="21"/>
        </w:rPr>
        <w:t xml:space="preserve">munication au public </w:t>
      </w:r>
      <w:r>
        <w:rPr>
          <w:rFonts w:ascii="Times-Roman" w:hAnsi="Times-Roman" w:cs="Times-Roman"/>
          <w:sz w:val="21"/>
          <w:szCs w:val="21"/>
        </w:rPr>
        <w:t>en ligne dont le contenu relève des infractions prévues au 7 du I de l’</w:t>
      </w:r>
      <w:r w:rsidR="004E021A">
        <w:rPr>
          <w:rFonts w:ascii="Times-Roman" w:hAnsi="Times-Roman" w:cs="Times-Roman"/>
          <w:sz w:val="21"/>
          <w:szCs w:val="21"/>
        </w:rPr>
        <w:t xml:space="preserve">article 6, </w:t>
      </w:r>
      <w:r>
        <w:rPr>
          <w:rFonts w:ascii="Times-Roman" w:hAnsi="Times-Roman" w:cs="Times-Roman"/>
          <w:sz w:val="21"/>
          <w:szCs w:val="21"/>
        </w:rPr>
        <w:t>l’autorité administrative, saisie le cas échéant</w:t>
      </w:r>
      <w:r w:rsidR="004E021A">
        <w:rPr>
          <w:rFonts w:ascii="Times-Roman" w:hAnsi="Times-Roman" w:cs="Times-Roman"/>
          <w:sz w:val="21"/>
          <w:szCs w:val="21"/>
        </w:rPr>
        <w:t xml:space="preserve"> par toute personne intéressée, </w:t>
      </w:r>
      <w:r>
        <w:rPr>
          <w:rFonts w:ascii="Times-Roman" w:hAnsi="Times-Roman" w:cs="Times-Roman"/>
          <w:sz w:val="21"/>
          <w:szCs w:val="21"/>
        </w:rPr>
        <w:t>peut demander aux personnes mentionnée</w:t>
      </w:r>
      <w:r w:rsidR="004E021A">
        <w:rPr>
          <w:rFonts w:ascii="Times-Roman" w:hAnsi="Times-Roman" w:cs="Times-Roman"/>
          <w:sz w:val="21"/>
          <w:szCs w:val="21"/>
        </w:rPr>
        <w:t xml:space="preserve">s aux 1 ou 2 du même I, et pour </w:t>
      </w:r>
      <w:r>
        <w:rPr>
          <w:rFonts w:ascii="Times-Roman" w:hAnsi="Times-Roman" w:cs="Times-Roman"/>
          <w:sz w:val="21"/>
          <w:szCs w:val="21"/>
        </w:rPr>
        <w:t>une durée ne pouvant excéder celle re</w:t>
      </w:r>
      <w:r w:rsidR="004E021A">
        <w:rPr>
          <w:rFonts w:ascii="Times-Roman" w:hAnsi="Times-Roman" w:cs="Times-Roman"/>
          <w:sz w:val="21"/>
          <w:szCs w:val="21"/>
        </w:rPr>
        <w:t xml:space="preserve">stant à courir pour les mesures </w:t>
      </w:r>
      <w:r>
        <w:rPr>
          <w:rFonts w:ascii="Times-Roman" w:hAnsi="Times-Roman" w:cs="Times-Roman"/>
          <w:sz w:val="21"/>
          <w:szCs w:val="21"/>
        </w:rPr>
        <w:t>ordonnées par cette décision judiciaire, d’empêcher l’</w:t>
      </w:r>
      <w:r w:rsidR="004E021A">
        <w:rPr>
          <w:rFonts w:ascii="Times-Roman" w:hAnsi="Times-Roman" w:cs="Times-Roman"/>
          <w:sz w:val="21"/>
          <w:szCs w:val="21"/>
        </w:rPr>
        <w:t xml:space="preserve">accès à tout service de </w:t>
      </w:r>
      <w:r>
        <w:rPr>
          <w:rFonts w:ascii="Times-Roman" w:hAnsi="Times-Roman" w:cs="Times-Roman"/>
          <w:sz w:val="21"/>
          <w:szCs w:val="21"/>
        </w:rPr>
        <w:t>communication au public en ligne dont le cont</w:t>
      </w:r>
      <w:r w:rsidR="004E021A">
        <w:rPr>
          <w:rFonts w:ascii="Times-Roman" w:hAnsi="Times-Roman" w:cs="Times-Roman"/>
          <w:sz w:val="21"/>
          <w:szCs w:val="21"/>
        </w:rPr>
        <w:t xml:space="preserve">enu est identique ou équivalent </w:t>
      </w:r>
      <w:r>
        <w:rPr>
          <w:rFonts w:ascii="Times-Roman" w:hAnsi="Times-Roman" w:cs="Times-Roman"/>
          <w:sz w:val="21"/>
          <w:szCs w:val="21"/>
        </w:rPr>
        <w:t>à tout ou partie du contenu du service visé par ladite décision.</w:t>
      </w:r>
    </w:p>
    <w:p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« Dans les mêmes conditions, l’autorit</w:t>
      </w:r>
      <w:r w:rsidR="004E021A">
        <w:rPr>
          <w:rFonts w:ascii="Times-Roman" w:hAnsi="Times-Roman" w:cs="Times-Roman"/>
          <w:sz w:val="21"/>
          <w:szCs w:val="21"/>
        </w:rPr>
        <w:t xml:space="preserve">é administrative peut également </w:t>
      </w:r>
      <w:r>
        <w:rPr>
          <w:rFonts w:ascii="Times-Roman" w:hAnsi="Times-Roman" w:cs="Times-Roman"/>
          <w:sz w:val="21"/>
          <w:szCs w:val="21"/>
        </w:rPr>
        <w:t>demander à tout exploitant de moteur de reche</w:t>
      </w:r>
      <w:r w:rsidR="004E021A">
        <w:rPr>
          <w:rFonts w:ascii="Times-Roman" w:hAnsi="Times-Roman" w:cs="Times-Roman"/>
          <w:sz w:val="21"/>
          <w:szCs w:val="21"/>
        </w:rPr>
        <w:t xml:space="preserve">rche, annuaire ou autre service </w:t>
      </w:r>
      <w:r>
        <w:rPr>
          <w:rFonts w:ascii="Times-Roman" w:hAnsi="Times-Roman" w:cs="Times-Roman"/>
          <w:sz w:val="21"/>
          <w:szCs w:val="21"/>
        </w:rPr>
        <w:t>de référencement de faire cesser le référencement des adresses électroniques</w:t>
      </w:r>
      <w:r w:rsidR="004E021A">
        <w:rPr>
          <w:rFonts w:ascii="Times-Roman" w:hAnsi="Times-Roman" w:cs="Times-Roman"/>
          <w:sz w:val="21"/>
          <w:szCs w:val="21"/>
        </w:rPr>
        <w:t xml:space="preserve"> </w:t>
      </w:r>
      <w:r>
        <w:rPr>
          <w:rFonts w:ascii="Times-Roman" w:hAnsi="Times-Roman" w:cs="Times-Roman"/>
          <w:sz w:val="21"/>
          <w:szCs w:val="21"/>
        </w:rPr>
        <w:t>donnant accès à ces services de communication au public en ligne.</w:t>
      </w:r>
    </w:p>
    <w:p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« L’autorité administrative tient à</w:t>
      </w:r>
      <w:r w:rsidR="004E021A">
        <w:rPr>
          <w:rFonts w:ascii="Times-Roman" w:hAnsi="Times-Roman" w:cs="Times-Roman"/>
          <w:sz w:val="21"/>
          <w:szCs w:val="21"/>
        </w:rPr>
        <w:t xml:space="preserve"> jour une liste des services de </w:t>
      </w:r>
      <w:r>
        <w:rPr>
          <w:rFonts w:ascii="Times-Roman" w:hAnsi="Times-Roman" w:cs="Times-Roman"/>
          <w:sz w:val="21"/>
          <w:szCs w:val="21"/>
        </w:rPr>
        <w:t>communication au public en ligne mentionn</w:t>
      </w:r>
      <w:r w:rsidR="004E021A">
        <w:rPr>
          <w:rFonts w:ascii="Times-Roman" w:hAnsi="Times-Roman" w:cs="Times-Roman"/>
          <w:sz w:val="21"/>
          <w:szCs w:val="21"/>
        </w:rPr>
        <w:t xml:space="preserve">és au premier alinéa du présent </w:t>
      </w:r>
      <w:r>
        <w:rPr>
          <w:rFonts w:ascii="Times-Roman" w:hAnsi="Times-Roman" w:cs="Times-Roman"/>
          <w:sz w:val="21"/>
          <w:szCs w:val="21"/>
        </w:rPr>
        <w:t>article qui ont fait l’objet d’une demande de blocage d’</w:t>
      </w:r>
      <w:r w:rsidR="004E021A">
        <w:rPr>
          <w:rFonts w:ascii="Times-Roman" w:hAnsi="Times-Roman" w:cs="Times-Roman"/>
          <w:sz w:val="21"/>
          <w:szCs w:val="21"/>
        </w:rPr>
        <w:t xml:space="preserve">accès en application </w:t>
      </w:r>
      <w:r>
        <w:rPr>
          <w:rFonts w:ascii="Times-Roman" w:hAnsi="Times-Roman" w:cs="Times-Roman"/>
          <w:sz w:val="21"/>
          <w:szCs w:val="21"/>
        </w:rPr>
        <w:t>du même premier alinéa, ainsi que des adres</w:t>
      </w:r>
      <w:r w:rsidR="004E021A">
        <w:rPr>
          <w:rFonts w:ascii="Times-Roman" w:hAnsi="Times-Roman" w:cs="Times-Roman"/>
          <w:sz w:val="21"/>
          <w:szCs w:val="21"/>
        </w:rPr>
        <w:t xml:space="preserve">ses électroniques donnant accès </w:t>
      </w:r>
      <w:r>
        <w:rPr>
          <w:rFonts w:ascii="Times-Roman" w:hAnsi="Times-Roman" w:cs="Times-Roman"/>
          <w:sz w:val="21"/>
          <w:szCs w:val="21"/>
        </w:rPr>
        <w:t>à ces services, et met cette liste à la dispo</w:t>
      </w:r>
      <w:r w:rsidR="004E021A">
        <w:rPr>
          <w:rFonts w:ascii="Times-Roman" w:hAnsi="Times-Roman" w:cs="Times-Roman"/>
          <w:sz w:val="21"/>
          <w:szCs w:val="21"/>
        </w:rPr>
        <w:t xml:space="preserve">sition des annonceurs, de leurs </w:t>
      </w:r>
      <w:r>
        <w:rPr>
          <w:rFonts w:ascii="Times-Roman" w:hAnsi="Times-Roman" w:cs="Times-Roman"/>
          <w:sz w:val="21"/>
          <w:szCs w:val="21"/>
        </w:rPr>
        <w:t>mandataires et des services mentionnés au 2° du II de l’</w:t>
      </w:r>
      <w:r w:rsidR="004E021A">
        <w:rPr>
          <w:rFonts w:ascii="Times-Roman" w:hAnsi="Times-Roman" w:cs="Times-Roman"/>
          <w:sz w:val="21"/>
          <w:szCs w:val="21"/>
        </w:rPr>
        <w:t xml:space="preserve">article 299 du code </w:t>
      </w:r>
      <w:r>
        <w:rPr>
          <w:rFonts w:ascii="Times-Roman" w:hAnsi="Times-Roman" w:cs="Times-Roman"/>
          <w:sz w:val="21"/>
          <w:szCs w:val="21"/>
        </w:rPr>
        <w:t>général des impôts. Ces services sont inscrit</w:t>
      </w:r>
      <w:r w:rsidR="004E021A">
        <w:rPr>
          <w:rFonts w:ascii="Times-Roman" w:hAnsi="Times-Roman" w:cs="Times-Roman"/>
          <w:sz w:val="21"/>
          <w:szCs w:val="21"/>
        </w:rPr>
        <w:t xml:space="preserve">s sur cette liste pour la durée </w:t>
      </w:r>
      <w:r>
        <w:rPr>
          <w:rFonts w:ascii="Times-Roman" w:hAnsi="Times-Roman" w:cs="Times-Roman"/>
          <w:sz w:val="21"/>
          <w:szCs w:val="21"/>
        </w:rPr>
        <w:t>restant à courir des mesures ordonnées par l’autorité judiciaire.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« Lorsqu’il n’est pas procédé au blocag</w:t>
      </w:r>
      <w:r w:rsidR="004E021A">
        <w:rPr>
          <w:rFonts w:ascii="Times-Roman" w:hAnsi="Times-Roman" w:cs="Times-Roman"/>
          <w:sz w:val="21"/>
          <w:szCs w:val="21"/>
        </w:rPr>
        <w:t xml:space="preserve">e ou au déréférencement desdits </w:t>
      </w:r>
      <w:r>
        <w:rPr>
          <w:rFonts w:ascii="Times-Roman" w:hAnsi="Times-Roman" w:cs="Times-Roman"/>
          <w:sz w:val="21"/>
          <w:szCs w:val="21"/>
        </w:rPr>
        <w:t>services en application du présent article, l’autori</w:t>
      </w:r>
      <w:r w:rsidR="004E021A">
        <w:rPr>
          <w:rFonts w:ascii="Times-Roman" w:hAnsi="Times-Roman" w:cs="Times-Roman"/>
          <w:sz w:val="21"/>
          <w:szCs w:val="21"/>
        </w:rPr>
        <w:t xml:space="preserve">té judiciaire peut être saisie, </w:t>
      </w:r>
      <w:r>
        <w:rPr>
          <w:rFonts w:ascii="Times-Roman" w:hAnsi="Times-Roman" w:cs="Times-Roman"/>
          <w:sz w:val="21"/>
          <w:szCs w:val="21"/>
        </w:rPr>
        <w:t>en référé ou sur requête, pour ordonner toute</w:t>
      </w:r>
      <w:r w:rsidR="004E021A">
        <w:rPr>
          <w:rFonts w:ascii="Times-Roman" w:hAnsi="Times-Roman" w:cs="Times-Roman"/>
          <w:sz w:val="21"/>
          <w:szCs w:val="21"/>
        </w:rPr>
        <w:t xml:space="preserve"> mesure destinée à faire cesser </w:t>
      </w:r>
      <w:r>
        <w:rPr>
          <w:rFonts w:ascii="Times-Roman" w:hAnsi="Times-Roman" w:cs="Times-Roman"/>
          <w:sz w:val="21"/>
          <w:szCs w:val="21"/>
        </w:rPr>
        <w:t>l’accès aux contenus de ces services. »</w:t>
      </w: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1"/>
          <w:szCs w:val="21"/>
        </w:rPr>
      </w:pP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BoldItalic" w:hAnsi="Times-BoldItalic" w:cs="Times-BoldItalic"/>
          <w:b/>
          <w:bCs/>
          <w:i/>
          <w:iCs/>
          <w:sz w:val="21"/>
          <w:szCs w:val="21"/>
        </w:rPr>
      </w:pPr>
      <w:r>
        <w:rPr>
          <w:rFonts w:ascii="Times-Bold" w:hAnsi="Times-Bold" w:cs="Times-Bold"/>
          <w:b/>
          <w:bCs/>
          <w:sz w:val="21"/>
          <w:szCs w:val="21"/>
        </w:rPr>
        <w:t xml:space="preserve">Article 19 </w:t>
      </w:r>
      <w:r>
        <w:rPr>
          <w:rFonts w:ascii="Times-BoldItalic" w:hAnsi="Times-BoldItalic" w:cs="Times-BoldItalic"/>
          <w:b/>
          <w:bCs/>
          <w:i/>
          <w:iCs/>
          <w:sz w:val="21"/>
          <w:szCs w:val="21"/>
        </w:rPr>
        <w:t>bis (nouveau)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I. – Le chapitre II du titre I</w:t>
      </w:r>
      <w:r>
        <w:rPr>
          <w:rFonts w:ascii="Times-Roman" w:hAnsi="Times-Roman" w:cs="Times-Roman"/>
          <w:sz w:val="14"/>
          <w:szCs w:val="14"/>
        </w:rPr>
        <w:t xml:space="preserve">er </w:t>
      </w:r>
      <w:r>
        <w:rPr>
          <w:rFonts w:ascii="Times-Roman" w:hAnsi="Times-Roman" w:cs="Times-Roman"/>
          <w:sz w:val="21"/>
          <w:szCs w:val="21"/>
        </w:rPr>
        <w:t>de la loi n</w:t>
      </w:r>
      <w:r w:rsidR="004E021A">
        <w:rPr>
          <w:rFonts w:ascii="Times-Roman" w:hAnsi="Times-Roman" w:cs="Times-Roman"/>
          <w:sz w:val="21"/>
          <w:szCs w:val="21"/>
        </w:rPr>
        <w:t xml:space="preserve">° 2004-575 du 21 juin 2004 pour </w:t>
      </w:r>
      <w:r>
        <w:rPr>
          <w:rFonts w:ascii="Times-Roman" w:hAnsi="Times-Roman" w:cs="Times-Roman"/>
          <w:sz w:val="21"/>
          <w:szCs w:val="21"/>
        </w:rPr>
        <w:t>la confiance dans l’économie numérique est ainsi modifié :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1° Le quatrième alinéa du 7 du I de l’article 6 est ainsi modifié :</w:t>
      </w:r>
    </w:p>
    <w:p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Italic" w:hAnsi="Times-Italic" w:cs="Times-Italic"/>
          <w:i/>
          <w:iCs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Italic" w:hAnsi="Times-Italic" w:cs="Times-Italic"/>
          <w:i/>
          <w:iCs/>
          <w:sz w:val="21"/>
          <w:szCs w:val="21"/>
        </w:rPr>
        <w:t xml:space="preserve">a) </w:t>
      </w:r>
      <w:r>
        <w:rPr>
          <w:rFonts w:ascii="Times-Roman" w:hAnsi="Times-Roman" w:cs="Times-Roman"/>
          <w:sz w:val="21"/>
          <w:szCs w:val="21"/>
        </w:rPr>
        <w:t>La première phrase est complétée par</w:t>
      </w:r>
      <w:r w:rsidR="004E021A">
        <w:rPr>
          <w:rFonts w:ascii="Times-Roman" w:hAnsi="Times-Roman" w:cs="Times-Roman"/>
          <w:sz w:val="21"/>
          <w:szCs w:val="21"/>
        </w:rPr>
        <w:t xml:space="preserve"> les mots : « et rendre publics </w:t>
      </w:r>
      <w:r>
        <w:rPr>
          <w:rFonts w:ascii="Times-Roman" w:hAnsi="Times-Roman" w:cs="Times-Roman"/>
          <w:sz w:val="21"/>
          <w:szCs w:val="21"/>
        </w:rPr>
        <w:t>les moyens qu’elles consacrent à la lutte</w:t>
      </w:r>
      <w:r w:rsidR="004E021A">
        <w:rPr>
          <w:rFonts w:ascii="Times-Roman" w:hAnsi="Times-Roman" w:cs="Times-Roman"/>
          <w:sz w:val="21"/>
          <w:szCs w:val="21"/>
        </w:rPr>
        <w:t xml:space="preserve"> contre les activités illicites </w:t>
      </w:r>
      <w:r>
        <w:rPr>
          <w:rFonts w:ascii="Times-Roman" w:hAnsi="Times-Roman" w:cs="Times-Roman"/>
          <w:sz w:val="21"/>
          <w:szCs w:val="21"/>
        </w:rPr>
        <w:t>mentionnées au troisième alinéa du présent 7 » ;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Italic" w:hAnsi="Times-Italic" w:cs="Times-Italic"/>
          <w:i/>
          <w:iCs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Italic" w:hAnsi="Times-Italic" w:cs="Times-Italic"/>
          <w:i/>
          <w:iCs/>
          <w:sz w:val="21"/>
          <w:szCs w:val="21"/>
        </w:rPr>
        <w:lastRenderedPageBreak/>
        <w:t xml:space="preserve">b) </w:t>
      </w:r>
      <w:r>
        <w:rPr>
          <w:rFonts w:ascii="Times-Roman" w:hAnsi="Times-Roman" w:cs="Times-Roman"/>
          <w:sz w:val="21"/>
          <w:szCs w:val="21"/>
        </w:rPr>
        <w:t>Après la même première phrase, est insérée une phrase ainsi rédigée :</w:t>
      </w:r>
      <w:r w:rsidR="001048BC">
        <w:rPr>
          <w:rFonts w:ascii="Times-Roman" w:hAnsi="Times-Roman" w:cs="Times-Roman"/>
          <w:sz w:val="21"/>
          <w:szCs w:val="21"/>
        </w:rPr>
        <w:t xml:space="preserve"> </w:t>
      </w:r>
      <w:r>
        <w:rPr>
          <w:rFonts w:ascii="Times-Roman" w:hAnsi="Times-Roman" w:cs="Times-Roman"/>
          <w:sz w:val="21"/>
          <w:szCs w:val="21"/>
        </w:rPr>
        <w:t>« Ces obligations ne sont pas applicabl</w:t>
      </w:r>
      <w:r w:rsidR="004E021A">
        <w:rPr>
          <w:rFonts w:ascii="Times-Roman" w:hAnsi="Times-Roman" w:cs="Times-Roman"/>
          <w:sz w:val="21"/>
          <w:szCs w:val="21"/>
        </w:rPr>
        <w:t xml:space="preserve">es aux opérateurs mentionnés au </w:t>
      </w:r>
      <w:r>
        <w:rPr>
          <w:rFonts w:ascii="Times-Roman" w:hAnsi="Times-Roman" w:cs="Times-Roman"/>
          <w:sz w:val="21"/>
          <w:szCs w:val="21"/>
        </w:rPr>
        <w:t>premier alinéa de l’article 6-5 pour la lutte c</w:t>
      </w:r>
      <w:r w:rsidR="004E021A">
        <w:rPr>
          <w:rFonts w:ascii="Times-Roman" w:hAnsi="Times-Roman" w:cs="Times-Roman"/>
          <w:sz w:val="21"/>
          <w:szCs w:val="21"/>
        </w:rPr>
        <w:t xml:space="preserve">ontre la diffusion des contenus </w:t>
      </w:r>
      <w:r>
        <w:rPr>
          <w:rFonts w:ascii="Times-Roman" w:hAnsi="Times-Roman" w:cs="Times-Roman"/>
          <w:sz w:val="21"/>
          <w:szCs w:val="21"/>
        </w:rPr>
        <w:t>mentionnés au même premier alinéa. » ;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Italic" w:hAnsi="Times-Italic" w:cs="Times-Italic"/>
          <w:i/>
          <w:iCs/>
          <w:sz w:val="21"/>
          <w:szCs w:val="21"/>
        </w:rPr>
        <w:t xml:space="preserve">c) </w:t>
      </w:r>
      <w:r>
        <w:rPr>
          <w:rFonts w:ascii="Times-Roman" w:hAnsi="Times-Roman" w:cs="Times-Roman"/>
          <w:sz w:val="21"/>
          <w:szCs w:val="21"/>
        </w:rPr>
        <w:t>La seconde phrase est ainsi modifiée :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– au début, le mot : « </w:t>
      </w:r>
      <w:proofErr w:type="gramStart"/>
      <w:r>
        <w:rPr>
          <w:rFonts w:ascii="Times-Roman" w:hAnsi="Times-Roman" w:cs="Times-Roman"/>
          <w:sz w:val="21"/>
          <w:szCs w:val="21"/>
        </w:rPr>
        <w:t>Elles » est</w:t>
      </w:r>
      <w:proofErr w:type="gramEnd"/>
      <w:r>
        <w:rPr>
          <w:rFonts w:ascii="Times-Roman" w:hAnsi="Times-Roman" w:cs="Times-Roman"/>
          <w:sz w:val="21"/>
          <w:szCs w:val="21"/>
        </w:rPr>
        <w:t xml:space="preserve"> remplacé</w:t>
      </w:r>
      <w:r w:rsidR="004E021A">
        <w:rPr>
          <w:rFonts w:ascii="Times-Roman" w:hAnsi="Times-Roman" w:cs="Times-Roman"/>
          <w:sz w:val="21"/>
          <w:szCs w:val="21"/>
        </w:rPr>
        <w:t xml:space="preserve"> par les mots : « Les personnes </w:t>
      </w:r>
      <w:r>
        <w:rPr>
          <w:rFonts w:ascii="Times-Roman" w:hAnsi="Times-Roman" w:cs="Times-Roman"/>
          <w:sz w:val="21"/>
          <w:szCs w:val="21"/>
        </w:rPr>
        <w:t>mentionnées aux 1 et 2</w:t>
      </w:r>
      <w:r w:rsidR="00134B73">
        <w:rPr>
          <w:rFonts w:ascii="Times-Roman" w:hAnsi="Times-Roman" w:cs="Times-Roman"/>
          <w:sz w:val="21"/>
          <w:szCs w:val="21"/>
        </w:rPr>
        <w:t> </w:t>
      </w:r>
      <w:r>
        <w:rPr>
          <w:rFonts w:ascii="Times-Roman" w:hAnsi="Times-Roman" w:cs="Times-Roman"/>
          <w:sz w:val="21"/>
          <w:szCs w:val="21"/>
        </w:rPr>
        <w:t>» ;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Italic" w:hAnsi="Times-Italic" w:cs="Times-Italic"/>
          <w:i/>
          <w:iCs/>
          <w:sz w:val="21"/>
          <w:szCs w:val="21"/>
        </w:rPr>
        <w:t xml:space="preserve">– </w:t>
      </w:r>
      <w:r>
        <w:rPr>
          <w:rFonts w:ascii="Times-Roman" w:hAnsi="Times-Roman" w:cs="Times-Roman"/>
          <w:sz w:val="21"/>
          <w:szCs w:val="21"/>
        </w:rPr>
        <w:t xml:space="preserve">les mots : </w:t>
      </w:r>
      <w:proofErr w:type="gramStart"/>
      <w:r>
        <w:rPr>
          <w:rFonts w:ascii="Times-Roman" w:hAnsi="Times-Roman" w:cs="Times-Roman"/>
          <w:sz w:val="21"/>
          <w:szCs w:val="21"/>
        </w:rPr>
        <w:t>« ,</w:t>
      </w:r>
      <w:proofErr w:type="gramEnd"/>
      <w:r>
        <w:rPr>
          <w:rFonts w:ascii="Times-Roman" w:hAnsi="Times-Roman" w:cs="Times-Roman"/>
          <w:sz w:val="21"/>
          <w:szCs w:val="21"/>
        </w:rPr>
        <w:t xml:space="preserve"> d’une part, » sont supprimés ;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– les mots : « à l’alinéa précédent » son</w:t>
      </w:r>
      <w:r w:rsidR="004E021A">
        <w:rPr>
          <w:rFonts w:ascii="Times-Roman" w:hAnsi="Times-Roman" w:cs="Times-Roman"/>
          <w:sz w:val="21"/>
          <w:szCs w:val="21"/>
        </w:rPr>
        <w:t xml:space="preserve">t remplacés par les mots : « au </w:t>
      </w:r>
      <w:r>
        <w:rPr>
          <w:rFonts w:ascii="Times-Roman" w:hAnsi="Times-Roman" w:cs="Times-Roman"/>
          <w:sz w:val="21"/>
          <w:szCs w:val="21"/>
        </w:rPr>
        <w:t>même troisième alinéa » ;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– après le mot : « services », la fin est supprimée ;</w:t>
      </w:r>
    </w:p>
    <w:p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2° Après l’article 6-2 dans sa rédaction r</w:t>
      </w:r>
      <w:r w:rsidR="004E021A">
        <w:rPr>
          <w:rFonts w:ascii="Times-Roman" w:hAnsi="Times-Roman" w:cs="Times-Roman"/>
          <w:sz w:val="21"/>
          <w:szCs w:val="21"/>
        </w:rPr>
        <w:t xml:space="preserve">ésultant de la loi n° 2020-1266 </w:t>
      </w:r>
      <w:r>
        <w:rPr>
          <w:rFonts w:ascii="Times-Roman" w:hAnsi="Times-Roman" w:cs="Times-Roman"/>
          <w:sz w:val="21"/>
          <w:szCs w:val="21"/>
        </w:rPr>
        <w:t>du 19 octobre 2020 précitée, il est inséré un article 6-5 ainsi rédigé :</w:t>
      </w:r>
    </w:p>
    <w:p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« </w:t>
      </w:r>
      <w:r>
        <w:rPr>
          <w:rFonts w:ascii="Times-Italic" w:hAnsi="Times-Italic" w:cs="Times-Italic"/>
          <w:i/>
          <w:iCs/>
          <w:sz w:val="21"/>
          <w:szCs w:val="21"/>
        </w:rPr>
        <w:t xml:space="preserve">Art. 6-5. </w:t>
      </w:r>
      <w:r>
        <w:rPr>
          <w:rFonts w:ascii="Times-Roman" w:hAnsi="Times-Roman" w:cs="Times-Roman"/>
          <w:sz w:val="21"/>
          <w:szCs w:val="21"/>
        </w:rPr>
        <w:t>– Les opérateurs de plateforme en ligne définis à l’</w:t>
      </w:r>
      <w:r w:rsidR="00F54ECB">
        <w:rPr>
          <w:rFonts w:ascii="Times-Roman" w:hAnsi="Times-Roman" w:cs="Times-Roman"/>
          <w:sz w:val="21"/>
          <w:szCs w:val="21"/>
        </w:rPr>
        <w:t xml:space="preserve">article </w:t>
      </w:r>
      <w:r>
        <w:rPr>
          <w:rFonts w:ascii="Times-Roman" w:hAnsi="Times-Roman" w:cs="Times-Roman"/>
          <w:sz w:val="21"/>
          <w:szCs w:val="21"/>
        </w:rPr>
        <w:t>L. 111-7 du code de la consommat</w:t>
      </w:r>
      <w:r w:rsidR="004E021A">
        <w:rPr>
          <w:rFonts w:ascii="Times-Roman" w:hAnsi="Times-Roman" w:cs="Times-Roman"/>
          <w:sz w:val="21"/>
          <w:szCs w:val="21"/>
        </w:rPr>
        <w:t xml:space="preserve">ion qui proposent un service de </w:t>
      </w:r>
      <w:r>
        <w:rPr>
          <w:rFonts w:ascii="Times-Roman" w:hAnsi="Times-Roman" w:cs="Times-Roman"/>
          <w:sz w:val="21"/>
          <w:szCs w:val="21"/>
        </w:rPr>
        <w:t xml:space="preserve">communication au public en ligne reposant sur </w:t>
      </w:r>
      <w:r w:rsidR="004E021A">
        <w:rPr>
          <w:rFonts w:ascii="Times-Roman" w:hAnsi="Times-Roman" w:cs="Times-Roman"/>
          <w:sz w:val="21"/>
          <w:szCs w:val="21"/>
        </w:rPr>
        <w:t xml:space="preserve">le classement, le référencement </w:t>
      </w:r>
      <w:r>
        <w:rPr>
          <w:rFonts w:ascii="Times-Roman" w:hAnsi="Times-Roman" w:cs="Times-Roman"/>
          <w:sz w:val="21"/>
          <w:szCs w:val="21"/>
        </w:rPr>
        <w:t>ou le partage de contenus mis en ligne par des tiers et dont l’</w:t>
      </w:r>
      <w:r w:rsidR="004E021A">
        <w:rPr>
          <w:rFonts w:ascii="Times-Roman" w:hAnsi="Times-Roman" w:cs="Times-Roman"/>
          <w:sz w:val="21"/>
          <w:szCs w:val="21"/>
        </w:rPr>
        <w:t xml:space="preserve">activité sur le </w:t>
      </w:r>
      <w:r>
        <w:rPr>
          <w:rFonts w:ascii="Times-Roman" w:hAnsi="Times-Roman" w:cs="Times-Roman"/>
          <w:sz w:val="21"/>
          <w:szCs w:val="21"/>
        </w:rPr>
        <w:t>territoire français dépasse un seuil de nom</w:t>
      </w:r>
      <w:r w:rsidR="004E021A">
        <w:rPr>
          <w:rFonts w:ascii="Times-Roman" w:hAnsi="Times-Roman" w:cs="Times-Roman"/>
          <w:sz w:val="21"/>
          <w:szCs w:val="21"/>
        </w:rPr>
        <w:t xml:space="preserve">bre de connexions déterminé par </w:t>
      </w:r>
      <w:r>
        <w:rPr>
          <w:rFonts w:ascii="Times-Roman" w:hAnsi="Times-Roman" w:cs="Times-Roman"/>
          <w:sz w:val="21"/>
          <w:szCs w:val="21"/>
        </w:rPr>
        <w:t>décret, qu’ils soient ou non établis sur le terri</w:t>
      </w:r>
      <w:r w:rsidR="004E021A">
        <w:rPr>
          <w:rFonts w:ascii="Times-Roman" w:hAnsi="Times-Roman" w:cs="Times-Roman"/>
          <w:sz w:val="21"/>
          <w:szCs w:val="21"/>
        </w:rPr>
        <w:t xml:space="preserve">toire français, concourent à la </w:t>
      </w:r>
      <w:r>
        <w:rPr>
          <w:rFonts w:ascii="Times-Roman" w:hAnsi="Times-Roman" w:cs="Times-Roman"/>
          <w:sz w:val="21"/>
          <w:szCs w:val="21"/>
        </w:rPr>
        <w:t>lutte contre la diffusion publique des contenu</w:t>
      </w:r>
      <w:r w:rsidR="004E021A">
        <w:rPr>
          <w:rFonts w:ascii="Times-Roman" w:hAnsi="Times-Roman" w:cs="Times-Roman"/>
          <w:sz w:val="21"/>
          <w:szCs w:val="21"/>
        </w:rPr>
        <w:t xml:space="preserve">s contrevenant aux dispositions </w:t>
      </w:r>
      <w:r>
        <w:rPr>
          <w:rFonts w:ascii="Times-Roman" w:hAnsi="Times-Roman" w:cs="Times-Roman"/>
          <w:sz w:val="21"/>
          <w:szCs w:val="21"/>
        </w:rPr>
        <w:t>mentionnées au troisième alinéa du 7 du I de l’</w:t>
      </w:r>
      <w:r w:rsidR="004E021A">
        <w:rPr>
          <w:rFonts w:ascii="Times-Roman" w:hAnsi="Times-Roman" w:cs="Times-Roman"/>
          <w:sz w:val="21"/>
          <w:szCs w:val="21"/>
        </w:rPr>
        <w:t xml:space="preserve">article 6 de la présente loi </w:t>
      </w:r>
      <w:r>
        <w:rPr>
          <w:rFonts w:ascii="Times-Roman" w:hAnsi="Times-Roman" w:cs="Times-Roman"/>
          <w:sz w:val="21"/>
          <w:szCs w:val="21"/>
        </w:rPr>
        <w:t xml:space="preserve">ainsi qu’à l’article 24 </w:t>
      </w:r>
      <w:r>
        <w:rPr>
          <w:rFonts w:ascii="Times-Italic" w:hAnsi="Times-Italic" w:cs="Times-Italic"/>
          <w:i/>
          <w:iCs/>
          <w:sz w:val="21"/>
          <w:szCs w:val="21"/>
        </w:rPr>
        <w:t xml:space="preserve">bis </w:t>
      </w:r>
      <w:r>
        <w:rPr>
          <w:rFonts w:ascii="Times-Roman" w:hAnsi="Times-Roman" w:cs="Times-Roman"/>
          <w:sz w:val="21"/>
          <w:szCs w:val="21"/>
        </w:rPr>
        <w:t>et aux troisième et quatrième alinéas de l’article e l’</w:t>
      </w:r>
      <w:r w:rsidR="004E021A">
        <w:rPr>
          <w:rFonts w:ascii="Times-Roman" w:hAnsi="Times-Roman" w:cs="Times-Roman"/>
          <w:sz w:val="21"/>
          <w:szCs w:val="21"/>
        </w:rPr>
        <w:t xml:space="preserve">article 33 </w:t>
      </w:r>
      <w:r>
        <w:rPr>
          <w:rFonts w:ascii="Times-Roman" w:hAnsi="Times-Roman" w:cs="Times-Roman"/>
          <w:sz w:val="21"/>
          <w:szCs w:val="21"/>
        </w:rPr>
        <w:t>de la loi du 29 juillet 1881 sur la liberté de la presse. À ce titre :</w:t>
      </w:r>
    </w:p>
    <w:p w:rsidR="00F54ECB" w:rsidRDefault="00F54ECB" w:rsidP="00196BE6">
      <w:pPr>
        <w:spacing w:after="0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196BE6">
      <w:pPr>
        <w:spacing w:after="0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« 1° Ils mettent en </w:t>
      </w:r>
      <w:r w:rsidR="004E021A">
        <w:rPr>
          <w:rFonts w:ascii="Times-Roman" w:hAnsi="Times-Roman" w:cs="Times-Roman"/>
          <w:sz w:val="21"/>
          <w:szCs w:val="21"/>
        </w:rPr>
        <w:t>œuvre</w:t>
      </w:r>
      <w:r>
        <w:rPr>
          <w:rFonts w:ascii="Times-Roman" w:hAnsi="Times-Roman" w:cs="Times-Roman"/>
          <w:sz w:val="21"/>
          <w:szCs w:val="21"/>
        </w:rPr>
        <w:t xml:space="preserve"> des procédures et des moyens humains et technologiques proportionnés permettant :</w:t>
      </w:r>
    </w:p>
    <w:p w:rsidR="001048BC" w:rsidRDefault="001048BC" w:rsidP="00196BE6">
      <w:pPr>
        <w:spacing w:after="0"/>
        <w:jc w:val="both"/>
        <w:rPr>
          <w:rFonts w:ascii="Times-Roman" w:hAnsi="Times-Roman" w:cs="Times-Roman"/>
          <w:sz w:val="21"/>
          <w:szCs w:val="21"/>
        </w:rPr>
      </w:pPr>
    </w:p>
    <w:p w:rsidR="00317039" w:rsidRPr="004E021A" w:rsidRDefault="001048BC" w:rsidP="00196BE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« </w:t>
      </w:r>
      <w:r w:rsidRPr="00196BE6">
        <w:rPr>
          <w:rFonts w:ascii="Times-Roman" w:hAnsi="Times-Roman" w:cs="Times-Roman"/>
          <w:i/>
          <w:sz w:val="21"/>
          <w:szCs w:val="21"/>
        </w:rPr>
        <w:t>a)</w:t>
      </w:r>
      <w:r>
        <w:rPr>
          <w:rFonts w:ascii="Times-Roman" w:hAnsi="Times-Roman" w:cs="Times-Roman"/>
          <w:sz w:val="21"/>
          <w:szCs w:val="21"/>
        </w:rPr>
        <w:t xml:space="preserve"> </w:t>
      </w:r>
      <w:r w:rsidR="00317039" w:rsidRPr="004E021A">
        <w:rPr>
          <w:rFonts w:ascii="Times-Roman" w:hAnsi="Times-Roman" w:cs="Times-Roman"/>
          <w:sz w:val="21"/>
          <w:szCs w:val="21"/>
        </w:rPr>
        <w:t>D’informer, dans les meilleurs délai</w:t>
      </w:r>
      <w:r w:rsidR="004E021A" w:rsidRPr="004E021A">
        <w:rPr>
          <w:rFonts w:ascii="Times-Roman" w:hAnsi="Times-Roman" w:cs="Times-Roman"/>
          <w:sz w:val="21"/>
          <w:szCs w:val="21"/>
        </w:rPr>
        <w:t xml:space="preserve">s, les autorités judiciaires ou </w:t>
      </w:r>
      <w:r w:rsidR="00317039" w:rsidRPr="004E021A">
        <w:rPr>
          <w:rFonts w:ascii="Times-Roman" w:hAnsi="Times-Roman" w:cs="Times-Roman"/>
          <w:sz w:val="21"/>
          <w:szCs w:val="21"/>
        </w:rPr>
        <w:t>administratives des actions qu’ils ont</w:t>
      </w:r>
      <w:r w:rsidR="004E021A" w:rsidRPr="004E021A">
        <w:rPr>
          <w:rFonts w:ascii="Times-Roman" w:hAnsi="Times-Roman" w:cs="Times-Roman"/>
          <w:sz w:val="21"/>
          <w:szCs w:val="21"/>
        </w:rPr>
        <w:t xml:space="preserve"> mises en oeuvre à la suite des </w:t>
      </w:r>
      <w:r w:rsidR="00317039" w:rsidRPr="004E021A">
        <w:rPr>
          <w:rFonts w:ascii="Times-Roman" w:hAnsi="Times-Roman" w:cs="Times-Roman"/>
          <w:sz w:val="21"/>
          <w:szCs w:val="21"/>
        </w:rPr>
        <w:t>injonctions émises par ces autorités relatives</w:t>
      </w:r>
      <w:r w:rsidR="004E021A" w:rsidRPr="004E021A">
        <w:rPr>
          <w:rFonts w:ascii="Times-Roman" w:hAnsi="Times-Roman" w:cs="Times-Roman"/>
          <w:sz w:val="21"/>
          <w:szCs w:val="21"/>
        </w:rPr>
        <w:t xml:space="preserve"> aux contenus mentionnés au </w:t>
      </w:r>
      <w:r w:rsidR="00317039" w:rsidRPr="004E021A">
        <w:rPr>
          <w:rFonts w:ascii="Times-Roman" w:hAnsi="Times-Roman" w:cs="Times-Roman"/>
          <w:sz w:val="21"/>
          <w:szCs w:val="21"/>
        </w:rPr>
        <w:t>premier alinéa du présent article ;</w:t>
      </w:r>
    </w:p>
    <w:p w:rsidR="004E021A" w:rsidRPr="004E021A" w:rsidRDefault="004E021A" w:rsidP="00196BE6">
      <w:pPr>
        <w:spacing w:after="0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« </w:t>
      </w:r>
      <w:r>
        <w:rPr>
          <w:rFonts w:ascii="Times-Italic" w:hAnsi="Times-Italic" w:cs="Times-Italic"/>
          <w:i/>
          <w:iCs/>
          <w:sz w:val="21"/>
          <w:szCs w:val="21"/>
        </w:rPr>
        <w:t xml:space="preserve">b) </w:t>
      </w:r>
      <w:r>
        <w:rPr>
          <w:rFonts w:ascii="Times-Roman" w:hAnsi="Times-Roman" w:cs="Times-Roman"/>
          <w:sz w:val="21"/>
          <w:szCs w:val="21"/>
        </w:rPr>
        <w:t>D’accuser réception sans délai des dem</w:t>
      </w:r>
      <w:r w:rsidR="004E021A">
        <w:rPr>
          <w:rFonts w:ascii="Times-Roman" w:hAnsi="Times-Roman" w:cs="Times-Roman"/>
          <w:sz w:val="21"/>
          <w:szCs w:val="21"/>
        </w:rPr>
        <w:t xml:space="preserve">andes des autorités judiciaires </w:t>
      </w:r>
      <w:r>
        <w:rPr>
          <w:rFonts w:ascii="Times-Roman" w:hAnsi="Times-Roman" w:cs="Times-Roman"/>
          <w:sz w:val="21"/>
          <w:szCs w:val="21"/>
        </w:rPr>
        <w:t>ou administratives tendant à la com</w:t>
      </w:r>
      <w:r w:rsidR="004E021A">
        <w:rPr>
          <w:rFonts w:ascii="Times-Roman" w:hAnsi="Times-Roman" w:cs="Times-Roman"/>
          <w:sz w:val="21"/>
          <w:szCs w:val="21"/>
        </w:rPr>
        <w:t xml:space="preserve">munication des données dont ils </w:t>
      </w:r>
      <w:r>
        <w:rPr>
          <w:rFonts w:ascii="Times-Roman" w:hAnsi="Times-Roman" w:cs="Times-Roman"/>
          <w:sz w:val="21"/>
          <w:szCs w:val="21"/>
        </w:rPr>
        <w:t xml:space="preserve">disposent, de nature à permettre l’identification </w:t>
      </w:r>
      <w:r w:rsidR="004E021A">
        <w:rPr>
          <w:rFonts w:ascii="Times-Roman" w:hAnsi="Times-Roman" w:cs="Times-Roman"/>
          <w:sz w:val="21"/>
          <w:szCs w:val="21"/>
        </w:rPr>
        <w:t xml:space="preserve">des utilisateurs qui ont mis </w:t>
      </w:r>
      <w:r>
        <w:rPr>
          <w:rFonts w:ascii="Times-Roman" w:hAnsi="Times-Roman" w:cs="Times-Roman"/>
          <w:sz w:val="21"/>
          <w:szCs w:val="21"/>
        </w:rPr>
        <w:t>en ligne des contenus mentionnés au même premier alinéa, et d’</w:t>
      </w:r>
      <w:r w:rsidR="004E021A">
        <w:rPr>
          <w:rFonts w:ascii="Times-Roman" w:hAnsi="Times-Roman" w:cs="Times-Roman"/>
          <w:sz w:val="21"/>
          <w:szCs w:val="21"/>
        </w:rPr>
        <w:t xml:space="preserve">informer ces </w:t>
      </w:r>
      <w:r>
        <w:rPr>
          <w:rFonts w:ascii="Times-Roman" w:hAnsi="Times-Roman" w:cs="Times-Roman"/>
          <w:sz w:val="21"/>
          <w:szCs w:val="21"/>
        </w:rPr>
        <w:t>autorités dans les meilleurs délais des suites données à ces demandes ;</w:t>
      </w:r>
    </w:p>
    <w:p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« </w:t>
      </w:r>
      <w:r>
        <w:rPr>
          <w:rFonts w:ascii="Times-Italic" w:hAnsi="Times-Italic" w:cs="Times-Italic"/>
          <w:i/>
          <w:iCs/>
          <w:sz w:val="21"/>
          <w:szCs w:val="21"/>
        </w:rPr>
        <w:t xml:space="preserve">c) </w:t>
      </w:r>
      <w:r>
        <w:rPr>
          <w:rFonts w:ascii="Times-Roman" w:hAnsi="Times-Roman" w:cs="Times-Roman"/>
          <w:sz w:val="21"/>
          <w:szCs w:val="21"/>
        </w:rPr>
        <w:t>De conserver temporairement les con</w:t>
      </w:r>
      <w:r w:rsidR="004E021A">
        <w:rPr>
          <w:rFonts w:ascii="Times-Roman" w:hAnsi="Times-Roman" w:cs="Times-Roman"/>
          <w:sz w:val="21"/>
          <w:szCs w:val="21"/>
        </w:rPr>
        <w:t xml:space="preserve">tenus qui leur ont été signalés </w:t>
      </w:r>
      <w:r>
        <w:rPr>
          <w:rFonts w:ascii="Times-Roman" w:hAnsi="Times-Roman" w:cs="Times-Roman"/>
          <w:sz w:val="21"/>
          <w:szCs w:val="21"/>
        </w:rPr>
        <w:t>comme contraires aux dispositions mentionnées audit premier alinéa et qu’</w:t>
      </w:r>
      <w:r w:rsidR="004E021A">
        <w:rPr>
          <w:rFonts w:ascii="Times-Roman" w:hAnsi="Times-Roman" w:cs="Times-Roman"/>
          <w:sz w:val="21"/>
          <w:szCs w:val="21"/>
        </w:rPr>
        <w:t xml:space="preserve">ils </w:t>
      </w:r>
      <w:r>
        <w:rPr>
          <w:rFonts w:ascii="Times-Roman" w:hAnsi="Times-Roman" w:cs="Times-Roman"/>
          <w:sz w:val="21"/>
          <w:szCs w:val="21"/>
        </w:rPr>
        <w:t>ont retirés ou rendus inaccessibles, aux fins de</w:t>
      </w:r>
      <w:r w:rsidR="004E021A">
        <w:rPr>
          <w:rFonts w:ascii="Times-Roman" w:hAnsi="Times-Roman" w:cs="Times-Roman"/>
          <w:sz w:val="21"/>
          <w:szCs w:val="21"/>
        </w:rPr>
        <w:t xml:space="preserve"> les mettre à la disposition de </w:t>
      </w:r>
      <w:r>
        <w:rPr>
          <w:rFonts w:ascii="Times-Roman" w:hAnsi="Times-Roman" w:cs="Times-Roman"/>
          <w:sz w:val="21"/>
          <w:szCs w:val="21"/>
        </w:rPr>
        <w:t>l’autorité judiciaire pour les besoins de la rech</w:t>
      </w:r>
      <w:r w:rsidR="004E021A">
        <w:rPr>
          <w:rFonts w:ascii="Times-Roman" w:hAnsi="Times-Roman" w:cs="Times-Roman"/>
          <w:sz w:val="21"/>
          <w:szCs w:val="21"/>
        </w:rPr>
        <w:t xml:space="preserve">erche, de la constatation et de </w:t>
      </w:r>
      <w:r>
        <w:rPr>
          <w:rFonts w:ascii="Times-Roman" w:hAnsi="Times-Roman" w:cs="Times-Roman"/>
          <w:sz w:val="21"/>
          <w:szCs w:val="21"/>
        </w:rPr>
        <w:t>la poursuite des infractions pénales ; la durée e</w:t>
      </w:r>
      <w:r w:rsidR="004E021A">
        <w:rPr>
          <w:rFonts w:ascii="Times-Roman" w:hAnsi="Times-Roman" w:cs="Times-Roman"/>
          <w:sz w:val="21"/>
          <w:szCs w:val="21"/>
        </w:rPr>
        <w:t xml:space="preserve">t les modalités de conservation </w:t>
      </w:r>
      <w:r>
        <w:rPr>
          <w:rFonts w:ascii="Times-Roman" w:hAnsi="Times-Roman" w:cs="Times-Roman"/>
          <w:sz w:val="21"/>
          <w:szCs w:val="21"/>
        </w:rPr>
        <w:t>de ces contenus sont définies par décret en Conseil d’État, après avis de la</w:t>
      </w: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Commission nationale de l’informatique et des libertés ;</w:t>
      </w:r>
    </w:p>
    <w:p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« 2° Ils désignent un point de contact unique, personne physique ch</w:t>
      </w:r>
      <w:r w:rsidR="004E021A">
        <w:rPr>
          <w:rFonts w:ascii="Times-Roman" w:hAnsi="Times-Roman" w:cs="Times-Roman"/>
          <w:sz w:val="21"/>
          <w:szCs w:val="21"/>
        </w:rPr>
        <w:t xml:space="preserve">argée </w:t>
      </w:r>
      <w:r>
        <w:rPr>
          <w:rFonts w:ascii="Times-Roman" w:hAnsi="Times-Roman" w:cs="Times-Roman"/>
          <w:sz w:val="21"/>
          <w:szCs w:val="21"/>
        </w:rPr>
        <w:t>de la communication avec les autorités publi</w:t>
      </w:r>
      <w:r w:rsidR="004E021A">
        <w:rPr>
          <w:rFonts w:ascii="Times-Roman" w:hAnsi="Times-Roman" w:cs="Times-Roman"/>
          <w:sz w:val="21"/>
          <w:szCs w:val="21"/>
        </w:rPr>
        <w:t xml:space="preserve">ques pour la mise en </w:t>
      </w:r>
      <w:proofErr w:type="spellStart"/>
      <w:r w:rsidR="004E021A">
        <w:rPr>
          <w:rFonts w:ascii="Times-Roman" w:hAnsi="Times-Roman" w:cs="Times-Roman"/>
          <w:sz w:val="21"/>
          <w:szCs w:val="21"/>
        </w:rPr>
        <w:t>oeuvre</w:t>
      </w:r>
      <w:proofErr w:type="spellEnd"/>
      <w:r w:rsidR="004E021A">
        <w:rPr>
          <w:rFonts w:ascii="Times-Roman" w:hAnsi="Times-Roman" w:cs="Times-Roman"/>
          <w:sz w:val="21"/>
          <w:szCs w:val="21"/>
        </w:rPr>
        <w:t xml:space="preserve"> des </w:t>
      </w:r>
      <w:r>
        <w:rPr>
          <w:rFonts w:ascii="Times-Roman" w:hAnsi="Times-Roman" w:cs="Times-Roman"/>
          <w:sz w:val="21"/>
          <w:szCs w:val="21"/>
        </w:rPr>
        <w:t>dispositions du présent article, auquel peuve</w:t>
      </w:r>
      <w:r w:rsidR="004E021A">
        <w:rPr>
          <w:rFonts w:ascii="Times-Roman" w:hAnsi="Times-Roman" w:cs="Times-Roman"/>
          <w:sz w:val="21"/>
          <w:szCs w:val="21"/>
        </w:rPr>
        <w:t xml:space="preserve">nt notamment être adressées par </w:t>
      </w:r>
      <w:r>
        <w:rPr>
          <w:rFonts w:ascii="Times-Roman" w:hAnsi="Times-Roman" w:cs="Times-Roman"/>
          <w:sz w:val="21"/>
          <w:szCs w:val="21"/>
        </w:rPr>
        <w:t>voie électronique les demandes présent</w:t>
      </w:r>
      <w:r w:rsidR="004E021A">
        <w:rPr>
          <w:rFonts w:ascii="Times-Roman" w:hAnsi="Times-Roman" w:cs="Times-Roman"/>
          <w:sz w:val="21"/>
          <w:szCs w:val="21"/>
        </w:rPr>
        <w:t xml:space="preserve">ées par le Conseil supérieur de </w:t>
      </w:r>
      <w:r>
        <w:rPr>
          <w:rFonts w:ascii="Times-Roman" w:hAnsi="Times-Roman" w:cs="Times-Roman"/>
          <w:sz w:val="21"/>
          <w:szCs w:val="21"/>
        </w:rPr>
        <w:t>l’audiovisuel en application de l’</w:t>
      </w:r>
      <w:r w:rsidR="004E021A">
        <w:rPr>
          <w:rFonts w:ascii="Times-Roman" w:hAnsi="Times-Roman" w:cs="Times-Roman"/>
          <w:sz w:val="21"/>
          <w:szCs w:val="21"/>
        </w:rPr>
        <w:t xml:space="preserve">article 62 de la loi n° 86-1067 </w:t>
      </w:r>
      <w:r>
        <w:rPr>
          <w:rFonts w:ascii="Times-Roman" w:hAnsi="Times-Roman" w:cs="Times-Roman"/>
          <w:sz w:val="21"/>
          <w:szCs w:val="21"/>
        </w:rPr>
        <w:t>du 30 septembre 1986 relative à la libert</w:t>
      </w:r>
      <w:r w:rsidR="004E021A">
        <w:rPr>
          <w:rFonts w:ascii="Times-Roman" w:hAnsi="Times-Roman" w:cs="Times-Roman"/>
          <w:sz w:val="21"/>
          <w:szCs w:val="21"/>
        </w:rPr>
        <w:t xml:space="preserve">é de communication. Ce point de </w:t>
      </w:r>
      <w:r>
        <w:rPr>
          <w:rFonts w:ascii="Times-Roman" w:hAnsi="Times-Roman" w:cs="Times-Roman"/>
          <w:sz w:val="21"/>
          <w:szCs w:val="21"/>
        </w:rPr>
        <w:t>contact unique est notamment chargé de re</w:t>
      </w:r>
      <w:r w:rsidR="004E021A">
        <w:rPr>
          <w:rFonts w:ascii="Times-Roman" w:hAnsi="Times-Roman" w:cs="Times-Roman"/>
          <w:sz w:val="21"/>
          <w:szCs w:val="21"/>
        </w:rPr>
        <w:t xml:space="preserve">cevoir les requêtes adressées à </w:t>
      </w:r>
      <w:r>
        <w:rPr>
          <w:rFonts w:ascii="Times-Roman" w:hAnsi="Times-Roman" w:cs="Times-Roman"/>
          <w:sz w:val="21"/>
          <w:szCs w:val="21"/>
        </w:rPr>
        <w:t>l’opérateur par l’autorité judiciaire selon</w:t>
      </w:r>
      <w:r w:rsidR="004E021A">
        <w:rPr>
          <w:rFonts w:ascii="Times-Roman" w:hAnsi="Times-Roman" w:cs="Times-Roman"/>
          <w:sz w:val="21"/>
          <w:szCs w:val="21"/>
        </w:rPr>
        <w:t xml:space="preserve"> les modalités prévues au II de </w:t>
      </w:r>
      <w:r>
        <w:rPr>
          <w:rFonts w:ascii="Times-Roman" w:hAnsi="Times-Roman" w:cs="Times-Roman"/>
          <w:sz w:val="21"/>
          <w:szCs w:val="21"/>
        </w:rPr>
        <w:t>l’article 6 de la présente loi, en vue d’en assurer un traitement rapide ;</w:t>
      </w:r>
    </w:p>
    <w:p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« 3° Ils mettent à la disposition du public, </w:t>
      </w:r>
      <w:r w:rsidR="004E021A">
        <w:rPr>
          <w:rFonts w:ascii="Times-Roman" w:hAnsi="Times-Roman" w:cs="Times-Roman"/>
          <w:sz w:val="21"/>
          <w:szCs w:val="21"/>
        </w:rPr>
        <w:t xml:space="preserve">de façon facilement accessible, </w:t>
      </w:r>
      <w:r>
        <w:rPr>
          <w:rFonts w:ascii="Times-Roman" w:hAnsi="Times-Roman" w:cs="Times-Roman"/>
          <w:sz w:val="21"/>
          <w:szCs w:val="21"/>
        </w:rPr>
        <w:t>les conditions générales d’utilisation du service qu’ils proposent ; ils y</w:t>
      </w:r>
      <w:r w:rsidR="004E021A">
        <w:rPr>
          <w:rFonts w:ascii="Times-Roman" w:hAnsi="Times-Roman" w:cs="Times-Roman"/>
          <w:sz w:val="21"/>
          <w:szCs w:val="21"/>
        </w:rPr>
        <w:t xml:space="preserve"> </w:t>
      </w:r>
      <w:r>
        <w:rPr>
          <w:rFonts w:ascii="Times-Roman" w:hAnsi="Times-Roman" w:cs="Times-Roman"/>
          <w:sz w:val="21"/>
          <w:szCs w:val="21"/>
        </w:rPr>
        <w:t>intègrent des dispositions prévoyant l’inte</w:t>
      </w:r>
      <w:r w:rsidR="004E021A">
        <w:rPr>
          <w:rFonts w:ascii="Times-Roman" w:hAnsi="Times-Roman" w:cs="Times-Roman"/>
          <w:sz w:val="21"/>
          <w:szCs w:val="21"/>
        </w:rPr>
        <w:t xml:space="preserve">rdiction de mettre en ligne les </w:t>
      </w:r>
      <w:r>
        <w:rPr>
          <w:rFonts w:ascii="Times-Roman" w:hAnsi="Times-Roman" w:cs="Times-Roman"/>
          <w:sz w:val="21"/>
          <w:szCs w:val="21"/>
        </w:rPr>
        <w:t>contenus mentionnés au premier alinéa du prése</w:t>
      </w:r>
      <w:r w:rsidR="004E021A">
        <w:rPr>
          <w:rFonts w:ascii="Times-Roman" w:hAnsi="Times-Roman" w:cs="Times-Roman"/>
          <w:sz w:val="21"/>
          <w:szCs w:val="21"/>
        </w:rPr>
        <w:t xml:space="preserve">nt article ; ils y décrivent en </w:t>
      </w:r>
      <w:r>
        <w:rPr>
          <w:rFonts w:ascii="Times-Roman" w:hAnsi="Times-Roman" w:cs="Times-Roman"/>
          <w:sz w:val="21"/>
          <w:szCs w:val="21"/>
        </w:rPr>
        <w:lastRenderedPageBreak/>
        <w:t>termes clairs et précis leur dispositif de modération visant à détecter, le</w:t>
      </w:r>
      <w:r w:rsidR="004E021A">
        <w:rPr>
          <w:rFonts w:ascii="Times-Roman" w:hAnsi="Times-Roman" w:cs="Times-Roman"/>
          <w:sz w:val="21"/>
          <w:szCs w:val="21"/>
        </w:rPr>
        <w:t xml:space="preserve"> cas </w:t>
      </w:r>
      <w:r>
        <w:rPr>
          <w:rFonts w:ascii="Times-Roman" w:hAnsi="Times-Roman" w:cs="Times-Roman"/>
          <w:sz w:val="21"/>
          <w:szCs w:val="21"/>
        </w:rPr>
        <w:t xml:space="preserve">échéant, à identifier et à traiter ces contenus, </w:t>
      </w:r>
      <w:r w:rsidR="004E021A">
        <w:rPr>
          <w:rFonts w:ascii="Times-Roman" w:hAnsi="Times-Roman" w:cs="Times-Roman"/>
          <w:sz w:val="21"/>
          <w:szCs w:val="21"/>
        </w:rPr>
        <w:t xml:space="preserve">en détaillant les procédures et </w:t>
      </w:r>
      <w:r>
        <w:rPr>
          <w:rFonts w:ascii="Times-Roman" w:hAnsi="Times-Roman" w:cs="Times-Roman"/>
          <w:sz w:val="21"/>
          <w:szCs w:val="21"/>
        </w:rPr>
        <w:t>les moyens humains ou automatisés emp</w:t>
      </w:r>
      <w:r w:rsidR="004E021A">
        <w:rPr>
          <w:rFonts w:ascii="Times-Roman" w:hAnsi="Times-Roman" w:cs="Times-Roman"/>
          <w:sz w:val="21"/>
          <w:szCs w:val="21"/>
        </w:rPr>
        <w:t xml:space="preserve">loyés à cet effet ainsi que les </w:t>
      </w:r>
      <w:r>
        <w:rPr>
          <w:rFonts w:ascii="Times-Roman" w:hAnsi="Times-Roman" w:cs="Times-Roman"/>
          <w:sz w:val="21"/>
          <w:szCs w:val="21"/>
        </w:rPr>
        <w:t xml:space="preserve">mesures qu’ils mettent en </w:t>
      </w:r>
      <w:r w:rsidR="004E021A">
        <w:rPr>
          <w:rFonts w:ascii="Times-Roman" w:hAnsi="Times-Roman" w:cs="Times-Roman"/>
          <w:sz w:val="21"/>
          <w:szCs w:val="21"/>
        </w:rPr>
        <w:t>œuvre</w:t>
      </w:r>
      <w:r>
        <w:rPr>
          <w:rFonts w:ascii="Times-Roman" w:hAnsi="Times-Roman" w:cs="Times-Roman"/>
          <w:sz w:val="21"/>
          <w:szCs w:val="21"/>
        </w:rPr>
        <w:t xml:space="preserve"> affectant la </w:t>
      </w:r>
      <w:r w:rsidR="004E021A">
        <w:rPr>
          <w:rFonts w:ascii="Times-Roman" w:hAnsi="Times-Roman" w:cs="Times-Roman"/>
          <w:sz w:val="21"/>
          <w:szCs w:val="21"/>
        </w:rPr>
        <w:t xml:space="preserve">disponibilité, la visibilité et </w:t>
      </w:r>
      <w:r>
        <w:rPr>
          <w:rFonts w:ascii="Times-Roman" w:hAnsi="Times-Roman" w:cs="Times-Roman"/>
          <w:sz w:val="21"/>
          <w:szCs w:val="21"/>
        </w:rPr>
        <w:t>l’accessibilité de ces contenus ; ils y indiquent les mesures qu’</w:t>
      </w:r>
      <w:r w:rsidR="004E021A">
        <w:rPr>
          <w:rFonts w:ascii="Times-Roman" w:hAnsi="Times-Roman" w:cs="Times-Roman"/>
          <w:sz w:val="21"/>
          <w:szCs w:val="21"/>
        </w:rPr>
        <w:t>ils mettent en œuvre</w:t>
      </w:r>
      <w:r>
        <w:rPr>
          <w:rFonts w:ascii="Times-Roman" w:hAnsi="Times-Roman" w:cs="Times-Roman"/>
          <w:sz w:val="21"/>
          <w:szCs w:val="21"/>
        </w:rPr>
        <w:t xml:space="preserve"> à l’égard des utilisateurs qui ont mis </w:t>
      </w:r>
      <w:r w:rsidR="004E021A">
        <w:rPr>
          <w:rFonts w:ascii="Times-Roman" w:hAnsi="Times-Roman" w:cs="Times-Roman"/>
          <w:sz w:val="21"/>
          <w:szCs w:val="21"/>
        </w:rPr>
        <w:t xml:space="preserve">en ligne ces contenus ainsi que </w:t>
      </w:r>
      <w:r>
        <w:rPr>
          <w:rFonts w:ascii="Times-Roman" w:hAnsi="Times-Roman" w:cs="Times-Roman"/>
          <w:sz w:val="21"/>
          <w:szCs w:val="21"/>
        </w:rPr>
        <w:t>les recours internes et judiciaires dont disposent ces utilisateurs ;</w:t>
      </w:r>
    </w:p>
    <w:p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« 4° Ils rendent compte au public des moyens mis en</w:t>
      </w:r>
      <w:r w:rsidR="004E021A">
        <w:rPr>
          <w:rFonts w:ascii="Times-Roman" w:hAnsi="Times-Roman" w:cs="Times-Roman"/>
          <w:sz w:val="21"/>
          <w:szCs w:val="21"/>
        </w:rPr>
        <w:t xml:space="preserve"> œuvre et des </w:t>
      </w:r>
      <w:r>
        <w:rPr>
          <w:rFonts w:ascii="Times-Roman" w:hAnsi="Times-Roman" w:cs="Times-Roman"/>
          <w:sz w:val="21"/>
          <w:szCs w:val="21"/>
        </w:rPr>
        <w:t>mesures adoptées pour lutter contre la diffusion, auprès des utilisateurs situés</w:t>
      </w:r>
      <w:r w:rsidR="004E021A">
        <w:rPr>
          <w:rFonts w:ascii="Times-Roman" w:hAnsi="Times-Roman" w:cs="Times-Roman"/>
          <w:sz w:val="21"/>
          <w:szCs w:val="21"/>
        </w:rPr>
        <w:t xml:space="preserve"> </w:t>
      </w:r>
      <w:r>
        <w:rPr>
          <w:rFonts w:ascii="Times-Roman" w:hAnsi="Times-Roman" w:cs="Times-Roman"/>
          <w:sz w:val="21"/>
          <w:szCs w:val="21"/>
        </w:rPr>
        <w:t>sur le territoire français, des contenus menti</w:t>
      </w:r>
      <w:r w:rsidR="004E021A">
        <w:rPr>
          <w:rFonts w:ascii="Times-Roman" w:hAnsi="Times-Roman" w:cs="Times-Roman"/>
          <w:sz w:val="21"/>
          <w:szCs w:val="21"/>
        </w:rPr>
        <w:t xml:space="preserve">onnés au premier alinéa, par la </w:t>
      </w:r>
      <w:r>
        <w:rPr>
          <w:rFonts w:ascii="Times-Roman" w:hAnsi="Times-Roman" w:cs="Times-Roman"/>
          <w:sz w:val="21"/>
          <w:szCs w:val="21"/>
        </w:rPr>
        <w:t>publication, selon des modalités et une pé</w:t>
      </w:r>
      <w:r w:rsidR="004E021A">
        <w:rPr>
          <w:rFonts w:ascii="Times-Roman" w:hAnsi="Times-Roman" w:cs="Times-Roman"/>
          <w:sz w:val="21"/>
          <w:szCs w:val="21"/>
        </w:rPr>
        <w:t xml:space="preserve">riodicité fixées par le Conseil </w:t>
      </w:r>
      <w:r>
        <w:rPr>
          <w:rFonts w:ascii="Times-Roman" w:hAnsi="Times-Roman" w:cs="Times-Roman"/>
          <w:sz w:val="21"/>
          <w:szCs w:val="21"/>
        </w:rPr>
        <w:t>supérieur de l’audiovisuel, d’informations et d’</w:t>
      </w:r>
      <w:r w:rsidR="004E021A">
        <w:rPr>
          <w:rFonts w:ascii="Times-Roman" w:hAnsi="Times-Roman" w:cs="Times-Roman"/>
          <w:sz w:val="21"/>
          <w:szCs w:val="21"/>
        </w:rPr>
        <w:t xml:space="preserve">indicateurs chiffrés, définis </w:t>
      </w:r>
      <w:r>
        <w:rPr>
          <w:rFonts w:ascii="Times-Roman" w:hAnsi="Times-Roman" w:cs="Times-Roman"/>
          <w:sz w:val="21"/>
          <w:szCs w:val="21"/>
        </w:rPr>
        <w:t>par celui-ci, portant notamment sur le traitem</w:t>
      </w:r>
      <w:r w:rsidR="004E021A">
        <w:rPr>
          <w:rFonts w:ascii="Times-Roman" w:hAnsi="Times-Roman" w:cs="Times-Roman"/>
          <w:sz w:val="21"/>
          <w:szCs w:val="21"/>
        </w:rPr>
        <w:t xml:space="preserve">ent des injonctions ou demandes </w:t>
      </w:r>
      <w:r>
        <w:rPr>
          <w:rFonts w:ascii="Times-Roman" w:hAnsi="Times-Roman" w:cs="Times-Roman"/>
          <w:sz w:val="21"/>
          <w:szCs w:val="21"/>
        </w:rPr>
        <w:t>d’informations des autorités judiciaires ou adm</w:t>
      </w:r>
      <w:r w:rsidR="004E021A">
        <w:rPr>
          <w:rFonts w:ascii="Times-Roman" w:hAnsi="Times-Roman" w:cs="Times-Roman"/>
          <w:sz w:val="21"/>
          <w:szCs w:val="21"/>
        </w:rPr>
        <w:t xml:space="preserve">inistratives, des notifications </w:t>
      </w:r>
      <w:r>
        <w:rPr>
          <w:rFonts w:ascii="Times-Roman" w:hAnsi="Times-Roman" w:cs="Times-Roman"/>
          <w:sz w:val="21"/>
          <w:szCs w:val="21"/>
        </w:rPr>
        <w:t>reçues et des recours internes des utilisateurs</w:t>
      </w:r>
      <w:r w:rsidR="004E021A">
        <w:rPr>
          <w:rFonts w:ascii="Times-Roman" w:hAnsi="Times-Roman" w:cs="Times-Roman"/>
          <w:sz w:val="21"/>
          <w:szCs w:val="21"/>
        </w:rPr>
        <w:t xml:space="preserve"> ainsi que, le cas échéant, les </w:t>
      </w:r>
      <w:r>
        <w:rPr>
          <w:rFonts w:ascii="Times-Roman" w:hAnsi="Times-Roman" w:cs="Times-Roman"/>
          <w:sz w:val="21"/>
          <w:szCs w:val="21"/>
        </w:rPr>
        <w:t>critères de sélection des tiers de confiance dont les notifications font l’</w:t>
      </w:r>
      <w:r w:rsidR="004E021A">
        <w:rPr>
          <w:rFonts w:ascii="Times-Roman" w:hAnsi="Times-Roman" w:cs="Times-Roman"/>
          <w:sz w:val="21"/>
          <w:szCs w:val="21"/>
        </w:rPr>
        <w:t xml:space="preserve">objet </w:t>
      </w:r>
      <w:r>
        <w:rPr>
          <w:rFonts w:ascii="Times-Roman" w:hAnsi="Times-Roman" w:cs="Times-Roman"/>
          <w:sz w:val="21"/>
          <w:szCs w:val="21"/>
        </w:rPr>
        <w:t>d’un traitement prioritaire et les modalités de coopération avec ces tiers ;</w:t>
      </w:r>
    </w:p>
    <w:p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« 5° Ils mettent en place un dispositif aisément </w:t>
      </w:r>
      <w:r w:rsidR="004E021A">
        <w:rPr>
          <w:rFonts w:ascii="Times-Roman" w:hAnsi="Times-Roman" w:cs="Times-Roman"/>
          <w:sz w:val="21"/>
          <w:szCs w:val="21"/>
        </w:rPr>
        <w:t xml:space="preserve">accessible et facile </w:t>
      </w:r>
      <w:r>
        <w:rPr>
          <w:rFonts w:ascii="Times-Roman" w:hAnsi="Times-Roman" w:cs="Times-Roman"/>
          <w:sz w:val="21"/>
          <w:szCs w:val="21"/>
        </w:rPr>
        <w:t xml:space="preserve">d’utilisation permettant à toute personne de </w:t>
      </w:r>
      <w:r w:rsidR="004E021A">
        <w:rPr>
          <w:rFonts w:ascii="Times-Roman" w:hAnsi="Times-Roman" w:cs="Times-Roman"/>
          <w:sz w:val="21"/>
          <w:szCs w:val="21"/>
        </w:rPr>
        <w:t xml:space="preserve">porter à leur connaissance, par </w:t>
      </w:r>
      <w:r>
        <w:rPr>
          <w:rFonts w:ascii="Times-Roman" w:hAnsi="Times-Roman" w:cs="Times-Roman"/>
          <w:sz w:val="21"/>
          <w:szCs w:val="21"/>
        </w:rPr>
        <w:t>voie électronique, un contenu qu’ell</w:t>
      </w:r>
      <w:r w:rsidR="004E021A">
        <w:rPr>
          <w:rFonts w:ascii="Times-Roman" w:hAnsi="Times-Roman" w:cs="Times-Roman"/>
          <w:sz w:val="21"/>
          <w:szCs w:val="21"/>
        </w:rPr>
        <w:t xml:space="preserve">e considère comme contraire aux </w:t>
      </w:r>
      <w:r>
        <w:rPr>
          <w:rFonts w:ascii="Times-Roman" w:hAnsi="Times-Roman" w:cs="Times-Roman"/>
          <w:sz w:val="21"/>
          <w:szCs w:val="21"/>
        </w:rPr>
        <w:t>dispositions mentionnées au premier ali</w:t>
      </w:r>
      <w:r w:rsidR="004E021A">
        <w:rPr>
          <w:rFonts w:ascii="Times-Roman" w:hAnsi="Times-Roman" w:cs="Times-Roman"/>
          <w:sz w:val="21"/>
          <w:szCs w:val="21"/>
        </w:rPr>
        <w:t xml:space="preserve">néa, de préciser clairement son </w:t>
      </w:r>
      <w:r>
        <w:rPr>
          <w:rFonts w:ascii="Times-Roman" w:hAnsi="Times-Roman" w:cs="Times-Roman"/>
          <w:sz w:val="21"/>
          <w:szCs w:val="21"/>
        </w:rPr>
        <w:t>emplacement ainsi que les raisons pour lesque</w:t>
      </w:r>
      <w:r w:rsidR="004E021A">
        <w:rPr>
          <w:rFonts w:ascii="Times-Roman" w:hAnsi="Times-Roman" w:cs="Times-Roman"/>
          <w:sz w:val="21"/>
          <w:szCs w:val="21"/>
        </w:rPr>
        <w:t xml:space="preserve">lles elle estime que ce contenu </w:t>
      </w:r>
      <w:r>
        <w:rPr>
          <w:rFonts w:ascii="Times-Roman" w:hAnsi="Times-Roman" w:cs="Times-Roman"/>
          <w:sz w:val="21"/>
          <w:szCs w:val="21"/>
        </w:rPr>
        <w:t>doit être considéré comme illégal et de four</w:t>
      </w:r>
      <w:r w:rsidR="004E021A">
        <w:rPr>
          <w:rFonts w:ascii="Times-Roman" w:hAnsi="Times-Roman" w:cs="Times-Roman"/>
          <w:sz w:val="21"/>
          <w:szCs w:val="21"/>
        </w:rPr>
        <w:t xml:space="preserve">nir les informations permettant </w:t>
      </w:r>
      <w:r>
        <w:rPr>
          <w:rFonts w:ascii="Times-Roman" w:hAnsi="Times-Roman" w:cs="Times-Roman"/>
          <w:sz w:val="21"/>
          <w:szCs w:val="21"/>
        </w:rPr>
        <w:t>de la contacter, en l’informant des sanctions e</w:t>
      </w:r>
      <w:r w:rsidR="004E021A">
        <w:rPr>
          <w:rFonts w:ascii="Times-Roman" w:hAnsi="Times-Roman" w:cs="Times-Roman"/>
          <w:sz w:val="21"/>
          <w:szCs w:val="21"/>
        </w:rPr>
        <w:t xml:space="preserve">ncourues en cas de notification </w:t>
      </w:r>
      <w:r>
        <w:rPr>
          <w:rFonts w:ascii="Times-Roman" w:hAnsi="Times-Roman" w:cs="Times-Roman"/>
          <w:sz w:val="21"/>
          <w:szCs w:val="21"/>
        </w:rPr>
        <w:t>abusive ;</w:t>
      </w:r>
    </w:p>
    <w:p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« 6° Ils mettent en </w:t>
      </w:r>
      <w:r w:rsidR="004E021A">
        <w:rPr>
          <w:rFonts w:ascii="Times-Roman" w:hAnsi="Times-Roman" w:cs="Times-Roman"/>
          <w:sz w:val="21"/>
          <w:szCs w:val="21"/>
        </w:rPr>
        <w:t>œuvre</w:t>
      </w:r>
      <w:r>
        <w:rPr>
          <w:rFonts w:ascii="Times-Roman" w:hAnsi="Times-Roman" w:cs="Times-Roman"/>
          <w:sz w:val="21"/>
          <w:szCs w:val="21"/>
        </w:rPr>
        <w:t xml:space="preserve"> des proc</w:t>
      </w:r>
      <w:r w:rsidR="004E021A">
        <w:rPr>
          <w:rFonts w:ascii="Times-Roman" w:hAnsi="Times-Roman" w:cs="Times-Roman"/>
          <w:sz w:val="21"/>
          <w:szCs w:val="21"/>
        </w:rPr>
        <w:t xml:space="preserve">édures et des moyens humains et </w:t>
      </w:r>
      <w:r>
        <w:rPr>
          <w:rFonts w:ascii="Times-Roman" w:hAnsi="Times-Roman" w:cs="Times-Roman"/>
          <w:sz w:val="21"/>
          <w:szCs w:val="21"/>
        </w:rPr>
        <w:t>technologiques proportionnés permettant :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« </w:t>
      </w:r>
      <w:r>
        <w:rPr>
          <w:rFonts w:ascii="Times-Italic" w:hAnsi="Times-Italic" w:cs="Times-Italic"/>
          <w:i/>
          <w:iCs/>
          <w:sz w:val="21"/>
          <w:szCs w:val="21"/>
        </w:rPr>
        <w:t xml:space="preserve">a) </w:t>
      </w:r>
      <w:r>
        <w:rPr>
          <w:rFonts w:ascii="Times-Roman" w:hAnsi="Times-Roman" w:cs="Times-Roman"/>
          <w:sz w:val="21"/>
          <w:szCs w:val="21"/>
        </w:rPr>
        <w:t>D’accuser réception sans délai des notif</w:t>
      </w:r>
      <w:r w:rsidR="004E021A">
        <w:rPr>
          <w:rFonts w:ascii="Times-Roman" w:hAnsi="Times-Roman" w:cs="Times-Roman"/>
          <w:sz w:val="21"/>
          <w:szCs w:val="21"/>
        </w:rPr>
        <w:t xml:space="preserve">ications relatives aux contenus </w:t>
      </w:r>
      <w:r>
        <w:rPr>
          <w:rFonts w:ascii="Times-Roman" w:hAnsi="Times-Roman" w:cs="Times-Roman"/>
          <w:sz w:val="21"/>
          <w:szCs w:val="21"/>
        </w:rPr>
        <w:t>mentionnés au premier alinéa, sous réser</w:t>
      </w:r>
      <w:r w:rsidR="004E021A">
        <w:rPr>
          <w:rFonts w:ascii="Times-Roman" w:hAnsi="Times-Roman" w:cs="Times-Roman"/>
          <w:sz w:val="21"/>
          <w:szCs w:val="21"/>
        </w:rPr>
        <w:t xml:space="preserve">ve de disposer des informations </w:t>
      </w:r>
      <w:r>
        <w:rPr>
          <w:rFonts w:ascii="Times-Roman" w:hAnsi="Times-Roman" w:cs="Times-Roman"/>
          <w:sz w:val="21"/>
          <w:szCs w:val="21"/>
        </w:rPr>
        <w:t>nécessaires pour contacter leur auteur ;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« </w:t>
      </w:r>
      <w:r>
        <w:rPr>
          <w:rFonts w:ascii="Times-Italic" w:hAnsi="Times-Italic" w:cs="Times-Italic"/>
          <w:i/>
          <w:iCs/>
          <w:sz w:val="21"/>
          <w:szCs w:val="21"/>
        </w:rPr>
        <w:t xml:space="preserve">b) </w:t>
      </w:r>
      <w:r>
        <w:rPr>
          <w:rFonts w:ascii="Times-Roman" w:hAnsi="Times-Roman" w:cs="Times-Roman"/>
          <w:sz w:val="21"/>
          <w:szCs w:val="21"/>
        </w:rPr>
        <w:t>De garantir l’examen approprié de c</w:t>
      </w:r>
      <w:r w:rsidR="004E021A">
        <w:rPr>
          <w:rFonts w:ascii="Times-Roman" w:hAnsi="Times-Roman" w:cs="Times-Roman"/>
          <w:sz w:val="21"/>
          <w:szCs w:val="21"/>
        </w:rPr>
        <w:t xml:space="preserve">es notifications dans un prompt </w:t>
      </w:r>
      <w:r>
        <w:rPr>
          <w:rFonts w:ascii="Times-Roman" w:hAnsi="Times-Roman" w:cs="Times-Roman"/>
          <w:sz w:val="21"/>
          <w:szCs w:val="21"/>
        </w:rPr>
        <w:t>délai ;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« </w:t>
      </w:r>
      <w:r>
        <w:rPr>
          <w:rFonts w:ascii="Times-Italic" w:hAnsi="Times-Italic" w:cs="Times-Italic"/>
          <w:i/>
          <w:iCs/>
          <w:sz w:val="21"/>
          <w:szCs w:val="21"/>
        </w:rPr>
        <w:t xml:space="preserve">c) </w:t>
      </w:r>
      <w:r>
        <w:rPr>
          <w:rFonts w:ascii="Times-Roman" w:hAnsi="Times-Roman" w:cs="Times-Roman"/>
          <w:sz w:val="21"/>
          <w:szCs w:val="21"/>
        </w:rPr>
        <w:t>D’informer leur auteur des suites q</w:t>
      </w:r>
      <w:r w:rsidR="004E021A">
        <w:rPr>
          <w:rFonts w:ascii="Times-Roman" w:hAnsi="Times-Roman" w:cs="Times-Roman"/>
          <w:sz w:val="21"/>
          <w:szCs w:val="21"/>
        </w:rPr>
        <w:t xml:space="preserve">ui y sont données ainsi que des </w:t>
      </w:r>
      <w:r>
        <w:rPr>
          <w:rFonts w:ascii="Times-Roman" w:hAnsi="Times-Roman" w:cs="Times-Roman"/>
          <w:sz w:val="21"/>
          <w:szCs w:val="21"/>
        </w:rPr>
        <w:t>voies de recours internes et judiciaires d</w:t>
      </w:r>
      <w:r w:rsidR="004E021A">
        <w:rPr>
          <w:rFonts w:ascii="Times-Roman" w:hAnsi="Times-Roman" w:cs="Times-Roman"/>
          <w:sz w:val="21"/>
          <w:szCs w:val="21"/>
        </w:rPr>
        <w:t xml:space="preserve">ont il dispose, sous réserve de </w:t>
      </w:r>
      <w:r>
        <w:rPr>
          <w:rFonts w:ascii="Times-Roman" w:hAnsi="Times-Roman" w:cs="Times-Roman"/>
          <w:sz w:val="21"/>
          <w:szCs w:val="21"/>
        </w:rPr>
        <w:t>disposer des informations nécessaires pour le contacter ;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« </w:t>
      </w:r>
      <w:proofErr w:type="gramStart"/>
      <w:r>
        <w:rPr>
          <w:rFonts w:ascii="Times-Italic" w:hAnsi="Times-Italic" w:cs="Times-Italic"/>
          <w:i/>
          <w:iCs/>
          <w:sz w:val="21"/>
          <w:szCs w:val="21"/>
        </w:rPr>
        <w:t>d</w:t>
      </w:r>
      <w:proofErr w:type="gramEnd"/>
      <w:r>
        <w:rPr>
          <w:rFonts w:ascii="Times-Italic" w:hAnsi="Times-Italic" w:cs="Times-Italic"/>
          <w:i/>
          <w:iCs/>
          <w:sz w:val="21"/>
          <w:szCs w:val="21"/>
        </w:rPr>
        <w:t xml:space="preserve">) </w:t>
      </w:r>
      <w:r>
        <w:rPr>
          <w:rFonts w:ascii="Times-Roman" w:hAnsi="Times-Roman" w:cs="Times-Roman"/>
          <w:sz w:val="21"/>
          <w:szCs w:val="21"/>
        </w:rPr>
        <w:t>Lorsqu’ils décident de retirer ou de</w:t>
      </w:r>
      <w:r w:rsidR="004E021A">
        <w:rPr>
          <w:rFonts w:ascii="Times-Roman" w:hAnsi="Times-Roman" w:cs="Times-Roman"/>
          <w:sz w:val="21"/>
          <w:szCs w:val="21"/>
        </w:rPr>
        <w:t xml:space="preserve"> rendre inaccessible un contenu </w:t>
      </w:r>
      <w:r>
        <w:rPr>
          <w:rFonts w:ascii="Times-Roman" w:hAnsi="Times-Roman" w:cs="Times-Roman"/>
          <w:sz w:val="21"/>
          <w:szCs w:val="21"/>
        </w:rPr>
        <w:t xml:space="preserve">pour un motif tiré de la méconnaissance </w:t>
      </w:r>
      <w:r w:rsidR="004E021A">
        <w:rPr>
          <w:rFonts w:ascii="Times-Roman" w:hAnsi="Times-Roman" w:cs="Times-Roman"/>
          <w:sz w:val="21"/>
          <w:szCs w:val="21"/>
        </w:rPr>
        <w:t xml:space="preserve">des dispositions mentionnées au </w:t>
      </w:r>
      <w:r>
        <w:rPr>
          <w:rFonts w:ascii="Times-Roman" w:hAnsi="Times-Roman" w:cs="Times-Roman"/>
          <w:sz w:val="21"/>
          <w:szCs w:val="21"/>
        </w:rPr>
        <w:t>premier alinéa, d’en informer l’utilisateur à l’origin</w:t>
      </w:r>
      <w:r w:rsidR="004E021A">
        <w:rPr>
          <w:rFonts w:ascii="Times-Roman" w:hAnsi="Times-Roman" w:cs="Times-Roman"/>
          <w:sz w:val="21"/>
          <w:szCs w:val="21"/>
        </w:rPr>
        <w:t xml:space="preserve">e de sa publication, sous </w:t>
      </w:r>
      <w:r>
        <w:rPr>
          <w:rFonts w:ascii="Times-Roman" w:hAnsi="Times-Roman" w:cs="Times-Roman"/>
          <w:sz w:val="21"/>
          <w:szCs w:val="21"/>
        </w:rPr>
        <w:t>réserve de disposer des informations nécessaires pour le contacter</w:t>
      </w:r>
      <w:r w:rsidR="00994AE4">
        <w:rPr>
          <w:rFonts w:ascii="Times-Roman" w:hAnsi="Times-Roman" w:cs="Times-Roman"/>
          <w:sz w:val="21"/>
          <w:szCs w:val="21"/>
        </w:rPr>
        <w:t> </w:t>
      </w:r>
      <w:r>
        <w:rPr>
          <w:rFonts w:ascii="Times-Roman" w:hAnsi="Times-Roman" w:cs="Times-Roman"/>
          <w:sz w:val="21"/>
          <w:szCs w:val="21"/>
        </w:rPr>
        <w:t>: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« – en indiquant les raisons qui ont motivé cette décision ;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« – en précisant si cette décision a été prise au moyen d’un outil automatisé ;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« – en l’informant des voies de recours </w:t>
      </w:r>
      <w:r w:rsidR="004E021A">
        <w:rPr>
          <w:rFonts w:ascii="Times-Roman" w:hAnsi="Times-Roman" w:cs="Times-Roman"/>
          <w:sz w:val="21"/>
          <w:szCs w:val="21"/>
        </w:rPr>
        <w:t xml:space="preserve">internes et judiciaires dont il </w:t>
      </w:r>
      <w:r>
        <w:rPr>
          <w:rFonts w:ascii="Times-Roman" w:hAnsi="Times-Roman" w:cs="Times-Roman"/>
          <w:sz w:val="21"/>
          <w:szCs w:val="21"/>
        </w:rPr>
        <w:t>dispose ;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« – et en l’informant que des sanctions ci</w:t>
      </w:r>
      <w:r w:rsidR="004E021A">
        <w:rPr>
          <w:rFonts w:ascii="Times-Roman" w:hAnsi="Times-Roman" w:cs="Times-Roman"/>
          <w:sz w:val="21"/>
          <w:szCs w:val="21"/>
        </w:rPr>
        <w:t xml:space="preserve">viles et pénales sont encourues </w:t>
      </w:r>
      <w:r>
        <w:rPr>
          <w:rFonts w:ascii="Times-Roman" w:hAnsi="Times-Roman" w:cs="Times-Roman"/>
          <w:sz w:val="21"/>
          <w:szCs w:val="21"/>
        </w:rPr>
        <w:t>pour la publication de contenus illicites ;</w:t>
      </w:r>
    </w:p>
    <w:p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« 7° Ils mettent en </w:t>
      </w:r>
      <w:r w:rsidR="00F54ECB">
        <w:rPr>
          <w:rFonts w:ascii="Times-Roman" w:hAnsi="Times-Roman" w:cs="Times-Roman"/>
          <w:sz w:val="21"/>
          <w:szCs w:val="21"/>
        </w:rPr>
        <w:t>œuvre</w:t>
      </w:r>
      <w:r>
        <w:rPr>
          <w:rFonts w:ascii="Times-Roman" w:hAnsi="Times-Roman" w:cs="Times-Roman"/>
          <w:sz w:val="21"/>
          <w:szCs w:val="21"/>
        </w:rPr>
        <w:t xml:space="preserve"> des dispositifs de recours interne permettant :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« </w:t>
      </w:r>
      <w:r>
        <w:rPr>
          <w:rFonts w:ascii="Times-Italic" w:hAnsi="Times-Italic" w:cs="Times-Italic"/>
          <w:i/>
          <w:iCs/>
          <w:sz w:val="21"/>
          <w:szCs w:val="21"/>
        </w:rPr>
        <w:t xml:space="preserve">a) </w:t>
      </w:r>
      <w:r>
        <w:rPr>
          <w:rFonts w:ascii="Times-Roman" w:hAnsi="Times-Roman" w:cs="Times-Roman"/>
          <w:sz w:val="21"/>
          <w:szCs w:val="21"/>
        </w:rPr>
        <w:t>À l’auteur d’une notification rel</w:t>
      </w:r>
      <w:r w:rsidR="004E021A">
        <w:rPr>
          <w:rFonts w:ascii="Times-Roman" w:hAnsi="Times-Roman" w:cs="Times-Roman"/>
          <w:sz w:val="21"/>
          <w:szCs w:val="21"/>
        </w:rPr>
        <w:t xml:space="preserve">ative à un contenu mentionné au </w:t>
      </w:r>
      <w:r>
        <w:rPr>
          <w:rFonts w:ascii="Times-Roman" w:hAnsi="Times-Roman" w:cs="Times-Roman"/>
          <w:sz w:val="21"/>
          <w:szCs w:val="21"/>
        </w:rPr>
        <w:t>premier alinéa, de contester la décision adoptée par l’</w:t>
      </w:r>
      <w:r w:rsidR="004E021A">
        <w:rPr>
          <w:rFonts w:ascii="Times-Roman" w:hAnsi="Times-Roman" w:cs="Times-Roman"/>
          <w:sz w:val="21"/>
          <w:szCs w:val="21"/>
        </w:rPr>
        <w:t xml:space="preserve">opérateur en réponse à </w:t>
      </w:r>
      <w:r>
        <w:rPr>
          <w:rFonts w:ascii="Times-Roman" w:hAnsi="Times-Roman" w:cs="Times-Roman"/>
          <w:sz w:val="21"/>
          <w:szCs w:val="21"/>
        </w:rPr>
        <w:t>cette notification ;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« </w:t>
      </w:r>
      <w:r>
        <w:rPr>
          <w:rFonts w:ascii="Times-Italic" w:hAnsi="Times-Italic" w:cs="Times-Italic"/>
          <w:i/>
          <w:iCs/>
          <w:sz w:val="21"/>
          <w:szCs w:val="21"/>
        </w:rPr>
        <w:t xml:space="preserve">b) </w:t>
      </w:r>
      <w:r>
        <w:rPr>
          <w:rFonts w:ascii="Times-Roman" w:hAnsi="Times-Roman" w:cs="Times-Roman"/>
          <w:sz w:val="21"/>
          <w:szCs w:val="21"/>
        </w:rPr>
        <w:t>À l’utilisateur à l’origine de la publication d’</w:t>
      </w:r>
      <w:r w:rsidR="004E021A">
        <w:rPr>
          <w:rFonts w:ascii="Times-Roman" w:hAnsi="Times-Roman" w:cs="Times-Roman"/>
          <w:sz w:val="21"/>
          <w:szCs w:val="21"/>
        </w:rPr>
        <w:t xml:space="preserve">un contenu ayant fait </w:t>
      </w:r>
      <w:r>
        <w:rPr>
          <w:rFonts w:ascii="Times-Roman" w:hAnsi="Times-Roman" w:cs="Times-Roman"/>
          <w:sz w:val="21"/>
          <w:szCs w:val="21"/>
        </w:rPr>
        <w:t xml:space="preserve">l’objet d’une décision mentionnée au </w:t>
      </w:r>
      <w:r>
        <w:rPr>
          <w:rFonts w:ascii="Times-Italic" w:hAnsi="Times-Italic" w:cs="Times-Italic"/>
          <w:i/>
          <w:iCs/>
          <w:sz w:val="21"/>
          <w:szCs w:val="21"/>
        </w:rPr>
        <w:t xml:space="preserve">d </w:t>
      </w:r>
      <w:r>
        <w:rPr>
          <w:rFonts w:ascii="Times-Roman" w:hAnsi="Times-Roman" w:cs="Times-Roman"/>
          <w:sz w:val="21"/>
          <w:szCs w:val="21"/>
        </w:rPr>
        <w:t>du 6° de contester cette décision ;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Pr="004E021A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Italic" w:hAnsi="Times-Italic" w:cs="Times-Italic"/>
          <w:i/>
          <w:iCs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lastRenderedPageBreak/>
        <w:t xml:space="preserve">« </w:t>
      </w:r>
      <w:r>
        <w:rPr>
          <w:rFonts w:ascii="Times-Italic" w:hAnsi="Times-Italic" w:cs="Times-Italic"/>
          <w:i/>
          <w:iCs/>
          <w:sz w:val="21"/>
          <w:szCs w:val="21"/>
        </w:rPr>
        <w:t xml:space="preserve">c) </w:t>
      </w:r>
      <w:r>
        <w:rPr>
          <w:rFonts w:ascii="Times-Roman" w:hAnsi="Times-Roman" w:cs="Times-Roman"/>
          <w:sz w:val="21"/>
          <w:szCs w:val="21"/>
        </w:rPr>
        <w:t xml:space="preserve">À l’utilisateur ayant fait l’objet d’une décision mentionnée aux </w:t>
      </w:r>
      <w:r w:rsidR="004E021A">
        <w:rPr>
          <w:rFonts w:ascii="Times-Italic" w:hAnsi="Times-Italic" w:cs="Times-Italic"/>
          <w:i/>
          <w:iCs/>
          <w:sz w:val="21"/>
          <w:szCs w:val="21"/>
        </w:rPr>
        <w:t xml:space="preserve">a </w:t>
      </w:r>
      <w:r>
        <w:rPr>
          <w:rFonts w:ascii="Times-Roman" w:hAnsi="Times-Roman" w:cs="Times-Roman"/>
          <w:sz w:val="21"/>
          <w:szCs w:val="21"/>
        </w:rPr>
        <w:t xml:space="preserve">ou </w:t>
      </w:r>
      <w:r>
        <w:rPr>
          <w:rFonts w:ascii="Times-Italic" w:hAnsi="Times-Italic" w:cs="Times-Italic"/>
          <w:i/>
          <w:iCs/>
          <w:sz w:val="21"/>
          <w:szCs w:val="21"/>
        </w:rPr>
        <w:t xml:space="preserve">b </w:t>
      </w:r>
      <w:r>
        <w:rPr>
          <w:rFonts w:ascii="Times-Roman" w:hAnsi="Times-Roman" w:cs="Times-Roman"/>
          <w:sz w:val="21"/>
          <w:szCs w:val="21"/>
        </w:rPr>
        <w:t>du 8° de contester cette décision.</w:t>
      </w:r>
    </w:p>
    <w:p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« Ils veillent à ce que ces dispositifs</w:t>
      </w:r>
      <w:r w:rsidR="004E021A">
        <w:rPr>
          <w:rFonts w:ascii="Times-Roman" w:hAnsi="Times-Roman" w:cs="Times-Roman"/>
          <w:sz w:val="21"/>
          <w:szCs w:val="21"/>
        </w:rPr>
        <w:t xml:space="preserve"> soient aisément accessibles et </w:t>
      </w:r>
      <w:r>
        <w:rPr>
          <w:rFonts w:ascii="Times-Roman" w:hAnsi="Times-Roman" w:cs="Times-Roman"/>
          <w:sz w:val="21"/>
          <w:szCs w:val="21"/>
        </w:rPr>
        <w:t>faciles d’utilisation et à ce qu’ils permettent un t</w:t>
      </w:r>
      <w:r w:rsidR="004E021A">
        <w:rPr>
          <w:rFonts w:ascii="Times-Roman" w:hAnsi="Times-Roman" w:cs="Times-Roman"/>
          <w:sz w:val="21"/>
          <w:szCs w:val="21"/>
        </w:rPr>
        <w:t xml:space="preserve">raitement approprié des recours </w:t>
      </w:r>
      <w:r>
        <w:rPr>
          <w:rFonts w:ascii="Times-Roman" w:hAnsi="Times-Roman" w:cs="Times-Roman"/>
          <w:sz w:val="21"/>
          <w:szCs w:val="21"/>
        </w:rPr>
        <w:t>dans les meilleurs délais, qui ne soit pas uniquement fondé sur l’</w:t>
      </w:r>
      <w:r w:rsidR="004E021A">
        <w:rPr>
          <w:rFonts w:ascii="Times-Roman" w:hAnsi="Times-Roman" w:cs="Times-Roman"/>
          <w:sz w:val="21"/>
          <w:szCs w:val="21"/>
        </w:rPr>
        <w:t xml:space="preserve">utilisation </w:t>
      </w:r>
      <w:r>
        <w:rPr>
          <w:rFonts w:ascii="Times-Roman" w:hAnsi="Times-Roman" w:cs="Times-Roman"/>
          <w:sz w:val="21"/>
          <w:szCs w:val="21"/>
        </w:rPr>
        <w:t>de moyens automatisés, une information sans délai de l’</w:t>
      </w:r>
      <w:r w:rsidR="004E021A">
        <w:rPr>
          <w:rFonts w:ascii="Times-Roman" w:hAnsi="Times-Roman" w:cs="Times-Roman"/>
          <w:sz w:val="21"/>
          <w:szCs w:val="21"/>
        </w:rPr>
        <w:t xml:space="preserve">utilisateur sur la </w:t>
      </w:r>
      <w:r>
        <w:rPr>
          <w:rFonts w:ascii="Times-Roman" w:hAnsi="Times-Roman" w:cs="Times-Roman"/>
          <w:sz w:val="21"/>
          <w:szCs w:val="21"/>
        </w:rPr>
        <w:t>décision adoptée et l’annulation sans délai d</w:t>
      </w:r>
      <w:r w:rsidR="004E021A">
        <w:rPr>
          <w:rFonts w:ascii="Times-Roman" w:hAnsi="Times-Roman" w:cs="Times-Roman"/>
          <w:sz w:val="21"/>
          <w:szCs w:val="21"/>
        </w:rPr>
        <w:t xml:space="preserve">es mesures relatives au contenu </w:t>
      </w:r>
      <w:r>
        <w:rPr>
          <w:rFonts w:ascii="Times-Roman" w:hAnsi="Times-Roman" w:cs="Times-Roman"/>
          <w:sz w:val="21"/>
          <w:szCs w:val="21"/>
        </w:rPr>
        <w:t xml:space="preserve">en cause ou à l’utilisateur mises en </w:t>
      </w:r>
      <w:r w:rsidR="004E021A">
        <w:rPr>
          <w:rFonts w:ascii="Times-Roman" w:hAnsi="Times-Roman" w:cs="Times-Roman"/>
          <w:sz w:val="21"/>
          <w:szCs w:val="21"/>
        </w:rPr>
        <w:t>œuvre</w:t>
      </w:r>
      <w:r>
        <w:rPr>
          <w:rFonts w:ascii="Times-Roman" w:hAnsi="Times-Roman" w:cs="Times-Roman"/>
          <w:sz w:val="21"/>
          <w:szCs w:val="21"/>
        </w:rPr>
        <w:t xml:space="preserve"> par l’</w:t>
      </w:r>
      <w:r w:rsidR="004E021A">
        <w:rPr>
          <w:rFonts w:ascii="Times-Roman" w:hAnsi="Times-Roman" w:cs="Times-Roman"/>
          <w:sz w:val="21"/>
          <w:szCs w:val="21"/>
        </w:rPr>
        <w:t xml:space="preserve">opérateur lorsque le recours </w:t>
      </w:r>
      <w:r>
        <w:rPr>
          <w:rFonts w:ascii="Times-Roman" w:hAnsi="Times-Roman" w:cs="Times-Roman"/>
          <w:sz w:val="21"/>
          <w:szCs w:val="21"/>
        </w:rPr>
        <w:t>le conduit à considérer que la décision contestée n’était pas justifiée ;</w:t>
      </w:r>
    </w:p>
    <w:p w:rsidR="00F54ECB" w:rsidRDefault="00F54ECB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« 8° Lorsqu’ils décident de mettre en </w:t>
      </w:r>
      <w:r w:rsidR="004E021A">
        <w:rPr>
          <w:rFonts w:ascii="Times-Roman" w:hAnsi="Times-Roman" w:cs="Times-Roman"/>
          <w:sz w:val="21"/>
          <w:szCs w:val="21"/>
        </w:rPr>
        <w:t xml:space="preserve">œuvre de telles procédures, ils </w:t>
      </w:r>
      <w:r>
        <w:rPr>
          <w:rFonts w:ascii="Times-Roman" w:hAnsi="Times-Roman" w:cs="Times-Roman"/>
          <w:sz w:val="21"/>
          <w:szCs w:val="21"/>
        </w:rPr>
        <w:t xml:space="preserve">exposent dans leurs conditions d’utilisation, </w:t>
      </w:r>
      <w:r w:rsidR="004E021A">
        <w:rPr>
          <w:rFonts w:ascii="Times-Roman" w:hAnsi="Times-Roman" w:cs="Times-Roman"/>
          <w:sz w:val="21"/>
          <w:szCs w:val="21"/>
        </w:rPr>
        <w:t xml:space="preserve">en des termes clairs et précis, </w:t>
      </w:r>
      <w:r>
        <w:rPr>
          <w:rFonts w:ascii="Times-Roman" w:hAnsi="Times-Roman" w:cs="Times-Roman"/>
          <w:sz w:val="21"/>
          <w:szCs w:val="21"/>
        </w:rPr>
        <w:t>les procédures conduisant :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« </w:t>
      </w:r>
      <w:r>
        <w:rPr>
          <w:rFonts w:ascii="Times-Italic" w:hAnsi="Times-Italic" w:cs="Times-Italic"/>
          <w:i/>
          <w:iCs/>
          <w:sz w:val="21"/>
          <w:szCs w:val="21"/>
        </w:rPr>
        <w:t xml:space="preserve">a) </w:t>
      </w:r>
      <w:r>
        <w:rPr>
          <w:rFonts w:ascii="Times-Roman" w:hAnsi="Times-Roman" w:cs="Times-Roman"/>
          <w:sz w:val="21"/>
          <w:szCs w:val="21"/>
        </w:rPr>
        <w:t>À suspendre ou, dans les cas les plus graves, à résilier</w:t>
      </w:r>
      <w:r w:rsidR="004E021A">
        <w:rPr>
          <w:rFonts w:ascii="Times-Roman" w:hAnsi="Times-Roman" w:cs="Times-Roman"/>
          <w:sz w:val="21"/>
          <w:szCs w:val="21"/>
        </w:rPr>
        <w:t xml:space="preserve"> le compte </w:t>
      </w:r>
      <w:r>
        <w:rPr>
          <w:rFonts w:ascii="Times-Roman" w:hAnsi="Times-Roman" w:cs="Times-Roman"/>
          <w:sz w:val="21"/>
          <w:szCs w:val="21"/>
        </w:rPr>
        <w:t xml:space="preserve">des utilisateurs qui ont mis en ligne </w:t>
      </w:r>
      <w:r w:rsidR="004E021A">
        <w:rPr>
          <w:rFonts w:ascii="Times-Roman" w:hAnsi="Times-Roman" w:cs="Times-Roman"/>
          <w:sz w:val="21"/>
          <w:szCs w:val="21"/>
        </w:rPr>
        <w:t xml:space="preserve">de manière répétée des contenus </w:t>
      </w:r>
      <w:r>
        <w:rPr>
          <w:rFonts w:ascii="Times-Roman" w:hAnsi="Times-Roman" w:cs="Times-Roman"/>
          <w:sz w:val="21"/>
          <w:szCs w:val="21"/>
        </w:rPr>
        <w:t>contraires aux dispositions mentionnées au premier alinéa du présent article ;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« </w:t>
      </w:r>
      <w:r>
        <w:rPr>
          <w:rFonts w:ascii="Times-Italic" w:hAnsi="Times-Italic" w:cs="Times-Italic"/>
          <w:i/>
          <w:iCs/>
          <w:sz w:val="21"/>
          <w:szCs w:val="21"/>
        </w:rPr>
        <w:t xml:space="preserve">b) </w:t>
      </w:r>
      <w:r>
        <w:rPr>
          <w:rFonts w:ascii="Times-Roman" w:hAnsi="Times-Roman" w:cs="Times-Roman"/>
          <w:sz w:val="21"/>
          <w:szCs w:val="21"/>
        </w:rPr>
        <w:t>À suspendre l’accès au dispositif de notification à l’</w:t>
      </w:r>
      <w:r w:rsidR="004E021A">
        <w:rPr>
          <w:rFonts w:ascii="Times-Roman" w:hAnsi="Times-Roman" w:cs="Times-Roman"/>
          <w:sz w:val="21"/>
          <w:szCs w:val="21"/>
        </w:rPr>
        <w:t xml:space="preserve">égard des </w:t>
      </w:r>
      <w:r>
        <w:rPr>
          <w:rFonts w:ascii="Times-Roman" w:hAnsi="Times-Roman" w:cs="Times-Roman"/>
          <w:sz w:val="21"/>
          <w:szCs w:val="21"/>
        </w:rPr>
        <w:t xml:space="preserve">utilisateurs qui ont soumis, de manière répétée, </w:t>
      </w:r>
      <w:r w:rsidR="004E021A">
        <w:rPr>
          <w:rFonts w:ascii="Times-Roman" w:hAnsi="Times-Roman" w:cs="Times-Roman"/>
          <w:sz w:val="21"/>
          <w:szCs w:val="21"/>
        </w:rPr>
        <w:t xml:space="preserve">des notifications manifestement </w:t>
      </w:r>
      <w:r>
        <w:rPr>
          <w:rFonts w:ascii="Times-Roman" w:hAnsi="Times-Roman" w:cs="Times-Roman"/>
          <w:sz w:val="21"/>
          <w:szCs w:val="21"/>
        </w:rPr>
        <w:t>infondées relatives aux contenus mentionnés au même premier alinéa.</w:t>
      </w:r>
    </w:p>
    <w:p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« Lorsque de telles procédures sont mise</w:t>
      </w:r>
      <w:r w:rsidR="004E021A">
        <w:rPr>
          <w:rFonts w:ascii="Times-Roman" w:hAnsi="Times-Roman" w:cs="Times-Roman"/>
          <w:sz w:val="21"/>
          <w:szCs w:val="21"/>
        </w:rPr>
        <w:t xml:space="preserve">s en œuvre, elles prévoient un </w:t>
      </w:r>
      <w:r>
        <w:rPr>
          <w:rFonts w:ascii="Times-Roman" w:hAnsi="Times-Roman" w:cs="Times-Roman"/>
          <w:sz w:val="21"/>
          <w:szCs w:val="21"/>
        </w:rPr>
        <w:t>examen au cas par cas visant à caractériser de façon objective l’</w:t>
      </w:r>
      <w:r w:rsidR="004E021A">
        <w:rPr>
          <w:rFonts w:ascii="Times-Roman" w:hAnsi="Times-Roman" w:cs="Times-Roman"/>
          <w:sz w:val="21"/>
          <w:szCs w:val="21"/>
        </w:rPr>
        <w:t xml:space="preserve">existence </w:t>
      </w:r>
      <w:r>
        <w:rPr>
          <w:rFonts w:ascii="Times-Roman" w:hAnsi="Times-Roman" w:cs="Times-Roman"/>
          <w:sz w:val="21"/>
          <w:szCs w:val="21"/>
        </w:rPr>
        <w:t xml:space="preserve">d’un comportement mentionné aux </w:t>
      </w:r>
      <w:r>
        <w:rPr>
          <w:rFonts w:ascii="Times-Italic" w:hAnsi="Times-Italic" w:cs="Times-Italic"/>
          <w:i/>
          <w:iCs/>
          <w:sz w:val="21"/>
          <w:szCs w:val="21"/>
        </w:rPr>
        <w:t xml:space="preserve">a </w:t>
      </w:r>
      <w:r>
        <w:rPr>
          <w:rFonts w:ascii="Times-Roman" w:hAnsi="Times-Roman" w:cs="Times-Roman"/>
          <w:sz w:val="21"/>
          <w:szCs w:val="21"/>
        </w:rPr>
        <w:t xml:space="preserve">ou </w:t>
      </w:r>
      <w:r>
        <w:rPr>
          <w:rFonts w:ascii="Times-Italic" w:hAnsi="Times-Italic" w:cs="Times-Italic"/>
          <w:i/>
          <w:iCs/>
          <w:sz w:val="21"/>
          <w:szCs w:val="21"/>
        </w:rPr>
        <w:t xml:space="preserve">b </w:t>
      </w:r>
      <w:r w:rsidR="004E021A">
        <w:rPr>
          <w:rFonts w:ascii="Times-Roman" w:hAnsi="Times-Roman" w:cs="Times-Roman"/>
          <w:sz w:val="21"/>
          <w:szCs w:val="21"/>
        </w:rPr>
        <w:t xml:space="preserve">du présent 8°, en tenant compte </w:t>
      </w:r>
      <w:r>
        <w:rPr>
          <w:rFonts w:ascii="Times-Roman" w:hAnsi="Times-Roman" w:cs="Times-Roman"/>
          <w:sz w:val="21"/>
          <w:szCs w:val="21"/>
        </w:rPr>
        <w:t>notamment :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« – du nombre de contenus illicites </w:t>
      </w:r>
      <w:r w:rsidR="004E021A">
        <w:rPr>
          <w:rFonts w:ascii="Times-Roman" w:hAnsi="Times-Roman" w:cs="Times-Roman"/>
          <w:sz w:val="21"/>
          <w:szCs w:val="21"/>
        </w:rPr>
        <w:t xml:space="preserve">mentionnés au premier alinéa du </w:t>
      </w:r>
      <w:r>
        <w:rPr>
          <w:rFonts w:ascii="Times-Roman" w:hAnsi="Times-Roman" w:cs="Times-Roman"/>
          <w:sz w:val="21"/>
          <w:szCs w:val="21"/>
        </w:rPr>
        <w:t>présent article ou de notifications manifestement infondées dont l’</w:t>
      </w:r>
      <w:r w:rsidR="004E021A">
        <w:rPr>
          <w:rFonts w:ascii="Times-Roman" w:hAnsi="Times-Roman" w:cs="Times-Roman"/>
          <w:sz w:val="21"/>
          <w:szCs w:val="21"/>
        </w:rPr>
        <w:t xml:space="preserve">utilisateur </w:t>
      </w:r>
      <w:r>
        <w:rPr>
          <w:rFonts w:ascii="Times-Roman" w:hAnsi="Times-Roman" w:cs="Times-Roman"/>
          <w:sz w:val="21"/>
          <w:szCs w:val="21"/>
        </w:rPr>
        <w:t>a été à l’origine au cours de l’année écoulée, à la fois en valeur absolue et en proportion du nombre total de contenus ou d</w:t>
      </w:r>
      <w:r w:rsidR="004E021A">
        <w:rPr>
          <w:rFonts w:ascii="Times-Roman" w:hAnsi="Times-Roman" w:cs="Times-Roman"/>
          <w:sz w:val="21"/>
          <w:szCs w:val="21"/>
        </w:rPr>
        <w:t xml:space="preserve">e notifications dont il a été à </w:t>
      </w:r>
      <w:r>
        <w:rPr>
          <w:rFonts w:ascii="Times-Roman" w:hAnsi="Times-Roman" w:cs="Times-Roman"/>
          <w:sz w:val="21"/>
          <w:szCs w:val="21"/>
        </w:rPr>
        <w:t>l’origine ;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« – et de la gravité et des conséquences de ces abus.</w:t>
      </w:r>
    </w:p>
    <w:p w:rsidR="004E021A" w:rsidRDefault="004E021A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« Lorsqu’elles sont mises en </w:t>
      </w:r>
      <w:r w:rsidR="004E021A">
        <w:rPr>
          <w:rFonts w:ascii="Times-Roman" w:hAnsi="Times-Roman" w:cs="Times-Roman"/>
          <w:sz w:val="21"/>
          <w:szCs w:val="21"/>
        </w:rPr>
        <w:t>œuvre</w:t>
      </w:r>
      <w:r>
        <w:rPr>
          <w:rFonts w:ascii="Times-Roman" w:hAnsi="Times-Roman" w:cs="Times-Roman"/>
          <w:sz w:val="21"/>
          <w:szCs w:val="21"/>
        </w:rPr>
        <w:t>, c</w:t>
      </w:r>
      <w:r w:rsidR="00F54ECB">
        <w:rPr>
          <w:rFonts w:ascii="Times-Roman" w:hAnsi="Times-Roman" w:cs="Times-Roman"/>
          <w:sz w:val="21"/>
          <w:szCs w:val="21"/>
        </w:rPr>
        <w:t xml:space="preserve">es procédures prévoient que les </w:t>
      </w:r>
      <w:r>
        <w:rPr>
          <w:rFonts w:ascii="Times-Roman" w:hAnsi="Times-Roman" w:cs="Times-Roman"/>
          <w:sz w:val="21"/>
          <w:szCs w:val="21"/>
        </w:rPr>
        <w:t xml:space="preserve">mesures mentionnées aux </w:t>
      </w:r>
      <w:r>
        <w:rPr>
          <w:rFonts w:ascii="Times-Italic" w:hAnsi="Times-Italic" w:cs="Times-Italic"/>
          <w:i/>
          <w:iCs/>
          <w:sz w:val="21"/>
          <w:szCs w:val="21"/>
        </w:rPr>
        <w:t xml:space="preserve">a </w:t>
      </w:r>
      <w:r>
        <w:rPr>
          <w:rFonts w:ascii="Times-Roman" w:hAnsi="Times-Roman" w:cs="Times-Roman"/>
          <w:sz w:val="21"/>
          <w:szCs w:val="21"/>
        </w:rPr>
        <w:t xml:space="preserve">et </w:t>
      </w:r>
      <w:r>
        <w:rPr>
          <w:rFonts w:ascii="Times-Italic" w:hAnsi="Times-Italic" w:cs="Times-Italic"/>
          <w:i/>
          <w:iCs/>
          <w:sz w:val="21"/>
          <w:szCs w:val="21"/>
        </w:rPr>
        <w:t xml:space="preserve">b </w:t>
      </w:r>
      <w:r>
        <w:rPr>
          <w:rFonts w:ascii="Times-Roman" w:hAnsi="Times-Roman" w:cs="Times-Roman"/>
          <w:sz w:val="21"/>
          <w:szCs w:val="21"/>
        </w:rPr>
        <w:t>du présent 8°</w:t>
      </w:r>
      <w:r w:rsidR="00F54ECB">
        <w:rPr>
          <w:rFonts w:ascii="Times-Roman" w:hAnsi="Times-Roman" w:cs="Times-Roman"/>
          <w:sz w:val="21"/>
          <w:szCs w:val="21"/>
        </w:rPr>
        <w:t xml:space="preserve"> sont proportionnées, dans leur </w:t>
      </w:r>
      <w:r>
        <w:rPr>
          <w:rFonts w:ascii="Times-Roman" w:hAnsi="Times-Roman" w:cs="Times-Roman"/>
          <w:sz w:val="21"/>
          <w:szCs w:val="21"/>
        </w:rPr>
        <w:t>nature, à la gravité des agissements en cause et, dans le cas d’</w:t>
      </w:r>
      <w:r w:rsidR="00F54ECB">
        <w:rPr>
          <w:rFonts w:ascii="Times-Roman" w:hAnsi="Times-Roman" w:cs="Times-Roman"/>
          <w:sz w:val="21"/>
          <w:szCs w:val="21"/>
        </w:rPr>
        <w:t xml:space="preserve">une suspension, </w:t>
      </w:r>
      <w:r>
        <w:rPr>
          <w:rFonts w:ascii="Times-Roman" w:hAnsi="Times-Roman" w:cs="Times-Roman"/>
          <w:sz w:val="21"/>
          <w:szCs w:val="21"/>
        </w:rPr>
        <w:t>que celle-ci est prononcée pour une dur</w:t>
      </w:r>
      <w:r w:rsidR="00F54ECB">
        <w:rPr>
          <w:rFonts w:ascii="Times-Roman" w:hAnsi="Times-Roman" w:cs="Times-Roman"/>
          <w:sz w:val="21"/>
          <w:szCs w:val="21"/>
        </w:rPr>
        <w:t xml:space="preserve">ée raisonnable. Elles prévoient </w:t>
      </w:r>
      <w:r>
        <w:rPr>
          <w:rFonts w:ascii="Times-Roman" w:hAnsi="Times-Roman" w:cs="Times-Roman"/>
          <w:sz w:val="21"/>
          <w:szCs w:val="21"/>
        </w:rPr>
        <w:t>l’avertissement préalable de l’utilisateur et s</w:t>
      </w:r>
      <w:r w:rsidR="00F54ECB">
        <w:rPr>
          <w:rFonts w:ascii="Times-Roman" w:hAnsi="Times-Roman" w:cs="Times-Roman"/>
          <w:sz w:val="21"/>
          <w:szCs w:val="21"/>
        </w:rPr>
        <w:t xml:space="preserve">on information sur les voies de </w:t>
      </w:r>
      <w:r>
        <w:rPr>
          <w:rFonts w:ascii="Times-Roman" w:hAnsi="Times-Roman" w:cs="Times-Roman"/>
          <w:sz w:val="21"/>
          <w:szCs w:val="21"/>
        </w:rPr>
        <w:t>recours internes et juridictionnelles dont il dispose ;</w:t>
      </w:r>
    </w:p>
    <w:p w:rsidR="00F54ECB" w:rsidRDefault="00F54ECB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« 9° Les opérateurs mentionnés au premier alinéa du présent articl</w:t>
      </w:r>
      <w:r w:rsidR="00F54ECB">
        <w:rPr>
          <w:rFonts w:ascii="Times-Roman" w:hAnsi="Times-Roman" w:cs="Times-Roman"/>
          <w:sz w:val="21"/>
          <w:szCs w:val="21"/>
        </w:rPr>
        <w:t xml:space="preserve">e dont </w:t>
      </w:r>
      <w:r>
        <w:rPr>
          <w:rFonts w:ascii="Times-Roman" w:hAnsi="Times-Roman" w:cs="Times-Roman"/>
          <w:sz w:val="21"/>
          <w:szCs w:val="21"/>
        </w:rPr>
        <w:t>l’activité sur le territoire français dépasse u</w:t>
      </w:r>
      <w:r w:rsidR="00F54ECB">
        <w:rPr>
          <w:rFonts w:ascii="Times-Roman" w:hAnsi="Times-Roman" w:cs="Times-Roman"/>
          <w:sz w:val="21"/>
          <w:szCs w:val="21"/>
        </w:rPr>
        <w:t xml:space="preserve">n seuil de nombre de connexions </w:t>
      </w:r>
      <w:r>
        <w:rPr>
          <w:rFonts w:ascii="Times-Roman" w:hAnsi="Times-Roman" w:cs="Times-Roman"/>
          <w:sz w:val="21"/>
          <w:szCs w:val="21"/>
        </w:rPr>
        <w:t>déterminé par décret et supérieur à celui mentionné au même premier alinéa :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« </w:t>
      </w:r>
      <w:r>
        <w:rPr>
          <w:rFonts w:ascii="Times-Italic" w:hAnsi="Times-Italic" w:cs="Times-Italic"/>
          <w:i/>
          <w:iCs/>
          <w:sz w:val="21"/>
          <w:szCs w:val="21"/>
        </w:rPr>
        <w:t xml:space="preserve">a) </w:t>
      </w:r>
      <w:r>
        <w:rPr>
          <w:rFonts w:ascii="Times-Roman" w:hAnsi="Times-Roman" w:cs="Times-Roman"/>
          <w:sz w:val="21"/>
          <w:szCs w:val="21"/>
        </w:rPr>
        <w:t>Procèdent chaque année à une éva</w:t>
      </w:r>
      <w:r w:rsidR="00F54ECB">
        <w:rPr>
          <w:rFonts w:ascii="Times-Roman" w:hAnsi="Times-Roman" w:cs="Times-Roman"/>
          <w:sz w:val="21"/>
          <w:szCs w:val="21"/>
        </w:rPr>
        <w:t xml:space="preserve">luation des risques systémiques </w:t>
      </w:r>
      <w:r>
        <w:rPr>
          <w:rFonts w:ascii="Times-Roman" w:hAnsi="Times-Roman" w:cs="Times-Roman"/>
          <w:sz w:val="21"/>
          <w:szCs w:val="21"/>
        </w:rPr>
        <w:t xml:space="preserve">liés au fonctionnement et à l’utilisation </w:t>
      </w:r>
      <w:r w:rsidR="00F54ECB">
        <w:rPr>
          <w:rFonts w:ascii="Times-Roman" w:hAnsi="Times-Roman" w:cs="Times-Roman"/>
          <w:sz w:val="21"/>
          <w:szCs w:val="21"/>
        </w:rPr>
        <w:t xml:space="preserve">de leurs services en matière de </w:t>
      </w:r>
      <w:r>
        <w:rPr>
          <w:rFonts w:ascii="Times-Roman" w:hAnsi="Times-Roman" w:cs="Times-Roman"/>
          <w:sz w:val="21"/>
          <w:szCs w:val="21"/>
        </w:rPr>
        <w:t>diffusion des contenus mentionnés au premier alinéa et en matière d’</w:t>
      </w:r>
      <w:r w:rsidR="00F54ECB">
        <w:rPr>
          <w:rFonts w:ascii="Times-Roman" w:hAnsi="Times-Roman" w:cs="Times-Roman"/>
          <w:sz w:val="21"/>
          <w:szCs w:val="21"/>
        </w:rPr>
        <w:t xml:space="preserve">atteinte </w:t>
      </w:r>
      <w:r>
        <w:rPr>
          <w:rFonts w:ascii="Times-Roman" w:hAnsi="Times-Roman" w:cs="Times-Roman"/>
          <w:sz w:val="21"/>
          <w:szCs w:val="21"/>
        </w:rPr>
        <w:t>aux droits fondamentaux, notamment à la liberté d’</w:t>
      </w:r>
      <w:r w:rsidR="00F54ECB">
        <w:rPr>
          <w:rFonts w:ascii="Times-Roman" w:hAnsi="Times-Roman" w:cs="Times-Roman"/>
          <w:sz w:val="21"/>
          <w:szCs w:val="21"/>
        </w:rPr>
        <w:t xml:space="preserve">expression. Cette évaluation </w:t>
      </w:r>
      <w:r>
        <w:rPr>
          <w:rFonts w:ascii="Times-Roman" w:hAnsi="Times-Roman" w:cs="Times-Roman"/>
          <w:sz w:val="21"/>
          <w:szCs w:val="21"/>
        </w:rPr>
        <w:t>tient compte des caractéristiques de ces services,</w:t>
      </w:r>
      <w:r w:rsidR="00F54ECB">
        <w:rPr>
          <w:rFonts w:ascii="Times-Roman" w:hAnsi="Times-Roman" w:cs="Times-Roman"/>
          <w:sz w:val="21"/>
          <w:szCs w:val="21"/>
        </w:rPr>
        <w:t xml:space="preserve"> notamment de leurs effets </w:t>
      </w:r>
      <w:r>
        <w:rPr>
          <w:rFonts w:ascii="Times-Roman" w:hAnsi="Times-Roman" w:cs="Times-Roman"/>
          <w:sz w:val="21"/>
          <w:szCs w:val="21"/>
        </w:rPr>
        <w:t>sur la propagation virale ou la diffusion massive des contenus susvisés ;</w:t>
      </w:r>
    </w:p>
    <w:p w:rsidR="00F54ECB" w:rsidRDefault="00F54ECB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« </w:t>
      </w:r>
      <w:r>
        <w:rPr>
          <w:rFonts w:ascii="Times-Italic" w:hAnsi="Times-Italic" w:cs="Times-Italic"/>
          <w:i/>
          <w:iCs/>
          <w:sz w:val="21"/>
          <w:szCs w:val="21"/>
        </w:rPr>
        <w:t xml:space="preserve">b) </w:t>
      </w:r>
      <w:r>
        <w:rPr>
          <w:rFonts w:ascii="Times-Roman" w:hAnsi="Times-Roman" w:cs="Times-Roman"/>
          <w:sz w:val="21"/>
          <w:szCs w:val="21"/>
        </w:rPr>
        <w:t xml:space="preserve">Mettent en </w:t>
      </w:r>
      <w:r w:rsidR="00F54ECB">
        <w:rPr>
          <w:rFonts w:ascii="Times-Roman" w:hAnsi="Times-Roman" w:cs="Times-Roman"/>
          <w:sz w:val="21"/>
          <w:szCs w:val="21"/>
        </w:rPr>
        <w:t>œuvre</w:t>
      </w:r>
      <w:r>
        <w:rPr>
          <w:rFonts w:ascii="Times-Roman" w:hAnsi="Times-Roman" w:cs="Times-Roman"/>
          <w:sz w:val="21"/>
          <w:szCs w:val="21"/>
        </w:rPr>
        <w:t xml:space="preserve"> des mes</w:t>
      </w:r>
      <w:r w:rsidR="00F54ECB">
        <w:rPr>
          <w:rFonts w:ascii="Times-Roman" w:hAnsi="Times-Roman" w:cs="Times-Roman"/>
          <w:sz w:val="21"/>
          <w:szCs w:val="21"/>
        </w:rPr>
        <w:t xml:space="preserve">ures raisonnables, efficaces et </w:t>
      </w:r>
      <w:r>
        <w:rPr>
          <w:rFonts w:ascii="Times-Roman" w:hAnsi="Times-Roman" w:cs="Times-Roman"/>
          <w:sz w:val="21"/>
          <w:szCs w:val="21"/>
        </w:rPr>
        <w:t>proportionnées, notamment au regard des car</w:t>
      </w:r>
      <w:r w:rsidR="00F54ECB">
        <w:rPr>
          <w:rFonts w:ascii="Times-Roman" w:hAnsi="Times-Roman" w:cs="Times-Roman"/>
          <w:sz w:val="21"/>
          <w:szCs w:val="21"/>
        </w:rPr>
        <w:t xml:space="preserve">actéristiques de leurs services </w:t>
      </w:r>
      <w:r>
        <w:rPr>
          <w:rFonts w:ascii="Times-Roman" w:hAnsi="Times-Roman" w:cs="Times-Roman"/>
          <w:sz w:val="21"/>
          <w:szCs w:val="21"/>
        </w:rPr>
        <w:t>et de l’ampleur et de la gravité des risques identifiés au terme de l’</w:t>
      </w:r>
      <w:r w:rsidR="00F54ECB">
        <w:rPr>
          <w:rFonts w:ascii="Times-Roman" w:hAnsi="Times-Roman" w:cs="Times-Roman"/>
          <w:sz w:val="21"/>
          <w:szCs w:val="21"/>
        </w:rPr>
        <w:t xml:space="preserve">évaluation </w:t>
      </w:r>
      <w:r>
        <w:rPr>
          <w:rFonts w:ascii="Times-Roman" w:hAnsi="Times-Roman" w:cs="Times-Roman"/>
          <w:sz w:val="21"/>
          <w:szCs w:val="21"/>
        </w:rPr>
        <w:t xml:space="preserve">mentionnée au </w:t>
      </w:r>
      <w:r>
        <w:rPr>
          <w:rFonts w:ascii="Times-Italic" w:hAnsi="Times-Italic" w:cs="Times-Italic"/>
          <w:i/>
          <w:iCs/>
          <w:sz w:val="21"/>
          <w:szCs w:val="21"/>
        </w:rPr>
        <w:t xml:space="preserve">a </w:t>
      </w:r>
      <w:r>
        <w:rPr>
          <w:rFonts w:ascii="Times-Roman" w:hAnsi="Times-Roman" w:cs="Times-Roman"/>
          <w:sz w:val="21"/>
          <w:szCs w:val="21"/>
        </w:rPr>
        <w:t>du présent 9°, visant à attén</w:t>
      </w:r>
      <w:r w:rsidR="00F54ECB">
        <w:rPr>
          <w:rFonts w:ascii="Times-Roman" w:hAnsi="Times-Roman" w:cs="Times-Roman"/>
          <w:sz w:val="21"/>
          <w:szCs w:val="21"/>
        </w:rPr>
        <w:t xml:space="preserve">uer les risques de diffusion de </w:t>
      </w:r>
      <w:r>
        <w:rPr>
          <w:rFonts w:ascii="Times-Roman" w:hAnsi="Times-Roman" w:cs="Times-Roman"/>
          <w:sz w:val="21"/>
          <w:szCs w:val="21"/>
        </w:rPr>
        <w:t>ces contenus, qui peuvent notamment porter s</w:t>
      </w:r>
      <w:r w:rsidR="00F54ECB">
        <w:rPr>
          <w:rFonts w:ascii="Times-Roman" w:hAnsi="Times-Roman" w:cs="Times-Roman"/>
          <w:sz w:val="21"/>
          <w:szCs w:val="21"/>
        </w:rPr>
        <w:t xml:space="preserve">ur les procédures et les moyens </w:t>
      </w:r>
      <w:r>
        <w:rPr>
          <w:rFonts w:ascii="Times-Roman" w:hAnsi="Times-Roman" w:cs="Times-Roman"/>
          <w:sz w:val="21"/>
          <w:szCs w:val="21"/>
        </w:rPr>
        <w:t xml:space="preserve">humains et technologiques mis en </w:t>
      </w:r>
      <w:r w:rsidR="00F54ECB">
        <w:rPr>
          <w:rFonts w:ascii="Times-Roman" w:hAnsi="Times-Roman" w:cs="Times-Roman"/>
          <w:sz w:val="21"/>
          <w:szCs w:val="21"/>
        </w:rPr>
        <w:t>œuvre</w:t>
      </w:r>
      <w:r>
        <w:rPr>
          <w:rFonts w:ascii="Times-Roman" w:hAnsi="Times-Roman" w:cs="Times-Roman"/>
          <w:sz w:val="21"/>
          <w:szCs w:val="21"/>
        </w:rPr>
        <w:t xml:space="preserve"> pour </w:t>
      </w:r>
      <w:r w:rsidR="00F54ECB">
        <w:rPr>
          <w:rFonts w:ascii="Times-Roman" w:hAnsi="Times-Roman" w:cs="Times-Roman"/>
          <w:sz w:val="21"/>
          <w:szCs w:val="21"/>
        </w:rPr>
        <w:t xml:space="preserve">détecter, identifier et traiter </w:t>
      </w:r>
      <w:r>
        <w:rPr>
          <w:rFonts w:ascii="Times-Roman" w:hAnsi="Times-Roman" w:cs="Times-Roman"/>
          <w:sz w:val="21"/>
          <w:szCs w:val="21"/>
        </w:rPr>
        <w:t>ces contenus, tout en veillant à prévenir les ris</w:t>
      </w:r>
      <w:r w:rsidR="00F54ECB">
        <w:rPr>
          <w:rFonts w:ascii="Times-Roman" w:hAnsi="Times-Roman" w:cs="Times-Roman"/>
          <w:sz w:val="21"/>
          <w:szCs w:val="21"/>
        </w:rPr>
        <w:t xml:space="preserve">ques de retrait non justifié au </w:t>
      </w:r>
      <w:r>
        <w:rPr>
          <w:rFonts w:ascii="Times-Roman" w:hAnsi="Times-Roman" w:cs="Times-Roman"/>
          <w:sz w:val="21"/>
          <w:szCs w:val="21"/>
        </w:rPr>
        <w:t>regard du droit applicable et de leurs conditions générales d’utilisation ;</w:t>
      </w:r>
    </w:p>
    <w:p w:rsidR="00F54ECB" w:rsidRDefault="00F54ECB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lastRenderedPageBreak/>
        <w:t xml:space="preserve">« </w:t>
      </w:r>
      <w:r>
        <w:rPr>
          <w:rFonts w:ascii="Times-Italic" w:hAnsi="Times-Italic" w:cs="Times-Italic"/>
          <w:i/>
          <w:iCs/>
          <w:sz w:val="21"/>
          <w:szCs w:val="21"/>
        </w:rPr>
        <w:t xml:space="preserve">c) </w:t>
      </w:r>
      <w:r>
        <w:rPr>
          <w:rFonts w:ascii="Times-Roman" w:hAnsi="Times-Roman" w:cs="Times-Roman"/>
          <w:sz w:val="21"/>
          <w:szCs w:val="21"/>
        </w:rPr>
        <w:t>Rendent compte au public, selon d</w:t>
      </w:r>
      <w:r w:rsidR="00F54ECB">
        <w:rPr>
          <w:rFonts w:ascii="Times-Roman" w:hAnsi="Times-Roman" w:cs="Times-Roman"/>
          <w:sz w:val="21"/>
          <w:szCs w:val="21"/>
        </w:rPr>
        <w:t xml:space="preserve">es modalités et une périodicité </w:t>
      </w:r>
      <w:r>
        <w:rPr>
          <w:rFonts w:ascii="Times-Roman" w:hAnsi="Times-Roman" w:cs="Times-Roman"/>
          <w:sz w:val="21"/>
          <w:szCs w:val="21"/>
        </w:rPr>
        <w:t>fixées par le Conseil supérieur de l’audiovisuel, de l’</w:t>
      </w:r>
      <w:r w:rsidR="00F54ECB">
        <w:rPr>
          <w:rFonts w:ascii="Times-Roman" w:hAnsi="Times-Roman" w:cs="Times-Roman"/>
          <w:sz w:val="21"/>
          <w:szCs w:val="21"/>
        </w:rPr>
        <w:t xml:space="preserve">évaluation de ces risques </w:t>
      </w:r>
      <w:r>
        <w:rPr>
          <w:rFonts w:ascii="Times-Roman" w:hAnsi="Times-Roman" w:cs="Times-Roman"/>
          <w:sz w:val="21"/>
          <w:szCs w:val="21"/>
        </w:rPr>
        <w:t xml:space="preserve">systémiques et des mesures d’atténuation des risques mises en </w:t>
      </w:r>
      <w:r w:rsidR="00F54ECB">
        <w:rPr>
          <w:rFonts w:ascii="Times-Roman" w:hAnsi="Times-Roman" w:cs="Times-Roman"/>
          <w:sz w:val="21"/>
          <w:szCs w:val="21"/>
        </w:rPr>
        <w:t>œuvre</w:t>
      </w:r>
      <w:r>
        <w:rPr>
          <w:rFonts w:ascii="Times-Roman" w:hAnsi="Times-Roman" w:cs="Times-Roman"/>
          <w:sz w:val="21"/>
          <w:szCs w:val="21"/>
        </w:rPr>
        <w:t xml:space="preserve"> ;</w:t>
      </w:r>
    </w:p>
    <w:p w:rsidR="00F54ECB" w:rsidRDefault="00F54ECB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« 10° Les opérateurs mentionnés au premier alinéa rendent</w:t>
      </w:r>
      <w:r w:rsidR="00F54ECB">
        <w:rPr>
          <w:rFonts w:ascii="Times-Roman" w:hAnsi="Times-Roman" w:cs="Times-Roman"/>
          <w:sz w:val="21"/>
          <w:szCs w:val="21"/>
        </w:rPr>
        <w:t xml:space="preserve"> compte au </w:t>
      </w:r>
      <w:r>
        <w:rPr>
          <w:rFonts w:ascii="Times-Roman" w:hAnsi="Times-Roman" w:cs="Times-Roman"/>
          <w:sz w:val="21"/>
          <w:szCs w:val="21"/>
        </w:rPr>
        <w:t xml:space="preserve">Conseil supérieur de l’audiovisuel des </w:t>
      </w:r>
      <w:r w:rsidR="00F54ECB">
        <w:rPr>
          <w:rFonts w:ascii="Times-Roman" w:hAnsi="Times-Roman" w:cs="Times-Roman"/>
          <w:sz w:val="21"/>
          <w:szCs w:val="21"/>
        </w:rPr>
        <w:t>procédures et des moyens mis en œuvre</w:t>
      </w:r>
      <w:r>
        <w:rPr>
          <w:rFonts w:ascii="Times-Roman" w:hAnsi="Times-Roman" w:cs="Times-Roman"/>
          <w:sz w:val="21"/>
          <w:szCs w:val="21"/>
        </w:rPr>
        <w:t xml:space="preserve"> pour l’application du présent article</w:t>
      </w:r>
      <w:r w:rsidR="00F54ECB">
        <w:rPr>
          <w:rFonts w:ascii="Times-Roman" w:hAnsi="Times-Roman" w:cs="Times-Roman"/>
          <w:sz w:val="21"/>
          <w:szCs w:val="21"/>
        </w:rPr>
        <w:t xml:space="preserve">, dans les conditions prévues à </w:t>
      </w:r>
      <w:r>
        <w:rPr>
          <w:rFonts w:ascii="Times-Roman" w:hAnsi="Times-Roman" w:cs="Times-Roman"/>
          <w:sz w:val="21"/>
          <w:szCs w:val="21"/>
        </w:rPr>
        <w:t>l’article 62 de la loi n° 86-1067 du 30 septembre 1986 précitée. »</w:t>
      </w: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II. – La loi n° 86-1067 du 30 septembr</w:t>
      </w:r>
      <w:r w:rsidR="00F54ECB">
        <w:rPr>
          <w:rFonts w:ascii="Times-Roman" w:hAnsi="Times-Roman" w:cs="Times-Roman"/>
          <w:sz w:val="21"/>
          <w:szCs w:val="21"/>
        </w:rPr>
        <w:t xml:space="preserve">e 1986 relative à la liberté de </w:t>
      </w:r>
      <w:r>
        <w:rPr>
          <w:rFonts w:ascii="Times-Roman" w:hAnsi="Times-Roman" w:cs="Times-Roman"/>
          <w:sz w:val="21"/>
          <w:szCs w:val="21"/>
        </w:rPr>
        <w:t>communication est ainsi modifiée :</w:t>
      </w: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1° Au troisième alinéa du 1° du I de l’art</w:t>
      </w:r>
      <w:r w:rsidR="00F54ECB">
        <w:rPr>
          <w:rFonts w:ascii="Times-Roman" w:hAnsi="Times-Roman" w:cs="Times-Roman"/>
          <w:sz w:val="21"/>
          <w:szCs w:val="21"/>
        </w:rPr>
        <w:t xml:space="preserve">icle 19, les mots : « ainsi que </w:t>
      </w:r>
      <w:r>
        <w:rPr>
          <w:rFonts w:ascii="Times-Roman" w:hAnsi="Times-Roman" w:cs="Times-Roman"/>
          <w:sz w:val="21"/>
          <w:szCs w:val="21"/>
        </w:rPr>
        <w:t>des plateformes de partage de vidéos » sont r</w:t>
      </w:r>
      <w:r w:rsidR="00F54ECB">
        <w:rPr>
          <w:rFonts w:ascii="Times-Roman" w:hAnsi="Times-Roman" w:cs="Times-Roman"/>
          <w:sz w:val="21"/>
          <w:szCs w:val="21"/>
        </w:rPr>
        <w:t xml:space="preserve">emplacés par les mots : </w:t>
      </w:r>
      <w:proofErr w:type="gramStart"/>
      <w:r w:rsidR="00F54ECB">
        <w:rPr>
          <w:rFonts w:ascii="Times-Roman" w:hAnsi="Times-Roman" w:cs="Times-Roman"/>
          <w:sz w:val="21"/>
          <w:szCs w:val="21"/>
        </w:rPr>
        <w:t>« ,</w:t>
      </w:r>
      <w:proofErr w:type="gramEnd"/>
      <w:r w:rsidR="00F54ECB">
        <w:rPr>
          <w:rFonts w:ascii="Times-Roman" w:hAnsi="Times-Roman" w:cs="Times-Roman"/>
          <w:sz w:val="21"/>
          <w:szCs w:val="21"/>
        </w:rPr>
        <w:t xml:space="preserve"> des </w:t>
      </w:r>
      <w:r>
        <w:rPr>
          <w:rFonts w:ascii="Times-Roman" w:hAnsi="Times-Roman" w:cs="Times-Roman"/>
          <w:sz w:val="21"/>
          <w:szCs w:val="21"/>
        </w:rPr>
        <w:t xml:space="preserve">plateformes de partage de vidéos ainsi que </w:t>
      </w:r>
      <w:r w:rsidR="00F54ECB">
        <w:rPr>
          <w:rFonts w:ascii="Times-Roman" w:hAnsi="Times-Roman" w:cs="Times-Roman"/>
          <w:sz w:val="21"/>
          <w:szCs w:val="21"/>
        </w:rPr>
        <w:t xml:space="preserve">des opérateurs de plateforme en </w:t>
      </w:r>
      <w:r>
        <w:rPr>
          <w:rFonts w:ascii="Times-Roman" w:hAnsi="Times-Roman" w:cs="Times-Roman"/>
          <w:sz w:val="21"/>
          <w:szCs w:val="21"/>
        </w:rPr>
        <w:t>ligne mentionnés à l’article 62 » ;</w:t>
      </w:r>
    </w:p>
    <w:p w:rsidR="00F54ECB" w:rsidRDefault="00F54ECB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2° Au premier alinéa de l’article 42-7,</w:t>
      </w:r>
      <w:r w:rsidR="00F54ECB">
        <w:rPr>
          <w:rFonts w:ascii="Times-Roman" w:hAnsi="Times-Roman" w:cs="Times-Roman"/>
          <w:sz w:val="21"/>
          <w:szCs w:val="21"/>
        </w:rPr>
        <w:t xml:space="preserve"> la référence : « et 48-3 » est </w:t>
      </w:r>
      <w:r>
        <w:rPr>
          <w:rFonts w:ascii="Times-Roman" w:hAnsi="Times-Roman" w:cs="Times-Roman"/>
          <w:sz w:val="21"/>
          <w:szCs w:val="21"/>
        </w:rPr>
        <w:t xml:space="preserve">remplacée par les références : </w:t>
      </w:r>
      <w:proofErr w:type="gramStart"/>
      <w:r>
        <w:rPr>
          <w:rFonts w:ascii="Times-Roman" w:hAnsi="Times-Roman" w:cs="Times-Roman"/>
          <w:sz w:val="21"/>
          <w:szCs w:val="21"/>
        </w:rPr>
        <w:t>« ,</w:t>
      </w:r>
      <w:proofErr w:type="gramEnd"/>
      <w:r>
        <w:rPr>
          <w:rFonts w:ascii="Times-Roman" w:hAnsi="Times-Roman" w:cs="Times-Roman"/>
          <w:sz w:val="21"/>
          <w:szCs w:val="21"/>
        </w:rPr>
        <w:t xml:space="preserve"> 48-3 et 62 » ;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3° Le titre IV est complété par un chapitre III ainsi rédigé :</w:t>
      </w:r>
    </w:p>
    <w:p w:rsidR="00F54ECB" w:rsidRDefault="00F54ECB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Italic" w:hAnsi="Times-Italic" w:cs="Times-Italic"/>
          <w:i/>
          <w:iCs/>
          <w:sz w:val="21"/>
          <w:szCs w:val="21"/>
        </w:rPr>
      </w:pPr>
      <w:r>
        <w:rPr>
          <w:rFonts w:ascii="Times-Italic" w:hAnsi="Times-Italic" w:cs="Times-Italic"/>
          <w:i/>
          <w:iCs/>
          <w:sz w:val="21"/>
          <w:szCs w:val="21"/>
        </w:rPr>
        <w:t>« C</w:t>
      </w:r>
      <w:r>
        <w:rPr>
          <w:rFonts w:ascii="Times-Italic" w:hAnsi="Times-Italic" w:cs="Times-Italic"/>
          <w:i/>
          <w:iCs/>
          <w:sz w:val="17"/>
          <w:szCs w:val="17"/>
        </w:rPr>
        <w:t xml:space="preserve">HAPITRE </w:t>
      </w:r>
      <w:r>
        <w:rPr>
          <w:rFonts w:ascii="Times-Italic" w:hAnsi="Times-Italic" w:cs="Times-Italic"/>
          <w:i/>
          <w:iCs/>
          <w:sz w:val="21"/>
          <w:szCs w:val="21"/>
        </w:rPr>
        <w:t>III</w:t>
      </w:r>
    </w:p>
    <w:p w:rsidR="00F54ECB" w:rsidRDefault="00F54ECB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Italic" w:hAnsi="Times-Italic" w:cs="Times-Italic"/>
          <w:i/>
          <w:iCs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BoldItalic" w:hAnsi="Times-BoldItalic" w:cs="Times-BoldItalic"/>
          <w:b/>
          <w:bCs/>
          <w:i/>
          <w:iCs/>
          <w:sz w:val="21"/>
          <w:szCs w:val="21"/>
        </w:rPr>
      </w:pPr>
      <w:r>
        <w:rPr>
          <w:rFonts w:ascii="Times-BoldItalic" w:hAnsi="Times-BoldItalic" w:cs="Times-BoldItalic"/>
          <w:b/>
          <w:bCs/>
          <w:i/>
          <w:iCs/>
          <w:sz w:val="21"/>
          <w:szCs w:val="21"/>
        </w:rPr>
        <w:t>« Dispositions appli</w:t>
      </w:r>
      <w:r w:rsidR="00F54ECB">
        <w:rPr>
          <w:rFonts w:ascii="Times-BoldItalic" w:hAnsi="Times-BoldItalic" w:cs="Times-BoldItalic"/>
          <w:b/>
          <w:bCs/>
          <w:i/>
          <w:iCs/>
          <w:sz w:val="21"/>
          <w:szCs w:val="21"/>
        </w:rPr>
        <w:t xml:space="preserve">cables aux plateformes en ligne </w:t>
      </w:r>
      <w:r>
        <w:rPr>
          <w:rFonts w:ascii="Times-BoldItalic" w:hAnsi="Times-BoldItalic" w:cs="Times-BoldItalic"/>
          <w:b/>
          <w:bCs/>
          <w:i/>
          <w:iCs/>
          <w:sz w:val="21"/>
          <w:szCs w:val="21"/>
        </w:rPr>
        <w:t>en matière de lutte contre les contenus haineux</w:t>
      </w:r>
    </w:p>
    <w:p w:rsidR="00F54ECB" w:rsidRDefault="00F54ECB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« </w:t>
      </w:r>
      <w:r>
        <w:rPr>
          <w:rFonts w:ascii="Times-Italic" w:hAnsi="Times-Italic" w:cs="Times-Italic"/>
          <w:i/>
          <w:iCs/>
          <w:sz w:val="21"/>
          <w:szCs w:val="21"/>
        </w:rPr>
        <w:t xml:space="preserve">Art. 62. </w:t>
      </w:r>
      <w:r>
        <w:rPr>
          <w:rFonts w:ascii="Times-Roman" w:hAnsi="Times-Roman" w:cs="Times-Roman"/>
          <w:sz w:val="21"/>
          <w:szCs w:val="21"/>
        </w:rPr>
        <w:t>– I. – Le Conseil supérieur de l’</w:t>
      </w:r>
      <w:r w:rsidR="00F54ECB">
        <w:rPr>
          <w:rFonts w:ascii="Times-Roman" w:hAnsi="Times-Roman" w:cs="Times-Roman"/>
          <w:sz w:val="21"/>
          <w:szCs w:val="21"/>
        </w:rPr>
        <w:t xml:space="preserve">audiovisuel veille au respect, </w:t>
      </w:r>
      <w:r>
        <w:rPr>
          <w:rFonts w:ascii="Times-Roman" w:hAnsi="Times-Roman" w:cs="Times-Roman"/>
          <w:sz w:val="21"/>
          <w:szCs w:val="21"/>
        </w:rPr>
        <w:t xml:space="preserve">par les opérateurs de plateforme en ligne </w:t>
      </w:r>
      <w:r w:rsidR="00F54ECB">
        <w:rPr>
          <w:rFonts w:ascii="Times-Roman" w:hAnsi="Times-Roman" w:cs="Times-Roman"/>
          <w:sz w:val="21"/>
          <w:szCs w:val="21"/>
        </w:rPr>
        <w:t xml:space="preserve">mentionnés au premier alinéa de </w:t>
      </w:r>
      <w:r>
        <w:rPr>
          <w:rFonts w:ascii="Times-Roman" w:hAnsi="Times-Roman" w:cs="Times-Roman"/>
          <w:sz w:val="21"/>
          <w:szCs w:val="21"/>
        </w:rPr>
        <w:t>l’article 6-5 de la loi n° 2004-575 du 21 j</w:t>
      </w:r>
      <w:r w:rsidR="00F54ECB">
        <w:rPr>
          <w:rFonts w:ascii="Times-Roman" w:hAnsi="Times-Roman" w:cs="Times-Roman"/>
          <w:sz w:val="21"/>
          <w:szCs w:val="21"/>
        </w:rPr>
        <w:t xml:space="preserve">uin 2004 pour la confiance dans </w:t>
      </w:r>
      <w:r>
        <w:rPr>
          <w:rFonts w:ascii="Times-Roman" w:hAnsi="Times-Roman" w:cs="Times-Roman"/>
          <w:sz w:val="21"/>
          <w:szCs w:val="21"/>
        </w:rPr>
        <w:t xml:space="preserve">l’économie numérique, des dispositions du </w:t>
      </w:r>
      <w:r w:rsidR="00F54ECB">
        <w:rPr>
          <w:rFonts w:ascii="Times-Roman" w:hAnsi="Times-Roman" w:cs="Times-Roman"/>
          <w:sz w:val="21"/>
          <w:szCs w:val="21"/>
        </w:rPr>
        <w:t xml:space="preserve">même article 6-5, en prenant en </w:t>
      </w:r>
      <w:r>
        <w:rPr>
          <w:rFonts w:ascii="Times-Roman" w:hAnsi="Times-Roman" w:cs="Times-Roman"/>
          <w:sz w:val="21"/>
          <w:szCs w:val="21"/>
        </w:rPr>
        <w:t>compte, pour chacun des services qu’ils propos</w:t>
      </w:r>
      <w:r w:rsidR="00F54ECB">
        <w:rPr>
          <w:rFonts w:ascii="Times-Roman" w:hAnsi="Times-Roman" w:cs="Times-Roman"/>
          <w:sz w:val="21"/>
          <w:szCs w:val="21"/>
        </w:rPr>
        <w:t xml:space="preserve">ent, les caractéristiques de ce </w:t>
      </w:r>
      <w:r>
        <w:rPr>
          <w:rFonts w:ascii="Times-Roman" w:hAnsi="Times-Roman" w:cs="Times-Roman"/>
          <w:sz w:val="21"/>
          <w:szCs w:val="21"/>
        </w:rPr>
        <w:t xml:space="preserve">service et l’adéquation des moyens mis en </w:t>
      </w:r>
      <w:r w:rsidR="00F54ECB">
        <w:rPr>
          <w:rFonts w:ascii="Times-Roman" w:hAnsi="Times-Roman" w:cs="Times-Roman"/>
          <w:sz w:val="21"/>
          <w:szCs w:val="21"/>
        </w:rPr>
        <w:t>œuvre</w:t>
      </w:r>
      <w:r>
        <w:rPr>
          <w:rFonts w:ascii="Times-Roman" w:hAnsi="Times-Roman" w:cs="Times-Roman"/>
          <w:sz w:val="21"/>
          <w:szCs w:val="21"/>
        </w:rPr>
        <w:t xml:space="preserve"> par l’</w:t>
      </w:r>
      <w:r w:rsidR="00F54ECB">
        <w:rPr>
          <w:rFonts w:ascii="Times-Roman" w:hAnsi="Times-Roman" w:cs="Times-Roman"/>
          <w:sz w:val="21"/>
          <w:szCs w:val="21"/>
        </w:rPr>
        <w:t xml:space="preserve">opérateur au regard, </w:t>
      </w:r>
      <w:r>
        <w:rPr>
          <w:rFonts w:ascii="Times-Roman" w:hAnsi="Times-Roman" w:cs="Times-Roman"/>
          <w:sz w:val="21"/>
          <w:szCs w:val="21"/>
        </w:rPr>
        <w:t>notamment, de l’ampleur et de la gravité des ri</w:t>
      </w:r>
      <w:r w:rsidR="00F54ECB">
        <w:rPr>
          <w:rFonts w:ascii="Times-Roman" w:hAnsi="Times-Roman" w:cs="Times-Roman"/>
          <w:sz w:val="21"/>
          <w:szCs w:val="21"/>
        </w:rPr>
        <w:t xml:space="preserve">sques de diffusion sur celui-ci </w:t>
      </w:r>
      <w:r>
        <w:rPr>
          <w:rFonts w:ascii="Times-Roman" w:hAnsi="Times-Roman" w:cs="Times-Roman"/>
          <w:sz w:val="21"/>
          <w:szCs w:val="21"/>
        </w:rPr>
        <w:t>des contenus mentionnés au premier alinéa dudit article 6-5 et</w:t>
      </w:r>
      <w:r w:rsidR="00F54ECB">
        <w:rPr>
          <w:rFonts w:ascii="Times-Roman" w:hAnsi="Times-Roman" w:cs="Times-Roman"/>
          <w:sz w:val="21"/>
          <w:szCs w:val="21"/>
        </w:rPr>
        <w:t xml:space="preserve"> des risques de </w:t>
      </w:r>
      <w:r>
        <w:rPr>
          <w:rFonts w:ascii="Times-Roman" w:hAnsi="Times-Roman" w:cs="Times-Roman"/>
          <w:sz w:val="21"/>
          <w:szCs w:val="21"/>
        </w:rPr>
        <w:t>retrait injustifié au regard du droit applicable</w:t>
      </w:r>
      <w:r w:rsidR="00F54ECB">
        <w:rPr>
          <w:rFonts w:ascii="Times-Roman" w:hAnsi="Times-Roman" w:cs="Times-Roman"/>
          <w:sz w:val="21"/>
          <w:szCs w:val="21"/>
        </w:rPr>
        <w:t xml:space="preserve"> et de ses conditions générales </w:t>
      </w:r>
      <w:r>
        <w:rPr>
          <w:rFonts w:ascii="Times-Roman" w:hAnsi="Times-Roman" w:cs="Times-Roman"/>
          <w:sz w:val="21"/>
          <w:szCs w:val="21"/>
        </w:rPr>
        <w:t>d’utilisation. Il adresse à ces opérateurs de pl</w:t>
      </w:r>
      <w:r w:rsidR="00F54ECB">
        <w:rPr>
          <w:rFonts w:ascii="Times-Roman" w:hAnsi="Times-Roman" w:cs="Times-Roman"/>
          <w:sz w:val="21"/>
          <w:szCs w:val="21"/>
        </w:rPr>
        <w:t xml:space="preserve">ateforme des lignes directrices </w:t>
      </w:r>
      <w:r>
        <w:rPr>
          <w:rFonts w:ascii="Times-Roman" w:hAnsi="Times-Roman" w:cs="Times-Roman"/>
          <w:sz w:val="21"/>
          <w:szCs w:val="21"/>
        </w:rPr>
        <w:t>pour l’application du même article 6-5.</w:t>
      </w:r>
    </w:p>
    <w:p w:rsidR="00F54ECB" w:rsidRDefault="00F54ECB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317039" w:rsidRDefault="00317039" w:rsidP="00F02A1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« Il recueille auprès de ces opérateurs,</w:t>
      </w:r>
      <w:r w:rsidR="00F54ECB">
        <w:rPr>
          <w:rFonts w:ascii="Times-Roman" w:hAnsi="Times-Roman" w:cs="Times-Roman"/>
          <w:sz w:val="21"/>
          <w:szCs w:val="21"/>
        </w:rPr>
        <w:t xml:space="preserve"> dans les conditions fixées à </w:t>
      </w:r>
      <w:r>
        <w:rPr>
          <w:rFonts w:ascii="Times-Roman" w:hAnsi="Times-Roman" w:cs="Times-Roman"/>
          <w:sz w:val="21"/>
          <w:szCs w:val="21"/>
        </w:rPr>
        <w:t>l’article 19 de la présente loi, les information</w:t>
      </w:r>
      <w:r w:rsidR="00F54ECB">
        <w:rPr>
          <w:rFonts w:ascii="Times-Roman" w:hAnsi="Times-Roman" w:cs="Times-Roman"/>
          <w:sz w:val="21"/>
          <w:szCs w:val="21"/>
        </w:rPr>
        <w:t xml:space="preserve">s nécessaires au suivi de leurs </w:t>
      </w:r>
      <w:r>
        <w:rPr>
          <w:rFonts w:ascii="Times-Roman" w:hAnsi="Times-Roman" w:cs="Times-Roman"/>
          <w:sz w:val="21"/>
          <w:szCs w:val="21"/>
        </w:rPr>
        <w:t>obligations. À ce titre, les opérateurs mentionnés au 9° de l’</w:t>
      </w:r>
      <w:r w:rsidR="00F54ECB">
        <w:rPr>
          <w:rFonts w:ascii="Times-Roman" w:hAnsi="Times-Roman" w:cs="Times-Roman"/>
          <w:sz w:val="21"/>
          <w:szCs w:val="21"/>
        </w:rPr>
        <w:t xml:space="preserve">article 6-5 de la </w:t>
      </w:r>
      <w:r>
        <w:rPr>
          <w:rFonts w:ascii="Times-Roman" w:hAnsi="Times-Roman" w:cs="Times-Roman"/>
          <w:sz w:val="21"/>
          <w:szCs w:val="21"/>
        </w:rPr>
        <w:t>loi n° 2004-575 du 21 juin 2004 précitée lui donnent accès aux pri</w:t>
      </w:r>
      <w:r w:rsidR="00F54ECB">
        <w:rPr>
          <w:rFonts w:ascii="Times-Roman" w:hAnsi="Times-Roman" w:cs="Times-Roman"/>
          <w:sz w:val="21"/>
          <w:szCs w:val="21"/>
        </w:rPr>
        <w:t xml:space="preserve">ncipes de </w:t>
      </w:r>
      <w:r>
        <w:rPr>
          <w:rFonts w:ascii="Times-Roman" w:hAnsi="Times-Roman" w:cs="Times-Roman"/>
          <w:sz w:val="21"/>
          <w:szCs w:val="21"/>
        </w:rPr>
        <w:t>fonctionnement des outils automatisés auxquel</w:t>
      </w:r>
      <w:r w:rsidR="00F54ECB">
        <w:rPr>
          <w:rFonts w:ascii="Times-Roman" w:hAnsi="Times-Roman" w:cs="Times-Roman"/>
          <w:sz w:val="21"/>
          <w:szCs w:val="21"/>
        </w:rPr>
        <w:t xml:space="preserve">s ils ont recours pour répondre </w:t>
      </w:r>
      <w:r>
        <w:rPr>
          <w:rFonts w:ascii="Times-Roman" w:hAnsi="Times-Roman" w:cs="Times-Roman"/>
          <w:sz w:val="21"/>
          <w:szCs w:val="21"/>
        </w:rPr>
        <w:t xml:space="preserve">à ces obligations, aux paramètres utilisés par </w:t>
      </w:r>
      <w:r w:rsidR="00F54ECB">
        <w:rPr>
          <w:rFonts w:ascii="Times-Roman" w:hAnsi="Times-Roman" w:cs="Times-Roman"/>
          <w:sz w:val="21"/>
          <w:szCs w:val="21"/>
        </w:rPr>
        <w:t xml:space="preserve">ces outils, aux méthodes et aux </w:t>
      </w:r>
      <w:r>
        <w:rPr>
          <w:rFonts w:ascii="Times-Roman" w:hAnsi="Times-Roman" w:cs="Times-Roman"/>
          <w:sz w:val="21"/>
          <w:szCs w:val="21"/>
        </w:rPr>
        <w:t>données utilisées pour l’évaluation et l’a</w:t>
      </w:r>
      <w:r w:rsidR="00F54ECB">
        <w:rPr>
          <w:rFonts w:ascii="Times-Roman" w:hAnsi="Times-Roman" w:cs="Times-Roman"/>
          <w:sz w:val="21"/>
          <w:szCs w:val="21"/>
        </w:rPr>
        <w:t xml:space="preserve">mélioration de leur performance </w:t>
      </w:r>
      <w:r>
        <w:rPr>
          <w:rFonts w:ascii="Times-Roman" w:hAnsi="Times-Roman" w:cs="Times-Roman"/>
          <w:sz w:val="21"/>
          <w:szCs w:val="21"/>
        </w:rPr>
        <w:t>ainsi qu’à toute autre information ou donnée lui permettant d’</w:t>
      </w:r>
      <w:r w:rsidR="00F54ECB">
        <w:rPr>
          <w:rFonts w:ascii="Times-Roman" w:hAnsi="Times-Roman" w:cs="Times-Roman"/>
          <w:sz w:val="21"/>
          <w:szCs w:val="21"/>
        </w:rPr>
        <w:t xml:space="preserve">évaluer leur </w:t>
      </w:r>
      <w:r>
        <w:rPr>
          <w:rFonts w:ascii="Times-Roman" w:hAnsi="Times-Roman" w:cs="Times-Roman"/>
          <w:sz w:val="21"/>
          <w:szCs w:val="21"/>
        </w:rPr>
        <w:t>efficacité, dans le respect des disposition</w:t>
      </w:r>
      <w:r w:rsidR="00F54ECB">
        <w:rPr>
          <w:rFonts w:ascii="Times-Roman" w:hAnsi="Times-Roman" w:cs="Times-Roman"/>
          <w:sz w:val="21"/>
          <w:szCs w:val="21"/>
        </w:rPr>
        <w:t xml:space="preserve">s relatives à la protection des </w:t>
      </w:r>
      <w:r>
        <w:rPr>
          <w:rFonts w:ascii="Times-Roman" w:hAnsi="Times-Roman" w:cs="Times-Roman"/>
          <w:sz w:val="21"/>
          <w:szCs w:val="21"/>
        </w:rPr>
        <w:t>données personnelles. Le Conseil supérieur de l’</w:t>
      </w:r>
      <w:r w:rsidR="00F54ECB">
        <w:rPr>
          <w:rFonts w:ascii="Times-Roman" w:hAnsi="Times-Roman" w:cs="Times-Roman"/>
          <w:sz w:val="21"/>
          <w:szCs w:val="21"/>
        </w:rPr>
        <w:t xml:space="preserve">audiovisuel peut leur adresser </w:t>
      </w:r>
      <w:r>
        <w:rPr>
          <w:rFonts w:ascii="Times-Roman" w:hAnsi="Times-Roman" w:cs="Times-Roman"/>
          <w:sz w:val="21"/>
          <w:szCs w:val="21"/>
        </w:rPr>
        <w:t>des demandes proportionnées d’accès, par l’intermédiaire d’</w:t>
      </w:r>
      <w:r w:rsidR="00F54ECB">
        <w:rPr>
          <w:rFonts w:ascii="Times-Roman" w:hAnsi="Times-Roman" w:cs="Times-Roman"/>
          <w:sz w:val="21"/>
          <w:szCs w:val="21"/>
        </w:rPr>
        <w:t xml:space="preserve">interfaces de </w:t>
      </w:r>
      <w:r>
        <w:rPr>
          <w:rFonts w:ascii="Times-Roman" w:hAnsi="Times-Roman" w:cs="Times-Roman"/>
          <w:sz w:val="21"/>
          <w:szCs w:val="21"/>
        </w:rPr>
        <w:t>programmation dédiées, à toute donn</w:t>
      </w:r>
      <w:r w:rsidR="00F54ECB">
        <w:rPr>
          <w:rFonts w:ascii="Times-Roman" w:hAnsi="Times-Roman" w:cs="Times-Roman"/>
          <w:sz w:val="21"/>
          <w:szCs w:val="21"/>
        </w:rPr>
        <w:t xml:space="preserve">ée pertinente pour évaluer leur </w:t>
      </w:r>
      <w:r>
        <w:rPr>
          <w:rFonts w:ascii="Times-Roman" w:hAnsi="Times-Roman" w:cs="Times-Roman"/>
          <w:sz w:val="21"/>
          <w:szCs w:val="21"/>
        </w:rPr>
        <w:t>efficacité, dans le respect de ces mêmes dispo</w:t>
      </w:r>
      <w:r w:rsidR="00F54ECB">
        <w:rPr>
          <w:rFonts w:ascii="Times-Roman" w:hAnsi="Times-Roman" w:cs="Times-Roman"/>
          <w:sz w:val="21"/>
          <w:szCs w:val="21"/>
        </w:rPr>
        <w:t xml:space="preserve">sitions. Dans le respect de ces </w:t>
      </w:r>
      <w:r>
        <w:rPr>
          <w:rFonts w:ascii="Times-Roman" w:hAnsi="Times-Roman" w:cs="Times-Roman"/>
          <w:sz w:val="21"/>
          <w:szCs w:val="21"/>
        </w:rPr>
        <w:t>dispositions et aux mêmes fins, le Conseil supérieur de l’</w:t>
      </w:r>
      <w:r w:rsidR="00F54ECB">
        <w:rPr>
          <w:rFonts w:ascii="Times-Roman" w:hAnsi="Times-Roman" w:cs="Times-Roman"/>
          <w:sz w:val="21"/>
          <w:szCs w:val="21"/>
        </w:rPr>
        <w:t xml:space="preserve">audiovisuel peut </w:t>
      </w:r>
      <w:r>
        <w:rPr>
          <w:rFonts w:ascii="Times-Roman" w:hAnsi="Times-Roman" w:cs="Times-Roman"/>
          <w:sz w:val="21"/>
          <w:szCs w:val="21"/>
        </w:rPr>
        <w:t xml:space="preserve">mettre en </w:t>
      </w:r>
      <w:r w:rsidR="00F54ECB">
        <w:rPr>
          <w:rFonts w:ascii="Times-Roman" w:hAnsi="Times-Roman" w:cs="Times-Roman"/>
          <w:sz w:val="21"/>
          <w:szCs w:val="21"/>
        </w:rPr>
        <w:t>œuvre</w:t>
      </w:r>
      <w:r>
        <w:rPr>
          <w:rFonts w:ascii="Times-Roman" w:hAnsi="Times-Roman" w:cs="Times-Roman"/>
          <w:sz w:val="21"/>
          <w:szCs w:val="21"/>
        </w:rPr>
        <w:t xml:space="preserve"> des méthodes proportion</w:t>
      </w:r>
      <w:r w:rsidR="00F54ECB">
        <w:rPr>
          <w:rFonts w:ascii="Times-Roman" w:hAnsi="Times-Roman" w:cs="Times-Roman"/>
          <w:sz w:val="21"/>
          <w:szCs w:val="21"/>
        </w:rPr>
        <w:t xml:space="preserve">nées de collecte automatisée de </w:t>
      </w:r>
      <w:r>
        <w:rPr>
          <w:rFonts w:ascii="Times-Roman" w:hAnsi="Times-Roman" w:cs="Times-Roman"/>
          <w:sz w:val="21"/>
          <w:szCs w:val="21"/>
        </w:rPr>
        <w:t>données publiquement accessibles afin d’accéder aux données nécessaires.</w:t>
      </w:r>
    </w:p>
    <w:p w:rsidR="00317039" w:rsidRPr="00196BE6" w:rsidRDefault="00317039" w:rsidP="00196BE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6522CF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« </w:t>
      </w:r>
      <w:r w:rsidR="006522CF">
        <w:rPr>
          <w:rFonts w:ascii="Times-Roman" w:hAnsi="Times-Roman" w:cs="Times-Roman"/>
          <w:sz w:val="21"/>
          <w:szCs w:val="21"/>
        </w:rPr>
        <w:t>Il définit les informations et les indicate</w:t>
      </w:r>
      <w:r w:rsidR="00F54ECB">
        <w:rPr>
          <w:rFonts w:ascii="Times-Roman" w:hAnsi="Times-Roman" w:cs="Times-Roman"/>
          <w:sz w:val="21"/>
          <w:szCs w:val="21"/>
        </w:rPr>
        <w:t xml:space="preserve">urs chiffrés que ces opérateurs </w:t>
      </w:r>
      <w:r w:rsidR="006522CF">
        <w:rPr>
          <w:rFonts w:ascii="Times-Roman" w:hAnsi="Times-Roman" w:cs="Times-Roman"/>
          <w:sz w:val="21"/>
          <w:szCs w:val="21"/>
        </w:rPr>
        <w:t>sont tenus de publier en application du 4° de l’</w:t>
      </w:r>
      <w:r w:rsidR="00F54ECB">
        <w:rPr>
          <w:rFonts w:ascii="Times-Roman" w:hAnsi="Times-Roman" w:cs="Times-Roman"/>
          <w:sz w:val="21"/>
          <w:szCs w:val="21"/>
        </w:rPr>
        <w:t xml:space="preserve">article 6-5 ainsi que les </w:t>
      </w:r>
      <w:r w:rsidR="006522CF">
        <w:rPr>
          <w:rFonts w:ascii="Times-Roman" w:hAnsi="Times-Roman" w:cs="Times-Roman"/>
          <w:sz w:val="21"/>
          <w:szCs w:val="21"/>
        </w:rPr>
        <w:t>modalités et la périodicité de cette publication.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6522CF" w:rsidRDefault="006522CF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« Il publie chaque année un bilan de l’</w:t>
      </w:r>
      <w:r w:rsidR="00F54ECB">
        <w:rPr>
          <w:rFonts w:ascii="Times-Roman" w:hAnsi="Times-Roman" w:cs="Times-Roman"/>
          <w:sz w:val="21"/>
          <w:szCs w:val="21"/>
        </w:rPr>
        <w:t xml:space="preserve">application des dispositions du </w:t>
      </w:r>
      <w:r>
        <w:rPr>
          <w:rFonts w:ascii="Times-Roman" w:hAnsi="Times-Roman" w:cs="Times-Roman"/>
          <w:sz w:val="21"/>
          <w:szCs w:val="21"/>
        </w:rPr>
        <w:t>même article 6-5.</w:t>
      </w:r>
    </w:p>
    <w:p w:rsidR="00F54ECB" w:rsidRDefault="00F54ECB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6522CF" w:rsidRDefault="006522CF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« II. – Le Conseil supérieur de l’audiovis</w:t>
      </w:r>
      <w:r w:rsidR="00F54ECB">
        <w:rPr>
          <w:rFonts w:ascii="Times-Roman" w:hAnsi="Times-Roman" w:cs="Times-Roman"/>
          <w:sz w:val="21"/>
          <w:szCs w:val="21"/>
        </w:rPr>
        <w:t xml:space="preserve">uel peut mettre un opérateur en </w:t>
      </w:r>
      <w:r>
        <w:rPr>
          <w:rFonts w:ascii="Times-Roman" w:hAnsi="Times-Roman" w:cs="Times-Roman"/>
          <w:sz w:val="21"/>
          <w:szCs w:val="21"/>
        </w:rPr>
        <w:t>demeure de se conformer, dans le délai qu’</w:t>
      </w:r>
      <w:r w:rsidR="00F54ECB">
        <w:rPr>
          <w:rFonts w:ascii="Times-Roman" w:hAnsi="Times-Roman" w:cs="Times-Roman"/>
          <w:sz w:val="21"/>
          <w:szCs w:val="21"/>
        </w:rPr>
        <w:t xml:space="preserve">il fixe, aux dispositions de </w:t>
      </w:r>
      <w:r>
        <w:rPr>
          <w:rFonts w:ascii="Times-Roman" w:hAnsi="Times-Roman" w:cs="Times-Roman"/>
          <w:sz w:val="21"/>
          <w:szCs w:val="21"/>
        </w:rPr>
        <w:t>l’article 6-5 de la loi n° 2004-575 du 21 juin 2004 précitée.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6522CF" w:rsidRDefault="006522CF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lastRenderedPageBreak/>
        <w:t>« Lorsque l’opérateur ne se conforme pas à l</w:t>
      </w:r>
      <w:r w:rsidR="00F54ECB">
        <w:rPr>
          <w:rFonts w:ascii="Times-Roman" w:hAnsi="Times-Roman" w:cs="Times-Roman"/>
          <w:sz w:val="21"/>
          <w:szCs w:val="21"/>
        </w:rPr>
        <w:t xml:space="preserve">a mise en demeure qui lui </w:t>
      </w:r>
      <w:r>
        <w:rPr>
          <w:rFonts w:ascii="Times-Roman" w:hAnsi="Times-Roman" w:cs="Times-Roman"/>
          <w:sz w:val="21"/>
          <w:szCs w:val="21"/>
        </w:rPr>
        <w:t>est adressée, le Conseil supérieur de l’audiov</w:t>
      </w:r>
      <w:r w:rsidR="00F54ECB">
        <w:rPr>
          <w:rFonts w:ascii="Times-Roman" w:hAnsi="Times-Roman" w:cs="Times-Roman"/>
          <w:sz w:val="21"/>
          <w:szCs w:val="21"/>
        </w:rPr>
        <w:t xml:space="preserve">isuel peut, dans les conditions </w:t>
      </w:r>
      <w:r>
        <w:rPr>
          <w:rFonts w:ascii="Times-Roman" w:hAnsi="Times-Roman" w:cs="Times-Roman"/>
          <w:sz w:val="21"/>
          <w:szCs w:val="21"/>
        </w:rPr>
        <w:t>prévues à l’article 42-7 de la présente loi, pr</w:t>
      </w:r>
      <w:r w:rsidR="00F54ECB">
        <w:rPr>
          <w:rFonts w:ascii="Times-Roman" w:hAnsi="Times-Roman" w:cs="Times-Roman"/>
          <w:sz w:val="21"/>
          <w:szCs w:val="21"/>
        </w:rPr>
        <w:t xml:space="preserve">ononcer une sanction pécuniaire </w:t>
      </w:r>
      <w:r>
        <w:rPr>
          <w:rFonts w:ascii="Times-Roman" w:hAnsi="Times-Roman" w:cs="Times-Roman"/>
          <w:sz w:val="21"/>
          <w:szCs w:val="21"/>
        </w:rPr>
        <w:t>dont le montant prend en considération l</w:t>
      </w:r>
      <w:r w:rsidR="00F54ECB">
        <w:rPr>
          <w:rFonts w:ascii="Times-Roman" w:hAnsi="Times-Roman" w:cs="Times-Roman"/>
          <w:sz w:val="21"/>
          <w:szCs w:val="21"/>
        </w:rPr>
        <w:t xml:space="preserve">a gravité des manquements ainsi </w:t>
      </w:r>
      <w:r>
        <w:rPr>
          <w:rFonts w:ascii="Times-Roman" w:hAnsi="Times-Roman" w:cs="Times-Roman"/>
          <w:sz w:val="21"/>
          <w:szCs w:val="21"/>
        </w:rPr>
        <w:t>que, le cas échéant, leur caractère réitéré, s</w:t>
      </w:r>
      <w:r w:rsidR="00F54ECB">
        <w:rPr>
          <w:rFonts w:ascii="Times-Roman" w:hAnsi="Times-Roman" w:cs="Times-Roman"/>
          <w:sz w:val="21"/>
          <w:szCs w:val="21"/>
        </w:rPr>
        <w:t xml:space="preserve">ans pouvoir excéder 20 millions </w:t>
      </w:r>
      <w:r>
        <w:rPr>
          <w:rFonts w:ascii="Times-Roman" w:hAnsi="Times-Roman" w:cs="Times-Roman"/>
          <w:sz w:val="21"/>
          <w:szCs w:val="21"/>
        </w:rPr>
        <w:t>d’euros ou 6 % du chiffre d’affaires annuel mondial total de l’</w:t>
      </w:r>
      <w:r w:rsidR="00F54ECB">
        <w:rPr>
          <w:rFonts w:ascii="Times-Roman" w:hAnsi="Times-Roman" w:cs="Times-Roman"/>
          <w:sz w:val="21"/>
          <w:szCs w:val="21"/>
        </w:rPr>
        <w:t xml:space="preserve">exercice </w:t>
      </w:r>
      <w:r>
        <w:rPr>
          <w:rFonts w:ascii="Times-Roman" w:hAnsi="Times-Roman" w:cs="Times-Roman"/>
          <w:sz w:val="21"/>
          <w:szCs w:val="21"/>
        </w:rPr>
        <w:t>précédent, le montant le plus élev</w:t>
      </w:r>
      <w:r w:rsidR="00F54ECB">
        <w:rPr>
          <w:rFonts w:ascii="Times-Roman" w:hAnsi="Times-Roman" w:cs="Times-Roman"/>
          <w:sz w:val="21"/>
          <w:szCs w:val="21"/>
        </w:rPr>
        <w:t xml:space="preserve">é étant retenu. Lorsque le même </w:t>
      </w:r>
      <w:r>
        <w:rPr>
          <w:rFonts w:ascii="Times-Roman" w:hAnsi="Times-Roman" w:cs="Times-Roman"/>
          <w:sz w:val="21"/>
          <w:szCs w:val="21"/>
        </w:rPr>
        <w:t>manquement a fait l’objet, dans un autre État, d’</w:t>
      </w:r>
      <w:r w:rsidR="00F54ECB">
        <w:rPr>
          <w:rFonts w:ascii="Times-Roman" w:hAnsi="Times-Roman" w:cs="Times-Roman"/>
          <w:sz w:val="21"/>
          <w:szCs w:val="21"/>
        </w:rPr>
        <w:t xml:space="preserve">une sanction pécuniaire </w:t>
      </w:r>
      <w:r>
        <w:rPr>
          <w:rFonts w:ascii="Times-Roman" w:hAnsi="Times-Roman" w:cs="Times-Roman"/>
          <w:sz w:val="21"/>
          <w:szCs w:val="21"/>
        </w:rPr>
        <w:t>calculée sur la base de cette même assiette, l</w:t>
      </w:r>
      <w:r w:rsidR="00F54ECB">
        <w:rPr>
          <w:rFonts w:ascii="Times-Roman" w:hAnsi="Times-Roman" w:cs="Times-Roman"/>
          <w:sz w:val="21"/>
          <w:szCs w:val="21"/>
        </w:rPr>
        <w:t xml:space="preserve">e montant de cette sanction est </w:t>
      </w:r>
      <w:r>
        <w:rPr>
          <w:rFonts w:ascii="Times-Roman" w:hAnsi="Times-Roman" w:cs="Times-Roman"/>
          <w:sz w:val="21"/>
          <w:szCs w:val="21"/>
        </w:rPr>
        <w:t>pris en compte pour la détermination de la sa</w:t>
      </w:r>
      <w:r w:rsidR="00F54ECB">
        <w:rPr>
          <w:rFonts w:ascii="Times-Roman" w:hAnsi="Times-Roman" w:cs="Times-Roman"/>
          <w:sz w:val="21"/>
          <w:szCs w:val="21"/>
        </w:rPr>
        <w:t xml:space="preserve">nction prononcée en application </w:t>
      </w:r>
      <w:r>
        <w:rPr>
          <w:rFonts w:ascii="Times-Roman" w:hAnsi="Times-Roman" w:cs="Times-Roman"/>
          <w:sz w:val="21"/>
          <w:szCs w:val="21"/>
        </w:rPr>
        <w:t>du présent alinéa.</w:t>
      </w:r>
    </w:p>
    <w:p w:rsidR="00F54ECB" w:rsidRDefault="00F54ECB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6522CF" w:rsidRDefault="006522CF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« Par dérogation au deuxième alinéa du présent II,</w:t>
      </w:r>
      <w:r w:rsidR="00F54ECB">
        <w:rPr>
          <w:rFonts w:ascii="Times-Roman" w:hAnsi="Times-Roman" w:cs="Times-Roman"/>
          <w:sz w:val="21"/>
          <w:szCs w:val="21"/>
        </w:rPr>
        <w:t xml:space="preserve"> le montant de la </w:t>
      </w:r>
      <w:r>
        <w:rPr>
          <w:rFonts w:ascii="Times-Roman" w:hAnsi="Times-Roman" w:cs="Times-Roman"/>
          <w:sz w:val="21"/>
          <w:szCs w:val="21"/>
        </w:rPr>
        <w:t xml:space="preserve">sanction prononcée en cas de refus </w:t>
      </w:r>
      <w:r w:rsidR="00F54ECB">
        <w:rPr>
          <w:rFonts w:ascii="Times-Roman" w:hAnsi="Times-Roman" w:cs="Times-Roman"/>
          <w:sz w:val="21"/>
          <w:szCs w:val="21"/>
        </w:rPr>
        <w:t xml:space="preserve">de communiquer les informations </w:t>
      </w:r>
      <w:r>
        <w:rPr>
          <w:rFonts w:ascii="Times-Roman" w:hAnsi="Times-Roman" w:cs="Times-Roman"/>
          <w:sz w:val="21"/>
          <w:szCs w:val="21"/>
        </w:rPr>
        <w:t>demandées par le régulateur au titre du de</w:t>
      </w:r>
      <w:r w:rsidR="00F54ECB">
        <w:rPr>
          <w:rFonts w:ascii="Times-Roman" w:hAnsi="Times-Roman" w:cs="Times-Roman"/>
          <w:sz w:val="21"/>
          <w:szCs w:val="21"/>
        </w:rPr>
        <w:t xml:space="preserve">uxième alinéa du I ou en cas de </w:t>
      </w:r>
      <w:r>
        <w:rPr>
          <w:rFonts w:ascii="Times-Roman" w:hAnsi="Times-Roman" w:cs="Times-Roman"/>
          <w:sz w:val="21"/>
          <w:szCs w:val="21"/>
        </w:rPr>
        <w:t>communication d’informations fausses ou</w:t>
      </w:r>
      <w:r w:rsidR="00F54ECB">
        <w:rPr>
          <w:rFonts w:ascii="Times-Roman" w:hAnsi="Times-Roman" w:cs="Times-Roman"/>
          <w:sz w:val="21"/>
          <w:szCs w:val="21"/>
        </w:rPr>
        <w:t xml:space="preserve"> trompeuses ne peut excéder 1 % </w:t>
      </w:r>
      <w:r>
        <w:rPr>
          <w:rFonts w:ascii="Times-Roman" w:hAnsi="Times-Roman" w:cs="Times-Roman"/>
          <w:sz w:val="21"/>
          <w:szCs w:val="21"/>
        </w:rPr>
        <w:t>du chiffre d’affaires annuel mondial total de l’exercice précédent.</w:t>
      </w:r>
    </w:p>
    <w:p w:rsidR="00F54ECB" w:rsidRDefault="00F54ECB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6522CF" w:rsidRDefault="006522CF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« Le Conseil supérieur de l’audiovisuel </w:t>
      </w:r>
      <w:r w:rsidR="00F54ECB">
        <w:rPr>
          <w:rFonts w:ascii="Times-Roman" w:hAnsi="Times-Roman" w:cs="Times-Roman"/>
          <w:sz w:val="21"/>
          <w:szCs w:val="21"/>
        </w:rPr>
        <w:t xml:space="preserve">peut rendre publiques les mises </w:t>
      </w:r>
      <w:r>
        <w:rPr>
          <w:rFonts w:ascii="Times-Roman" w:hAnsi="Times-Roman" w:cs="Times-Roman"/>
          <w:sz w:val="21"/>
          <w:szCs w:val="21"/>
        </w:rPr>
        <w:t>en demeure et sanctions qu’il prononce. Il</w:t>
      </w:r>
      <w:r w:rsidR="00F54ECB">
        <w:rPr>
          <w:rFonts w:ascii="Times-Roman" w:hAnsi="Times-Roman" w:cs="Times-Roman"/>
          <w:sz w:val="21"/>
          <w:szCs w:val="21"/>
        </w:rPr>
        <w:t xml:space="preserve"> détermine dans sa décision les </w:t>
      </w:r>
      <w:r>
        <w:rPr>
          <w:rFonts w:ascii="Times-Roman" w:hAnsi="Times-Roman" w:cs="Times-Roman"/>
          <w:sz w:val="21"/>
          <w:szCs w:val="21"/>
        </w:rPr>
        <w:t>modalités de cette publication, qui sont proportionnées à la gravité</w:t>
      </w:r>
      <w:r w:rsidR="00F54ECB">
        <w:rPr>
          <w:rFonts w:ascii="Times-Roman" w:hAnsi="Times-Roman" w:cs="Times-Roman"/>
          <w:sz w:val="21"/>
          <w:szCs w:val="21"/>
        </w:rPr>
        <w:t xml:space="preserve"> du </w:t>
      </w:r>
      <w:r>
        <w:rPr>
          <w:rFonts w:ascii="Times-Roman" w:hAnsi="Times-Roman" w:cs="Times-Roman"/>
          <w:sz w:val="21"/>
          <w:szCs w:val="21"/>
        </w:rPr>
        <w:t>manquement. Il peut également o</w:t>
      </w:r>
      <w:r w:rsidR="00F54ECB">
        <w:rPr>
          <w:rFonts w:ascii="Times-Roman" w:hAnsi="Times-Roman" w:cs="Times-Roman"/>
          <w:sz w:val="21"/>
          <w:szCs w:val="21"/>
        </w:rPr>
        <w:t xml:space="preserve">rdonner leur insertion dans des </w:t>
      </w:r>
      <w:r>
        <w:rPr>
          <w:rFonts w:ascii="Times-Roman" w:hAnsi="Times-Roman" w:cs="Times-Roman"/>
          <w:sz w:val="21"/>
          <w:szCs w:val="21"/>
        </w:rPr>
        <w:t>publications, journaux et supports qu’il désigne, aux frais des opérateurs</w:t>
      </w:r>
      <w:r w:rsidR="00F54ECB">
        <w:rPr>
          <w:rFonts w:ascii="Times-Roman" w:hAnsi="Times-Roman" w:cs="Times-Roman"/>
          <w:sz w:val="21"/>
          <w:szCs w:val="21"/>
        </w:rPr>
        <w:t xml:space="preserve"> </w:t>
      </w:r>
      <w:r>
        <w:rPr>
          <w:rFonts w:ascii="Times-Roman" w:hAnsi="Times-Roman" w:cs="Times-Roman"/>
          <w:sz w:val="21"/>
          <w:szCs w:val="21"/>
        </w:rPr>
        <w:t>faisant l’objet de la mise en demeure ou de la sanction.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6522CF" w:rsidRDefault="006522CF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« Les sanctions pécuniaires sont recouvrées comme les cré</w:t>
      </w:r>
      <w:r w:rsidR="00F54ECB">
        <w:rPr>
          <w:rFonts w:ascii="Times-Roman" w:hAnsi="Times-Roman" w:cs="Times-Roman"/>
          <w:sz w:val="21"/>
          <w:szCs w:val="21"/>
        </w:rPr>
        <w:t xml:space="preserve">ances de </w:t>
      </w:r>
      <w:r>
        <w:rPr>
          <w:rFonts w:ascii="Times-Roman" w:hAnsi="Times-Roman" w:cs="Times-Roman"/>
          <w:sz w:val="21"/>
          <w:szCs w:val="21"/>
        </w:rPr>
        <w:t>l’État étrangères à l’impôt et au domaine. » ;</w:t>
      </w:r>
    </w:p>
    <w:p w:rsidR="001048BC" w:rsidRDefault="001048BC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</w:p>
    <w:p w:rsidR="006522CF" w:rsidRDefault="006522CF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4° Après le mot : « résultant », la fin du premier alinéa de l’</w:t>
      </w:r>
      <w:r w:rsidR="00F54ECB">
        <w:rPr>
          <w:rFonts w:ascii="Times-Roman" w:hAnsi="Times-Roman" w:cs="Times-Roman"/>
          <w:sz w:val="21"/>
          <w:szCs w:val="21"/>
        </w:rPr>
        <w:t xml:space="preserve">article 108 </w:t>
      </w:r>
      <w:r>
        <w:rPr>
          <w:rFonts w:ascii="Times-Roman" w:hAnsi="Times-Roman" w:cs="Times-Roman"/>
          <w:sz w:val="21"/>
          <w:szCs w:val="21"/>
        </w:rPr>
        <w:t xml:space="preserve">est ainsi rédigée : « de la loi n° </w:t>
      </w:r>
      <w:r w:rsidR="001048BC">
        <w:rPr>
          <w:rFonts w:ascii="Times-Roman" w:hAnsi="Times-Roman" w:cs="Times-Roman"/>
          <w:sz w:val="21"/>
          <w:szCs w:val="21"/>
        </w:rPr>
        <w:t xml:space="preserve">     </w:t>
      </w:r>
      <w:r>
        <w:rPr>
          <w:rFonts w:ascii="Times-Roman" w:hAnsi="Times-Roman" w:cs="Times-Roman"/>
          <w:sz w:val="21"/>
          <w:szCs w:val="21"/>
        </w:rPr>
        <w:t xml:space="preserve">du </w:t>
      </w:r>
      <w:r w:rsidR="001048BC">
        <w:rPr>
          <w:rFonts w:ascii="Times-Roman" w:hAnsi="Times-Roman" w:cs="Times-Roman"/>
          <w:sz w:val="21"/>
          <w:szCs w:val="21"/>
        </w:rPr>
        <w:t xml:space="preserve">     </w:t>
      </w:r>
      <w:r>
        <w:rPr>
          <w:rFonts w:ascii="Times-Roman" w:hAnsi="Times-Roman" w:cs="Times-Roman"/>
          <w:sz w:val="21"/>
          <w:szCs w:val="21"/>
        </w:rPr>
        <w:t>conf</w:t>
      </w:r>
      <w:r w:rsidR="00F54ECB">
        <w:rPr>
          <w:rFonts w:ascii="Times-Roman" w:hAnsi="Times-Roman" w:cs="Times-Roman"/>
          <w:sz w:val="21"/>
          <w:szCs w:val="21"/>
        </w:rPr>
        <w:t xml:space="preserve">ortant le respect des principes </w:t>
      </w:r>
      <w:r>
        <w:rPr>
          <w:rFonts w:ascii="Times-Roman" w:hAnsi="Times-Roman" w:cs="Times-Roman"/>
          <w:sz w:val="21"/>
          <w:szCs w:val="21"/>
        </w:rPr>
        <w:t>de la République. »</w:t>
      </w:r>
    </w:p>
    <w:p w:rsidR="00317039" w:rsidRPr="00196BE6" w:rsidRDefault="00317039" w:rsidP="00196BE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bookmarkStart w:id="0" w:name="_GoBack"/>
    </w:p>
    <w:bookmarkEnd w:id="0"/>
    <w:p w:rsidR="006522CF" w:rsidRPr="00F54ECB" w:rsidRDefault="006522CF" w:rsidP="00F54EC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III. – Les dispositions du présent article s’appliquent jusqu’</w:t>
      </w:r>
      <w:r w:rsidR="00F54ECB">
        <w:rPr>
          <w:rFonts w:ascii="Times-Roman" w:hAnsi="Times-Roman" w:cs="Times-Roman"/>
          <w:sz w:val="21"/>
          <w:szCs w:val="21"/>
        </w:rPr>
        <w:t xml:space="preserve">au </w:t>
      </w:r>
      <w:r>
        <w:rPr>
          <w:rFonts w:ascii="Times-Roman" w:hAnsi="Times-Roman" w:cs="Times-Roman"/>
          <w:sz w:val="21"/>
          <w:szCs w:val="21"/>
        </w:rPr>
        <w:t>31 décembre 2023.</w:t>
      </w:r>
    </w:p>
    <w:sectPr w:rsidR="006522CF" w:rsidRPr="00F54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F1FF0"/>
    <w:multiLevelType w:val="hybridMultilevel"/>
    <w:tmpl w:val="70DE856A"/>
    <w:lvl w:ilvl="0" w:tplc="73F84A00">
      <w:start w:val="1"/>
      <w:numFmt w:val="lowerLetter"/>
      <w:lvlText w:val="%1)"/>
      <w:lvlJc w:val="left"/>
      <w:pPr>
        <w:ind w:left="720" w:hanging="360"/>
      </w:pPr>
      <w:rPr>
        <w:rFonts w:ascii="Times-Italic" w:hAnsi="Times-Italic" w:cs="Times-Italic"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28D"/>
    <w:rsid w:val="001048BC"/>
    <w:rsid w:val="00134B73"/>
    <w:rsid w:val="00196BE6"/>
    <w:rsid w:val="00317039"/>
    <w:rsid w:val="00485A93"/>
    <w:rsid w:val="004E021A"/>
    <w:rsid w:val="006522CF"/>
    <w:rsid w:val="00694BF3"/>
    <w:rsid w:val="00994AE4"/>
    <w:rsid w:val="009C128D"/>
    <w:rsid w:val="00F02A14"/>
    <w:rsid w:val="00F54ECB"/>
    <w:rsid w:val="00FD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22478-4E01-4C1D-9BE7-99AC4826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021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02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2A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2964</Words>
  <Characters>16308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19234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RUBIN Chantal</dc:creator>
  <cp:keywords/>
  <dc:description/>
  <cp:lastModifiedBy>SOURY-LAVERGNE Blaise</cp:lastModifiedBy>
  <cp:revision>6</cp:revision>
  <dcterms:created xsi:type="dcterms:W3CDTF">2021-03-12T11:39:00Z</dcterms:created>
  <dcterms:modified xsi:type="dcterms:W3CDTF">2021-03-12T12:08:00Z</dcterms:modified>
</cp:coreProperties>
</file>