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D6B3F" w14:textId="7829813E" w:rsidR="005468F3" w:rsidRPr="00B10BD4" w:rsidRDefault="005468F3" w:rsidP="002576A9">
      <w:pPr>
        <w:pStyle w:val="Rubrik1"/>
        <w:rPr>
          <w:b w:val="0"/>
          <w:bCs w:val="0"/>
          <w:sz w:val="23"/>
          <w:szCs w:val="22"/>
          <w:rFonts w:cstheme="minorBidi"/>
        </w:rPr>
      </w:pPr>
      <w:r>
        <w:rPr>
          <w:b w:val="0"/>
          <w:sz w:val="23"/>
        </w:rPr>
        <w:t xml:space="preserve">PROJEKT</w:t>
      </w:r>
    </w:p>
    <w:p w14:paraId="7A97F98B" w14:textId="77777777" w:rsidR="005468F3" w:rsidRPr="00B10BD4" w:rsidRDefault="005468F3" w:rsidP="005F75D2">
      <w:pPr>
        <w:pStyle w:val="Brdtext"/>
        <w:pBdr>
          <w:top w:val="single" w:sz="6" w:space="1" w:color="auto"/>
        </w:pBdr>
        <w:ind w:right="-2411"/>
        <w:rPr>
          <w:sz w:val="4"/>
          <w:szCs w:val="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696DB" wp14:editId="60C653E1">
                <wp:simplePos x="0" y="0"/>
                <wp:positionH relativeFrom="page">
                  <wp:posOffset>5400675</wp:posOffset>
                </wp:positionH>
                <wp:positionV relativeFrom="page">
                  <wp:posOffset>1842770</wp:posOffset>
                </wp:positionV>
                <wp:extent cx="1551305" cy="712470"/>
                <wp:effectExtent l="0" t="0" r="0" b="0"/>
                <wp:wrapNone/>
                <wp:docPr id="7" name="Textruta 7" descr="Ruta som innehåller SFS-nummer och publiceringsdat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9EC09" w14:textId="239FAAC7" w:rsidR="00367BE5" w:rsidRPr="00AE1FEB" w:rsidRDefault="00367BE5" w:rsidP="009C4782">
                            <w:pPr>
                              <w:pStyle w:val="Brd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696DB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alt="Ruta som innehåller SFS-nummer och publiceringsdatum" style="position:absolute;left:0;text-align:left;margin-left:425.25pt;margin-top:145.1pt;width:122.15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AouAIAAMgFAAAOAAAAZHJzL2Uyb0RvYy54bWysVEtu2zAQ3RfoHQjuE9mOHbdG5MBN4KJA&#10;kARxiqxpioyEkhyWpCy59+lJerEOKfnTNJsU3Ugk5//mzVxctlqRjXC+ApPT4emAEmE4FJV5zunX&#10;x+XJB0p8YKZgCozI6VZ4ejl//+6isTMxghJUIRxBJ8bPGpvTMgQ7yzLPS6GZPwUrDAolOM0CXt1z&#10;VjjWoHetstFgcJ414ArrgAvv8fW6E9J58i+l4OFOSi8CUTnF3EL6uvRdx282v2CzZ8dsWfE+DfYP&#10;WWhWGQy6d3XNAiO1q/5ypSvuwIMMpxx0BlJWXKQasJrh4EU1q5JZkWpBcLzdw+T/n1t+u7l3pCpy&#10;OqXEMI0tehRtcDXmjy+F8BzReohXD5pUxojy10+lsGmr5erE1FrjEXhJbL1WWIzDLviChVpHbBvr&#10;ZxhiZTFIaD9BixzZvXt8jJC10un4RzAIyrFL231nMBXCo9FkMjwbTCjhKJsOR+Npal12sLbOh88C&#10;U4yHnDrsfGoI29z4gJmg6k4lBvOgqmJZKZUukW3iSjmyYcgTFVKOaPGHljKkyen52WSQHBuI5p1n&#10;ZaIbkfjWh4uVdxWmU9gqEXWUeRAS8U6FvhKbcS7MPn7SjloSQ73FsNc/ZPUW464OtEiRwYS9sa4M&#10;uFR9GtADZMW3HWSy00fAj+qOx9Cu254Rayi2SAgH3Th6y5cVdu2G+XDPHM4fcgB3SrjDj1SAqEN/&#10;oqQE9+O196iPY4FSShqc55z67zVzghL1xeDAfByOx3EBpMt4Mh3hxR1L1scS5PUVIBWGuL0sT8eo&#10;H9TuKB3oJ1w9ixgVRcxwjJ3TsDtehW7L4OriYrFISjjyloUbs7I8uo7wRk4+tk/M2Z64ASl/C7vJ&#10;Z7MX/O10o6WBRR1AVoncEeAO1R54XBeJ8/1qi/vo+J60Dgt4/hsAAP//AwBQSwMEFAAGAAgAAAAh&#10;AGWaWgzjAAAADAEAAA8AAABkcnMvZG93bnJldi54bWxMj8tOwzAQRfdI/QdrKrFB1CZNoE0zqRAC&#10;KrGj4SF2buwmEfE4it0k/D3uCpajObr33Gw7mZYNuneNJYSbhQCmqbSqoQrhrXi6XgFzXpKSrSWN&#10;8KMdbPPZRSZTZUd61cPeVyyEkEslQu19l3Luylob6Ra20xR+R9sb6cPZV1z1cgzhpuWRELfcyIZC&#10;Qy07/VDr8nt/MghfV9Xni5ue38dlsuwed0Nx96EKxMv5dL8B5vXk/2A46wd1yIPTwZ5IOdYirBKR&#10;BBQhWosI2JkQ6zisOSDEIoqB5xn/PyL/BQAA//8DAFBLAQItABQABgAIAAAAIQC2gziS/gAAAOEB&#10;AAATAAAAAAAAAAAAAAAAAAAAAABbQ29udGVudF9UeXBlc10ueG1sUEsBAi0AFAAGAAgAAAAhADj9&#10;If/WAAAAlAEAAAsAAAAAAAAAAAAAAAAALwEAAF9yZWxzLy5yZWxzUEsBAi0AFAAGAAgAAAAhAG7I&#10;gCi4AgAAyAUAAA4AAAAAAAAAAAAAAAAALgIAAGRycy9lMm9Eb2MueG1sUEsBAi0AFAAGAAgAAAAh&#10;AGWaWgzjAAAADAEAAA8AAAAAAAAAAAAAAAAAEgUAAGRycy9kb3ducmV2LnhtbFBLBQYAAAAABAAE&#10;APMAAAAiBgAAAAA=&#10;" fillcolor="white [3201]" stroked="f" strokeweight=".5pt">
                <v:textbox>
                  <w:txbxContent>
                    <w:p w14:paraId="5719EC09" w14:textId="239FAAC7" w:rsidR="00367BE5" w:rsidRPr="00AE1FEB" w:rsidRDefault="00367BE5" w:rsidP="009C4782">
                      <w:pPr>
                        <w:pStyle w:val="Brdtex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4D4966" w14:textId="41D4183D" w:rsidR="005468F3" w:rsidRPr="00B10BD4" w:rsidRDefault="005468F3" w:rsidP="005F75D2">
      <w:pPr>
        <w:pStyle w:val="Rubrik2"/>
        <w:spacing w:before="200"/>
      </w:pPr>
      <w:bookmarkStart w:id="0" w:name="Titel"/>
      <w:r>
        <w:t xml:space="preserve">Rozporządzenie w sprawie produktów jednorazowego użytku</w:t>
      </w:r>
    </w:p>
    <w:bookmarkEnd w:id="0"/>
    <w:p w14:paraId="3705AA4B" w14:textId="07B46DF5" w:rsidR="005468F3" w:rsidRPr="00B10BD4" w:rsidRDefault="005468F3" w:rsidP="009C4782">
      <w:pPr>
        <w:pStyle w:val="Brdtext"/>
      </w:pPr>
    </w:p>
    <w:p w14:paraId="3BE1AD2D" w14:textId="2FEB01D5" w:rsidR="005468F3" w:rsidRPr="00B10BD4" w:rsidRDefault="005468F3" w:rsidP="009C4782">
      <w:pPr>
        <w:pStyle w:val="Brdtext"/>
      </w:pPr>
      <w:r>
        <w:t xml:space="preserve">Rząd Szwecji niniejszym ustanawia</w:t>
      </w:r>
      <w:r w:rsidRPr="00B10BD4">
        <w:rPr>
          <w:rStyle w:val="Fotnotsreferens"/>
        </w:rPr>
        <w:footnoteReference w:id="2"/>
      </w:r>
      <w:r>
        <w:t xml:space="preserve">, co następuje.</w:t>
      </w:r>
    </w:p>
    <w:p w14:paraId="59DB5096" w14:textId="77777777" w:rsidR="005468F3" w:rsidRPr="00B10BD4" w:rsidRDefault="005468F3" w:rsidP="005468F3">
      <w:pPr>
        <w:pStyle w:val="Brdtextmedindrag"/>
        <w:ind w:firstLine="0"/>
      </w:pPr>
    </w:p>
    <w:p w14:paraId="4DAF7F4E" w14:textId="77777777" w:rsidR="005468F3" w:rsidRPr="00B10BD4" w:rsidRDefault="005468F3" w:rsidP="005468F3">
      <w:pPr>
        <w:pStyle w:val="Brdtext"/>
      </w:pPr>
      <w:r>
        <w:rPr>
          <w:b/>
        </w:rPr>
        <w:t xml:space="preserve">§ 1 </w:t>
      </w:r>
      <w:r>
        <w:t xml:space="preserve">Niniejsze rozporządzenie jest wydawane na mocy</w:t>
      </w:r>
      <w:r>
        <w:t xml:space="preserve"> </w:t>
      </w:r>
    </w:p>
    <w:p w14:paraId="60B3B3FE" w14:textId="6DC83533" w:rsidR="005468F3" w:rsidRPr="00B10BD4" w:rsidRDefault="005468F3" w:rsidP="005468F3">
      <w:pPr>
        <w:pStyle w:val="Brdtextmedindrag"/>
      </w:pPr>
      <w:r>
        <w:t xml:space="preserve">— Rozdział 15 § 40 Kodeksu ochrony środowiska w odniesieniu do §§ 13-30,</w:t>
      </w:r>
    </w:p>
    <w:p w14:paraId="690CFD40" w14:textId="0EAC24C0" w:rsidR="005468F3" w:rsidRPr="00B10BD4" w:rsidRDefault="005468F3" w:rsidP="005468F3">
      <w:pPr>
        <w:pStyle w:val="Brdtextmedindrag"/>
      </w:pPr>
      <w:r>
        <w:t xml:space="preserve">– Rozdział 8, § 11 aktu rządowego w odniesieniu do § 35, oraz</w:t>
      </w:r>
    </w:p>
    <w:p w14:paraId="325C6242" w14:textId="77777777" w:rsidR="005468F3" w:rsidRPr="00B10BD4" w:rsidRDefault="005468F3" w:rsidP="005468F3">
      <w:pPr>
        <w:pStyle w:val="Brdtextmedindrag"/>
      </w:pPr>
      <w:r>
        <w:t xml:space="preserve">– Rozdział 8, § 7 aktu rządowego w odniesieniu do innych przepisów.</w:t>
      </w:r>
    </w:p>
    <w:p w14:paraId="1D3247EF" w14:textId="77777777" w:rsidR="005468F3" w:rsidRPr="00B10BD4" w:rsidRDefault="005468F3" w:rsidP="000918F8">
      <w:pPr>
        <w:pStyle w:val="Rubrik4"/>
      </w:pPr>
      <w:r>
        <w:t xml:space="preserve">Cel rozporządzenia</w:t>
      </w:r>
    </w:p>
    <w:p w14:paraId="32463151" w14:textId="0D7E8DA6" w:rsidR="0015788B" w:rsidRPr="00B10BD4" w:rsidRDefault="005468F3" w:rsidP="005468F3">
      <w:pPr>
        <w:pStyle w:val="Brdtextmedindrag"/>
        <w:ind w:firstLine="0"/>
      </w:pPr>
      <w:r>
        <w:rPr>
          <w:b/>
        </w:rPr>
        <w:t xml:space="preserve">§ 2 </w:t>
      </w:r>
      <w:r>
        <w:t xml:space="preserve">Celem tego rozporządzenia jest ograniczenie zaśmiecania i promowanie gospodarki o obiegu zamkniętym.</w:t>
      </w:r>
      <w:r>
        <w:t xml:space="preserve"> </w:t>
      </w:r>
    </w:p>
    <w:p w14:paraId="3E594C62" w14:textId="34ADAC2F" w:rsidR="005468F3" w:rsidRPr="00B10BD4" w:rsidRDefault="005468F3" w:rsidP="00C073DB">
      <w:pPr>
        <w:pStyle w:val="Rubrik4"/>
      </w:pPr>
      <w:r>
        <w:t xml:space="preserve">Definicje</w:t>
      </w:r>
    </w:p>
    <w:p w14:paraId="02D41004" w14:textId="4FB7FD12" w:rsidR="005468F3" w:rsidRPr="00B10BD4" w:rsidRDefault="003469C8" w:rsidP="005468F3">
      <w:pPr>
        <w:pStyle w:val="Brdtext"/>
        <w:keepNext/>
      </w:pPr>
      <w:r>
        <w:rPr>
          <w:b/>
        </w:rPr>
        <w:t xml:space="preserve">§ 3 </w:t>
      </w:r>
      <w:r>
        <w:t xml:space="preserve">W niniejszym rozporządzeniu </w:t>
      </w:r>
      <w:r>
        <w:rPr>
          <w:i/>
        </w:rPr>
        <w:t xml:space="preserve">polimer</w:t>
      </w:r>
      <w:r>
        <w:t xml:space="preserve"> ma znaczenie określone w art. 3.5 Rozporządzenia (WE) nr 1907/2006 Parlamentu Europejskiego i Rady z dnia 18 grudnia 2006 r. w sprawie rejestracji, oceny, udzielania zezwoleń i stosowanych ograniczeń w zakresie chemikaliów (Reach), utworzenia Europejskiej Agencji Chemikaliów, zmieniającego dyrektywę 1999/45/WE oraz uchylającego rozporządzenie Rady (EWG) nr 793/93 i rozporządzenie Komisji (WE) nr 1488/94, jak również Dyrektywę Rady 76/769/EWG i Dyrektywy Komisji 91/155/EWG, 93/67/EWG, 93/105/WE i 2000/21/WE.</w:t>
      </w:r>
    </w:p>
    <w:p w14:paraId="1C7716B6" w14:textId="77777777" w:rsidR="005468F3" w:rsidRPr="00B10BD4" w:rsidRDefault="005468F3" w:rsidP="005468F3">
      <w:pPr>
        <w:pStyle w:val="Brdtextmedindrag"/>
      </w:pPr>
    </w:p>
    <w:p w14:paraId="1FAF12DF" w14:textId="607471C8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§ 4 </w:t>
      </w:r>
      <w:r>
        <w:t xml:space="preserve">W niniejszym rozporządzeniu </w:t>
      </w:r>
      <w:r>
        <w:rPr>
          <w:i/>
        </w:rPr>
        <w:t xml:space="preserve">tworzywo sztuczne</w:t>
      </w:r>
      <w:r>
        <w:t xml:space="preserve"> oznacza polimer, który może funkcjonować jako główny składnik strukturalny produktów końcowych, </w:t>
      </w:r>
      <w:bookmarkStart w:id="1" w:name="_Hlk49851962"/>
      <w:r>
        <w:t xml:space="preserve">niezależnie od tego, czy do polimeru zostały dodane dodatki lub inne substancje.</w:t>
      </w:r>
    </w:p>
    <w:bookmarkEnd w:id="1"/>
    <w:p w14:paraId="1A73BBD2" w14:textId="77777777" w:rsidR="005468F3" w:rsidRPr="00B10BD4" w:rsidRDefault="005468F3" w:rsidP="005468F3">
      <w:pPr>
        <w:pStyle w:val="Brdtextmedindrag"/>
      </w:pPr>
      <w:r>
        <w:t xml:space="preserve">Tworzywo sztuczne nie oznacza polimeru występującego naturalnie w środowisku, który nie został zmodyfikowany chemicznie.</w:t>
      </w:r>
      <w:r>
        <w:t xml:space="preserve"> </w:t>
      </w:r>
    </w:p>
    <w:p w14:paraId="64F933B7" w14:textId="77777777" w:rsidR="005468F3" w:rsidRPr="00B10BD4" w:rsidRDefault="005468F3" w:rsidP="005468F3">
      <w:pPr>
        <w:pStyle w:val="Brdtextmedindrag"/>
      </w:pPr>
    </w:p>
    <w:p w14:paraId="4741D7CF" w14:textId="6E3DE21E" w:rsidR="005468F3" w:rsidRPr="00B10BD4" w:rsidRDefault="003469C8" w:rsidP="005468F3">
      <w:pPr>
        <w:pStyle w:val="Brdtext"/>
        <w:keepNext/>
      </w:pPr>
      <w:r>
        <w:rPr>
          <w:b/>
        </w:rPr>
        <w:t xml:space="preserve">§ 5    </w:t>
      </w:r>
      <w:r>
        <w:t xml:space="preserve">W niniejszym Rozporządzeniu</w:t>
      </w:r>
    </w:p>
    <w:p w14:paraId="4401025B" w14:textId="77777777" w:rsidR="005468F3" w:rsidRPr="00B10BD4" w:rsidRDefault="005468F3" w:rsidP="005468F3">
      <w:pPr>
        <w:pStyle w:val="Brdtextmedindrag"/>
        <w:rPr>
          <w:iCs/>
        </w:rPr>
      </w:pPr>
      <w:r>
        <w:rPr>
          <w:i/>
        </w:rPr>
        <w:t xml:space="preserve">dostarczać na rynek szwedzki</w:t>
      </w:r>
      <w:r>
        <w:t xml:space="preserve">:środki umożliwiające udostępnienie produktu do dystrybucji, konsumpcji lub użytkowania na rynku szwedzkim za opłatą lub nieodpłatnie w ramach działalności zawodowej, oraz</w:t>
      </w:r>
    </w:p>
    <w:p w14:paraId="75C434F2" w14:textId="77777777" w:rsidR="005468F3" w:rsidRPr="00B10BD4" w:rsidRDefault="005468F3" w:rsidP="005468F3">
      <w:pPr>
        <w:pStyle w:val="Brdtextmedindrag"/>
        <w:rPr>
          <w:iCs/>
        </w:rPr>
      </w:pPr>
      <w:r>
        <w:rPr>
          <w:i/>
        </w:rPr>
        <w:t xml:space="preserve">miejsce na rynku szwedzkim</w:t>
      </w:r>
      <w:r>
        <w:t xml:space="preserve">: oznacza dostarczenie produktu na rynek szwedzki po raz pierwszy.</w:t>
      </w:r>
    </w:p>
    <w:p w14:paraId="03302A98" w14:textId="77777777" w:rsidR="005468F3" w:rsidRPr="00B10BD4" w:rsidRDefault="005468F3" w:rsidP="005468F3">
      <w:pPr>
        <w:pStyle w:val="Brdtextmedindrag"/>
        <w:rPr>
          <w:iCs/>
        </w:rPr>
      </w:pPr>
    </w:p>
    <w:p w14:paraId="69DEB44D" w14:textId="57187848" w:rsidR="005468F3" w:rsidRPr="00B10BD4" w:rsidRDefault="003469C8" w:rsidP="005468F3">
      <w:pPr>
        <w:pStyle w:val="Brdtextmedindrag"/>
        <w:ind w:firstLine="0"/>
        <w:rPr>
          <w:i/>
        </w:rPr>
      </w:pPr>
      <w:r>
        <w:rPr>
          <w:b/>
        </w:rPr>
        <w:t xml:space="preserve">§ 6    </w:t>
      </w:r>
      <w:r>
        <w:t xml:space="preserve">W niniejszym Rozporządzeniu</w:t>
      </w:r>
      <w:r>
        <w:rPr>
          <w:i/>
        </w:rPr>
        <w:t xml:space="preserve"> </w:t>
      </w:r>
    </w:p>
    <w:p w14:paraId="1FB7D8D3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produkt jednorazowego użytku</w:t>
      </w:r>
      <w:r>
        <w:t xml:space="preserve"> oznacza produkt, który nie został stworzony, zaprojektowany lub wprowadzony na rynek szwedzki w celu odbycia w ciągu swojego cyklu życia wielokrotnych podróży lub rotacji poprzez ponowne użycie do tego samego celu, do którego został stworzony, lub poprzez zwrócenie go producentowi w celu ponownego napełnienia, oraz</w:t>
      </w:r>
    </w:p>
    <w:p w14:paraId="6B05E1E1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produkt jednorazowego użytku z tworzyw sztucznych</w:t>
      </w:r>
      <w:r>
        <w:t xml:space="preserve">: oznacza produkt jednorazowego użytku wykonany w całości lub w części z tworzywa sztucznego.</w:t>
      </w:r>
    </w:p>
    <w:p w14:paraId="5BB75CAA" w14:textId="77777777" w:rsidR="005468F3" w:rsidRPr="00B10BD4" w:rsidRDefault="005468F3" w:rsidP="005468F3">
      <w:pPr>
        <w:pStyle w:val="Brdtextmedindrag"/>
        <w:rPr>
          <w:iCs/>
        </w:rPr>
      </w:pPr>
    </w:p>
    <w:p w14:paraId="246ABD33" w14:textId="60CB44D6" w:rsidR="005468F3" w:rsidRPr="00B10BD4" w:rsidRDefault="003469C8" w:rsidP="005468F3">
      <w:pPr>
        <w:pStyle w:val="Brdtext"/>
        <w:rPr>
          <w:i/>
        </w:rPr>
      </w:pPr>
      <w:r>
        <w:rPr>
          <w:b/>
        </w:rPr>
        <w:t xml:space="preserve">§ 7     </w:t>
      </w:r>
      <w:r>
        <w:t xml:space="preserve">W niniejszym Rozporządzeniu</w:t>
      </w:r>
      <w:r>
        <w:t xml:space="preserve"> </w:t>
      </w:r>
    </w:p>
    <w:p w14:paraId="2DE92665" w14:textId="62C0AC9A" w:rsidR="005468F3" w:rsidRPr="00B10BD4" w:rsidRDefault="005468F3" w:rsidP="005468F3">
      <w:pPr>
        <w:pStyle w:val="Brdtextmedindrag"/>
      </w:pPr>
      <w:r>
        <w:rPr>
          <w:i/>
        </w:rPr>
        <w:t xml:space="preserve">kubek</w:t>
      </w:r>
      <w:r>
        <w:t xml:space="preserve">: oznacza szklankę, filiżankę lub kubek, z pokrywką lub bez, przeznaczone do napojów zimnych lub gorących, które zwykle pije się bezpośrednio z kubka,</w:t>
      </w:r>
      <w:r>
        <w:t xml:space="preserve"> </w:t>
      </w:r>
    </w:p>
    <w:p w14:paraId="6472B480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kubek jednorazowego użytku</w:t>
      </w:r>
      <w:r>
        <w:t xml:space="preserve">: oznacza kubek będący produktem jednorazowego użytku oraz</w:t>
      </w:r>
    </w:p>
    <w:p w14:paraId="1F837B1A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pojemnik na napoje</w:t>
      </w:r>
      <w:r>
        <w:t xml:space="preserve">: oznacza plastikową butelkę, opakowanie złożone lub inny pojemnik, który</w:t>
      </w:r>
      <w:r>
        <w:t xml:space="preserve"> </w:t>
      </w:r>
    </w:p>
    <w:p w14:paraId="12165DCE" w14:textId="77777777" w:rsidR="005468F3" w:rsidRPr="00B10BD4" w:rsidRDefault="005468F3" w:rsidP="005468F3">
      <w:pPr>
        <w:pStyle w:val="Brdtextmedindrag"/>
      </w:pPr>
      <w:r>
        <w:t xml:space="preserve">1. jest produktem jednorazowego użytku z tworzywa sztucznego,</w:t>
      </w:r>
    </w:p>
    <w:p w14:paraId="7F1954A4" w14:textId="77777777" w:rsidR="005468F3" w:rsidRPr="00B10BD4" w:rsidRDefault="005468F3" w:rsidP="005468F3">
      <w:pPr>
        <w:pStyle w:val="Brdtextmedindrag"/>
      </w:pPr>
      <w:r>
        <w:t xml:space="preserve">2. ma pojemność do trzech litrów,</w:t>
      </w:r>
      <w:r>
        <w:t xml:space="preserve"> </w:t>
      </w:r>
    </w:p>
    <w:p w14:paraId="09D1093F" w14:textId="77777777" w:rsidR="005468F3" w:rsidRPr="00B10BD4" w:rsidRDefault="005468F3" w:rsidP="005468F3">
      <w:pPr>
        <w:pStyle w:val="Brdtextmedindrag"/>
      </w:pPr>
      <w:r>
        <w:t xml:space="preserve">3. jest przeznaczony do napojów, oraz</w:t>
      </w:r>
    </w:p>
    <w:p w14:paraId="47AE724B" w14:textId="61386166" w:rsidR="00D5396B" w:rsidRPr="00B10BD4" w:rsidRDefault="005468F3" w:rsidP="00A95177">
      <w:pPr>
        <w:pStyle w:val="Brdtextmedindrag"/>
      </w:pPr>
      <w:r>
        <w:t xml:space="preserve">4. nie jest filiżanką.</w:t>
      </w:r>
    </w:p>
    <w:p w14:paraId="7E6D81FC" w14:textId="77777777" w:rsidR="005468F3" w:rsidRPr="00B10BD4" w:rsidRDefault="005468F3" w:rsidP="005468F3">
      <w:pPr>
        <w:pStyle w:val="Brdtextmedindrag"/>
      </w:pPr>
    </w:p>
    <w:p w14:paraId="4A20950F" w14:textId="711CA80C" w:rsidR="005468F3" w:rsidRPr="00B10BD4" w:rsidRDefault="003469C8" w:rsidP="005468F3">
      <w:pPr>
        <w:pStyle w:val="Brdtextmedindrag"/>
        <w:ind w:firstLine="0"/>
        <w:rPr>
          <w:i/>
        </w:rPr>
      </w:pPr>
      <w:r>
        <w:rPr>
          <w:b/>
        </w:rPr>
        <w:t xml:space="preserve">§ 8     </w:t>
      </w:r>
      <w:bookmarkStart w:id="2" w:name="_Hlk39491428"/>
      <w:r>
        <w:t xml:space="preserve">W niniejszym Rozporządzeniu</w:t>
      </w:r>
      <w:r>
        <w:rPr>
          <w:i/>
        </w:rPr>
        <w:t xml:space="preserve"> </w:t>
      </w:r>
    </w:p>
    <w:p w14:paraId="2E7F7BAD" w14:textId="095A9ADD" w:rsidR="00613113" w:rsidRPr="00B10BD4" w:rsidRDefault="00613113" w:rsidP="005468F3">
      <w:pPr>
        <w:pStyle w:val="Brdtextmedindrag"/>
        <w:rPr>
          <w:iCs/>
        </w:rPr>
      </w:pPr>
      <w:bookmarkStart w:id="3" w:name="_Hlk37753820"/>
      <w:r>
        <w:rPr>
          <w:i/>
        </w:rPr>
        <w:t xml:space="preserve">żywność: </w:t>
      </w:r>
      <w:r>
        <w:t xml:space="preserve"> oznacza żywność, która nie jest napojami,</w:t>
      </w:r>
    </w:p>
    <w:p w14:paraId="5F034BAC" w14:textId="7A8A80E3" w:rsidR="005468F3" w:rsidRPr="00B10BD4" w:rsidRDefault="005468F3" w:rsidP="005468F3">
      <w:pPr>
        <w:pStyle w:val="Brdtextmedindrag"/>
      </w:pPr>
      <w:r>
        <w:rPr>
          <w:i/>
        </w:rPr>
        <w:t xml:space="preserve">fast food:</w:t>
      </w:r>
      <w:r>
        <w:t xml:space="preserve"> </w:t>
      </w:r>
      <w:bookmarkStart w:id="4" w:name="_Hlk23153179"/>
      <w:r>
        <w:t xml:space="preserve">oznacza żywność, która:</w:t>
      </w:r>
      <w:r>
        <w:t xml:space="preserve"> </w:t>
      </w:r>
    </w:p>
    <w:p w14:paraId="1C7ADC8E" w14:textId="77777777" w:rsidR="005468F3" w:rsidRPr="00B10BD4" w:rsidRDefault="005468F3" w:rsidP="005468F3">
      <w:pPr>
        <w:pStyle w:val="Brdtextmedindrag"/>
      </w:pPr>
      <w:r>
        <w:t xml:space="preserve">1. jest przeznaczona do spożycia bezpośrednio lub w bliskiej odległości od punktu sprzedaży,</w:t>
      </w:r>
      <w:r>
        <w:t xml:space="preserve"> </w:t>
      </w:r>
    </w:p>
    <w:p w14:paraId="306BE99C" w14:textId="77777777" w:rsidR="005468F3" w:rsidRPr="00B10BD4" w:rsidRDefault="005468F3" w:rsidP="005468F3">
      <w:pPr>
        <w:pStyle w:val="Brdtextmedindrag"/>
      </w:pPr>
      <w:bookmarkStart w:id="5" w:name="_Hlk38459579"/>
      <w:r>
        <w:t xml:space="preserve">2. jest spożywany w punkcie sprzedaży lub w innym miejscu</w:t>
      </w:r>
      <w:bookmarkEnd w:id="5"/>
      <w:r>
        <w:t xml:space="preserve">,</w:t>
      </w:r>
      <w:r>
        <w:t xml:space="preserve"> </w:t>
      </w:r>
    </w:p>
    <w:p w14:paraId="36EDDE17" w14:textId="3704FF03" w:rsidR="005468F3" w:rsidRPr="00B10BD4" w:rsidRDefault="005468F3" w:rsidP="005468F3">
      <w:pPr>
        <w:pStyle w:val="Brdtextmedindrag"/>
      </w:pPr>
      <w:r>
        <w:t xml:space="preserve">3. jest przeznaczony do spożycia poza opakowaniem, oraz</w:t>
      </w:r>
      <w:r>
        <w:t xml:space="preserve"> </w:t>
      </w:r>
    </w:p>
    <w:p w14:paraId="5E6DD8B8" w14:textId="77777777" w:rsidR="005468F3" w:rsidRPr="00B10BD4" w:rsidRDefault="005468F3" w:rsidP="005468F3">
      <w:pPr>
        <w:pStyle w:val="Brdtextmedindrag"/>
      </w:pPr>
      <w:r>
        <w:t xml:space="preserve">4. jest gotowy do spożycia bez dalszego gotowania, podgrzewania lub innego przygotowania</w:t>
      </w:r>
      <w:bookmarkEnd w:id="4"/>
      <w:r>
        <w:t xml:space="preserve"> wykonywanego przez konsumenta,</w:t>
      </w:r>
      <w:r>
        <w:t xml:space="preserve"> </w:t>
      </w:r>
    </w:p>
    <w:p w14:paraId="371FE5CF" w14:textId="77777777" w:rsidR="005468F3" w:rsidRPr="00B10BD4" w:rsidRDefault="005468F3" w:rsidP="005468F3">
      <w:pPr>
        <w:pStyle w:val="Brdtextmedindrag"/>
      </w:pPr>
      <w:r>
        <w:rPr>
          <w:i/>
        </w:rPr>
        <w:t xml:space="preserve">food box:</w:t>
      </w:r>
      <w:r>
        <w:t xml:space="preserve"> oznacza opakowanie, z pokrywką lub bez, które</w:t>
      </w:r>
      <w:r>
        <w:t xml:space="preserve"> </w:t>
      </w:r>
    </w:p>
    <w:p w14:paraId="5DBFFD4E" w14:textId="77777777" w:rsidR="005468F3" w:rsidRPr="00B10BD4" w:rsidRDefault="005468F3" w:rsidP="005468F3">
      <w:pPr>
        <w:pStyle w:val="Brdtextmedindrag"/>
      </w:pPr>
      <w:r>
        <w:t xml:space="preserve">1. jest formowane lub pozostaje zasadniczo w niezmienionym kształcie po dodaniu lub usunięciu zawartości, oraz</w:t>
      </w:r>
      <w:r>
        <w:t xml:space="preserve"> </w:t>
      </w:r>
    </w:p>
    <w:p w14:paraId="296581A3" w14:textId="77777777" w:rsidR="005468F3" w:rsidRPr="00B10BD4" w:rsidRDefault="005468F3" w:rsidP="005468F3">
      <w:pPr>
        <w:pStyle w:val="Brdtextmedindrag"/>
      </w:pPr>
      <w:r>
        <w:t xml:space="preserve">2. jest używane do fast foodów, i</w:t>
      </w:r>
    </w:p>
    <w:p w14:paraId="362B1E0F" w14:textId="77777777" w:rsidR="005468F3" w:rsidRPr="00B10BD4" w:rsidRDefault="005468F3" w:rsidP="005468F3">
      <w:pPr>
        <w:pStyle w:val="Brdtextmedindrag"/>
        <w:rPr>
          <w:i/>
        </w:rPr>
      </w:pPr>
      <w:r>
        <w:rPr>
          <w:i/>
        </w:rPr>
        <w:t xml:space="preserve"> jednorazowe pudełko żywności</w:t>
      </w:r>
      <w:r>
        <w:t xml:space="preserve">: oznacza pudełko na żywność, które jest produktem jednorazowego użytku</w:t>
      </w:r>
      <w:bookmarkEnd w:id="2"/>
      <w:r>
        <w:t xml:space="preserve">.</w:t>
      </w:r>
    </w:p>
    <w:bookmarkEnd w:id="3"/>
    <w:p w14:paraId="2F2D091B" w14:textId="77777777" w:rsidR="005468F3" w:rsidRPr="00B10BD4" w:rsidRDefault="005468F3" w:rsidP="005468F3">
      <w:pPr>
        <w:pStyle w:val="Brdtextmedindrag"/>
        <w:rPr>
          <w:i/>
          <w:iCs/>
        </w:rPr>
      </w:pPr>
    </w:p>
    <w:p w14:paraId="2D69DD6B" w14:textId="0D4FE4E1" w:rsidR="00193587" w:rsidRPr="00B10BD4" w:rsidRDefault="003469C8" w:rsidP="005468F3">
      <w:pPr>
        <w:pStyle w:val="Brdtextmedindrag"/>
        <w:ind w:firstLine="0"/>
      </w:pPr>
      <w:r>
        <w:rPr>
          <w:b/>
        </w:rPr>
        <w:t xml:space="preserve">§ 9 </w:t>
      </w:r>
      <w:r>
        <w:t xml:space="preserve">W niniejszym rozporządzeniu </w:t>
      </w:r>
      <w:r>
        <w:rPr>
          <w:i/>
        </w:rPr>
        <w:t xml:space="preserve">cykl ponownego użycia </w:t>
      </w:r>
      <w:r>
        <w:t xml:space="preserve">oznacza drogę, jaką pokonuje kubek lub pudełko na żywność wielokrotnego użytku od momentu dostarczenia go na rynek szwedzki wraz z napojem lub żywnością, do której przechowywania, ochrony, dostarczania lub prezentowania jest przeznaczony, do momentu przekazania go do systemu ponownego użycia kubków lub pudełek na żywność do fast foodów w celu ponownego dostarczenia go na rynek szwedzki wraz z napojem lub żywnością, do której jest przeznaczony.</w:t>
      </w:r>
      <w:r>
        <w:br/>
      </w:r>
      <w:r>
        <w:br/>
      </w:r>
    </w:p>
    <w:p w14:paraId="2EF4F970" w14:textId="77777777" w:rsidR="0015788B" w:rsidRPr="00B10BD4" w:rsidRDefault="0015788B" w:rsidP="005468F3">
      <w:pPr>
        <w:pStyle w:val="Brdtextmedindrag"/>
        <w:ind w:firstLine="0"/>
      </w:pPr>
    </w:p>
    <w:p w14:paraId="1552112C" w14:textId="06CE7E30" w:rsidR="00833C7D" w:rsidRPr="00B10BD4" w:rsidRDefault="005468F3" w:rsidP="00747F3B">
      <w:pPr>
        <w:pStyle w:val="Brdtextmedindrag"/>
        <w:ind w:firstLine="0"/>
      </w:pPr>
      <w:r>
        <w:rPr>
          <w:b/>
        </w:rPr>
        <w:t xml:space="preserve">§ 10 </w:t>
      </w:r>
      <w:r>
        <w:t xml:space="preserve">Słowa i wyrażenia w niniejszym rozporządzeniu mają takie samo znaczenie jak w rozdziale 15 Kodeksu Ochrony Środowiska.</w:t>
      </w:r>
    </w:p>
    <w:p w14:paraId="1F2AF0B1" w14:textId="77777777" w:rsidR="00193587" w:rsidRPr="00B10BD4" w:rsidRDefault="00193587" w:rsidP="000918F8">
      <w:pPr>
        <w:pStyle w:val="Brdtextmedindrag"/>
        <w:ind w:firstLine="0"/>
      </w:pPr>
    </w:p>
    <w:p w14:paraId="04401AE9" w14:textId="6A80AE52" w:rsidR="005468F3" w:rsidRPr="00B10BD4" w:rsidRDefault="00357670" w:rsidP="005468F3">
      <w:pPr>
        <w:pStyle w:val="Brdtextmedindrag"/>
        <w:ind w:firstLine="0"/>
      </w:pPr>
      <w:r>
        <w:rPr>
          <w:b/>
        </w:rPr>
        <w:t xml:space="preserve">§ 11 </w:t>
      </w:r>
      <w:r>
        <w:t xml:space="preserve">Wprowadzanie do obrotu szwedzkiego kubków jednorazowego użytku zawierających więcej niż 15 % tworzyw sztucznych jest zabronione.</w:t>
      </w:r>
    </w:p>
    <w:p w14:paraId="2A5501D0" w14:textId="77777777" w:rsidR="005468F3" w:rsidRPr="00B10BD4" w:rsidRDefault="005468F3" w:rsidP="005468F3">
      <w:pPr>
        <w:pStyle w:val="Brdtextmedindrag"/>
        <w:ind w:firstLine="0"/>
      </w:pPr>
    </w:p>
    <w:p w14:paraId="04FF865A" w14:textId="65AC7AAB" w:rsidR="00193587" w:rsidRPr="00B10BD4" w:rsidRDefault="00357670" w:rsidP="005468F3">
      <w:pPr>
        <w:pStyle w:val="Brdtextmedindrag"/>
        <w:ind w:firstLine="0"/>
      </w:pPr>
      <w:r>
        <w:rPr>
          <w:b/>
        </w:rPr>
        <w:t xml:space="preserve">§ 12 </w:t>
      </w:r>
      <w:r>
        <w:t xml:space="preserve">Szwedzka Agencja Ochrony Środowiska może wydać przepisy dotyczące wyłączeń z zakazu w § 15, jeśli istnieją szczególne powody do wprowadzenia kubków jednorazowego użytku na rynek szwedzki.</w:t>
      </w:r>
      <w:r>
        <w:t xml:space="preserve"> </w:t>
      </w:r>
    </w:p>
    <w:p w14:paraId="50F56AB3" w14:textId="0F9F3676" w:rsidR="003E2867" w:rsidRPr="00C819BD" w:rsidRDefault="003E2867" w:rsidP="003E2867">
      <w:pPr>
        <w:pStyle w:val="Rubrik4"/>
      </w:pPr>
      <w:r>
        <w:t xml:space="preserve">Zakaz używania konfetti</w:t>
      </w:r>
      <w:r>
        <w:t xml:space="preserve"> </w:t>
      </w:r>
    </w:p>
    <w:p w14:paraId="720B323C" w14:textId="24EAEE21" w:rsidR="003E2867" w:rsidRPr="00B10BD4" w:rsidRDefault="003E2867" w:rsidP="003E2867">
      <w:pPr>
        <w:pStyle w:val="Brdtext"/>
      </w:pPr>
      <w:r>
        <w:rPr>
          <w:b/>
        </w:rPr>
        <w:t xml:space="preserve">§ 13     </w:t>
      </w:r>
      <w:r>
        <w:t xml:space="preserve">Konfetti zawierające tworzywa sztuczne nie mogą być używane na zewnątrz.</w:t>
      </w:r>
    </w:p>
    <w:p w14:paraId="72A24187" w14:textId="77777777" w:rsidR="005468F3" w:rsidRPr="00B10BD4" w:rsidRDefault="005468F3" w:rsidP="000918F8">
      <w:pPr>
        <w:pStyle w:val="Rubrik4"/>
      </w:pPr>
      <w:r>
        <w:t xml:space="preserve">Wymóg oferowania produktu podawanego w kubkach wielokrotnego użytku i pudełkach na żywność</w:t>
      </w:r>
      <w:r>
        <w:t xml:space="preserve"> </w:t>
      </w:r>
    </w:p>
    <w:p w14:paraId="55B8BA93" w14:textId="63BE3311" w:rsidR="005468F3" w:rsidRPr="00B10BD4" w:rsidRDefault="005468F3" w:rsidP="005468F3">
      <w:pPr>
        <w:pStyle w:val="Brdtext"/>
      </w:pPr>
      <w:bookmarkStart w:id="6" w:name="_Hlk57038341"/>
      <w:r>
        <w:rPr>
          <w:b/>
        </w:rPr>
        <w:t xml:space="preserve">§ 14 </w:t>
      </w:r>
      <w:r>
        <w:t xml:space="preserve">Każdy, kto dostarcza napoje na rynku szwedzkim w kubkach jednorazowego użytku musi</w:t>
      </w:r>
      <w:r>
        <w:t xml:space="preserve"> </w:t>
      </w:r>
    </w:p>
    <w:p w14:paraId="2ADA6DD9" w14:textId="77777777" w:rsidR="005468F3" w:rsidRPr="00B10BD4" w:rsidRDefault="005468F3" w:rsidP="005468F3">
      <w:pPr>
        <w:pStyle w:val="Brdtextmedindrag"/>
      </w:pPr>
      <w:r>
        <w:t xml:space="preserve">1. oferować możliwość serwowania napoju w kubku wielokrotnego użytku, i</w:t>
      </w:r>
    </w:p>
    <w:p w14:paraId="18B4EC82" w14:textId="77777777" w:rsidR="005468F3" w:rsidRPr="00B10BD4" w:rsidRDefault="005468F3" w:rsidP="005468F3">
      <w:pPr>
        <w:pStyle w:val="Brdtextmedindrag"/>
      </w:pPr>
      <w:r>
        <w:t xml:space="preserve">2. podjąć skuteczne środki w celu zapewnienia, że kubki wielokrotnego użytku i ich pokrywki przechodzą przez kilka cykli ponownego użycia.</w:t>
      </w:r>
    </w:p>
    <w:p w14:paraId="6FE2066C" w14:textId="2225E735" w:rsidR="005468F3" w:rsidRPr="00B10BD4" w:rsidRDefault="005468F3" w:rsidP="005468F3">
      <w:pPr>
        <w:pStyle w:val="Brdtextmedindrag"/>
      </w:pPr>
      <w:r>
        <w:t xml:space="preserve">Kubek wielokrotnego użytku musi być zapewniony przez dostawcę napoju niezależnie od tego, czy napój ma zostać zabrany, czy spożyty w punkcie sprzedaży.</w:t>
      </w:r>
    </w:p>
    <w:bookmarkEnd w:id="6"/>
    <w:p w14:paraId="4D1D5D36" w14:textId="77777777" w:rsidR="005468F3" w:rsidRPr="00B10BD4" w:rsidRDefault="005468F3" w:rsidP="005468F3">
      <w:pPr>
        <w:pStyle w:val="Brdtextmedindrag"/>
      </w:pPr>
    </w:p>
    <w:p w14:paraId="7A8DC3BE" w14:textId="483D30B4" w:rsidR="005468F3" w:rsidRPr="00B10BD4" w:rsidRDefault="005468F3" w:rsidP="005468F3">
      <w:pPr>
        <w:pStyle w:val="Brdtext"/>
      </w:pPr>
      <w:r>
        <w:rPr>
          <w:b/>
        </w:rPr>
        <w:t xml:space="preserve">§ 15 </w:t>
      </w:r>
      <w:r>
        <w:t xml:space="preserve">Każdy, kto dostarcza fast food na szwedzkim rynku w pudełkach jednorazowego użytku musi</w:t>
      </w:r>
      <w:r>
        <w:t xml:space="preserve"> </w:t>
      </w:r>
    </w:p>
    <w:p w14:paraId="2B9B5C24" w14:textId="77777777" w:rsidR="005468F3" w:rsidRPr="00B10BD4" w:rsidRDefault="005468F3" w:rsidP="005468F3">
      <w:pPr>
        <w:pStyle w:val="Brdtextmedindrag"/>
      </w:pPr>
      <w:r>
        <w:t xml:space="preserve">1. oferować możliwość podania fast foodu w pojemniku wielokrotnego użytku oraz ,</w:t>
      </w:r>
    </w:p>
    <w:p w14:paraId="022A9E55" w14:textId="77777777" w:rsidR="005468F3" w:rsidRPr="00B10BD4" w:rsidRDefault="005468F3" w:rsidP="005468F3">
      <w:pPr>
        <w:pStyle w:val="Brdtextmedindrag"/>
      </w:pPr>
      <w:r>
        <w:t xml:space="preserve">2. podjąć skuteczne środki w celu zapewnienia, że pojemniki na żywność wielokrotnego użytku i ich pokrywki przechodzą przez kilka cykli ponownego użycia.</w:t>
      </w:r>
      <w:r>
        <w:t xml:space="preserve"> </w:t>
      </w:r>
    </w:p>
    <w:p w14:paraId="64D8035A" w14:textId="0D96B30D" w:rsidR="005A5ADA" w:rsidRPr="00C819BD" w:rsidRDefault="005468F3" w:rsidP="000918F8">
      <w:pPr>
        <w:pStyle w:val="Brdtextmedindrag"/>
      </w:pPr>
      <w:r>
        <w:t xml:space="preserve">Pudełko na żywność wielokrotnego użytku musi być dostarczone przez dostawcę żywności, niezależnie od tego, czy żywność ma zostać zabrana czy spożyta w punkcie sprzedaży.</w:t>
      </w:r>
    </w:p>
    <w:p w14:paraId="0C8781BE" w14:textId="6DB4DA3D" w:rsidR="004625AD" w:rsidRPr="00B10BD4" w:rsidRDefault="004625AD" w:rsidP="005A5ADA">
      <w:pPr>
        <w:pStyle w:val="Brdtextmedindrag"/>
        <w:ind w:firstLine="0"/>
      </w:pPr>
    </w:p>
    <w:p w14:paraId="0FF0777A" w14:textId="1AFA0590" w:rsidR="00D91A49" w:rsidRPr="00B10BD4" w:rsidRDefault="003469C8" w:rsidP="005A5ADA">
      <w:pPr>
        <w:pStyle w:val="Brdtextmedindrag"/>
        <w:ind w:firstLine="0"/>
      </w:pPr>
      <w:r>
        <w:rPr>
          <w:b/>
        </w:rPr>
        <w:t xml:space="preserve">§ 16     </w:t>
      </w:r>
      <w:r>
        <w:t xml:space="preserve">Każdy, kto zapewnia kubek lub pudełko na żywność wielokrotnego użytku zgodnie z § 14 lub 15 powinien wybrać kubek lub pudełko na żywność, które w jak najmniejszym stopniu wpływają negatywnie na zdrowie człowieka i środowisko.</w:t>
      </w:r>
      <w:r>
        <w:t xml:space="preserve"> </w:t>
      </w:r>
    </w:p>
    <w:p w14:paraId="47A3C0C2" w14:textId="77777777" w:rsidR="005468F3" w:rsidRPr="00B10BD4" w:rsidRDefault="005468F3" w:rsidP="005468F3">
      <w:pPr>
        <w:pStyle w:val="Brdtextmedindrag"/>
        <w:ind w:firstLine="0"/>
      </w:pPr>
    </w:p>
    <w:p w14:paraId="70269F20" w14:textId="0C27CF0F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§ 17 </w:t>
      </w:r>
      <w:bookmarkStart w:id="7" w:name="_Hlk50550710"/>
      <w:r>
        <w:t xml:space="preserve">Każdy, kto dostarcza na szwedzkim rynku napoje w kubkach jednorazowego użytku lub fast foodach w pudełkach jednorazowego użytku, musi poinformować konsumentów o</w:t>
      </w:r>
      <w:bookmarkEnd w:id="7"/>
    </w:p>
    <w:p w14:paraId="14B387DD" w14:textId="77777777" w:rsidR="005468F3" w:rsidRPr="00B10BD4" w:rsidRDefault="005468F3" w:rsidP="005468F3">
      <w:pPr>
        <w:pStyle w:val="Brdtextmedindrag"/>
      </w:pPr>
      <w:r>
        <w:t xml:space="preserve">1. możliwości podania napoju w kubku wielokrotnego użytku lub fast foodu podawanego w pudełku wielokrotnego użytku,</w:t>
      </w:r>
      <w:r>
        <w:t xml:space="preserve"> </w:t>
      </w:r>
    </w:p>
    <w:p w14:paraId="466FD8DD" w14:textId="52641002" w:rsidR="005468F3" w:rsidRPr="00B10BD4" w:rsidRDefault="005468F3" w:rsidP="005468F3">
      <w:pPr>
        <w:pStyle w:val="Brdtextmedindrag"/>
      </w:pPr>
      <w:r>
        <w:t xml:space="preserve">2. wpływie na środowisko spowodowanego użyciem kubków jednorazowego użytku i pudełek na żywność jednorazowego użytku, oraz</w:t>
      </w:r>
    </w:p>
    <w:p w14:paraId="4BDF7D3C" w14:textId="5B1F148B" w:rsidR="005468F3" w:rsidRPr="00B10BD4" w:rsidRDefault="005468F3" w:rsidP="005468F3">
      <w:pPr>
        <w:pStyle w:val="Brdtextmedindrag"/>
      </w:pPr>
      <w:r>
        <w:t xml:space="preserve">3. korzyści wynikających ze zmniejszenia spożycia kubków jednorazowego użytku i opakowań na żywność jednorazowego użytku.</w:t>
      </w:r>
    </w:p>
    <w:p w14:paraId="57D456AA" w14:textId="0885871D" w:rsidR="005468F3" w:rsidRPr="00B10BD4" w:rsidRDefault="005468F3" w:rsidP="005468F3">
      <w:pPr>
        <w:pStyle w:val="Brdtextmedindrag"/>
      </w:pPr>
      <w:r>
        <w:t xml:space="preserve">Informacje te muszą być widoczne w punkcie sprzedaży i być łatwo dostępne dla konsumenta.</w:t>
      </w:r>
      <w:r>
        <w:t xml:space="preserve">  </w:t>
      </w:r>
    </w:p>
    <w:p w14:paraId="080D98DE" w14:textId="77777777" w:rsidR="005468F3" w:rsidRPr="00B10BD4" w:rsidRDefault="005468F3" w:rsidP="005468F3">
      <w:pPr>
        <w:pStyle w:val="Brdtextmedindrag"/>
      </w:pPr>
    </w:p>
    <w:p w14:paraId="0CAE3FB6" w14:textId="4E7F93F9" w:rsidR="005468F3" w:rsidRPr="00B10BD4" w:rsidRDefault="003469C8" w:rsidP="005468F3">
      <w:pPr>
        <w:pStyle w:val="Brdtextmedindrag"/>
        <w:ind w:firstLine="0"/>
      </w:pPr>
      <w:r>
        <w:rPr>
          <w:b/>
        </w:rPr>
        <w:t xml:space="preserve">§ 18     </w:t>
      </w:r>
      <w:r>
        <w:t xml:space="preserve">Wymogi określone w §§ 14-17 nie mają zastosowania do tych podmiotów, które dostarczają na rynku szwedzkim napoje w jednorazowych kubkach lub fast food w jednorazowych pudełkach na żywność, jeżeli kubek lub pudełko na żywność jest w całości wykonane z papieru lub tektury niemodyfikowanej chemicznie w sposób opóźniający rozkład.</w:t>
      </w:r>
    </w:p>
    <w:p w14:paraId="13CEF266" w14:textId="77777777" w:rsidR="005468F3" w:rsidRPr="00B10BD4" w:rsidRDefault="005468F3" w:rsidP="005468F3">
      <w:pPr>
        <w:pStyle w:val="Brdtextmedindrag"/>
        <w:ind w:firstLine="0"/>
      </w:pPr>
    </w:p>
    <w:p w14:paraId="0535FF43" w14:textId="669A8DC9" w:rsidR="005468F3" w:rsidRPr="00B10BD4" w:rsidRDefault="00D448C5" w:rsidP="005468F3">
      <w:pPr>
        <w:pStyle w:val="Brdtextmedindrag"/>
        <w:ind w:firstLine="0"/>
        <w:rPr>
          <w:b/>
        </w:rPr>
      </w:pPr>
      <w:r>
        <w:rPr>
          <w:b/>
        </w:rPr>
        <w:t xml:space="preserve">§ 19 </w:t>
      </w:r>
      <w:r>
        <w:t xml:space="preserve">Wymogi określone w §§ 14-17 nie mają zastosowania do tych podmiotów, które dostarczają na rynku szwedzkim napoje lub fast foody w mniej niż 150 kubkach jednorazowego użytku i pudełkach jednorazowego użytku dziennie </w:t>
      </w:r>
      <w:bookmarkStart w:id="8" w:name="_Hlk53479781"/>
      <w:r>
        <w:t xml:space="preserve">, w czasie gdyich działalność jest otwarta</w:t>
      </w:r>
      <w:bookmarkEnd w:id="8"/>
      <w:r>
        <w:t xml:space="preserve">.</w:t>
      </w:r>
      <w:r>
        <w:t xml:space="preserve"> </w:t>
      </w:r>
    </w:p>
    <w:p w14:paraId="038E5668" w14:textId="78BB7B8E" w:rsidR="005468F3" w:rsidRPr="00B10BD4" w:rsidRDefault="005468F3" w:rsidP="005468F3">
      <w:pPr>
        <w:pStyle w:val="Brdtextmedindrag"/>
      </w:pPr>
      <w:r>
        <w:t xml:space="preserve">Osoby objęte zwolnieniem, które nie dostarczają kubków wielokrotnego użytku i pudełek na żywność, muszą mieć wdrożone procedury zapewniające, że dziennie dostarczanych jest średnio nie więcej niż 150 kubków jednorazowego użytku i pudełek na żywność jednorazowego użytku.</w:t>
      </w:r>
    </w:p>
    <w:p w14:paraId="06957594" w14:textId="77777777" w:rsidR="005468F3" w:rsidRPr="00B10BD4" w:rsidRDefault="005468F3" w:rsidP="005468F3">
      <w:pPr>
        <w:pStyle w:val="Brdtextmedindrag"/>
      </w:pPr>
      <w:r>
        <w:t xml:space="preserve">Liczbę dostarczonych kubków jednorazowego użytku i pojemników na żywność jednorazowego użytku należy obliczyć jako średnią kubków jednorazowego użytku i pudełek na żywność jednorazowego użytku dostarczonych w dniach </w:t>
      </w:r>
      <w:bookmarkStart w:id="9" w:name="_Hlk54008522"/>
      <w:r>
        <w:t xml:space="preserve">, w których działalność jest otwarta w ciągu roku kalendarzowego</w:t>
      </w:r>
      <w:bookmarkEnd w:id="9"/>
      <w:r>
        <w:t xml:space="preserve">.</w:t>
      </w:r>
      <w:r>
        <w:t xml:space="preserve"> </w:t>
      </w:r>
    </w:p>
    <w:p w14:paraId="2ECC5F2C" w14:textId="77777777" w:rsidR="005468F3" w:rsidRPr="00B10BD4" w:rsidRDefault="005468F3" w:rsidP="005468F3">
      <w:pPr>
        <w:pStyle w:val="Brdtextmedindrag"/>
      </w:pPr>
    </w:p>
    <w:p w14:paraId="716BDB7F" w14:textId="4C0BDFAB" w:rsidR="005468F3" w:rsidRPr="00B10BD4" w:rsidRDefault="00357670" w:rsidP="005468F3">
      <w:pPr>
        <w:pStyle w:val="Brdtextmedindrag"/>
        <w:ind w:firstLine="0"/>
      </w:pPr>
      <w:r>
        <w:rPr>
          <w:b/>
        </w:rPr>
        <w:t xml:space="preserve">§ 20    </w:t>
      </w:r>
      <w:r>
        <w:t xml:space="preserve">Szwedzka Agencja Ochrony Środowiska może wydawać przepisy dotyczące zwolnień z wymogów określonych w §§ 14-17 w przypadkach, gdy nieracjonalne jest wymaganie od osoby dostarczającej napoje w kubkach jednorazowego użytku lub fast foodach w pudełkach jednorazowego użytku, aby dostarczała alternatywę wielokrotnego użytku.</w:t>
      </w:r>
    </w:p>
    <w:p w14:paraId="15E8DB29" w14:textId="18653FF5" w:rsidR="003469C8" w:rsidRPr="00B10BD4" w:rsidRDefault="005468F3" w:rsidP="005468F3">
      <w:pPr>
        <w:pStyle w:val="Brdtextmedindrag"/>
      </w:pPr>
      <w:bookmarkStart w:id="10" w:name="_Hlk54008598"/>
      <w:r>
        <w:t xml:space="preserve">Przepisy dotyczące wyłączeń nie mogą być wydawane w odniesieniu do kubków jednorazowego użytku lub pudełek na żywność jednorazowego użytku, jeżeli można założyć, że zwolnienie stwarza ryzyko znacznego zaśmiecania.</w:t>
      </w:r>
      <w:r>
        <w:t xml:space="preserve"> </w:t>
      </w:r>
    </w:p>
    <w:bookmarkEnd w:id="10"/>
    <w:p w14:paraId="7270CDBC" w14:textId="0B678577" w:rsidR="005468F3" w:rsidRPr="00B10BD4" w:rsidRDefault="005468F3" w:rsidP="005468F3">
      <w:pPr>
        <w:pStyle w:val="Slutstreck"/>
      </w:pPr>
      <w:r>
        <w:t xml:space="preserve">                      </w:t>
      </w:r>
    </w:p>
    <w:p w14:paraId="6C91A379" w14:textId="089E346D" w:rsidR="005468F3" w:rsidRPr="00B10BD4" w:rsidRDefault="005468F3" w:rsidP="005468F3">
      <w:pPr>
        <w:pStyle w:val="Brdtextmedindrag"/>
      </w:pPr>
      <w:r>
        <w:t xml:space="preserve">Niniejsze rozporządzenie wchodzi w życie z dniem 30 kwietnia 2022 r. w odniesieniu do § 13 z dnia 1 stycznia 2024 r. w odniesieniu do §§ 11 i 14-19, a w innych przypadkach z dniem 1 listopada 2021 r.</w:t>
      </w:r>
    </w:p>
    <w:p w14:paraId="5E81772E" w14:textId="77777777" w:rsidR="003469C8" w:rsidRDefault="003469C8" w:rsidP="005468F3">
      <w:pPr>
        <w:pStyle w:val="Brdtextmedindrag"/>
      </w:pPr>
    </w:p>
    <w:p w14:paraId="5AFEB0E1" w14:textId="281F6DFF" w:rsidR="005468F3" w:rsidRDefault="005468F3" w:rsidP="005468F3">
      <w:pPr>
        <w:pStyle w:val="Rubrik3"/>
        <w:spacing w:before="0"/>
      </w:pPr>
    </w:p>
    <w:p w14:paraId="58CB8DE7" w14:textId="5869905D" w:rsidR="003E2867" w:rsidRDefault="003E2867" w:rsidP="003E2867">
      <w:pPr>
        <w:pStyle w:val="Brdtext"/>
      </w:pPr>
    </w:p>
    <w:p w14:paraId="3F03D05F" w14:textId="77777777" w:rsidR="003E2867" w:rsidRDefault="003E2867" w:rsidP="003E2867">
      <w:pPr>
        <w:pStyle w:val="Brdtextmedindrag"/>
      </w:pPr>
    </w:p>
    <w:p w14:paraId="7DC26BEF" w14:textId="77777777" w:rsidR="003E2867" w:rsidRDefault="003E2867" w:rsidP="003E2867">
      <w:pPr>
        <w:pStyle w:val="Brdtextmedindrag"/>
        <w:rPr>
          <w:rFonts w:eastAsia="Times New Roman" w:cs="Times New Roman"/>
          <w:sz w:val="20"/>
          <w:szCs w:val="20"/>
        </w:rPr>
      </w:pPr>
    </w:p>
    <w:p w14:paraId="64D42982" w14:textId="77777777" w:rsidR="003E2867" w:rsidRPr="003E2867" w:rsidRDefault="003E2867" w:rsidP="003E2867">
      <w:pPr>
        <w:pStyle w:val="Brdtextmedindrag"/>
      </w:pPr>
    </w:p>
    <w:sectPr w:rsidR="003E2867" w:rsidRPr="003E2867" w:rsidSect="00B045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BCA76" w14:textId="77777777" w:rsidR="00367BE5" w:rsidRDefault="00367BE5" w:rsidP="00680442">
      <w:r>
        <w:separator/>
      </w:r>
    </w:p>
  </w:endnote>
  <w:endnote w:type="continuationSeparator" w:id="0">
    <w:p w14:paraId="378F9D54" w14:textId="77777777" w:rsidR="00367BE5" w:rsidRDefault="00367BE5" w:rsidP="00680442">
      <w:r>
        <w:continuationSeparator/>
      </w:r>
    </w:p>
  </w:endnote>
  <w:endnote w:type="continuationNotice" w:id="1">
    <w:p w14:paraId="0278772F" w14:textId="77777777" w:rsidR="00367BE5" w:rsidRDefault="00367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B65B" w14:textId="77777777" w:rsidR="00367BE5" w:rsidRDefault="00367B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CEA7C" w14:textId="77777777" w:rsidR="00367BE5" w:rsidRDefault="00367BE5" w:rsidP="00CE05BB">
    <w:pPr>
      <w:pStyle w:val="Sidfot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0D55E0A1" wp14:editId="32973624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C610C" w14:textId="77777777" w:rsidR="00367BE5" w:rsidRDefault="00367BE5" w:rsidP="004043E4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5E0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bcigIAAJAFAAAOAAAAZHJzL2Uyb0RvYy54bWysVEtvGyEQvlfqf0Dcm127dppYWUduIleV&#10;oiSqXeWMWYhRgaGAvev++g7s+tE0l1S97ALzzeubx9V1azTZCh8U2IoOzkpKhOVQK/tc0e/L+YcL&#10;SkJktmYarKjoTgR6PX3/7qpxEzGENehaeIJGbJg0rqLrGN2kKAJfC8PCGThhUSjBGxbx6p+L2rMG&#10;rRtdDMvyvGjA184DFyHg620npNNsX0rB44OUQUSiK4qxxfz1+btK32J6xSbPnrm14n0Y7B+iMExZ&#10;dHowdcsiIxuv/jJlFPcQQMYzDqYAKRUXOQfMZlC+yGaxZk7kXJCc4A40hf9nlt9vHz1RdUWHlFhm&#10;sERL0Ua/wfiHiZ3GhQmCFg5hsf0MLVZ5/x7wMSXdSm/SH9MhKEeedwdu0Rjh+Hg+uihLlHAUDS/H&#10;WLtkpTgqOx/iFwGGpENFPZYuM8q2dyF20D0k+QqgVT1XWudLahdxoz3ZMiy0jjlENP4HSlvSYCAf&#10;x2U2bCGpd5a1TWZEbpjeXUq8SzCf4k6LhNH2m5BIWM7zFd+Mc2EP/jM6oSS6eotijz9G9RblLg/U&#10;yJ7BxoOyURZ8zj5P2JGy+seeMtnhsTYneadjbFdt7pRD/VdQ77AtPHRjFRyfKyzeHQvxkXmcI6w3&#10;7ob4gB+pAcmH/kTJGvyv194THtsbpZQ0OJcVDT83zAtK9FeLjX85GI3SIOfLaPxpiBd/KlmdSuzG&#10;3AB2xAC3kOP5mPBR74/Sg3nCFTJLXlHELEffFY37403stgWuIC5mswzC0XUs3tmF48l0Yjm15rJ9&#10;Yt71/Rux8e9hP8Fs8qKNO2zStDDbRJAq93jiuWO15x/HPk9Jv6LSXjm9Z9RxkU5/AwAA//8DAFBL&#10;AwQUAAYACAAAACEAutkGEOMAAAAMAQAADwAAAGRycy9kb3ducmV2LnhtbEyPy07DMBBF90j9B2sq&#10;sUGt8yB9pHEqhIBK7Gh4iJ0bT5OI2I5iNwl/z7CC5dw5unMm20+6ZQP2rrFGQLgMgKEprWpMJeC1&#10;eFxsgDkvjZKtNSjgGx3s89lVJlNlR/OCw9FXjEqMS6WA2vsu5dyVNWrplrZDQ7uz7bX0NPYVV70c&#10;qVy3PAqCFdeyMXShlh3e11h+HS9awOdN9fHspqe3MU7i7uEwFOt3VQhxPZ/udsA8Tv4Phl99Uoec&#10;nE72YpRjrYBNEkWECliE4XYFjJBtckvRiaJ1HALPM/7/ifwHAAD//wMAUEsBAi0AFAAGAAgAAAAh&#10;ALaDOJL+AAAA4QEAABMAAAAAAAAAAAAAAAAAAAAAAFtDb250ZW50X1R5cGVzXS54bWxQSwECLQAU&#10;AAYACAAAACEAOP0h/9YAAACUAQAACwAAAAAAAAAAAAAAAAAvAQAAX3JlbHMvLnJlbHNQSwECLQAU&#10;AAYACAAAACEAoD323IoCAACQBQAADgAAAAAAAAAAAAAAAAAuAgAAZHJzL2Uyb0RvYy54bWxQSwEC&#10;LQAUAAYACAAAACEAutkGEOMAAAAMAQAADwAAAAAAAAAAAAAAAADkBAAAZHJzL2Rvd25yZXYueG1s&#10;UEsFBgAAAAAEAAQA8wAAAPQFAAAAAA==&#10;" fillcolor="white [3201]" stroked="f" strokeweight=".5pt">
              <v:textbox>
                <w:txbxContent>
                  <w:p w14:paraId="2A8C610C" w14:textId="77777777" w:rsidR="00367BE5" w:rsidRDefault="00367BE5" w:rsidP="004043E4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31524" w14:textId="77777777" w:rsidR="00367BE5" w:rsidRDefault="00367BE5" w:rsidP="00CE05BB">
    <w:pPr>
      <w:pStyle w:val="Sidfot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6E04C427" wp14:editId="47E5EFC9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8E3D6" w14:textId="77777777" w:rsidR="00367BE5" w:rsidRDefault="00367BE5" w:rsidP="005B2C6E">
                          <w:pPr>
                            <w:pStyle w:val="Brd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4C42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SRigIAAJAFAAAOAAAAZHJzL2Uyb0RvYy54bWysVEtvGyEQvlfqf0Dcm127zsOW15GbKFWl&#10;KImaVDljFmxUYChg77q/PgO7fjTNJVUvu8B88/rmMb1sjSYb4YMCW9HBSUmJsBxqZZcV/fF08+mC&#10;khCZrZkGKyq6FYFezj5+mDZuIoawAl0LT9CIDZPGVXQVo5sUReArYVg4AScsCiV4wyJe/bKoPWvQ&#10;utHFsCzPigZ87TxwEQK+XndCOsv2pRQ83ksZRCS6ohhbzF+fv4v0LWZTNll65laK92Gwf4jCMGXR&#10;6d7UNYuMrL36y5RR3EMAGU84mAKkVFzkHDCbQfkqm8cVcyLnguQEt6cp/D+z/G7z4ImqsXaUWGaw&#10;RE+ijX6N8Q8SO40LEwQ9OoTF9gu0Cdm/B3xMSbfSm/THdAjKkeftnls0Rjg+no0uxuco4Sgajkdl&#10;eZqsFAdl50P8KsCQdKiox9JlRtnmNsQOuoMkXwG0qm+U1vmS2kVcaU82DAutYw4Rjf+B0pY0GMjn&#10;0zIbtpDUO8vaJjMiN0zvLiXeJZhPcatFwmj7XUgkLOf5hm/GubB7/xmdUBJdvUexxx+ieo9ylwdq&#10;ZM9g417ZKAs+Z58n7EBZ/XNHmezwWJujvNMxtos2d8pwV/8F1FtsCw/dWAXHbxQW75aF+MA8zhHW&#10;G3dDvMeP1IDkQ3+iZAX+91vvCY/tjVJKGpzLioZfa+YFJfqbxcYfD0ajNMj5Mjo9H+LFH0sWxxK7&#10;NleAHYHNjdHlY8JHvTtKD+YZV8g8eUURsxx9VzTujlex2xa4griYzzMIR9exeGsfHU+mE8upNZ/a&#10;Z+Zd378RG/8OdhPMJq/auMMmTQvzdQSpco8nnjtWe/5x7POU9Csq7ZXje0YdFunsBQAA//8DAFBL&#10;AwQUAAYACAAAACEA0P96/OMAAAAMAQAADwAAAGRycy9kb3ducmV2LnhtbEyPTU+DQBCG7yb+h82Y&#10;eDHtQhHbIktjjB+JN4sf8bZlRyCys4TdAv57x5MeZ+bJO8+b72bbiREH3zpSEC8jEEiVMy3VCl7K&#10;+8UGhA+ajO4coYJv9LArTk9ynRk30TOO+1ALDiGfaQVNCH0mpa8atNovXY/Et083WB14HGppBj1x&#10;uO3kKoqupNUt8YdG93jbYPW1P1oFHxf1+5OfH16nJE36u8exXL+ZUqnzs/nmGkTAOfzB8KvP6lCw&#10;08EdyXjRKdikq4RRBYs43nIJRrbpZQriwKt1koIscvm/RPEDAAD//wMAUEsBAi0AFAAGAAgAAAAh&#10;ALaDOJL+AAAA4QEAABMAAAAAAAAAAAAAAAAAAAAAAFtDb250ZW50X1R5cGVzXS54bWxQSwECLQAU&#10;AAYACAAAACEAOP0h/9YAAACUAQAACwAAAAAAAAAAAAAAAAAvAQAAX3JlbHMvLnJlbHNQSwECLQAU&#10;AAYACAAAACEA9jskkYoCAACQBQAADgAAAAAAAAAAAAAAAAAuAgAAZHJzL2Uyb0RvYy54bWxQSwEC&#10;LQAUAAYACAAAACEA0P96/OMAAAAMAQAADwAAAAAAAAAAAAAAAADkBAAAZHJzL2Rvd25yZXYueG1s&#10;UEsFBgAAAAAEAAQA8wAAAPQFAAAAAA==&#10;" fillcolor="white [3201]" stroked="f" strokeweight=".5pt">
              <v:textbox>
                <w:txbxContent>
                  <w:p w14:paraId="04E8E3D6" w14:textId="77777777" w:rsidR="00367BE5" w:rsidRDefault="00367BE5" w:rsidP="005B2C6E">
                    <w:pPr>
                      <w:pStyle w:val="Brd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5FF8C" w14:textId="77777777" w:rsidR="00367BE5" w:rsidRDefault="00367BE5" w:rsidP="00680442"/>
  </w:footnote>
  <w:footnote w:type="continuationSeparator" w:id="0">
    <w:p w14:paraId="1629FCC9" w14:textId="77777777" w:rsidR="00367BE5" w:rsidRPr="00C26807" w:rsidRDefault="00367BE5" w:rsidP="00C26807">
      <w:pPr>
        <w:pStyle w:val="Sidfot"/>
      </w:pPr>
    </w:p>
  </w:footnote>
  <w:footnote w:type="continuationNotice" w:id="1">
    <w:p w14:paraId="3EC600D8" w14:textId="77777777" w:rsidR="00367BE5" w:rsidRDefault="00367BE5"/>
  </w:footnote>
  <w:footnote w:id="2">
    <w:p w14:paraId="65B21A33" w14:textId="45A569B4" w:rsidR="00367BE5" w:rsidRDefault="00367BE5">
      <w:pPr>
        <w:pStyle w:val="Fotnotstext"/>
      </w:pPr>
      <w:r>
        <w:rPr>
          <w:rStyle w:val="Fotnotsreferens"/>
        </w:rPr>
        <w:footnoteRef/>
      </w:r>
      <w:r>
        <w:t xml:space="preserve"> Por. Dyrektywa Parlamentu Europejskiego i Rady (UE) 2019/904 z dnia 5 czerwca 2019 r. w sprawie ograniczenia wpływu niektórych produktów z tworzyw sztucznych na środowisko, w pierwotnym brzmieniu.</w:t>
      </w:r>
      <w:r>
        <w:t xml:space="preserve"> </w:t>
      </w:r>
      <w:r>
        <w:t xml:space="preserve">Zob. Dyrektywa (UE) 2015/1535 Parlamentu Europejskiego i Rady z dnia 9 września 2015 r. ustanawiająca procedurę udzielania informacji w dziedzinie przepisów technicznych oraz zasad dotyczących usług społeczeństwa informacyjnego.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7899B" w14:textId="77777777" w:rsidR="00367BE5" w:rsidRDefault="00216AB5">
    <w:pPr>
      <w:pStyle w:val="Sidhuvud"/>
    </w:pPr>
    <w:r>
      <w:pict w14:anchorId="17449D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2050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WERSJA PRÓBNA DOKUMENTU, POZBAWIONA WAŻNOŚCI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37BC4" w14:textId="77777777" w:rsidR="00367BE5" w:rsidRDefault="00367BE5" w:rsidP="00F77ABC">
    <w:pPr>
      <w:pStyle w:val="Sidhuvud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3E6342BB" wp14:editId="0103E431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CCB8F" w14:textId="77777777" w:rsidR="00367BE5" w:rsidRPr="001974BD" w:rsidRDefault="00367BE5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 xml:space="preserve"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342BB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UiwIAAIoFAAAOAAAAZHJzL2Uyb0RvYy54bWysVEtvGyEQvlfqf0Dcm7Vd20msrCM3katK&#10;URLVrnLGLMSowFDA3nV/fQZ2/WiaS6pedgfmmxnmm8fVdWM02QofFNiS9s96lAjLoVL2uaQ/lvNP&#10;F5SEyGzFNFhR0p0I9Hr68cNV7SZiAGvQlfAEndgwqV1J1zG6SVEEvhaGhTNwwqJSgjcs4tE/F5Vn&#10;NXo3uhj0euOiBl85D1yEgLe3rZJOs38pBY8PUgYRiS4pvi3mr8/fVfoW0ys2efbMrRXvnsH+4RWG&#10;KYtBD65uWWRk49VfroziHgLIeMbBFCCl4iLngNn0e6+yWayZEzkXJCe4A03h/7nl99tHT1RV0hEl&#10;lhks0VI00W/w/aPETu3CBEELh7DYfIEGq7y/D3iZkm6kN+mP6RDUI8+7A7fojPBkNBheji9QxVE3&#10;HPWHg/PkpjhaOx/iVwGGJKGkHmuXKWXbuxBb6B6SggXQqporrfMh9Yu40Z5sGVZax/xGdP4HSltS&#10;l3T8edTLji0k89aztsmNyB3ThUuZtxlmKe60SBhtvwuJjOVE34jNOBf2ED+jE0piqPcYdvjjq95j&#10;3OaBFjky2HgwNsqCz9nnETtSVv3cUyZbPNbmJO8kxmbVdB2xgmqHDeGhHajg+Fxh1e5YiI/M4wRh&#10;oXErxAf8SA3IOnQSJWvwv9+6T3hsbNRSUuNEljT82jAvKNHfLLb8ZX84TCOcD8PR+QAP/lSzOtXY&#10;jbkBbIU+7h/Hs5jwUe9F6cE84fKYpaioYpZj7JLGvXgT2z2By4eL2SyDcGgdi3d24XhynehNPbls&#10;nph3XeNGbPl72M8um7zq3xabLC3MNhGkys2dCG5Z7YjHgc/j0S2ntFFOzxl1XKHTFwAAAP//AwBQ&#10;SwMEFAAGAAgAAAAhAJ8gUqbhAAAACgEAAA8AAABkcnMvZG93bnJldi54bWxMj8tOhEAQRfcm/kOn&#10;TNwYp2EIjIM0E2N8JO4cfMRdD10Cka4mdA/g31uudFmpk3vPLXaL7cWEo+8cKYhXEQik2pmOGgUv&#10;1f3lFQgfNBndO0IF3+hhV56eFDo3bqZnnPahERxCPtcK2hCGXEpft2i1X7kBiX+fbrQ68Dk20ox6&#10;5nDby3UUZdLqjrih1QPetlh/7Y9WwcdF8/7kl4fXOUmT4e5xqjZvplLq/Gy5uQYRcAl/MPzqszqU&#10;7HRwRzJe9Ao2aRYzqiCLeBMD23S9BXFgMoljkGUh/08ofwAAAP//AwBQSwECLQAUAAYACAAAACEA&#10;toM4kv4AAADhAQAAEwAAAAAAAAAAAAAAAAAAAAAAW0NvbnRlbnRfVHlwZXNdLnhtbFBLAQItABQA&#10;BgAIAAAAIQA4/SH/1gAAAJQBAAALAAAAAAAAAAAAAAAAAC8BAABfcmVscy8ucmVsc1BLAQItABQA&#10;BgAIAAAAIQBmNBCUiwIAAIoFAAAOAAAAAAAAAAAAAAAAAC4CAABkcnMvZTJvRG9jLnhtbFBLAQIt&#10;ABQABgAIAAAAIQCfIFKm4QAAAAoBAAAPAAAAAAAAAAAAAAAAAOUEAABkcnMvZG93bnJldi54bWxQ&#10;SwUGAAAAAAQABADzAAAA8wUAAAAA&#10;" fillcolor="white [3201]" stroked="f" strokeweight=".5pt">
              <v:textbox>
                <w:txbxContent>
                  <w:p w14:paraId="5B2CCB8F" w14:textId="77777777" w:rsidR="00367BE5" w:rsidRPr="001974BD" w:rsidRDefault="00367BE5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SFS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11658" w14:textId="77777777" w:rsidR="00367BE5" w:rsidRDefault="00367B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dirty" w:grammar="dirty"/>
  <w:attachedTemplate r:id="rId1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F3"/>
    <w:rsid w:val="00014844"/>
    <w:rsid w:val="000300C8"/>
    <w:rsid w:val="000309B4"/>
    <w:rsid w:val="00054B0D"/>
    <w:rsid w:val="00062643"/>
    <w:rsid w:val="00065778"/>
    <w:rsid w:val="00071462"/>
    <w:rsid w:val="00071E2D"/>
    <w:rsid w:val="000776E6"/>
    <w:rsid w:val="00082DC1"/>
    <w:rsid w:val="00087E73"/>
    <w:rsid w:val="00091696"/>
    <w:rsid w:val="000918F8"/>
    <w:rsid w:val="0009400A"/>
    <w:rsid w:val="000963A0"/>
    <w:rsid w:val="000A1BCC"/>
    <w:rsid w:val="000A437D"/>
    <w:rsid w:val="000A6C2B"/>
    <w:rsid w:val="000B072E"/>
    <w:rsid w:val="000B36C7"/>
    <w:rsid w:val="000B7FEB"/>
    <w:rsid w:val="000D56FC"/>
    <w:rsid w:val="000D5E85"/>
    <w:rsid w:val="00100E2C"/>
    <w:rsid w:val="00132BD5"/>
    <w:rsid w:val="00135F8C"/>
    <w:rsid w:val="0013616A"/>
    <w:rsid w:val="001409E8"/>
    <w:rsid w:val="0015788B"/>
    <w:rsid w:val="00162B76"/>
    <w:rsid w:val="00165B5E"/>
    <w:rsid w:val="00175988"/>
    <w:rsid w:val="00181BC1"/>
    <w:rsid w:val="00193587"/>
    <w:rsid w:val="001974BD"/>
    <w:rsid w:val="001B4DB6"/>
    <w:rsid w:val="001E5DC7"/>
    <w:rsid w:val="001F4FE9"/>
    <w:rsid w:val="00201C96"/>
    <w:rsid w:val="00216AB5"/>
    <w:rsid w:val="00223829"/>
    <w:rsid w:val="00224C44"/>
    <w:rsid w:val="00232439"/>
    <w:rsid w:val="0023447C"/>
    <w:rsid w:val="002538F1"/>
    <w:rsid w:val="002576A9"/>
    <w:rsid w:val="00267351"/>
    <w:rsid w:val="002767C4"/>
    <w:rsid w:val="00292671"/>
    <w:rsid w:val="0029295C"/>
    <w:rsid w:val="002949DD"/>
    <w:rsid w:val="002A76C1"/>
    <w:rsid w:val="002B3871"/>
    <w:rsid w:val="002B452D"/>
    <w:rsid w:val="002D247A"/>
    <w:rsid w:val="002D3D78"/>
    <w:rsid w:val="002E4274"/>
    <w:rsid w:val="002E5CB8"/>
    <w:rsid w:val="002F68D4"/>
    <w:rsid w:val="00300CD4"/>
    <w:rsid w:val="00301819"/>
    <w:rsid w:val="00323010"/>
    <w:rsid w:val="00325DAE"/>
    <w:rsid w:val="00332533"/>
    <w:rsid w:val="00342929"/>
    <w:rsid w:val="00343A99"/>
    <w:rsid w:val="00344B4A"/>
    <w:rsid w:val="003469C8"/>
    <w:rsid w:val="00350B0F"/>
    <w:rsid w:val="0035181A"/>
    <w:rsid w:val="00353EE4"/>
    <w:rsid w:val="00357670"/>
    <w:rsid w:val="003642F1"/>
    <w:rsid w:val="003661D1"/>
    <w:rsid w:val="00367BE5"/>
    <w:rsid w:val="00367C3F"/>
    <w:rsid w:val="0037085F"/>
    <w:rsid w:val="00375BFD"/>
    <w:rsid w:val="003B4CF3"/>
    <w:rsid w:val="003E2867"/>
    <w:rsid w:val="004043E4"/>
    <w:rsid w:val="00414BBD"/>
    <w:rsid w:val="0044098C"/>
    <w:rsid w:val="00440A07"/>
    <w:rsid w:val="00444C79"/>
    <w:rsid w:val="00446ACF"/>
    <w:rsid w:val="0044756E"/>
    <w:rsid w:val="00460C4D"/>
    <w:rsid w:val="00461C46"/>
    <w:rsid w:val="00461D7A"/>
    <w:rsid w:val="004625AD"/>
    <w:rsid w:val="00465E8F"/>
    <w:rsid w:val="00467E22"/>
    <w:rsid w:val="00467F48"/>
    <w:rsid w:val="00475117"/>
    <w:rsid w:val="00475F84"/>
    <w:rsid w:val="00487A84"/>
    <w:rsid w:val="00496903"/>
    <w:rsid w:val="00496B57"/>
    <w:rsid w:val="004A2769"/>
    <w:rsid w:val="004A3C1C"/>
    <w:rsid w:val="004A728C"/>
    <w:rsid w:val="004B6A07"/>
    <w:rsid w:val="004B7FD3"/>
    <w:rsid w:val="004E0106"/>
    <w:rsid w:val="004E1ACE"/>
    <w:rsid w:val="004E2EFF"/>
    <w:rsid w:val="004F0BBC"/>
    <w:rsid w:val="00506527"/>
    <w:rsid w:val="005373FC"/>
    <w:rsid w:val="005468F3"/>
    <w:rsid w:val="0055154B"/>
    <w:rsid w:val="00553A72"/>
    <w:rsid w:val="00562B95"/>
    <w:rsid w:val="00564C23"/>
    <w:rsid w:val="00572C88"/>
    <w:rsid w:val="00580393"/>
    <w:rsid w:val="00585B17"/>
    <w:rsid w:val="005A5ADA"/>
    <w:rsid w:val="005B2C6E"/>
    <w:rsid w:val="005B7784"/>
    <w:rsid w:val="005C210E"/>
    <w:rsid w:val="005C6B0C"/>
    <w:rsid w:val="005D42F4"/>
    <w:rsid w:val="005E410F"/>
    <w:rsid w:val="005E781A"/>
    <w:rsid w:val="005F0786"/>
    <w:rsid w:val="005F5448"/>
    <w:rsid w:val="005F758A"/>
    <w:rsid w:val="005F75D2"/>
    <w:rsid w:val="005F7A7D"/>
    <w:rsid w:val="00601455"/>
    <w:rsid w:val="006017CA"/>
    <w:rsid w:val="006030A0"/>
    <w:rsid w:val="00613113"/>
    <w:rsid w:val="006178BF"/>
    <w:rsid w:val="00622DC9"/>
    <w:rsid w:val="0064475F"/>
    <w:rsid w:val="00666D1F"/>
    <w:rsid w:val="00674124"/>
    <w:rsid w:val="00674A58"/>
    <w:rsid w:val="00680442"/>
    <w:rsid w:val="0068520B"/>
    <w:rsid w:val="006856DB"/>
    <w:rsid w:val="00685BA1"/>
    <w:rsid w:val="006972B7"/>
    <w:rsid w:val="006A189D"/>
    <w:rsid w:val="006A31EA"/>
    <w:rsid w:val="006A5C76"/>
    <w:rsid w:val="006A6EF2"/>
    <w:rsid w:val="006B3542"/>
    <w:rsid w:val="006B54FB"/>
    <w:rsid w:val="006C2353"/>
    <w:rsid w:val="006C3DF6"/>
    <w:rsid w:val="006C4712"/>
    <w:rsid w:val="00701719"/>
    <w:rsid w:val="00705CF7"/>
    <w:rsid w:val="00711FBF"/>
    <w:rsid w:val="00715836"/>
    <w:rsid w:val="00731454"/>
    <w:rsid w:val="00732889"/>
    <w:rsid w:val="00747F3B"/>
    <w:rsid w:val="00753F80"/>
    <w:rsid w:val="007708C2"/>
    <w:rsid w:val="00791ED7"/>
    <w:rsid w:val="007A10EE"/>
    <w:rsid w:val="007A5642"/>
    <w:rsid w:val="007A61CF"/>
    <w:rsid w:val="007B32A1"/>
    <w:rsid w:val="007B5968"/>
    <w:rsid w:val="007C0C0F"/>
    <w:rsid w:val="007C7D95"/>
    <w:rsid w:val="007E6B31"/>
    <w:rsid w:val="00833C7D"/>
    <w:rsid w:val="0083514C"/>
    <w:rsid w:val="00835AE2"/>
    <w:rsid w:val="00836C52"/>
    <w:rsid w:val="00837A93"/>
    <w:rsid w:val="0084384D"/>
    <w:rsid w:val="0085781B"/>
    <w:rsid w:val="00865506"/>
    <w:rsid w:val="00867EF2"/>
    <w:rsid w:val="00871B1E"/>
    <w:rsid w:val="0088045A"/>
    <w:rsid w:val="00887A99"/>
    <w:rsid w:val="008938FE"/>
    <w:rsid w:val="008A56A3"/>
    <w:rsid w:val="008B4876"/>
    <w:rsid w:val="008C6DE9"/>
    <w:rsid w:val="008D7DFB"/>
    <w:rsid w:val="008E6436"/>
    <w:rsid w:val="008E7A90"/>
    <w:rsid w:val="008F6E7A"/>
    <w:rsid w:val="008F6EEA"/>
    <w:rsid w:val="00901BB4"/>
    <w:rsid w:val="00902B0A"/>
    <w:rsid w:val="009047ED"/>
    <w:rsid w:val="00917859"/>
    <w:rsid w:val="009201AC"/>
    <w:rsid w:val="009331C6"/>
    <w:rsid w:val="00933D9C"/>
    <w:rsid w:val="009429B5"/>
    <w:rsid w:val="009739BA"/>
    <w:rsid w:val="0098408A"/>
    <w:rsid w:val="00984BC8"/>
    <w:rsid w:val="0098565F"/>
    <w:rsid w:val="0099266E"/>
    <w:rsid w:val="00993A25"/>
    <w:rsid w:val="009A51AC"/>
    <w:rsid w:val="009B701B"/>
    <w:rsid w:val="009C4782"/>
    <w:rsid w:val="009C5A21"/>
    <w:rsid w:val="009D6C25"/>
    <w:rsid w:val="009D7413"/>
    <w:rsid w:val="009E0463"/>
    <w:rsid w:val="009F4194"/>
    <w:rsid w:val="009F4B8F"/>
    <w:rsid w:val="009F60E3"/>
    <w:rsid w:val="009F63BA"/>
    <w:rsid w:val="00A11BA4"/>
    <w:rsid w:val="00A33D04"/>
    <w:rsid w:val="00A53593"/>
    <w:rsid w:val="00A619D9"/>
    <w:rsid w:val="00A71376"/>
    <w:rsid w:val="00A94B58"/>
    <w:rsid w:val="00A95177"/>
    <w:rsid w:val="00AA35F7"/>
    <w:rsid w:val="00AA4011"/>
    <w:rsid w:val="00AC565C"/>
    <w:rsid w:val="00AE1FEB"/>
    <w:rsid w:val="00AF246E"/>
    <w:rsid w:val="00AF4539"/>
    <w:rsid w:val="00B045CC"/>
    <w:rsid w:val="00B10BD4"/>
    <w:rsid w:val="00B13367"/>
    <w:rsid w:val="00B13451"/>
    <w:rsid w:val="00B316D7"/>
    <w:rsid w:val="00B32DD6"/>
    <w:rsid w:val="00B346FF"/>
    <w:rsid w:val="00B412A6"/>
    <w:rsid w:val="00B5416C"/>
    <w:rsid w:val="00B54292"/>
    <w:rsid w:val="00B554C6"/>
    <w:rsid w:val="00B65511"/>
    <w:rsid w:val="00B7501B"/>
    <w:rsid w:val="00B77536"/>
    <w:rsid w:val="00B90519"/>
    <w:rsid w:val="00B92773"/>
    <w:rsid w:val="00B92D7E"/>
    <w:rsid w:val="00BA1A11"/>
    <w:rsid w:val="00BC1B38"/>
    <w:rsid w:val="00BC3E60"/>
    <w:rsid w:val="00BC4608"/>
    <w:rsid w:val="00BC6DC4"/>
    <w:rsid w:val="00BE1774"/>
    <w:rsid w:val="00BE256B"/>
    <w:rsid w:val="00BF022A"/>
    <w:rsid w:val="00BF339D"/>
    <w:rsid w:val="00C073DB"/>
    <w:rsid w:val="00C221CE"/>
    <w:rsid w:val="00C25750"/>
    <w:rsid w:val="00C25CB0"/>
    <w:rsid w:val="00C26807"/>
    <w:rsid w:val="00C47474"/>
    <w:rsid w:val="00C64668"/>
    <w:rsid w:val="00C728AE"/>
    <w:rsid w:val="00C73C3C"/>
    <w:rsid w:val="00C741A1"/>
    <w:rsid w:val="00C747CC"/>
    <w:rsid w:val="00C76A2B"/>
    <w:rsid w:val="00C819BD"/>
    <w:rsid w:val="00C85AE3"/>
    <w:rsid w:val="00C96416"/>
    <w:rsid w:val="00CB0127"/>
    <w:rsid w:val="00CB0950"/>
    <w:rsid w:val="00CC3F0F"/>
    <w:rsid w:val="00CE05BB"/>
    <w:rsid w:val="00CE5EC6"/>
    <w:rsid w:val="00CF03E7"/>
    <w:rsid w:val="00CF5001"/>
    <w:rsid w:val="00CF79ED"/>
    <w:rsid w:val="00D001EA"/>
    <w:rsid w:val="00D01BFA"/>
    <w:rsid w:val="00D34DA7"/>
    <w:rsid w:val="00D42A87"/>
    <w:rsid w:val="00D441D7"/>
    <w:rsid w:val="00D448C5"/>
    <w:rsid w:val="00D44AC9"/>
    <w:rsid w:val="00D45C8D"/>
    <w:rsid w:val="00D50A6F"/>
    <w:rsid w:val="00D526A3"/>
    <w:rsid w:val="00D5396B"/>
    <w:rsid w:val="00D65A6A"/>
    <w:rsid w:val="00D70F12"/>
    <w:rsid w:val="00D71BB8"/>
    <w:rsid w:val="00D72FA5"/>
    <w:rsid w:val="00D73DE6"/>
    <w:rsid w:val="00D74117"/>
    <w:rsid w:val="00D91A49"/>
    <w:rsid w:val="00DA0D5F"/>
    <w:rsid w:val="00DB779F"/>
    <w:rsid w:val="00DB7E21"/>
    <w:rsid w:val="00DD0175"/>
    <w:rsid w:val="00DD64FA"/>
    <w:rsid w:val="00DE5B23"/>
    <w:rsid w:val="00DF648E"/>
    <w:rsid w:val="00DF68E0"/>
    <w:rsid w:val="00E1310A"/>
    <w:rsid w:val="00E21E6F"/>
    <w:rsid w:val="00E37BB1"/>
    <w:rsid w:val="00E52CB7"/>
    <w:rsid w:val="00E55E55"/>
    <w:rsid w:val="00E80832"/>
    <w:rsid w:val="00E868BF"/>
    <w:rsid w:val="00E967A2"/>
    <w:rsid w:val="00EA0AB8"/>
    <w:rsid w:val="00EA0E10"/>
    <w:rsid w:val="00EA1496"/>
    <w:rsid w:val="00EA2933"/>
    <w:rsid w:val="00EA76D7"/>
    <w:rsid w:val="00EB47C6"/>
    <w:rsid w:val="00ED763F"/>
    <w:rsid w:val="00EE3CA1"/>
    <w:rsid w:val="00EE6222"/>
    <w:rsid w:val="00EF57BC"/>
    <w:rsid w:val="00EF6220"/>
    <w:rsid w:val="00F1229F"/>
    <w:rsid w:val="00F24B78"/>
    <w:rsid w:val="00F277AA"/>
    <w:rsid w:val="00F70F1F"/>
    <w:rsid w:val="00F77ABC"/>
    <w:rsid w:val="00F8416E"/>
    <w:rsid w:val="00F94D97"/>
    <w:rsid w:val="00FA1C3B"/>
    <w:rsid w:val="00FB1396"/>
    <w:rsid w:val="00FB2CB0"/>
    <w:rsid w:val="00FB3F43"/>
    <w:rsid w:val="00FC2D29"/>
    <w:rsid w:val="00FD162D"/>
    <w:rsid w:val="00FD3A99"/>
    <w:rsid w:val="00FD5F95"/>
    <w:rsid w:val="00FD67E3"/>
    <w:rsid w:val="00FD759F"/>
    <w:rsid w:val="00FE263F"/>
    <w:rsid w:val="00FE3076"/>
    <w:rsid w:val="00FE36B5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43E277"/>
  <w15:docId w15:val="{8430BB9B-B68B-40F2-ABD0-12D04322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qFormat="1"/>
    <w:lsdException w:name="heading 3" w:semiHidden="1" w:uiPriority="7" w:qFormat="1"/>
    <w:lsdException w:name="heading 4" w:semiHidden="1" w:uiPriority="9" w:qFormat="1"/>
    <w:lsdException w:name="heading 5" w:semiHidden="1" w:uiPriority="11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/>
    <w:lsdException w:name="Body Text" w:semiHidden="1" w:uiPriority="2" w:qFormat="1"/>
    <w:lsdException w:name="Body Text Indent" w:semiHidden="1" w:uiPriority="3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semiHidden/>
    <w:rsid w:val="0007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basedOn w:val="RKbas"/>
    <w:next w:val="Brdtext"/>
    <w:link w:val="Rubrik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Rubrik2">
    <w:name w:val="heading 2"/>
    <w:basedOn w:val="RKbas"/>
    <w:next w:val="Brdtext"/>
    <w:link w:val="Rubrik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Rubrik3">
    <w:name w:val="heading 3"/>
    <w:basedOn w:val="RKbas"/>
    <w:next w:val="Brdtext"/>
    <w:link w:val="Rubrik3Char"/>
    <w:uiPriority w:val="7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Rubrik4">
    <w:name w:val="heading 4"/>
    <w:basedOn w:val="RKbas"/>
    <w:next w:val="Brdtext"/>
    <w:link w:val="Rubrik4Char"/>
    <w:uiPriority w:val="9"/>
    <w:qFormat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Rubrik5">
    <w:name w:val="heading 5"/>
    <w:basedOn w:val="RKbas"/>
    <w:next w:val="Brdtext"/>
    <w:link w:val="Rubrik5Char"/>
    <w:uiPriority w:val="11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Rubrik6">
    <w:name w:val="heading 6"/>
    <w:basedOn w:val="Normal"/>
    <w:next w:val="Normal"/>
    <w:link w:val="Rubrik6Char"/>
    <w:uiPriority w:val="9"/>
    <w:semiHidden/>
    <w:rsid w:val="00E3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E37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E37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rsid w:val="00E3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8B487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Standardstycketeckensnit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rdtext">
    <w:name w:val="Body Text"/>
    <w:basedOn w:val="RKbas"/>
    <w:next w:val="Brdtextmedindrag"/>
    <w:link w:val="Brd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rdtextChar">
    <w:name w:val="Brödtext Char"/>
    <w:basedOn w:val="Standardstycketeckensnitt"/>
    <w:link w:val="Brdtext"/>
    <w:uiPriority w:val="2"/>
    <w:rsid w:val="005C210E"/>
    <w:rPr>
      <w:rFonts w:ascii="Times New Roman" w:hAnsi="Times New Roman"/>
      <w:sz w:val="23"/>
    </w:rPr>
  </w:style>
  <w:style w:type="paragraph" w:styleId="Brdtextmedindrag">
    <w:name w:val="Body Text Indent"/>
    <w:basedOn w:val="RKbas"/>
    <w:link w:val="Brdtextmedindrag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rdtextmedindragChar">
    <w:name w:val="Brödtext med indrag Char"/>
    <w:basedOn w:val="Standardstycketeckensnitt"/>
    <w:link w:val="Brdtextmedindrag"/>
    <w:uiPriority w:val="3"/>
    <w:rsid w:val="005C210E"/>
    <w:rPr>
      <w:rFonts w:ascii="Times New Roman" w:hAnsi="Times New Roman"/>
      <w:sz w:val="23"/>
    </w:rPr>
  </w:style>
  <w:style w:type="character" w:styleId="Fotnotsreferens">
    <w:name w:val="footnote reference"/>
    <w:basedOn w:val="Standardstycketeckensnitt"/>
    <w:uiPriority w:val="4"/>
    <w:semiHidden/>
    <w:rsid w:val="008B4876"/>
    <w:rPr>
      <w:vertAlign w:val="superscript"/>
    </w:rPr>
  </w:style>
  <w:style w:type="paragraph" w:styleId="Fotnotstext">
    <w:name w:val="footnote text"/>
    <w:basedOn w:val="RKbas"/>
    <w:link w:val="Fotnots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Inledning">
    <w:name w:val="Salutation"/>
    <w:basedOn w:val="RKbas"/>
    <w:next w:val="Brdtextmedindrag"/>
    <w:link w:val="Inledning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4876"/>
    <w:rPr>
      <w:rFonts w:ascii="Times New Roman" w:hAnsi="Times New Roman"/>
      <w:sz w:val="19"/>
    </w:rPr>
  </w:style>
  <w:style w:type="paragraph" w:styleId="Numreradlista">
    <w:name w:val="List Number"/>
    <w:basedOn w:val="RKbas"/>
    <w:link w:val="NumreradlistaChar"/>
    <w:uiPriority w:val="99"/>
    <w:semiHidden/>
    <w:rsid w:val="008B4876"/>
    <w:pPr>
      <w:numPr>
        <w:numId w:val="2"/>
      </w:numPr>
      <w:contextualSpacing/>
    </w:pPr>
  </w:style>
  <w:style w:type="character" w:customStyle="1" w:styleId="NumreradlistaChar">
    <w:name w:val="Numrerad lista Char"/>
    <w:basedOn w:val="RKbasChar"/>
    <w:link w:val="Numreradlista"/>
    <w:uiPriority w:val="99"/>
    <w:semiHidden/>
    <w:rsid w:val="008B4876"/>
    <w:rPr>
      <w:rFonts w:ascii="Times New Roman" w:hAnsi="Times New Roman"/>
      <w:sz w:val="20"/>
    </w:rPr>
  </w:style>
  <w:style w:type="character" w:styleId="Platshllartext">
    <w:name w:val="Placeholder Text"/>
    <w:basedOn w:val="Standardstycketeckensnitt"/>
    <w:uiPriority w:val="99"/>
    <w:semiHidden/>
    <w:rsid w:val="008B4876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Rubrik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Rubrik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Rubrik4Char">
    <w:name w:val="Rubrik 4 Char"/>
    <w:basedOn w:val="Standardstycketeckensnitt"/>
    <w:link w:val="Rubrik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Rubrik4"/>
    <w:next w:val="Normal"/>
    <w:link w:val="Rubrik4utannumreringChar"/>
    <w:uiPriority w:val="14"/>
    <w:qFormat/>
    <w:rsid w:val="008B4876"/>
  </w:style>
  <w:style w:type="character" w:customStyle="1" w:styleId="Rubrik4utannumreringChar">
    <w:name w:val="Rubrik 4 utan numrering Char"/>
    <w:basedOn w:val="Rubrik4Char"/>
    <w:link w:val="Rubrik4utannumrering"/>
    <w:uiPriority w:val="14"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Rubrik5Char">
    <w:name w:val="Rubrik 5 Char"/>
    <w:basedOn w:val="Standardstycketeckensnitt"/>
    <w:link w:val="Rubrik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Rubrik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Rubrik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rdtext"/>
    <w:next w:val="Brdtext"/>
    <w:link w:val="Rubrikluft3-5Char"/>
    <w:uiPriority w:val="13"/>
    <w:semiHidden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rdtextChar"/>
    <w:link w:val="Rubrikluft3-5"/>
    <w:uiPriority w:val="13"/>
    <w:semiHidden/>
    <w:rsid w:val="00BE1774"/>
    <w:rPr>
      <w:rFonts w:ascii="Times New Roman" w:hAnsi="Times New Roman"/>
      <w:sz w:val="8"/>
    </w:rPr>
  </w:style>
  <w:style w:type="paragraph" w:styleId="Sidfot">
    <w:name w:val="footer"/>
    <w:basedOn w:val="RKbas"/>
    <w:link w:val="Sidfot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B4876"/>
    <w:rPr>
      <w:rFonts w:ascii="Times New Roman" w:hAnsi="Times New Roman"/>
      <w:sz w:val="20"/>
    </w:rPr>
  </w:style>
  <w:style w:type="paragraph" w:styleId="Sidhuvud">
    <w:name w:val="header"/>
    <w:basedOn w:val="RKbas"/>
    <w:link w:val="Sidhuvud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rdtext"/>
    <w:next w:val="Brdtextmedindrag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rdtextmedindrag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rd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Standardstycketeckensnit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rdtext"/>
    <w:next w:val="Brd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rd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Rubrik3"/>
    <w:next w:val="Rubrikluft3-5"/>
    <w:link w:val="Rubrik3omndringChar"/>
    <w:uiPriority w:val="8"/>
    <w:semiHidden/>
    <w:rsid w:val="00CB0127"/>
    <w:pPr>
      <w:spacing w:before="0" w:after="0"/>
    </w:pPr>
  </w:style>
  <w:style w:type="paragraph" w:customStyle="1" w:styleId="Rubrik4omndring">
    <w:name w:val="Rubrik 4 om ändring"/>
    <w:basedOn w:val="Rubrik4"/>
    <w:next w:val="Rubrikluft3-5"/>
    <w:link w:val="Rubrik4omndringChar"/>
    <w:uiPriority w:val="10"/>
    <w:semiHidden/>
    <w:rsid w:val="00BC1B38"/>
    <w:pPr>
      <w:spacing w:before="0" w:after="0"/>
    </w:pPr>
  </w:style>
  <w:style w:type="character" w:customStyle="1" w:styleId="Rubrik3omndringChar">
    <w:name w:val="Rubrik 3 om ändring Char"/>
    <w:basedOn w:val="Rubrik3Char"/>
    <w:link w:val="Rubrik3omndring"/>
    <w:uiPriority w:val="8"/>
    <w:semiHidden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Rubrik5"/>
    <w:next w:val="Rubrikluft3-5"/>
    <w:link w:val="Rubrik5omndringChar"/>
    <w:uiPriority w:val="12"/>
    <w:semiHidden/>
    <w:rsid w:val="00BC1B38"/>
    <w:pPr>
      <w:spacing w:before="0" w:after="0"/>
    </w:pPr>
  </w:style>
  <w:style w:type="character" w:customStyle="1" w:styleId="Rubrik4omndringChar">
    <w:name w:val="Rubrik 4 om ändring Char"/>
    <w:basedOn w:val="Rubrik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rdtext"/>
    <w:next w:val="Brd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Rubrik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rd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Rubrik4"/>
    <w:next w:val="Brdtextmedindrag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Rubrik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ellrutnt">
    <w:name w:val="Table Grid"/>
    <w:basedOn w:val="Normaltabel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Adress-brev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E37BB1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rsid w:val="00E37BB1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E37BB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Avsndaradress-brev">
    <w:name w:val="envelope return"/>
    <w:basedOn w:val="Normal"/>
    <w:uiPriority w:val="99"/>
    <w:semiHidden/>
    <w:rsid w:val="00E37BB1"/>
    <w:rPr>
      <w:rFonts w:asciiTheme="majorHAnsi" w:eastAsiaTheme="majorEastAsia" w:hAnsiTheme="majorHAnsi" w:cstheme="majorBidi"/>
    </w:rPr>
  </w:style>
  <w:style w:type="paragraph" w:styleId="Beskrivning">
    <w:name w:val="caption"/>
    <w:basedOn w:val="Normal"/>
    <w:next w:val="Normal"/>
    <w:uiPriority w:val="35"/>
    <w:semiHidden/>
    <w:rsid w:val="00E37BB1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E37BB1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E37BB1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E37BB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3">
    <w:name w:val="Body Text 3"/>
    <w:basedOn w:val="Normal"/>
    <w:link w:val="Brdtext3Char"/>
    <w:uiPriority w:val="99"/>
    <w:semiHidden/>
    <w:rsid w:val="00E37BB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E37BB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E37BB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E37BB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rsid w:val="00E37BB1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rsid w:val="00E37B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E37BB1"/>
  </w:style>
  <w:style w:type="character" w:customStyle="1" w:styleId="DatumChar">
    <w:name w:val="Datum Char"/>
    <w:basedOn w:val="Standardstycketeckensnitt"/>
    <w:link w:val="Datum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Diskretbetoning">
    <w:name w:val="Subtle Emphasis"/>
    <w:basedOn w:val="Standardstycketeckensnitt"/>
    <w:uiPriority w:val="19"/>
    <w:semiHidden/>
    <w:rsid w:val="00E37BB1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E37BB1"/>
    <w:rPr>
      <w:smallCaps/>
      <w:color w:val="C0504D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E37BB1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E37BB1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Figurfrteckning">
    <w:name w:val="table of figures"/>
    <w:basedOn w:val="Normal"/>
    <w:next w:val="Normal"/>
    <w:uiPriority w:val="99"/>
    <w:semiHidden/>
    <w:rsid w:val="00E37BB1"/>
  </w:style>
  <w:style w:type="paragraph" w:styleId="HTML-adress">
    <w:name w:val="HTML Address"/>
    <w:basedOn w:val="Normal"/>
    <w:link w:val="HTML-adressChar"/>
    <w:uiPriority w:val="99"/>
    <w:semiHidden/>
    <w:rsid w:val="00E37BB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-akronym">
    <w:name w:val="HTML Acronym"/>
    <w:basedOn w:val="Standardstycketeckensnitt"/>
    <w:uiPriority w:val="99"/>
    <w:semiHidden/>
    <w:rsid w:val="00E37BB1"/>
  </w:style>
  <w:style w:type="character" w:styleId="HTML-citat">
    <w:name w:val="HTML Cite"/>
    <w:basedOn w:val="Standardstycketeckensnitt"/>
    <w:uiPriority w:val="99"/>
    <w:semiHidden/>
    <w:rsid w:val="00E37BB1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E37BB1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E37BB1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E37BB1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E37BB1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E37BB1"/>
    <w:rPr>
      <w:i/>
      <w:iCs/>
    </w:rPr>
  </w:style>
  <w:style w:type="character" w:styleId="Hyperlnk">
    <w:name w:val="Hyperlink"/>
    <w:basedOn w:val="Standardstycketeckensnit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E37BB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semiHidden/>
    <w:rsid w:val="00E37BB1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E37BB1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semiHidden/>
    <w:rsid w:val="00E37BB1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E37BB1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E37BB1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E37BB1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E37BB1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E37BB1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E37BB1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Kommentarer">
    <w:name w:val="annotation text"/>
    <w:basedOn w:val="Normal"/>
    <w:link w:val="KommentarerChar"/>
    <w:uiPriority w:val="99"/>
    <w:semiHidden/>
    <w:rsid w:val="00E37BB1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E37BB1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E37B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E37BB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E37BB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E37BB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E37BB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E37BB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E37BB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E37BB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E37BB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E37BB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E37BB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E37BB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E37BB1"/>
  </w:style>
  <w:style w:type="paragraph" w:styleId="Makrotext">
    <w:name w:val="macro"/>
    <w:link w:val="Mak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E37BB1"/>
    <w:rPr>
      <w:sz w:val="24"/>
      <w:szCs w:val="24"/>
    </w:rPr>
  </w:style>
  <w:style w:type="paragraph" w:styleId="Normaltindrag">
    <w:name w:val="Normal Indent"/>
    <w:basedOn w:val="Normal"/>
    <w:uiPriority w:val="99"/>
    <w:semiHidden/>
    <w:rsid w:val="00E37BB1"/>
    <w:pPr>
      <w:ind w:left="1304"/>
    </w:pPr>
  </w:style>
  <w:style w:type="paragraph" w:styleId="Numreradlista2">
    <w:name w:val="List Number 2"/>
    <w:basedOn w:val="Normal"/>
    <w:uiPriority w:val="99"/>
    <w:semiHidden/>
    <w:rsid w:val="00E37BB1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rsid w:val="00E37BB1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rsid w:val="00E37BB1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rsid w:val="00E37BB1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rsid w:val="00E37BB1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Punktlista">
    <w:name w:val="List Bullet"/>
    <w:basedOn w:val="Normal"/>
    <w:uiPriority w:val="99"/>
    <w:semiHidden/>
    <w:rsid w:val="00E37BB1"/>
    <w:pPr>
      <w:numPr>
        <w:numId w:val="7"/>
      </w:numPr>
      <w:ind w:left="0" w:firstLine="0"/>
      <w:contextualSpacing/>
    </w:pPr>
  </w:style>
  <w:style w:type="paragraph" w:styleId="Punktlista2">
    <w:name w:val="List Bullet 2"/>
    <w:basedOn w:val="Normal"/>
    <w:uiPriority w:val="99"/>
    <w:semiHidden/>
    <w:rsid w:val="00E37BB1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ind w:left="0" w:firstLine="0"/>
      <w:contextualSpacing/>
    </w:pPr>
  </w:style>
  <w:style w:type="paragraph" w:styleId="Punktlista4">
    <w:name w:val="List Bullet 4"/>
    <w:basedOn w:val="Normal"/>
    <w:uiPriority w:val="99"/>
    <w:semiHidden/>
    <w:rsid w:val="00E37BB1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rsid w:val="00E37BB1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E37BB1"/>
  </w:style>
  <w:style w:type="paragraph" w:styleId="Rubrik">
    <w:name w:val="Title"/>
    <w:basedOn w:val="Normal"/>
    <w:next w:val="Normal"/>
    <w:link w:val="RubrikChar"/>
    <w:uiPriority w:val="10"/>
    <w:semiHidden/>
    <w:rsid w:val="00E37B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E37BB1"/>
  </w:style>
  <w:style w:type="paragraph" w:styleId="Signatur">
    <w:name w:val="Signature"/>
    <w:basedOn w:val="Normal"/>
    <w:link w:val="SignaturChar"/>
    <w:uiPriority w:val="99"/>
    <w:semiHidden/>
    <w:rsid w:val="00E37BB1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E37BB1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E37BB1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E37BB1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E37BB1"/>
    <w:rPr>
      <w:b/>
      <w:bCs/>
      <w:i/>
      <w:iCs/>
      <w:color w:val="4F81BD" w:themeColor="accent1"/>
    </w:rPr>
  </w:style>
  <w:style w:type="character" w:styleId="Starkreferens">
    <w:name w:val="Intense Reference"/>
    <w:basedOn w:val="Standardstycketeckensnit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37B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E37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styleId="Hashtagg">
    <w:name w:val="Hashtag"/>
    <w:basedOn w:val="Standardstycketeckensnitt"/>
    <w:uiPriority w:val="99"/>
    <w:semiHidden/>
    <w:rsid w:val="005468F3"/>
    <w:rPr>
      <w:color w:val="2B579A"/>
      <w:shd w:val="clear" w:color="auto" w:fill="E1DFDD"/>
    </w:rPr>
  </w:style>
  <w:style w:type="character" w:styleId="Nmn">
    <w:name w:val="Mention"/>
    <w:basedOn w:val="Standardstycketeckensnitt"/>
    <w:uiPriority w:val="99"/>
    <w:semiHidden/>
    <w:rsid w:val="005468F3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5468F3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5468F3"/>
    <w:rPr>
      <w:u w:val="dotted"/>
    </w:rPr>
  </w:style>
  <w:style w:type="character" w:styleId="SmartLink">
    <w:name w:val="Smart Link"/>
    <w:basedOn w:val="Standardstycketeckensnitt"/>
    <w:uiPriority w:val="99"/>
    <w:semiHidden/>
    <w:rsid w:val="005468F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5" ma:contentTypeDescription="Skapa ett nytt dokument." ma:contentTypeScope="" ma:versionID="44e31441bcfe5a11cd9a2cef0337272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4acd662-17ce-4a3b-8e84-c7c9f280a23c" xmlns:ns7="6a372189-8514-43a9-a668-4622024340fc" targetNamespace="http://schemas.microsoft.com/office/2006/metadata/properties" ma:root="true" ma:fieldsID="9755c46bd8cbbb861736efa1e3307b2e" ns2:_="" ns3:_="" ns4:_="" ns5:_="" ns7:_="">
    <xsd:import namespace="4e9c2f0c-7bf8-49af-8356-cbf363fc78a7"/>
    <xsd:import namespace="cc625d36-bb37-4650-91b9-0c96159295ba"/>
    <xsd:import namespace="18f3d968-6251-40b0-9f11-012b293496c2"/>
    <xsd:import namespace="d4acd662-17ce-4a3b-8e84-c7c9f280a23c"/>
    <xsd:import namespace="6a372189-8514-43a9-a668-4622024340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RKOrdnaCheckInComment" minOccurs="0"/>
                <xsd:element ref="ns5:RKOrdnaClas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3b9322c-24b1-4a7f-a49c-b9c86c8c013d}" ma:internalName="TaxCatchAll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RKOrdnaClass" ma:index="18" nillable="true" ma:displayName="Klass" ma:hidden="true" ma:internalName="RKOrdnaCla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9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_dlc_DocId xmlns="6a372189-8514-43a9-a668-4622024340fc">TSDR5AECP2XP-1839530900-53401</_dlc_DocId>
    <_dlc_DocIdUrl xmlns="6a372189-8514-43a9-a668-4622024340fc">
      <Url>https://dhs.sp.regeringskansliet.se/yta/m-r/_layouts/15/DocIdRedir.aspx?ID=TSDR5AECP2XP-1839530900-53401</Url>
      <Description>TSDR5AECP2XP-1839530900-53401</Description>
    </_dlc_DocIdUrl>
    <RKOrdnaClass xmlns="d4acd662-17ce-4a3b-8e84-c7c9f280a23c" xsi:nil="true"/>
    <RKOrdnaCheckInComment xmlns="d4acd662-17ce-4a3b-8e84-c7c9f280a23c" xsi:nil="true"/>
  </documentManagement>
</p:properties>
</file>

<file path=customXml/item4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 Cedrum</SenderName>
      <SenderTitle>Departementssekreterare</SenderTitle>
      <SenderMail>Anna.Cedrum@regeringskansliet.se</SenderMail>
      <SenderPhone>08-405 12 09
072-228 11 41</SenderPhone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2021-05-28</HeaderDate>
    <Office/>
    <Dnr>M2021/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73116295-FA14-4E60-8CF8-DF020278D9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65EF5E-669B-4B82-89C6-5BB7EFA38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4acd662-17ce-4a3b-8e84-c7c9f280a23c"/>
    <ds:schemaRef ds:uri="6a372189-8514-43a9-a668-462202434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0BDEA-6BD5-4D01-B686-2AF69049C9BA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a372189-8514-43a9-a668-4622024340fc"/>
    <ds:schemaRef ds:uri="d4acd662-17ce-4a3b-8e84-c7c9f280a23c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1D5F84-930E-4221-A652-1F47596D454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EE4A30F-19A2-4DF4-8C0F-8AFABA5BE64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EA8E85B-6BF4-4026-83C3-3E202E307CA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SFS.dotx</Template>
  <TotalTime>0</TotalTime>
  <Pages>4</Pages>
  <Words>1146</Words>
  <Characters>6075</Characters>
  <Application>Microsoft Office Word</Application>
  <DocSecurity>4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engångsprodukter</vt:lpstr>
    </vt:vector>
  </TitlesOfParts>
  <Company>Regeringskansliet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engångsprodukter</dc:title>
  <dc:creator>Anna Cedrum</dc:creator>
  <cp:lastModifiedBy>Katarina Paul</cp:lastModifiedBy>
  <cp:revision>2</cp:revision>
  <cp:lastPrinted>2016-10-14T09:17:00Z</cp:lastPrinted>
  <dcterms:created xsi:type="dcterms:W3CDTF">2021-06-29T07:58:00Z</dcterms:created>
  <dcterms:modified xsi:type="dcterms:W3CDTF">2021-06-29T07:58:00Z</dcterms:modified>
  <cp:category/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2b04aeba-2ef5-47c7-acc5-3e7944d82115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SFS1</vt:lpwstr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ActivityCategory">
    <vt:lpwstr/>
  </property>
  <property fmtid="{D5CDD505-2E9C-101B-9397-08002B2CF9AE}" pid="11" name="TaxKeywordTaxHTField">
    <vt:lpwstr/>
  </property>
  <property fmtid="{D5CDD505-2E9C-101B-9397-08002B2CF9AE}" pid="12" name="c9cd366cc722410295b9eacffbd73909">
    <vt:lpwstr/>
  </property>
  <property fmtid="{D5CDD505-2E9C-101B-9397-08002B2CF9AE}" pid="13" name="RKAktivitetskategori">
    <vt:lpwstr/>
  </property>
</Properties>
</file>