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3CF47B45"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0268C580">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Swedish Code of Statutes</w:t>
      </w:r>
    </w:p>
    <w:p w14:paraId="6CC2C3FA" w14:textId="0A29D8A4" w:rsidR="00646F34" w:rsidRPr="005F75D2" w:rsidRDefault="00696511" w:rsidP="005F75D2">
      <w:pPr>
        <w:pStyle w:val="BodyText"/>
        <w:pBdr>
          <w:top w:val="single" w:sz="6" w:space="1" w:color="auto"/>
        </w:pBdr>
        <w:ind w:right="-2411"/>
        <w:rPr>
          <w:sz w:val="4"/>
          <w:szCs w:val="4"/>
        </w:rPr>
      </w:pPr>
      <w:r>
        <w:rPr>
          <w:noProof/>
        </w:rPr>
        <mc:AlternateContent>
          <mc:Choice Requires="wps">
            <w:drawing>
              <wp:anchor distT="0" distB="0" distL="114300" distR="114300" simplePos="0" relativeHeight="251662336" behindDoc="0" locked="0" layoutInCell="1" allowOverlap="1" wp14:anchorId="5E9FED69" wp14:editId="7BEDC2E1">
                <wp:simplePos x="0" y="0"/>
                <wp:positionH relativeFrom="page">
                  <wp:posOffset>5390104</wp:posOffset>
                </wp:positionH>
                <wp:positionV relativeFrom="page">
                  <wp:posOffset>1964338</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Published</w:t>
                            </w:r>
                            <w:r>
                              <w:rPr>
                                <w:sz w:val="20"/>
                              </w:rPr>
                              <w:b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4.4pt;margin-top:154.6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Published</w:t>
                      </w:r>
                      <w:r>
                        <w:rPr>
                          <w:sz w:val="20"/>
                        </w:rPr>
                        <w:br/>
                        <w:t>on</w:t>
                      </w:r>
                    </w:p>
                  </w:txbxContent>
                </v:textbox>
                <w10:wrap anchorx="page" anchory="page"/>
              </v:shape>
            </w:pict>
          </mc:Fallback>
        </mc:AlternateContent>
      </w:r>
    </w:p>
    <w:p w14:paraId="06E55153" w14:textId="106238E6" w:rsidR="00646F34" w:rsidRDefault="00646F34" w:rsidP="005F75D2">
      <w:pPr>
        <w:pStyle w:val="Heading2"/>
        <w:spacing w:before="200"/>
      </w:pPr>
      <w:bookmarkStart w:id="1" w:name="Titel"/>
      <w:r>
        <w:t>Ordinance on single-use products</w:t>
      </w:r>
    </w:p>
    <w:bookmarkEnd w:id="1"/>
    <w:p w14:paraId="266D883D" w14:textId="77777777" w:rsidR="00646F34" w:rsidRPr="00496B57" w:rsidRDefault="00646F34" w:rsidP="009C4782">
      <w:pPr>
        <w:pStyle w:val="BodyText"/>
      </w:pPr>
      <w:r>
        <w:t xml:space="preserve">Issued </w:t>
      </w:r>
      <w:sdt>
        <w:sdtPr>
          <w:alias w:val="IssuedDate"/>
          <w:tag w:val="UtfärdadDatum"/>
          <w:id w:val="-627399020"/>
          <w:placeholder>
            <w:docPart w:val="BA31D46B8C324B76B3CEC46700909471"/>
          </w:placeholder>
          <w:showingPlcHdr/>
          <w:date>
            <w:dateFormat w:val="'den' d MMMM yyyy"/>
            <w:lid w:val="en-GB"/>
            <w:storeMappedDataAs w:val="dateTime"/>
            <w:calendar w:val="gregorian"/>
          </w:date>
        </w:sdtPr>
        <w:sdtEndPr/>
        <w:sdtContent>
          <w:r>
            <w:rPr>
              <w:rStyle w:val="PlaceholderText"/>
            </w:rPr>
            <w:t>Click here to enter date.</w:t>
          </w:r>
        </w:sdtContent>
      </w:sdt>
    </w:p>
    <w:p w14:paraId="531050A5" w14:textId="77777777" w:rsidR="00646F34" w:rsidRDefault="00646F34" w:rsidP="009C4782">
      <w:pPr>
        <w:pStyle w:val="BodyText"/>
      </w:pPr>
    </w:p>
    <w:p w14:paraId="33F2A488" w14:textId="1ECAF154" w:rsidR="00646F34" w:rsidRDefault="00646F34" w:rsidP="009C4782">
      <w:pPr>
        <w:pStyle w:val="BodyText"/>
      </w:pPr>
      <w:r>
        <w:t>The Swedish Government hereby lays down</w:t>
      </w:r>
      <w:r w:rsidR="00211C2C">
        <w:rPr>
          <w:rStyle w:val="FootnoteReference"/>
        </w:rPr>
        <w:footnoteReference w:id="2"/>
      </w:r>
      <w:r>
        <w:t xml:space="preserve"> the following.</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Section 1</w:t>
      </w:r>
      <w:r>
        <w:t xml:space="preserve">    The purpose of this Ordinance is to reduce littering and promote a circular economy. </w:t>
      </w:r>
    </w:p>
    <w:p w14:paraId="40BFA1F6" w14:textId="0E004591" w:rsidR="00211C2C" w:rsidRDefault="00333E47" w:rsidP="004F112E">
      <w:pPr>
        <w:pStyle w:val="BodyTextIndent"/>
      </w:pPr>
      <w:r>
        <w:t xml:space="preserve">This Ordinance is issued by virtue of </w:t>
      </w:r>
    </w:p>
    <w:p w14:paraId="12B53A34" w14:textId="68D2448E" w:rsidR="00211C2C" w:rsidRPr="001E4FCB" w:rsidRDefault="00211C2C" w:rsidP="00211C2C">
      <w:pPr>
        <w:pStyle w:val="BodyTextIndent"/>
      </w:pPr>
      <w:bookmarkStart w:id="2" w:name="_Hlk83046616"/>
      <w:r>
        <w:t>– Chapter 15, Section 40 of the Environmental Code with respect to Sections 12–23 and 25–28,</w:t>
      </w:r>
    </w:p>
    <w:p w14:paraId="4D869C94" w14:textId="315A9AF4" w:rsidR="00211C2C" w:rsidRDefault="00211C2C" w:rsidP="00211C2C">
      <w:pPr>
        <w:pStyle w:val="BodyTextIndent"/>
      </w:pPr>
      <w:r>
        <w:t>– Chapter 8, Section 11 of the Instrument of Government with respect to Section 34, and</w:t>
      </w:r>
    </w:p>
    <w:p w14:paraId="4031C2BE" w14:textId="565CD061" w:rsidR="00211C2C" w:rsidRDefault="00211C2C" w:rsidP="00211C2C">
      <w:pPr>
        <w:pStyle w:val="BodyTextIndent"/>
      </w:pPr>
      <w:r>
        <w:t>– Chapter 8, Section 7 of the Instrument of Government with respect to other provisions.</w:t>
      </w:r>
    </w:p>
    <w:p w14:paraId="4266EBCF" w14:textId="77777777" w:rsidR="00646F34" w:rsidRDefault="00646F34" w:rsidP="009E6D43">
      <w:pPr>
        <w:pStyle w:val="Heading4"/>
      </w:pPr>
      <w:bookmarkStart w:id="3" w:name="_Hlk48222959"/>
      <w:bookmarkEnd w:id="2"/>
      <w:r>
        <w:t>Additional provisions in other ordinances</w:t>
      </w:r>
      <w:bookmarkEnd w:id="3"/>
    </w:p>
    <w:p w14:paraId="01712DC8" w14:textId="4271D0B8" w:rsidR="00646F34" w:rsidRDefault="00311E20" w:rsidP="00646F34">
      <w:pPr>
        <w:pStyle w:val="BodyTextIndent"/>
        <w:ind w:firstLine="0"/>
      </w:pPr>
      <w:r>
        <w:rPr>
          <w:b/>
        </w:rPr>
        <w:t>Section 2</w:t>
      </w:r>
      <w:r>
        <w:t xml:space="preserve">    Further provisions on single-use devices can be found in: </w:t>
      </w:r>
    </w:p>
    <w:p w14:paraId="154B105E" w14:textId="60FF01F1" w:rsidR="003C1B39" w:rsidRDefault="003C1B39" w:rsidP="003C1B39">
      <w:pPr>
        <w:pStyle w:val="BodyTextIndent"/>
      </w:pPr>
      <w:r>
        <w:t xml:space="preserve">– The Chemical Products (Handling, Import and Export Prohibitions) Ordinance (1998:944), </w:t>
      </w:r>
    </w:p>
    <w:p w14:paraId="059C6EE1" w14:textId="1A797C64" w:rsidR="003C1B39" w:rsidRDefault="003C1B39" w:rsidP="003C1B39">
      <w:pPr>
        <w:pStyle w:val="BodyTextIndent"/>
      </w:pPr>
      <w:r>
        <w:t xml:space="preserve">– Ordinance (2005:220) on return systems for plastic bottles and metal cans, </w:t>
      </w:r>
    </w:p>
    <w:p w14:paraId="2360F5CB" w14:textId="5EE3CD3D" w:rsidR="003C1B39" w:rsidRDefault="003C1B39" w:rsidP="009E6D43">
      <w:pPr>
        <w:pStyle w:val="BodyTextIndent"/>
      </w:pPr>
      <w:r>
        <w:t xml:space="preserve">– Ordinance (2018:1462) on producer responsibility for packaging, </w:t>
      </w:r>
    </w:p>
    <w:p w14:paraId="6B638499" w14:textId="18241521" w:rsidR="00615D62" w:rsidRDefault="00646F34" w:rsidP="00646F34">
      <w:pPr>
        <w:pStyle w:val="BodyTextIndent"/>
      </w:pPr>
      <w:r>
        <w:t xml:space="preserve">– Regulation (2021:000) on producer responsibility for certain tobacco products </w:t>
      </w:r>
    </w:p>
    <w:p w14:paraId="6DF6135E" w14:textId="39B4E289" w:rsidR="00646F34" w:rsidRDefault="00646F34" w:rsidP="00646F34">
      <w:pPr>
        <w:pStyle w:val="BodyTextIndent"/>
      </w:pPr>
      <w:r>
        <w:t xml:space="preserve">and filters, </w:t>
      </w:r>
    </w:p>
    <w:p w14:paraId="1451E275" w14:textId="1C1843A6" w:rsidR="00646F34" w:rsidRDefault="00646F34" w:rsidP="00646F34">
      <w:pPr>
        <w:pStyle w:val="BodyTextIndent"/>
      </w:pPr>
      <w:r>
        <w:t xml:space="preserve">– Ordinance (2021:000) on producer responsibility for balloons, </w:t>
      </w:r>
    </w:p>
    <w:p w14:paraId="24695156" w14:textId="0A203132" w:rsidR="00646F34" w:rsidRDefault="00646F34" w:rsidP="00646F34">
      <w:pPr>
        <w:pStyle w:val="BodyTextIndent"/>
      </w:pPr>
      <w:r>
        <w:t>– Ordinance (2021:000) on producer responsibility for wet wipes, and</w:t>
      </w:r>
    </w:p>
    <w:p w14:paraId="776217DF" w14:textId="427A9E98" w:rsidR="00646F34" w:rsidRDefault="00646F34" w:rsidP="00646F34">
      <w:pPr>
        <w:pStyle w:val="BodyTextIndent"/>
      </w:pPr>
      <w:r>
        <w:t xml:space="preserve">– </w:t>
      </w:r>
      <w:r>
        <w:rPr>
          <w:shd w:val="clear" w:color="auto" w:fill="FFFFFF"/>
        </w:rPr>
        <w:t>Ordinance (2021:000) on litter charges</w:t>
      </w:r>
      <w:r>
        <w:t>.</w:t>
      </w:r>
    </w:p>
    <w:p w14:paraId="7F211810" w14:textId="77777777" w:rsidR="00646F34" w:rsidRPr="008F79D1" w:rsidRDefault="00646F34" w:rsidP="009E6D43">
      <w:pPr>
        <w:pStyle w:val="Heading4"/>
      </w:pPr>
      <w:r>
        <w:t>Definitions</w:t>
      </w:r>
    </w:p>
    <w:p w14:paraId="772F6552" w14:textId="71C770DF" w:rsidR="00211C2C" w:rsidRDefault="00311E20" w:rsidP="00211C2C">
      <w:pPr>
        <w:pStyle w:val="BodyText"/>
        <w:keepNext/>
      </w:pPr>
      <w:r>
        <w:rPr>
          <w:b/>
        </w:rPr>
        <w:t>Section 3</w:t>
      </w:r>
      <w:r>
        <w:t xml:space="preserve">    In this Ordinance, </w:t>
      </w:r>
      <w:r>
        <w:rPr>
          <w:i/>
        </w:rPr>
        <w:t>polymer</w:t>
      </w:r>
      <w:r>
        <w:t xml:space="preserve"> has the meaning defined in Article 3.5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w:t>
      </w:r>
      <w:r>
        <w:lastRenderedPageBreak/>
        <w:t>as well as Council Directive 76/769/EEC and Commission Directives 91/155/EEC, 93/67/EEC, 93/105/EC and 2000/21/EC.</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Section 4</w:t>
      </w:r>
      <w:r>
        <w:t xml:space="preserve">    In this Ordinance, </w:t>
      </w:r>
      <w:r>
        <w:rPr>
          <w:i/>
        </w:rPr>
        <w:t>plastic</w:t>
      </w:r>
      <w:r>
        <w:t xml:space="preserve"> means a polymer that can function as a main structural component of final products, </w:t>
      </w:r>
      <w:bookmarkStart w:id="4" w:name="_Hlk49851962"/>
      <w:r>
        <w:t>regardless of whether additives or other substances have been added to the polymer.</w:t>
      </w:r>
    </w:p>
    <w:bookmarkEnd w:id="4"/>
    <w:p w14:paraId="2F9F098E" w14:textId="77777777" w:rsidR="00211C2C" w:rsidRDefault="00211C2C" w:rsidP="00211C2C">
      <w:pPr>
        <w:pStyle w:val="BodyTextIndent"/>
      </w:pPr>
      <w:r>
        <w:t xml:space="preserve">Plastic does not mean a polymer occurring naturally in the environment that has not been chemically modified.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Section 5</w:t>
      </w:r>
      <w:r>
        <w:t>    In this Ordinance</w:t>
      </w:r>
    </w:p>
    <w:p w14:paraId="71E1411A" w14:textId="77777777" w:rsidR="00211C2C" w:rsidRPr="00B440B8" w:rsidRDefault="00211C2C" w:rsidP="00211C2C">
      <w:pPr>
        <w:pStyle w:val="BodyTextIndent"/>
        <w:rPr>
          <w:iCs/>
        </w:rPr>
      </w:pPr>
      <w:r>
        <w:rPr>
          <w:i/>
        </w:rPr>
        <w:t>provide on the Swedish market</w:t>
      </w:r>
      <w:r>
        <w:t>: means to make a product available for distribution, consumption or use on the Swedish market in return for payment or free of charge in a professional capacity, and</w:t>
      </w:r>
    </w:p>
    <w:p w14:paraId="698B7BE7" w14:textId="77777777" w:rsidR="00211C2C" w:rsidRDefault="00211C2C" w:rsidP="00211C2C">
      <w:pPr>
        <w:pStyle w:val="BodyTextIndent"/>
        <w:rPr>
          <w:iCs/>
        </w:rPr>
      </w:pPr>
      <w:r>
        <w:rPr>
          <w:i/>
        </w:rPr>
        <w:t>place on the Swedish market</w:t>
      </w:r>
      <w:r>
        <w:t>: means to provide a product on the Swedish market for the first time.</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Section 6</w:t>
      </w:r>
      <w:r>
        <w:t>    In this Ordinance</w:t>
      </w:r>
      <w:r>
        <w:rPr>
          <w:i/>
        </w:rPr>
        <w:t xml:space="preserve"> </w:t>
      </w:r>
    </w:p>
    <w:p w14:paraId="32959034" w14:textId="77777777" w:rsidR="00211C2C" w:rsidRDefault="00211C2C" w:rsidP="00211C2C">
      <w:pPr>
        <w:pStyle w:val="BodyTextIndent"/>
      </w:pPr>
      <w:r>
        <w:rPr>
          <w:i/>
        </w:rPr>
        <w:t>single-use product</w:t>
      </w:r>
      <w:r>
        <w:t xml:space="preserve"> means a product that is not conceived, </w:t>
      </w:r>
      <w:proofErr w:type="gramStart"/>
      <w:r>
        <w:t>designed</w:t>
      </w:r>
      <w:proofErr w:type="gramEnd"/>
      <w:r>
        <w:t xml:space="preserve"> or placed on the Swedish market to accomplish, within its life span, multiple trips or rotations by being reused for the same purpose for which it was conceived or by being returned to a producer for refill, and</w:t>
      </w:r>
    </w:p>
    <w:p w14:paraId="2EC9DEC7" w14:textId="77777777" w:rsidR="00211C2C" w:rsidRDefault="00211C2C" w:rsidP="00211C2C">
      <w:pPr>
        <w:pStyle w:val="BodyTextIndent"/>
      </w:pPr>
      <w:r>
        <w:rPr>
          <w:i/>
        </w:rPr>
        <w:t xml:space="preserve">single-use plastic </w:t>
      </w:r>
      <w:proofErr w:type="gramStart"/>
      <w:r>
        <w:rPr>
          <w:i/>
        </w:rPr>
        <w:t>product</w:t>
      </w:r>
      <w:r>
        <w:t>:</w:t>
      </w:r>
      <w:proofErr w:type="gramEnd"/>
      <w:r>
        <w:t xml:space="preserve"> means a single-use product that is made wholly or partly from plastic.</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Section 7</w:t>
      </w:r>
      <w:r>
        <w:t xml:space="preserve">    In this Ordinance </w:t>
      </w:r>
    </w:p>
    <w:p w14:paraId="7911FBA8" w14:textId="35F7F761" w:rsidR="00211C2C" w:rsidRDefault="00211C2C" w:rsidP="00211C2C">
      <w:pPr>
        <w:pStyle w:val="BodyTextIndent"/>
      </w:pPr>
      <w:r>
        <w:rPr>
          <w:i/>
        </w:rPr>
        <w:t>cup</w:t>
      </w:r>
      <w:r>
        <w:t xml:space="preserve">: means a glass, </w:t>
      </w:r>
      <w:proofErr w:type="gramStart"/>
      <w:r>
        <w:t>cup</w:t>
      </w:r>
      <w:proofErr w:type="gramEnd"/>
      <w:r>
        <w:t xml:space="preserve"> or mug, with or without a lid, intended for cold or hot beverages that are usually drunk directly from the vessel, </w:t>
      </w:r>
    </w:p>
    <w:p w14:paraId="41F0496D" w14:textId="77777777" w:rsidR="00211C2C" w:rsidRPr="00FB2596" w:rsidRDefault="00211C2C" w:rsidP="00211C2C">
      <w:pPr>
        <w:pStyle w:val="BodyTextIndent"/>
      </w:pPr>
      <w:r>
        <w:rPr>
          <w:i/>
        </w:rPr>
        <w:t xml:space="preserve">single-use </w:t>
      </w:r>
      <w:proofErr w:type="gramStart"/>
      <w:r>
        <w:rPr>
          <w:i/>
        </w:rPr>
        <w:t>cup</w:t>
      </w:r>
      <w:r>
        <w:t>:</w:t>
      </w:r>
      <w:proofErr w:type="gramEnd"/>
      <w:r>
        <w:t xml:space="preserve"> means a cup that is a single-use product, and</w:t>
      </w:r>
    </w:p>
    <w:p w14:paraId="3A3DBBEE" w14:textId="77777777" w:rsidR="00211C2C" w:rsidRDefault="00211C2C" w:rsidP="00211C2C">
      <w:pPr>
        <w:pStyle w:val="BodyTextIndent"/>
      </w:pPr>
      <w:r>
        <w:rPr>
          <w:i/>
        </w:rPr>
        <w:t xml:space="preserve">beverage </w:t>
      </w:r>
      <w:proofErr w:type="gramStart"/>
      <w:r>
        <w:rPr>
          <w:i/>
        </w:rPr>
        <w:t>container</w:t>
      </w:r>
      <w:r>
        <w:t>:</w:t>
      </w:r>
      <w:proofErr w:type="gramEnd"/>
      <w:r>
        <w:t xml:space="preserve"> means a plastic bottle, composite packaging or another receptacle which </w:t>
      </w:r>
    </w:p>
    <w:p w14:paraId="6D5F716D" w14:textId="04F70FD1" w:rsidR="00211C2C" w:rsidRDefault="00211C2C" w:rsidP="00211C2C">
      <w:pPr>
        <w:pStyle w:val="BodyTextIndent"/>
      </w:pPr>
      <w:r>
        <w:t>1. is a single-use plastic product,</w:t>
      </w:r>
    </w:p>
    <w:p w14:paraId="018F45E2" w14:textId="0CE437CB" w:rsidR="00211C2C" w:rsidRDefault="00211C2C" w:rsidP="00211C2C">
      <w:pPr>
        <w:pStyle w:val="BodyTextIndent"/>
      </w:pPr>
      <w:r>
        <w:t xml:space="preserve">2. has a capacity of up to three litres, </w:t>
      </w:r>
    </w:p>
    <w:p w14:paraId="70789623" w14:textId="1900851D" w:rsidR="00211C2C" w:rsidRDefault="00211C2C" w:rsidP="00211C2C">
      <w:pPr>
        <w:pStyle w:val="BodyTextIndent"/>
      </w:pPr>
      <w:r>
        <w:t>3. is intended for beverages, and</w:t>
      </w:r>
    </w:p>
    <w:p w14:paraId="5D24AEE8" w14:textId="3AE3E09F" w:rsidR="00211C2C" w:rsidRDefault="00211C2C" w:rsidP="00211C2C">
      <w:pPr>
        <w:pStyle w:val="BodyTextIndent"/>
      </w:pPr>
      <w:r>
        <w:t>4. is not a cup.</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Section 8</w:t>
      </w:r>
      <w:r>
        <w:t>    </w:t>
      </w:r>
      <w:bookmarkStart w:id="5" w:name="_Hlk39491428"/>
      <w:r>
        <w:t>In this Ordinance</w:t>
      </w:r>
      <w:r>
        <w:rPr>
          <w:i/>
        </w:rPr>
        <w:t xml:space="preserve"> </w:t>
      </w:r>
    </w:p>
    <w:p w14:paraId="00F25C91" w14:textId="77777777" w:rsidR="00211C2C" w:rsidRDefault="00211C2C" w:rsidP="00211C2C">
      <w:pPr>
        <w:pStyle w:val="BodyTextIndent"/>
        <w:rPr>
          <w:iCs/>
        </w:rPr>
      </w:pPr>
      <w:bookmarkStart w:id="6" w:name="_Hlk37753820"/>
      <w:r>
        <w:rPr>
          <w:i/>
        </w:rPr>
        <w:t>food</w:t>
      </w:r>
      <w:r>
        <w:t>:</w:t>
      </w:r>
      <w:r>
        <w:rPr>
          <w:i/>
        </w:rPr>
        <w:t xml:space="preserve"> </w:t>
      </w:r>
      <w:r>
        <w:t>means foods that are not beverages,</w:t>
      </w:r>
    </w:p>
    <w:p w14:paraId="6CD5D5E1" w14:textId="77777777" w:rsidR="00211C2C" w:rsidRPr="00154A99" w:rsidRDefault="00211C2C" w:rsidP="00211C2C">
      <w:pPr>
        <w:pStyle w:val="BodyTextIndent"/>
      </w:pPr>
      <w:r>
        <w:rPr>
          <w:i/>
        </w:rPr>
        <w:t>fast food</w:t>
      </w:r>
      <w:r>
        <w:t xml:space="preserve">: </w:t>
      </w:r>
      <w:bookmarkStart w:id="7" w:name="_Hlk23153179"/>
      <w:r>
        <w:t xml:space="preserve">means food which </w:t>
      </w:r>
    </w:p>
    <w:p w14:paraId="24371858" w14:textId="04B3961E" w:rsidR="00211C2C" w:rsidRDefault="00211C2C" w:rsidP="00527561">
      <w:pPr>
        <w:pStyle w:val="BodyTextIndent"/>
      </w:pPr>
      <w:r>
        <w:t xml:space="preserve">1. is intended to be eaten directly at the site of sale or to be taken to be eaten shortly afterwards at another place, </w:t>
      </w:r>
    </w:p>
    <w:p w14:paraId="70ADA6C2" w14:textId="16A3AB60" w:rsidR="00211C2C" w:rsidRDefault="00527561" w:rsidP="00211C2C">
      <w:pPr>
        <w:pStyle w:val="BodyTextIndent"/>
      </w:pPr>
      <w:r>
        <w:t xml:space="preserve">2. is intended to be eaten out of the packaging, and </w:t>
      </w:r>
    </w:p>
    <w:p w14:paraId="50E3428F" w14:textId="4B93E499" w:rsidR="00211C2C" w:rsidRDefault="00527561" w:rsidP="00211C2C">
      <w:pPr>
        <w:pStyle w:val="BodyTextIndent"/>
      </w:pPr>
      <w:r>
        <w:t>3. is ready to be eaten without further cooking, heating or other preparation</w:t>
      </w:r>
      <w:bookmarkEnd w:id="7"/>
      <w:r>
        <w:t xml:space="preserve"> performed by the consumer, </w:t>
      </w:r>
    </w:p>
    <w:p w14:paraId="397D38F3" w14:textId="77777777" w:rsidR="00211C2C" w:rsidRPr="00635A03" w:rsidRDefault="00211C2C" w:rsidP="00211C2C">
      <w:pPr>
        <w:pStyle w:val="BodyTextIndent"/>
      </w:pPr>
      <w:r>
        <w:rPr>
          <w:i/>
        </w:rPr>
        <w:t xml:space="preserve">food </w:t>
      </w:r>
      <w:proofErr w:type="gramStart"/>
      <w:r>
        <w:rPr>
          <w:i/>
        </w:rPr>
        <w:t>box:</w:t>
      </w:r>
      <w:proofErr w:type="gramEnd"/>
      <w:r>
        <w:t xml:space="preserve"> means packaging, with or without a lid, which </w:t>
      </w:r>
    </w:p>
    <w:p w14:paraId="13FE8351" w14:textId="77777777" w:rsidR="00211C2C" w:rsidRPr="00635A03" w:rsidRDefault="00211C2C" w:rsidP="00211C2C">
      <w:pPr>
        <w:pStyle w:val="BodyTextIndent"/>
      </w:pPr>
      <w:r>
        <w:t xml:space="preserve">1. is moulded or remains essentially unchanged in shape after the content is added or removed, and </w:t>
      </w:r>
    </w:p>
    <w:p w14:paraId="26008761" w14:textId="69B2DDBB" w:rsidR="00211C2C" w:rsidRDefault="00211C2C" w:rsidP="00211C2C">
      <w:pPr>
        <w:pStyle w:val="BodyTextIndent"/>
      </w:pPr>
      <w:r>
        <w:t>2. is used for fast food, and</w:t>
      </w:r>
    </w:p>
    <w:p w14:paraId="7D565C9E" w14:textId="77777777" w:rsidR="00211C2C" w:rsidRDefault="00211C2C" w:rsidP="00211C2C">
      <w:pPr>
        <w:pStyle w:val="BodyTextIndent"/>
        <w:rPr>
          <w:i/>
        </w:rPr>
      </w:pPr>
      <w:r>
        <w:rPr>
          <w:i/>
        </w:rPr>
        <w:t xml:space="preserve">single-use food </w:t>
      </w:r>
      <w:proofErr w:type="gramStart"/>
      <w:r>
        <w:rPr>
          <w:i/>
        </w:rPr>
        <w:t>box</w:t>
      </w:r>
      <w:r>
        <w:t>:</w:t>
      </w:r>
      <w:proofErr w:type="gramEnd"/>
      <w:r>
        <w:t xml:space="preserve"> means a food box that is a single-use product</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Section 9</w:t>
      </w:r>
      <w:r>
        <w:t xml:space="preserve">    In this Ordinance, </w:t>
      </w:r>
      <w:r>
        <w:rPr>
          <w:i/>
        </w:rPr>
        <w:t xml:space="preserve">cycle of reuse </w:t>
      </w:r>
      <w:r>
        <w:t xml:space="preserve">means the journey that a reusable cup or food box takes from being provided on the Swedish market together with the beverage or food it is intended to contain, protect, deliver or present, until being submitted to a system for the reuse of cups or food </w:t>
      </w:r>
      <w:r>
        <w:lastRenderedPageBreak/>
        <w:t>boxes for fast food for the purpose of being provided again on the Swedish market together with the beverage or food it is intended for.</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Section 10</w:t>
      </w:r>
      <w:r>
        <w:t xml:space="preserve">    In this Ordinance </w:t>
      </w:r>
    </w:p>
    <w:p w14:paraId="0763F124" w14:textId="05B0CE3A" w:rsidR="00646F34" w:rsidRDefault="00646F34" w:rsidP="00646F34">
      <w:pPr>
        <w:pStyle w:val="BodyTextIndent"/>
      </w:pPr>
      <w:r>
        <w:rPr>
          <w:i/>
        </w:rPr>
        <w:t>carrier bag</w:t>
      </w:r>
      <w:r>
        <w:t>: a bag provided to enable consumers to pack and carry goods from the place where the goods are supplied and which are not intended for permanent use,</w:t>
      </w:r>
    </w:p>
    <w:p w14:paraId="08368CE8" w14:textId="2EF23F87" w:rsidR="00646F34" w:rsidRDefault="00646F34" w:rsidP="00646F34">
      <w:pPr>
        <w:pStyle w:val="BodyTextIndent"/>
      </w:pPr>
      <w:r>
        <w:rPr>
          <w:i/>
        </w:rPr>
        <w:t>plastic carrier bag</w:t>
      </w:r>
      <w:r>
        <w:t>: a plastic carrier bag, and</w:t>
      </w:r>
    </w:p>
    <w:p w14:paraId="2FC8448C" w14:textId="340B87C5" w:rsidR="00646F34" w:rsidRDefault="00646F34" w:rsidP="00646F34">
      <w:pPr>
        <w:pStyle w:val="BodyTextIndent"/>
      </w:pPr>
      <w:r>
        <w:rPr>
          <w:i/>
        </w:rPr>
        <w:t>lightweight plastic carrier bag</w:t>
      </w:r>
      <w:r>
        <w:t>: a plastic carrier bag with a wall thinner than 50 microns.</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Section 11</w:t>
      </w:r>
      <w:r>
        <w:t>    Words and expressions in this Ordinance otherwise have the same meaning as in Chapter 15 of the Environmental Code.</w:t>
      </w:r>
    </w:p>
    <w:p w14:paraId="49E8D53A" w14:textId="77777777" w:rsidR="00646F34" w:rsidRPr="006047FF" w:rsidRDefault="00646F34" w:rsidP="009E6D43">
      <w:pPr>
        <w:pStyle w:val="Heading4"/>
      </w:pPr>
      <w:r>
        <w:t>Ban on placing certain single-use plastic products on the Swedish market</w:t>
      </w:r>
    </w:p>
    <w:p w14:paraId="0448F62E" w14:textId="118A0B85" w:rsidR="00646F34" w:rsidRDefault="00646F34" w:rsidP="00646F34">
      <w:pPr>
        <w:pStyle w:val="BodyText"/>
      </w:pPr>
      <w:r>
        <w:rPr>
          <w:b/>
        </w:rPr>
        <w:t>Section 12</w:t>
      </w:r>
      <w:r>
        <w:t xml:space="preserve">    Placing the following single-use plastic products on the Swedish market is banned: </w:t>
      </w:r>
    </w:p>
    <w:p w14:paraId="7E18E998" w14:textId="03D318CD" w:rsidR="00646F34" w:rsidRDefault="00646F34" w:rsidP="00646F34">
      <w:pPr>
        <w:pStyle w:val="BodyTextIndent"/>
      </w:pPr>
      <w:r>
        <w:t>1. cotton buds (tops),</w:t>
      </w:r>
    </w:p>
    <w:p w14:paraId="1CC676D7" w14:textId="1FF93E69" w:rsidR="00646F34" w:rsidRDefault="00646F34" w:rsidP="00646F34">
      <w:pPr>
        <w:pStyle w:val="BodyTextIndent"/>
      </w:pPr>
      <w:r>
        <w:t>2. beverage containers containing expanded polystyrene,</w:t>
      </w:r>
    </w:p>
    <w:p w14:paraId="04C9CB15" w14:textId="77777777" w:rsidR="00646F34" w:rsidRDefault="00646F34" w:rsidP="00646F34">
      <w:pPr>
        <w:pStyle w:val="BodyTextIndent"/>
      </w:pPr>
      <w:r>
        <w:t>3. single-use cups and single-use food boxes containing expanded polystyrene,</w:t>
      </w:r>
    </w:p>
    <w:p w14:paraId="4C80A837" w14:textId="2ACA07CD" w:rsidR="00646F34" w:rsidRDefault="00646F34" w:rsidP="00646F34">
      <w:pPr>
        <w:pStyle w:val="BodyTextIndent"/>
      </w:pPr>
      <w:r>
        <w:t xml:space="preserve">4. forks, knives, spoons, </w:t>
      </w:r>
      <w:proofErr w:type="gramStart"/>
      <w:r>
        <w:t>chopsticks</w:t>
      </w:r>
      <w:proofErr w:type="gramEnd"/>
      <w:r>
        <w:t xml:space="preserve"> and other cutlery,</w:t>
      </w:r>
    </w:p>
    <w:p w14:paraId="7EC219AC" w14:textId="77777777" w:rsidR="00646F34" w:rsidRDefault="00646F34" w:rsidP="00646F34">
      <w:pPr>
        <w:pStyle w:val="BodyTextIndent"/>
      </w:pPr>
      <w:r>
        <w:t>5. corks and lids containing expanded polystyrene and used for</w:t>
      </w:r>
    </w:p>
    <w:p w14:paraId="775FD790" w14:textId="26E40C73" w:rsidR="00646F34" w:rsidRDefault="00646F34" w:rsidP="00646F34">
      <w:pPr>
        <w:pStyle w:val="BodyTextIndent"/>
      </w:pPr>
      <w:r>
        <w:t>a) single-use food boxes,</w:t>
      </w:r>
    </w:p>
    <w:p w14:paraId="32DDA7B9" w14:textId="22F30CF6" w:rsidR="00646F34" w:rsidRDefault="00646F34" w:rsidP="00646F34">
      <w:pPr>
        <w:pStyle w:val="BodyTextIndent"/>
      </w:pPr>
      <w:r>
        <w:t xml:space="preserve">b) beverage containers, or </w:t>
      </w:r>
    </w:p>
    <w:p w14:paraId="7C783A25" w14:textId="03ED3D0F" w:rsidR="00646F34" w:rsidRDefault="00646F34" w:rsidP="00646F34">
      <w:pPr>
        <w:pStyle w:val="BodyTextIndent"/>
      </w:pPr>
      <w:r>
        <w:t>c) single-use cups,</w:t>
      </w:r>
    </w:p>
    <w:p w14:paraId="2B5BAAC2" w14:textId="09E2AD98" w:rsidR="00646F34" w:rsidRDefault="00646F34" w:rsidP="00646F34">
      <w:pPr>
        <w:pStyle w:val="BodyTextIndent"/>
      </w:pPr>
      <w:r>
        <w:t>6. stirrers for beverages,</w:t>
      </w:r>
    </w:p>
    <w:p w14:paraId="76B29E21" w14:textId="70F8D689" w:rsidR="00646F34" w:rsidRDefault="00646F34" w:rsidP="00646F34">
      <w:pPr>
        <w:pStyle w:val="BodyTextIndent"/>
      </w:pPr>
      <w:r>
        <w:t>7. sticks to be attached to and support balloons,</w:t>
      </w:r>
    </w:p>
    <w:p w14:paraId="3D694708" w14:textId="534C4101" w:rsidR="00646F34" w:rsidRDefault="00646F34" w:rsidP="00646F34">
      <w:pPr>
        <w:pStyle w:val="BodyTextIndent"/>
      </w:pPr>
      <w:r>
        <w:t>8. straws, and</w:t>
      </w:r>
    </w:p>
    <w:p w14:paraId="0AD6DF3E" w14:textId="162E403C" w:rsidR="00646F34" w:rsidRDefault="00646F34" w:rsidP="00646F34">
      <w:pPr>
        <w:pStyle w:val="BodyTextIndent"/>
      </w:pPr>
      <w:r>
        <w:t>9. plates.</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Section 13</w:t>
      </w:r>
      <w:r>
        <w:t>    The prohibitions in Section 12(1) and (8) shall not apply to cotton swabs and straws covered by the provisions on medical devices in Regulation (EU) 2017/745 of the European Parliament and of the Council of 5 April 2017 on medical devices, amending Directive 2001/83/EC, Regulation (EC) No 178/2002 and Regulation (EC) No 1223/2009 and repealing Council Directives 90/385/EEC and 93/42/EEC.</w:t>
      </w:r>
    </w:p>
    <w:p w14:paraId="7528FEAE" w14:textId="326659CB" w:rsidR="00646F34" w:rsidRDefault="00646F34" w:rsidP="00646F34">
      <w:pPr>
        <w:pStyle w:val="BodyTextIndent"/>
      </w:pPr>
      <w:r>
        <w:t>The prohibition in Section 12(7) shall not apply to sticks that are intended for industrial or other professional use and which are not distributed to consumers.</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t>Section 14</w:t>
      </w:r>
      <w:r>
        <w:t>    The placing on the Swedish market of single-use cups containing more than 15 per cent plastic is prohibited.</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Section 15</w:t>
      </w:r>
      <w:r>
        <w:t>    The Swedish Environmental Protection Agency may issue regulations on exemptions from the prohibition in Section </w:t>
      </w:r>
      <w:proofErr w:type="gramStart"/>
      <w:r>
        <w:t>14, if</w:t>
      </w:r>
      <w:proofErr w:type="gramEnd"/>
      <w:r>
        <w:t xml:space="preserve"> there are special reasons for placing single-use cups on the Swedish market.</w:t>
      </w:r>
    </w:p>
    <w:p w14:paraId="7448A23B" w14:textId="77777777" w:rsidR="00646F34" w:rsidRPr="00BB14F4" w:rsidRDefault="00646F34" w:rsidP="009E6D43">
      <w:pPr>
        <w:pStyle w:val="Heading4"/>
      </w:pPr>
      <w:r>
        <w:t xml:space="preserve">Ban on the use of confetti </w:t>
      </w:r>
    </w:p>
    <w:p w14:paraId="01083929" w14:textId="7D04A31D" w:rsidR="00211C2C" w:rsidRDefault="00211C2C" w:rsidP="00211C2C">
      <w:pPr>
        <w:pStyle w:val="BodyText"/>
      </w:pPr>
      <w:r>
        <w:rPr>
          <w:b/>
        </w:rPr>
        <w:t>Section 16</w:t>
      </w:r>
      <w:r>
        <w:t>    Confetti containing plastic may not be used outdoors.</w:t>
      </w:r>
    </w:p>
    <w:p w14:paraId="32161E4B" w14:textId="77777777" w:rsidR="007A4814" w:rsidRDefault="00646F34" w:rsidP="009E6D43">
      <w:pPr>
        <w:pStyle w:val="Heading4"/>
      </w:pPr>
      <w:r>
        <w:lastRenderedPageBreak/>
        <w:t>Requirement to offer the product being served in reusable cups and food boxes</w:t>
      </w:r>
    </w:p>
    <w:p w14:paraId="67DAC9C3" w14:textId="35F297D5" w:rsidR="00211C2C" w:rsidRDefault="00646F34" w:rsidP="00211C2C">
      <w:pPr>
        <w:pStyle w:val="BodyText"/>
      </w:pPr>
      <w:bookmarkStart w:id="8" w:name="_Hlk57038341"/>
      <w:r>
        <w:rPr>
          <w:b/>
        </w:rPr>
        <w:t>Section 17</w:t>
      </w:r>
      <w:r>
        <w:t>    </w:t>
      </w:r>
      <w:bookmarkEnd w:id="8"/>
      <w:r>
        <w:t xml:space="preserve">Anyone who provides beverages on the Swedish market in single-use cups shall </w:t>
      </w:r>
    </w:p>
    <w:p w14:paraId="4F7B1DE6" w14:textId="77777777" w:rsidR="00211C2C" w:rsidRDefault="00211C2C" w:rsidP="00211C2C">
      <w:pPr>
        <w:pStyle w:val="BodyTextIndent"/>
      </w:pPr>
      <w:r>
        <w:t>1. offer the possibility of having the beverage served in a reusable cup, and</w:t>
      </w:r>
    </w:p>
    <w:p w14:paraId="4136D526" w14:textId="77777777" w:rsidR="00211C2C" w:rsidRDefault="00211C2C" w:rsidP="00211C2C">
      <w:pPr>
        <w:pStyle w:val="BodyTextIndent"/>
      </w:pPr>
      <w:r>
        <w:t>2. take effective measures to ensure that the reusable cups and their lids go through several cycles of reuse.</w:t>
      </w:r>
    </w:p>
    <w:p w14:paraId="6F9BEF6A" w14:textId="77777777" w:rsidR="00211C2C" w:rsidRDefault="00211C2C" w:rsidP="00211C2C">
      <w:pPr>
        <w:pStyle w:val="BodyTextIndent"/>
      </w:pPr>
      <w:r>
        <w:t>The reusable cup must be provided by the provider of the beverage regardless of whether the beverage is to be taken away or drunk at the point of sale.</w:t>
      </w:r>
    </w:p>
    <w:p w14:paraId="7A08BAA7" w14:textId="4C3CA2D4" w:rsidR="00646F34" w:rsidRDefault="00646F34" w:rsidP="00211C2C">
      <w:pPr>
        <w:pStyle w:val="BodyText"/>
      </w:pPr>
    </w:p>
    <w:p w14:paraId="64304C20" w14:textId="4B1B33CF" w:rsidR="00211C2C" w:rsidRDefault="00646F34" w:rsidP="00211C2C">
      <w:pPr>
        <w:pStyle w:val="BodyText"/>
      </w:pPr>
      <w:r>
        <w:rPr>
          <w:b/>
        </w:rPr>
        <w:t>Section 18</w:t>
      </w:r>
      <w:r>
        <w:t xml:space="preserve">    Anyone who provides fast food on the Swedish market in single-use food boxes shall </w:t>
      </w:r>
    </w:p>
    <w:p w14:paraId="2BE54211" w14:textId="77777777" w:rsidR="00211C2C" w:rsidRDefault="00211C2C" w:rsidP="00211C2C">
      <w:pPr>
        <w:pStyle w:val="BodyTextIndent"/>
      </w:pPr>
      <w:r>
        <w:t>1. offer the possibility of having the fast food served in a reusable food box, and</w:t>
      </w:r>
    </w:p>
    <w:p w14:paraId="152442DF" w14:textId="77777777" w:rsidR="00211C2C" w:rsidRDefault="00211C2C" w:rsidP="00211C2C">
      <w:pPr>
        <w:pStyle w:val="BodyTextIndent"/>
      </w:pPr>
      <w:r>
        <w:t xml:space="preserve">2. take effective measures to ensure that the reusable food boxes and their lids go through several cycles of reuse. </w:t>
      </w:r>
    </w:p>
    <w:p w14:paraId="2B261D6F" w14:textId="4D167F28" w:rsidR="00211C2C" w:rsidRDefault="00211C2C" w:rsidP="00211C2C">
      <w:pPr>
        <w:pStyle w:val="BodyTextIndent"/>
      </w:pPr>
      <w:r>
        <w:t>The reusable food box must be provided by the provider of the food regardless of whether the food is to be taken away or eaten at the point of sale.</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Section 19</w:t>
      </w:r>
      <w:r>
        <w:t xml:space="preserve">    Anyone who provides a reusable cup or food box pursuant to Section 17 or 18 shall choose a cup or food box that has as little negative effect as possible on human health and the environment.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Section 20</w:t>
      </w:r>
      <w:r>
        <w:t>    </w:t>
      </w:r>
      <w:bookmarkStart w:id="9" w:name="_Hlk50550710"/>
      <w:r>
        <w:t>Anyone who provides on the Swedish market beverages in single-use cups or fast food in single-use food boxes shall inform consumers at the place of sale about</w:t>
      </w:r>
      <w:bookmarkEnd w:id="9"/>
    </w:p>
    <w:p w14:paraId="4E98CC42" w14:textId="77777777" w:rsidR="00211C2C" w:rsidRDefault="00211C2C" w:rsidP="00211C2C">
      <w:pPr>
        <w:pStyle w:val="BodyTextIndent"/>
      </w:pPr>
      <w:r>
        <w:t xml:space="preserve">1. the possibility of having the drink served in a reusable cup or the fast food served in a reusable food box, </w:t>
      </w:r>
    </w:p>
    <w:p w14:paraId="56E0E8F3" w14:textId="77777777" w:rsidR="00211C2C" w:rsidRPr="00EE3CA1" w:rsidRDefault="00211C2C" w:rsidP="00211C2C">
      <w:pPr>
        <w:pStyle w:val="BodyTextIndent"/>
      </w:pPr>
      <w:r>
        <w:t>2. the environmental impact caused by using single-use cups and single-use food boxes, and</w:t>
      </w:r>
    </w:p>
    <w:p w14:paraId="0D559E7A" w14:textId="77777777" w:rsidR="00211C2C" w:rsidRPr="00EE3CA1" w:rsidRDefault="00211C2C" w:rsidP="00211C2C">
      <w:pPr>
        <w:pStyle w:val="BodyTextIndent"/>
      </w:pPr>
      <w:r>
        <w:t>3. the benefits of reduced consumption of single-use cups and single-use food boxes.</w:t>
      </w:r>
    </w:p>
    <w:p w14:paraId="28AD6CE3" w14:textId="77777777" w:rsidR="00211C2C" w:rsidRDefault="00211C2C" w:rsidP="00211C2C">
      <w:pPr>
        <w:pStyle w:val="BodyTextIndent"/>
      </w:pPr>
      <w:r>
        <w:t xml:space="preserve">The information must be made visible at the point of sale and be easily accessible to the consumer.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Section 21</w:t>
      </w:r>
      <w:r>
        <w:t>    The requirements laid down in Sections 17–20 do not apply to those who provide on the Swedish market beverages in single-use cups or fast food in single-use food boxes, if the cup or food box is made entirely of paper or cardboard that has not been chemically modified in a way that delays decomposition.</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Section 22</w:t>
      </w:r>
      <w:r>
        <w:t xml:space="preserve">    The requirements laid down in Sections 14-17 do not apply to those who provide on the Swedish market beverages or fast food in fewer than 150 single-use cups and single-use food boxes per day </w:t>
      </w:r>
      <w:bookmarkStart w:id="10" w:name="_Hlk53479781"/>
      <w:r>
        <w:t>that the place of sale is open</w:t>
      </w:r>
      <w:bookmarkEnd w:id="10"/>
      <w:r>
        <w:t xml:space="preserve">. </w:t>
      </w:r>
    </w:p>
    <w:p w14:paraId="4F9631E1" w14:textId="42F7C71B" w:rsidR="00211C2C" w:rsidRDefault="00BC1BFA" w:rsidP="00211C2C">
      <w:pPr>
        <w:pStyle w:val="BodyTextIndent"/>
      </w:pPr>
      <w:r>
        <w:t xml:space="preserve">The number of single-use cups and single-use food boxes provided shall be calculated as an average of the single-use cups and single-food boxes provided on the days </w:t>
      </w:r>
      <w:bookmarkStart w:id="11" w:name="_Hlk54008522"/>
      <w:r>
        <w:t>that the place of sale is open during a calendar year</w:t>
      </w:r>
      <w:bookmarkEnd w:id="11"/>
      <w:r>
        <w:t xml:space="preserve">. </w:t>
      </w:r>
    </w:p>
    <w:p w14:paraId="633C4935" w14:textId="6AAF4527" w:rsidR="009E6722" w:rsidRDefault="009E6722" w:rsidP="00211C2C">
      <w:pPr>
        <w:pStyle w:val="BodyTextIndent"/>
      </w:pPr>
      <w:r>
        <w:t xml:space="preserve">Those who are covered by the </w:t>
      </w:r>
      <w:proofErr w:type="gramStart"/>
      <w:r>
        <w:t>exemption, and</w:t>
      </w:r>
      <w:proofErr w:type="gramEnd"/>
      <w:r>
        <w:t xml:space="preserve"> choose not to provide reusable cups and food boxes, shall have procedures in place to ensure that </w:t>
      </w:r>
      <w:r>
        <w:lastRenderedPageBreak/>
        <w:t>no more than 150 single-use cups and single-use food boxes are provided per day on average.</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Section 23</w:t>
      </w:r>
      <w:r>
        <w:t>    </w:t>
      </w:r>
      <w:bookmarkStart w:id="12" w:name="_Hlk54008598"/>
      <w:r>
        <w:t>The Swedish Environmental Protection Agency may issue additional regulations on exemptions from the requirements laid down in Sections 17–20 in cases where it is unreasonable to require the person providing beverages in single-use cups or fast food in single-use food boxes to provide a reusable alternative.</w:t>
      </w:r>
    </w:p>
    <w:p w14:paraId="269C50B5" w14:textId="60FCCAF3" w:rsidR="009D070E" w:rsidRPr="0024586A" w:rsidRDefault="009D070E" w:rsidP="009D070E">
      <w:pPr>
        <w:pStyle w:val="BodyTextIndent"/>
      </w:pPr>
      <w:r>
        <w:t xml:space="preserve">Regulations on exemptions may not be issued regarding single-use cups or single-use food boxes if an exemption can be assumed to pose a risk of significant littering or have the result that Sweden does not comply with the target in Section 24. </w:t>
      </w:r>
    </w:p>
    <w:bookmarkEnd w:id="12"/>
    <w:p w14:paraId="7C8314FF" w14:textId="77777777" w:rsidR="00646F34" w:rsidRPr="00F533B0" w:rsidRDefault="00646F34" w:rsidP="009E6D43">
      <w:pPr>
        <w:pStyle w:val="Heading4"/>
      </w:pPr>
      <w:r>
        <w:t xml:space="preserve">Consumption reduction targets </w:t>
      </w:r>
    </w:p>
    <w:p w14:paraId="4BC974B2" w14:textId="2E34F32C" w:rsidR="00646F34" w:rsidRPr="00F533B0" w:rsidRDefault="00732438" w:rsidP="00646F34">
      <w:pPr>
        <w:pStyle w:val="BodyTextIndent"/>
        <w:ind w:firstLine="0"/>
      </w:pPr>
      <w:r>
        <w:rPr>
          <w:b/>
        </w:rPr>
        <w:t>Section 24</w:t>
      </w:r>
      <w:r>
        <w:t xml:space="preserve">    In the case of single-use plastic cups and food crates, consumption shall be reduced by 50 per cent from 2026 compared to consumption in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Section 25</w:t>
      </w:r>
      <w:r>
        <w:t>    </w:t>
      </w:r>
      <w:bookmarkStart w:id="13" w:name="_Hlk84256029"/>
      <w:bookmarkStart w:id="14" w:name="_Hlk54788938"/>
      <w:bookmarkStart w:id="15" w:name="_Hlk54692017"/>
      <w:r>
        <w:t>Providing or using cups and food boxes that are single-use plastic products in a professional activity shall contribute effectively to achieving the target</w:t>
      </w:r>
      <w:bookmarkEnd w:id="13"/>
      <w:bookmarkEnd w:id="14"/>
      <w:bookmarkEnd w:id="15"/>
      <w:r>
        <w:t>.</w:t>
      </w:r>
    </w:p>
    <w:p w14:paraId="6C1E5310" w14:textId="77777777" w:rsidR="00646F34" w:rsidRDefault="00646F34" w:rsidP="009E6D43">
      <w:pPr>
        <w:pStyle w:val="Heading4"/>
      </w:pPr>
      <w:r>
        <w:t>Labelling and other information for consumers</w:t>
      </w:r>
    </w:p>
    <w:p w14:paraId="4D808795" w14:textId="7E8A6C22" w:rsidR="00DE4842" w:rsidRPr="00870B91" w:rsidRDefault="00B92EB6">
      <w:pPr>
        <w:pStyle w:val="BodyText"/>
      </w:pPr>
      <w:r>
        <w:rPr>
          <w:b/>
        </w:rPr>
        <w:t>Section 26</w:t>
      </w:r>
      <w:r>
        <w:t>    Sanitary towels, tampons and tampon applicators, which are single-use plastic products, may be placed on the Swedish market only if they are labelled in accordance with Commission Implementing Regulation (EU) 2020/2151 of 17 December 2020 laying down rules on harmonised marking specifications on single-use plastic products listed in Part D of the Annex to Directive (EU) 2019/904 of the European Parliament and of the Council on the reduction of the impact of certain plastic products on the environment.</w:t>
      </w:r>
    </w:p>
    <w:p w14:paraId="41230D35" w14:textId="4E63DF75" w:rsidR="00646F34" w:rsidRDefault="0078709D">
      <w:pPr>
        <w:pStyle w:val="BodyTextIndent"/>
      </w:pPr>
      <w:r>
        <w:t xml:space="preserve">The label shall be prominent, easily </w:t>
      </w:r>
      <w:proofErr w:type="gramStart"/>
      <w:r>
        <w:t>legible</w:t>
      </w:r>
      <w:proofErr w:type="gramEnd"/>
      <w:r>
        <w:t xml:space="preserve"> and indelible.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Section 27</w:t>
      </w:r>
      <w:r>
        <w:t xml:space="preserve">    Those placing on the Swedish market chewing gum, portion snuff, sanitary napkins, </w:t>
      </w:r>
      <w:proofErr w:type="gramStart"/>
      <w:r>
        <w:t>tampons</w:t>
      </w:r>
      <w:proofErr w:type="gramEnd"/>
      <w:r>
        <w:t xml:space="preserve"> or tampon applicators, which are single-use plastic products, shall inform consumers of: </w:t>
      </w:r>
    </w:p>
    <w:p w14:paraId="55442CB5" w14:textId="7BD389D1" w:rsidR="00646F34" w:rsidRDefault="00646F34" w:rsidP="00646F34">
      <w:pPr>
        <w:pStyle w:val="BodyTextIndent"/>
      </w:pPr>
      <w:r>
        <w:t xml:space="preserve">1. how the product is to be handled when it becomes waste, </w:t>
      </w:r>
    </w:p>
    <w:p w14:paraId="3374034E" w14:textId="77777777" w:rsidR="00646F34" w:rsidRDefault="00646F34" w:rsidP="00646F34">
      <w:pPr>
        <w:pStyle w:val="BodyTextIndent"/>
      </w:pPr>
      <w:r>
        <w:t xml:space="preserve">2. the adverse environmental effects of littering or arising from </w:t>
      </w:r>
      <w:proofErr w:type="gramStart"/>
      <w:r>
        <w:t>other</w:t>
      </w:r>
      <w:proofErr w:type="gramEnd"/>
      <w:r>
        <w:t xml:space="preserve"> inappropriate disposal of the product, and</w:t>
      </w:r>
    </w:p>
    <w:p w14:paraId="04AFA23A" w14:textId="77777777" w:rsidR="00646F34" w:rsidRDefault="00646F34" w:rsidP="00646F34">
      <w:pPr>
        <w:pStyle w:val="BodyTextIndent"/>
      </w:pPr>
      <w:r>
        <w:t>3. The negative effects on the sewer network of flushing the product down the drain.</w:t>
      </w:r>
    </w:p>
    <w:p w14:paraId="60EF4B35" w14:textId="2026A723" w:rsidR="00646F34" w:rsidRDefault="00646F34" w:rsidP="00646F34">
      <w:pPr>
        <w:pStyle w:val="BodyTextIndent"/>
      </w:pPr>
      <w:r>
        <w:t xml:space="preserve">The information shall help to ensure that waste from single-use plastic products is handled appropriately and to reduce littering. </w:t>
      </w:r>
    </w:p>
    <w:p w14:paraId="28D3751E" w14:textId="4061BA52" w:rsidR="00A943CA" w:rsidRDefault="00646F34" w:rsidP="00646F34">
      <w:pPr>
        <w:pStyle w:val="BodyTextIndent"/>
        <w:rPr>
          <w:b/>
        </w:rPr>
      </w:pPr>
      <w:r>
        <w:t xml:space="preserve">The information shall be easily accessible, encourage responsible consumer behaviour and be provided recurrently.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Section 28</w:t>
      </w:r>
      <w:r>
        <w:t xml:space="preserve">    Those who, </w:t>
      </w:r>
      <w:proofErr w:type="gramStart"/>
      <w:r>
        <w:t>in the course of</w:t>
      </w:r>
      <w:proofErr w:type="gramEnd"/>
      <w:r>
        <w:t xml:space="preserve"> a professional activity, supply plastic carrier bags to consumers shall provide information on: </w:t>
      </w:r>
    </w:p>
    <w:p w14:paraId="1D7EE05B" w14:textId="77777777" w:rsidR="00646F34" w:rsidRDefault="00646F34" w:rsidP="00646F34">
      <w:pPr>
        <w:pStyle w:val="BodyTextIndent"/>
      </w:pPr>
      <w:r>
        <w:t xml:space="preserve">1. the environmental impact of plastic carrier bags and the benefits of reduced consumption of plastic carrier bags, and </w:t>
      </w:r>
    </w:p>
    <w:p w14:paraId="2771D7CE" w14:textId="05603BF4" w:rsidR="00646F34" w:rsidRDefault="00646F34" w:rsidP="00646F34">
      <w:pPr>
        <w:pStyle w:val="BodyTextIndent"/>
      </w:pPr>
      <w:r>
        <w:t>2. measures that may be taken by the consumer to reduce consumption.</w:t>
      </w:r>
    </w:p>
    <w:p w14:paraId="5570BE05" w14:textId="14D7A4AB" w:rsidR="00646F34" w:rsidRDefault="00646F34" w:rsidP="00646F34">
      <w:pPr>
        <w:pStyle w:val="BodyTextIndent"/>
      </w:pPr>
      <w:r>
        <w:t xml:space="preserve">The obligation to provide information does not apply to plastic carrier bags: </w:t>
      </w:r>
    </w:p>
    <w:p w14:paraId="6136AAE5" w14:textId="21971FCC" w:rsidR="00646F34" w:rsidRDefault="00646F34" w:rsidP="00646F34">
      <w:pPr>
        <w:pStyle w:val="BodyTextIndent"/>
      </w:pPr>
      <w:r>
        <w:lastRenderedPageBreak/>
        <w:t>1. that are provided at a distance; or</w:t>
      </w:r>
    </w:p>
    <w:p w14:paraId="0946EE4F" w14:textId="77777777" w:rsidR="00646F34" w:rsidRPr="00F37459" w:rsidDel="00A4255D" w:rsidRDefault="00646F34" w:rsidP="00646F34">
      <w:pPr>
        <w:pStyle w:val="BodyTextIndent"/>
      </w:pPr>
      <w:r>
        <w:t>2. </w:t>
      </w:r>
      <w:bookmarkStart w:id="18" w:name="_Hlk52885097"/>
      <w:r>
        <w:t>with walls thinner than 15 microns that are needed for hygiene reasons or are provided as the primary packaging for food sold in bulk.</w:t>
      </w:r>
    </w:p>
    <w:bookmarkEnd w:id="17"/>
    <w:bookmarkEnd w:id="18"/>
    <w:p w14:paraId="0130FB62" w14:textId="77F6F09F" w:rsidR="00646F34" w:rsidRDefault="00646F34" w:rsidP="00646F34">
      <w:pPr>
        <w:pStyle w:val="BodyTextIndent"/>
      </w:pPr>
      <w:r>
        <w:t xml:space="preserve">The information shall be easily accessible, encourage responsible consumer behaviour and be provided recurrently.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Section 29</w:t>
      </w:r>
      <w:r>
        <w:t xml:space="preserve">    In the case of single-use plastic products referred to in Section 8 of the Ordinance (2021:000) on littering charges, the Swedish Environmental Protection Agency shall inform consumers of: </w:t>
      </w:r>
    </w:p>
    <w:p w14:paraId="57FBCC86" w14:textId="7D329365" w:rsidR="00333168" w:rsidRDefault="00333168" w:rsidP="00333168">
      <w:pPr>
        <w:pStyle w:val="BodyTextIndent"/>
      </w:pPr>
      <w:r>
        <w:t xml:space="preserve">1. how to deal with single-use plastic products when they become waste, </w:t>
      </w:r>
    </w:p>
    <w:p w14:paraId="71E21096" w14:textId="0E200B1D" w:rsidR="00333168" w:rsidRDefault="00333168" w:rsidP="00333168">
      <w:pPr>
        <w:pStyle w:val="BodyTextIndent"/>
      </w:pPr>
      <w:r>
        <w:t>2. the adverse environmental effects of littering or arising from other inappropriate disposal of single-use plastic products, and</w:t>
      </w:r>
    </w:p>
    <w:p w14:paraId="08A33784" w14:textId="28409F05" w:rsidR="00333168" w:rsidRDefault="00333168" w:rsidP="00333168">
      <w:pPr>
        <w:pStyle w:val="BodyTextIndent"/>
      </w:pPr>
      <w:r>
        <w:t>3. The negative effects on the sewer network of flushing the single-use plastic product down the drain.</w:t>
      </w:r>
    </w:p>
    <w:p w14:paraId="78958184" w14:textId="0761D282" w:rsidR="00333168" w:rsidRDefault="00333168" w:rsidP="00333168">
      <w:pPr>
        <w:pStyle w:val="BodyTextIndent"/>
      </w:pPr>
      <w:bookmarkStart w:id="19" w:name="_Hlk85729959"/>
      <w:r>
        <w:t xml:space="preserve">The information shall help to ensure that waste from single-use plastic products is handled appropriately and to reduce littering. </w:t>
      </w:r>
    </w:p>
    <w:bookmarkEnd w:id="19"/>
    <w:p w14:paraId="2FDE9192" w14:textId="05D60899" w:rsidR="00333168" w:rsidRPr="00F37459" w:rsidRDefault="00333168" w:rsidP="00646F34">
      <w:pPr>
        <w:pStyle w:val="BodyTextIndent"/>
      </w:pPr>
      <w:r>
        <w:t xml:space="preserve">The information shall be easily accessible, encourage responsible consumer behaviour and be provided recurrently. </w:t>
      </w:r>
    </w:p>
    <w:p w14:paraId="4F28984C" w14:textId="77777777" w:rsidR="00646F34" w:rsidRPr="004A5FA3" w:rsidRDefault="00646F34" w:rsidP="009E6D43">
      <w:pPr>
        <w:pStyle w:val="Heading4"/>
      </w:pPr>
      <w:r>
        <w:t>Monitoring the decrease in consumption</w:t>
      </w:r>
    </w:p>
    <w:p w14:paraId="63677034" w14:textId="3A394BD8" w:rsidR="00646F34" w:rsidRDefault="00333168" w:rsidP="00646F34">
      <w:pPr>
        <w:pStyle w:val="BodyText"/>
      </w:pPr>
      <w:r>
        <w:rPr>
          <w:b/>
        </w:rPr>
        <w:t>Section 30</w:t>
      </w:r>
      <w:r>
        <w:t>    </w:t>
      </w:r>
      <w:bookmarkStart w:id="20" w:name="_Hlk39566463"/>
      <w:r>
        <w:t xml:space="preserve">On the basis of the information provided under Section 73(a) of the Ordinance (2018:1462) on producer responsibility for packaging, the Swedish Environmental Protection Agency shall monitor that the consumption of: </w:t>
      </w:r>
    </w:p>
    <w:p w14:paraId="124862F8" w14:textId="77777777" w:rsidR="00646F34" w:rsidRDefault="00646F34" w:rsidP="00646F34">
      <w:pPr>
        <w:pStyle w:val="BodyTextIndent"/>
      </w:pPr>
      <w:r>
        <w:t xml:space="preserve">1. plastic carrier bags is </w:t>
      </w:r>
      <w:proofErr w:type="gramStart"/>
      <w:r>
        <w:t>decreasing</w:t>
      </w:r>
      <w:proofErr w:type="gramEnd"/>
      <w:r>
        <w:t xml:space="preserve"> and that the consumption of lightweight plastic carrier bags does not exceed 90 bags per person per year from 31 December 2019 and 40 bags per person per year from 31 December 2025, and </w:t>
      </w:r>
    </w:p>
    <w:p w14:paraId="7E098308" w14:textId="77777777" w:rsidR="00646F34" w:rsidRDefault="00646F34" w:rsidP="00646F34">
      <w:pPr>
        <w:pStyle w:val="BodyTextIndent"/>
      </w:pPr>
      <w:r>
        <w:t>2. cups and food boxes that are single-use plastic products have decreased by 50 per cent in the calendar year 2026 compared to consumption in the calendar year 2022.</w:t>
      </w:r>
    </w:p>
    <w:p w14:paraId="4DF4B9EC" w14:textId="77777777" w:rsidR="00646F34" w:rsidRDefault="00646F34" w:rsidP="00646F34">
      <w:pPr>
        <w:pStyle w:val="BodyTextIndent"/>
      </w:pPr>
      <w:r>
        <w:t xml:space="preserve">The calculation of the consumption of lightweight plastic carrier bags shall not include carrier bags with a wall thinner than 15 microns and: </w:t>
      </w:r>
    </w:p>
    <w:p w14:paraId="408D81DA" w14:textId="22F58FD7" w:rsidR="00646F34" w:rsidRDefault="00646F34" w:rsidP="00646F34">
      <w:pPr>
        <w:pStyle w:val="BodyTextIndent"/>
      </w:pPr>
      <w:r>
        <w:t xml:space="preserve">1. is necessary for hygiene reasons, or </w:t>
      </w:r>
    </w:p>
    <w:p w14:paraId="0FBB7059" w14:textId="77777777" w:rsidR="00646F34" w:rsidRPr="00E975B9" w:rsidRDefault="00646F34" w:rsidP="00646F34">
      <w:pPr>
        <w:pStyle w:val="BodyTextIndent"/>
      </w:pPr>
      <w:r>
        <w:t xml:space="preserve">2. are provided as primary packaging for food sold in bulk. </w:t>
      </w:r>
    </w:p>
    <w:p w14:paraId="24D1CC3E" w14:textId="55A48E34" w:rsidR="00646F34" w:rsidRDefault="00646F34" w:rsidP="00646F34">
      <w:pPr>
        <w:pStyle w:val="BodyTextIndent"/>
      </w:pPr>
      <w:r>
        <w:t>If the Swedish Environmental Protection Agency considers that the consumption of plastic carrier bags and</w:t>
      </w:r>
      <w:r w:rsidRPr="00696511">
        <w:t xml:space="preserve"> </w:t>
      </w:r>
      <w:r>
        <w:t>cups and food boxes that are single-use plastic products is not decreasing or that the consumption of lightweight plastic carrier bags will exceed the levels set out in the first paragraph, the Swedish Environmental Protection Agency shall submit proposals to the Government for appropriate measures.</w:t>
      </w:r>
      <w:bookmarkEnd w:id="20"/>
    </w:p>
    <w:p w14:paraId="1F952C0F" w14:textId="77777777" w:rsidR="00646F34" w:rsidRPr="006047FF" w:rsidRDefault="00646F34" w:rsidP="009E6D43">
      <w:pPr>
        <w:pStyle w:val="Heading4"/>
      </w:pPr>
      <w:r>
        <w:t>Reporting</w:t>
      </w:r>
    </w:p>
    <w:p w14:paraId="38C80481" w14:textId="725E6848" w:rsidR="00646F34" w:rsidRDefault="00333168" w:rsidP="00646F34">
      <w:pPr>
        <w:pStyle w:val="BodyText"/>
      </w:pPr>
      <w:r>
        <w:rPr>
          <w:b/>
        </w:rPr>
        <w:t>Section 31</w:t>
      </w:r>
      <w:r>
        <w:t xml:space="preserve">    The Environmental Protection Agency shall report to the European Commission in accordance with Directive (EU) 2019/904 of the European Parliament and of the Council of 5 June 2019 on the reduction of the impact of certain plastic products on the environment, in its original wording. </w:t>
      </w:r>
    </w:p>
    <w:p w14:paraId="6C61A685" w14:textId="77777777" w:rsidR="00646F34" w:rsidRDefault="00646F34" w:rsidP="009E6D43">
      <w:pPr>
        <w:pStyle w:val="Heading4"/>
      </w:pPr>
      <w:r>
        <w:t>Supervision</w:t>
      </w:r>
    </w:p>
    <w:p w14:paraId="793E3E77" w14:textId="37D380AB" w:rsidR="00646F34" w:rsidRDefault="00646F34" w:rsidP="00646F34">
      <w:pPr>
        <w:pStyle w:val="BodyTextIndent"/>
        <w:ind w:firstLine="0"/>
      </w:pPr>
      <w:bookmarkStart w:id="21" w:name="_Hlk49157704"/>
      <w:r>
        <w:rPr>
          <w:b/>
        </w:rPr>
        <w:t>Section 32</w:t>
      </w:r>
      <w:r>
        <w:t xml:space="preserve">    Chapter 2, Sections 24 and 31 of the Ordinance (2011:13) on environmental enforcement contain provisions on supervision. </w:t>
      </w:r>
    </w:p>
    <w:p w14:paraId="63EF48B3" w14:textId="77777777" w:rsidR="00646F34" w:rsidRDefault="00646F34" w:rsidP="009E6D43">
      <w:pPr>
        <w:pStyle w:val="Heading4"/>
      </w:pPr>
      <w:r>
        <w:lastRenderedPageBreak/>
        <w:t>Sanctions</w:t>
      </w:r>
    </w:p>
    <w:p w14:paraId="6DC4E366" w14:textId="58C77F3B" w:rsidR="00646F34" w:rsidRDefault="00646F34" w:rsidP="00646F34">
      <w:pPr>
        <w:pStyle w:val="BodyText"/>
      </w:pPr>
      <w:r>
        <w:rPr>
          <w:b/>
        </w:rPr>
        <w:t>Section 33</w:t>
      </w:r>
      <w:r>
        <w:t>    The Ordinance (2012: 259) on environmental sanction fees contains provisions on environmental sanction fees.</w:t>
      </w:r>
      <w:bookmarkEnd w:id="21"/>
    </w:p>
    <w:p w14:paraId="3554C13B" w14:textId="79257F9C" w:rsidR="00646F34" w:rsidRDefault="00C6508D" w:rsidP="00C6508D">
      <w:pPr>
        <w:pStyle w:val="Heading4"/>
      </w:pPr>
      <w:r>
        <w:t>Authorisation to issue regulations on enforcement</w:t>
      </w:r>
    </w:p>
    <w:p w14:paraId="0F85D3F8" w14:textId="4FB63265" w:rsidR="00646F34" w:rsidRDefault="00646F34" w:rsidP="00646F34">
      <w:pPr>
        <w:pStyle w:val="BodyText"/>
      </w:pPr>
      <w:r>
        <w:rPr>
          <w:b/>
        </w:rPr>
        <w:t>Section 34</w:t>
      </w:r>
      <w:r>
        <w:t>    The Swedish Environmental Protection Agency may issue regulations on the enforcement of this ordinance.</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This Ordinance enters into force on 30 April 2022 with respect to Section 16, 1 January 2024 with respect to Sections 14 and 17–22and 25, and otherwise on 1 January 2022.</w:t>
      </w:r>
    </w:p>
    <w:p w14:paraId="734AC260" w14:textId="6E9AF961" w:rsidR="00646F34" w:rsidRPr="00830602" w:rsidRDefault="00646F34" w:rsidP="00646F34">
      <w:pPr>
        <w:pStyle w:val="BodyTextIndent"/>
      </w:pPr>
      <w:r>
        <w:t>2. The Ordinance repeals the Ordinance (2016:1041) on plastic carrier bags.</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On behalf of the government</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(Ministry of the Environment)</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3572" w14:textId="77777777" w:rsidR="00E5092A" w:rsidRDefault="00E5092A" w:rsidP="00680442">
      <w:r>
        <w:separator/>
      </w:r>
    </w:p>
  </w:endnote>
  <w:endnote w:type="continuationSeparator" w:id="0">
    <w:p w14:paraId="265EA72D" w14:textId="77777777" w:rsidR="00E5092A" w:rsidRDefault="00E5092A" w:rsidP="00680442">
      <w:r>
        <w:continuationSeparator/>
      </w:r>
    </w:p>
  </w:endnote>
  <w:endnote w:type="continuationNotice" w:id="1">
    <w:p w14:paraId="71BDB85E" w14:textId="77777777" w:rsidR="00E5092A" w:rsidRDefault="00E50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C2E7" w14:textId="77777777" w:rsidR="00E5092A" w:rsidRDefault="00E5092A" w:rsidP="00680442"/>
  </w:footnote>
  <w:footnote w:type="continuationSeparator" w:id="0">
    <w:p w14:paraId="68D42573" w14:textId="77777777" w:rsidR="00E5092A" w:rsidRPr="00C26807" w:rsidRDefault="00E5092A" w:rsidP="00C26807">
      <w:pPr>
        <w:pStyle w:val="Footer"/>
      </w:pPr>
    </w:p>
  </w:footnote>
  <w:footnote w:type="continuationNotice" w:id="1">
    <w:p w14:paraId="79FA548D" w14:textId="77777777" w:rsidR="00E5092A" w:rsidRDefault="00E5092A"/>
  </w:footnote>
  <w:footnote w:id="2">
    <w:p w14:paraId="4FE7E27D" w14:textId="77777777" w:rsidR="00CE5660" w:rsidRDefault="00CE5660" w:rsidP="00211C2C">
      <w:pPr>
        <w:pStyle w:val="FootnoteText"/>
      </w:pPr>
      <w:r>
        <w:rPr>
          <w:rStyle w:val="FootnoteReference"/>
        </w:rPr>
        <w:footnoteRef/>
      </w:r>
      <w:r>
        <w:t xml:space="preserve"> Cf. Directive (EU) 2019/904 of the European Parliament and of the Council of 5 June 2019 on the reduction of the impact of certain plastic products on the environment, in the original wording. See also Directive (EU) 2015/1535 of the European Parliament and of the Council of 9 September 2015 laying down a procedure for the provision of information in the field of technical regulations and of rules on Information Society services (codification).</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E5092A">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 DOCUMENT, NOT A VALID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37140011">
    <w:abstractNumId w:val="8"/>
  </w:num>
  <w:num w:numId="2" w16cid:durableId="1689523421">
    <w:abstractNumId w:val="8"/>
  </w:num>
  <w:num w:numId="3" w16cid:durableId="2048871754">
    <w:abstractNumId w:val="3"/>
  </w:num>
  <w:num w:numId="4" w16cid:durableId="231620016">
    <w:abstractNumId w:val="2"/>
  </w:num>
  <w:num w:numId="5" w16cid:durableId="1128621311">
    <w:abstractNumId w:val="1"/>
  </w:num>
  <w:num w:numId="6" w16cid:durableId="1839077923">
    <w:abstractNumId w:val="0"/>
  </w:num>
  <w:num w:numId="7" w16cid:durableId="1296715253">
    <w:abstractNumId w:val="9"/>
  </w:num>
  <w:num w:numId="8" w16cid:durableId="1501189821">
    <w:abstractNumId w:val="7"/>
  </w:num>
  <w:num w:numId="9" w16cid:durableId="528839691">
    <w:abstractNumId w:val="6"/>
  </w:num>
  <w:num w:numId="10" w16cid:durableId="1431119857">
    <w:abstractNumId w:val="5"/>
  </w:num>
  <w:num w:numId="11" w16cid:durableId="1753701089">
    <w:abstractNumId w:val="4"/>
  </w:num>
  <w:num w:numId="12" w16cid:durableId="1459489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A58"/>
    <w:rsid w:val="00680442"/>
    <w:rsid w:val="0068520B"/>
    <w:rsid w:val="006856DB"/>
    <w:rsid w:val="00685BA1"/>
    <w:rsid w:val="00691E87"/>
    <w:rsid w:val="00696511"/>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092A"/>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83405B"/>
    <w:rsid w:val="009E6AF4"/>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2</TotalTime>
  <Pages>7</Pages>
  <Words>2476</Words>
  <Characters>12853</Characters>
  <Application>Microsoft Office Word</Application>
  <DocSecurity>0</DocSecurity>
  <Lines>321</Lines>
  <Paragraphs>170</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2022-05-31T09:38:00Z</dcterms:created>
  <dcterms:modified xsi:type="dcterms:W3CDTF">2022-05-31T09:38:00Z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