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7D36" w14:textId="77777777" w:rsidR="00201C96" w:rsidRDefault="00201C96" w:rsidP="0068520B">
      <w:pPr>
        <w:pStyle w:val="BodyText"/>
      </w:pPr>
      <w:bookmarkStart w:id="0" w:name="Start"/>
      <w:bookmarkEnd w:id="0"/>
    </w:p>
    <w:p w14:paraId="4BBECBBF" w14:textId="77777777" w:rsidR="00646F34" w:rsidRDefault="00646F34" w:rsidP="007F7FC2">
      <w:pPr>
        <w:pStyle w:val="BodyText"/>
        <w:spacing w:after="1120"/>
      </w:pPr>
    </w:p>
    <w:p w14:paraId="719B4569" w14:textId="6911E151" w:rsidR="00646F34" w:rsidRDefault="00646F34" w:rsidP="002576A9">
      <w:pPr>
        <w:pStyle w:val="Heading1"/>
        <w:rPr>
          <w:sz w:val="38"/>
          <w:szCs w:val="38"/>
        </w:rPr>
      </w:pPr>
      <w:r>
        <w:rPr>
          <w:noProof/>
          <w:sz w:val="38"/>
        </w:rPr>
        <w:drawing>
          <wp:anchor distT="0" distB="0" distL="114300" distR="114300" simplePos="0" relativeHeight="251657216" behindDoc="1" locked="0" layoutInCell="1" allowOverlap="0" wp14:anchorId="01797C1F" wp14:editId="3AD9A920">
            <wp:simplePos x="0" y="0"/>
            <wp:positionH relativeFrom="column">
              <wp:posOffset>-2540</wp:posOffset>
            </wp:positionH>
            <wp:positionV relativeFrom="page">
              <wp:posOffset>431800</wp:posOffset>
            </wp:positionV>
            <wp:extent cx="370205" cy="629920"/>
            <wp:effectExtent l="0" t="0" r="0" b="0"/>
            <wp:wrapNone/>
            <wp:docPr id="9" name="Bildobjekt 9" descr="Regeringskansliets logotyp" title="Regeringskansliet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ÖLD_PNG_SVAR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8"/>
        </w:rPr>
        <w:t>Szwedzki Dziennik Ustaw</w:t>
      </w:r>
    </w:p>
    <w:p w14:paraId="6CC2C3FA" w14:textId="6DFDC0C8" w:rsidR="00646F34" w:rsidRPr="005F75D2" w:rsidRDefault="00A34EDA" w:rsidP="005F75D2">
      <w:pPr>
        <w:pStyle w:val="BodyText"/>
        <w:pBdr>
          <w:top w:val="single" w:sz="6" w:space="1" w:color="auto"/>
        </w:pBdr>
        <w:ind w:right="-2411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FED69" wp14:editId="60F39DD7">
                <wp:simplePos x="0" y="0"/>
                <wp:positionH relativeFrom="page">
                  <wp:posOffset>5411246</wp:posOffset>
                </wp:positionH>
                <wp:positionV relativeFrom="page">
                  <wp:posOffset>1959052</wp:posOffset>
                </wp:positionV>
                <wp:extent cx="1551305" cy="712470"/>
                <wp:effectExtent l="0" t="0" r="0" b="0"/>
                <wp:wrapNone/>
                <wp:docPr id="7" name="Textruta 7" descr="Ruta som innehåller SFS-nummer och publicerings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C41C7" w14:textId="77777777" w:rsidR="00CE5660" w:rsidRPr="001974BD" w:rsidRDefault="00CE5660" w:rsidP="009C4782">
                            <w:pPr>
                              <w:pStyle w:val="BodyText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SFS</w:t>
                            </w:r>
                          </w:p>
                          <w:p w14:paraId="4144185B" w14:textId="77777777" w:rsidR="00CE5660" w:rsidRPr="00AE1FEB" w:rsidRDefault="00CE5660" w:rsidP="009C4782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Opublikowano</w:t>
                            </w:r>
                            <w:r>
                              <w:rPr>
                                <w:sz w:val="20"/>
                              </w:rPr>
                              <w:br/>
                              <w:t>dnia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FED69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alt="Ruta som innehåller SFS-nummer och publiceringsdatum" style="position:absolute;left:0;text-align:left;margin-left:426.1pt;margin-top:154.25pt;width:122.15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" fillcolor="white [3201]" stroked="f" strokeweight=".5pt">
                <v:textbox>
                  <w:txbxContent>
                    <w:p w14:paraId="100C41C7" w14:textId="77777777" w:rsidR="00CE5660" w:rsidRPr="001974BD" w:rsidRDefault="00CE5660" w:rsidP="009C4782">
                      <w:pPr>
                        <w:pStyle w:val="BodyText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</w:rPr>
                        <w:t>SFS</w:t>
                      </w:r>
                    </w:p>
                    <w:p w14:paraId="4144185B" w14:textId="77777777" w:rsidR="00CE5660" w:rsidRPr="00AE1FEB" w:rsidRDefault="00CE5660" w:rsidP="009C4782">
                      <w:pPr>
                        <w:pStyle w:val="Body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Opublikowano</w:t>
                      </w:r>
                      <w:r>
                        <w:rPr>
                          <w:sz w:val="20"/>
                        </w:rPr>
                        <w:br/>
                        <w:t>dnia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E55153" w14:textId="106238E6" w:rsidR="00646F34" w:rsidRDefault="00646F34" w:rsidP="005F75D2">
      <w:pPr>
        <w:pStyle w:val="Heading2"/>
        <w:spacing w:before="200"/>
      </w:pPr>
      <w:bookmarkStart w:id="1" w:name="Titel"/>
      <w:r>
        <w:t>Rozporządzenie w sprawie produktów jednorazowego użytku</w:t>
      </w:r>
    </w:p>
    <w:bookmarkEnd w:id="1"/>
    <w:p w14:paraId="266D883D" w14:textId="77777777" w:rsidR="00646F34" w:rsidRPr="00496B57" w:rsidRDefault="00646F34" w:rsidP="009C4782">
      <w:pPr>
        <w:pStyle w:val="BodyText"/>
      </w:pPr>
      <w:r>
        <w:t xml:space="preserve">Opublikowano </w:t>
      </w:r>
      <w:sdt>
        <w:sdtPr>
          <w:alias w:val="Data wydania"/>
          <w:tag w:val="UtfärdadDatum"/>
          <w:id w:val="-627399020"/>
          <w:placeholder>
            <w:docPart w:val="BA31D46B8C324B76B3CEC46700909471"/>
          </w:placeholder>
          <w:showingPlcHdr/>
          <w:date>
            <w:dateFormat w:val="'den' 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Kliknij tutaj, aby wpisać datę.</w:t>
          </w:r>
        </w:sdtContent>
      </w:sdt>
    </w:p>
    <w:p w14:paraId="531050A5" w14:textId="77777777" w:rsidR="00646F34" w:rsidRDefault="00646F34" w:rsidP="009C4782">
      <w:pPr>
        <w:pStyle w:val="BodyText"/>
      </w:pPr>
    </w:p>
    <w:p w14:paraId="33F2A488" w14:textId="1ECAF154" w:rsidR="00646F34" w:rsidRDefault="00646F34" w:rsidP="009C4782">
      <w:pPr>
        <w:pStyle w:val="BodyText"/>
      </w:pPr>
      <w:r>
        <w:t>Rząd Szwecji niniejszym ustanawia</w:t>
      </w:r>
      <w:r w:rsidR="00211C2C">
        <w:rPr>
          <w:rStyle w:val="FootnoteReference"/>
        </w:rPr>
        <w:footnoteReference w:id="2"/>
      </w:r>
      <w:r>
        <w:t>, co następuje.</w:t>
      </w:r>
    </w:p>
    <w:p w14:paraId="089CC68B" w14:textId="77777777" w:rsidR="00646F34" w:rsidRDefault="00646F34" w:rsidP="00D001EA">
      <w:pPr>
        <w:pStyle w:val="BodyText"/>
      </w:pPr>
    </w:p>
    <w:p w14:paraId="6E641870" w14:textId="478BFE4B" w:rsidR="0078709D" w:rsidRPr="0078709D" w:rsidRDefault="0078709D" w:rsidP="00615D62">
      <w:pPr>
        <w:pStyle w:val="BodyTextIndent"/>
        <w:ind w:firstLine="0"/>
      </w:pPr>
      <w:r>
        <w:rPr>
          <w:b/>
        </w:rPr>
        <w:t>§ 1</w:t>
      </w:r>
      <w:r>
        <w:t xml:space="preserve">    Celem tego rozporządzenia jest ograniczenie zaśmiecania i promowanie gospodarki o obiegu zamkniętym. </w:t>
      </w:r>
    </w:p>
    <w:p w14:paraId="40BFA1F6" w14:textId="0E004591" w:rsidR="00211C2C" w:rsidRDefault="00333E47" w:rsidP="004F112E">
      <w:pPr>
        <w:pStyle w:val="BodyTextIndent"/>
      </w:pPr>
      <w:r>
        <w:t xml:space="preserve">Niniejsze rozporządzenie wydawane jest na podstawie następujących przepisów: </w:t>
      </w:r>
    </w:p>
    <w:p w14:paraId="12B53A34" w14:textId="68D2448E" w:rsidR="00211C2C" w:rsidRPr="001E4FCB" w:rsidRDefault="00211C2C" w:rsidP="00211C2C">
      <w:pPr>
        <w:pStyle w:val="BodyTextIndent"/>
      </w:pPr>
      <w:bookmarkStart w:id="2" w:name="_Hlk83046616"/>
      <w:r>
        <w:t>– rozdział 15 § 40 kodeksu ochrony środowiska w odniesieniu do §§ 12–23 i 25–28,</w:t>
      </w:r>
    </w:p>
    <w:p w14:paraId="4D869C94" w14:textId="315A9AF4" w:rsidR="00211C2C" w:rsidRDefault="00211C2C" w:rsidP="00211C2C">
      <w:pPr>
        <w:pStyle w:val="BodyTextIndent"/>
      </w:pPr>
      <w:r>
        <w:t>– rozdział 8 § 11 instrumentu rządowego w odniesieniu do § 34 oraz</w:t>
      </w:r>
    </w:p>
    <w:p w14:paraId="4031C2BE" w14:textId="565CD061" w:rsidR="00211C2C" w:rsidRDefault="00211C2C" w:rsidP="00211C2C">
      <w:pPr>
        <w:pStyle w:val="BodyTextIndent"/>
      </w:pPr>
      <w:r>
        <w:t>– rozdział 8 § 7 instrumentu rządowego w odniesieniu do innych przepisów.</w:t>
      </w:r>
    </w:p>
    <w:p w14:paraId="4266EBCF" w14:textId="77777777" w:rsidR="00646F34" w:rsidRDefault="00646F34" w:rsidP="009E6D43">
      <w:pPr>
        <w:pStyle w:val="Heading4"/>
      </w:pPr>
      <w:bookmarkStart w:id="3" w:name="_Hlk48222959"/>
      <w:bookmarkEnd w:id="2"/>
      <w:r>
        <w:t>Przepisy dodatkowe zawarte w innych rozporządzeniach</w:t>
      </w:r>
      <w:bookmarkEnd w:id="3"/>
    </w:p>
    <w:p w14:paraId="01712DC8" w14:textId="4271D0B8" w:rsidR="00646F34" w:rsidRDefault="00311E20" w:rsidP="00646F34">
      <w:pPr>
        <w:pStyle w:val="BodyTextIndent"/>
        <w:ind w:firstLine="0"/>
      </w:pPr>
      <w:r>
        <w:rPr>
          <w:b/>
        </w:rPr>
        <w:t>§ 2</w:t>
      </w:r>
      <w:r>
        <w:t xml:space="preserve">    Dalsze przepisy dotyczące produktów jednorazowego użytku można znaleźć w następujących rozporządzeniach: </w:t>
      </w:r>
    </w:p>
    <w:p w14:paraId="154B105E" w14:textId="60FF01F1" w:rsidR="003C1B39" w:rsidRDefault="003C1B39" w:rsidP="003C1B39">
      <w:pPr>
        <w:pStyle w:val="BodyTextIndent"/>
      </w:pPr>
      <w:r>
        <w:t xml:space="preserve">– rozporządzenie w sprawie produktów chemicznych (zakaz obsługi, przywozu i wywozu) (1998:944), </w:t>
      </w:r>
    </w:p>
    <w:p w14:paraId="059C6EE1" w14:textId="1A797C64" w:rsidR="003C1B39" w:rsidRDefault="003C1B39" w:rsidP="003C1B39">
      <w:pPr>
        <w:pStyle w:val="BodyTextIndent"/>
      </w:pPr>
      <w:r>
        <w:t xml:space="preserve">– rozporządzenie (2005:220) w sprawie systemów zwrotnych do butelek plastikowych i puszek metalowych, </w:t>
      </w:r>
    </w:p>
    <w:p w14:paraId="2360F5CB" w14:textId="5EE3CD3D" w:rsidR="003C1B39" w:rsidRDefault="003C1B39" w:rsidP="009E6D43">
      <w:pPr>
        <w:pStyle w:val="BodyTextIndent"/>
      </w:pPr>
      <w:r>
        <w:t xml:space="preserve">– rozporządzenie (2018:1462) w sprawie odpowiedzialności producenta za opakowania, </w:t>
      </w:r>
    </w:p>
    <w:p w14:paraId="6B638499" w14:textId="18241521" w:rsidR="00615D62" w:rsidRDefault="00646F34" w:rsidP="00646F34">
      <w:pPr>
        <w:pStyle w:val="BodyTextIndent"/>
      </w:pPr>
      <w:r>
        <w:t xml:space="preserve">– rozporządzenie (2021:000) w sprawie odpowiedzialności producenta za niektóre wyroby tytoniowe </w:t>
      </w:r>
    </w:p>
    <w:p w14:paraId="6DF6135E" w14:textId="39B4E289" w:rsidR="00646F34" w:rsidRDefault="00646F34" w:rsidP="00646F34">
      <w:pPr>
        <w:pStyle w:val="BodyTextIndent"/>
      </w:pPr>
      <w:r>
        <w:t xml:space="preserve">i filtry, </w:t>
      </w:r>
    </w:p>
    <w:p w14:paraId="1451E275" w14:textId="1C1843A6" w:rsidR="00646F34" w:rsidRDefault="00646F34" w:rsidP="00646F34">
      <w:pPr>
        <w:pStyle w:val="BodyTextIndent"/>
      </w:pPr>
      <w:r>
        <w:t xml:space="preserve">– rozporządzenie (2021:000) w sprawie odpowiedzialności producenta za balony, </w:t>
      </w:r>
    </w:p>
    <w:p w14:paraId="24695156" w14:textId="0A203132" w:rsidR="00646F34" w:rsidRDefault="00646F34" w:rsidP="00646F34">
      <w:pPr>
        <w:pStyle w:val="BodyTextIndent"/>
      </w:pPr>
      <w:r>
        <w:t>– rozporządzenie (2021:000) w sprawie odpowiedzialności producenta za mokre chusteczki oraz</w:t>
      </w:r>
    </w:p>
    <w:p w14:paraId="776217DF" w14:textId="427A9E98" w:rsidR="00646F34" w:rsidRDefault="00646F34" w:rsidP="00646F34">
      <w:pPr>
        <w:pStyle w:val="BodyTextIndent"/>
      </w:pPr>
      <w:r>
        <w:t xml:space="preserve">– </w:t>
      </w:r>
      <w:r>
        <w:rPr>
          <w:shd w:val="clear" w:color="auto" w:fill="FFFFFF"/>
        </w:rPr>
        <w:t>rozporządzenie (2021:000) w sprawie opłat za zaśmiecenie</w:t>
      </w:r>
      <w:r>
        <w:t>.</w:t>
      </w:r>
    </w:p>
    <w:p w14:paraId="7F211810" w14:textId="77777777" w:rsidR="00646F34" w:rsidRPr="008F79D1" w:rsidRDefault="00646F34" w:rsidP="009E6D43">
      <w:pPr>
        <w:pStyle w:val="Heading4"/>
      </w:pPr>
      <w:r>
        <w:t>Definicje</w:t>
      </w:r>
    </w:p>
    <w:p w14:paraId="772F6552" w14:textId="71C770DF" w:rsidR="00211C2C" w:rsidRDefault="00311E20" w:rsidP="00211C2C">
      <w:pPr>
        <w:pStyle w:val="BodyText"/>
        <w:keepNext/>
      </w:pPr>
      <w:r>
        <w:rPr>
          <w:b/>
        </w:rPr>
        <w:t>Ustęp 3</w:t>
      </w:r>
      <w:r>
        <w:t xml:space="preserve">    W niniejszym rozporządzeniu </w:t>
      </w:r>
      <w:r>
        <w:rPr>
          <w:i/>
        </w:rPr>
        <w:t>polimer</w:t>
      </w:r>
      <w:r>
        <w:t xml:space="preserve"> ma znaczenie określone w art. 3.5 rozporządzenia (WE) nr 1907/2006 Parlamentu Europejskiego i </w:t>
      </w:r>
      <w:r>
        <w:lastRenderedPageBreak/>
        <w:t>Rady z dnia 18 grudnia 2006 r. w sprawie rejestracji, oceny, udzielania zezwoleń i stosowanych ograniczeń w zakresie chemikaliów (Reach), utworzenia Europejskiej Agencji Chemikaliów, zmieniającego dyrektywę 1999/45/WE oraz uchylającego rozporządzenie Rady (EWG) nr 793/93 i rozporządzenie Komisji (WE) nr 1488/94, jak również Dyrektywę Rady 76/769/EWG i Dyrektywy Komisji 91/155/EWG, 93/67/EWG, 93/105/WE i 2000/21/WE.</w:t>
      </w:r>
    </w:p>
    <w:p w14:paraId="6171A621" w14:textId="77777777" w:rsidR="00646F34" w:rsidRDefault="00646F34" w:rsidP="00646F34">
      <w:pPr>
        <w:pStyle w:val="BodyTextIndent"/>
      </w:pPr>
    </w:p>
    <w:p w14:paraId="0085FF47" w14:textId="02293E03" w:rsidR="00211C2C" w:rsidRDefault="00311E20" w:rsidP="00211C2C">
      <w:pPr>
        <w:pStyle w:val="BodyTextIndent"/>
        <w:ind w:firstLine="0"/>
      </w:pPr>
      <w:r>
        <w:rPr>
          <w:b/>
        </w:rPr>
        <w:t>Ustęp 4</w:t>
      </w:r>
      <w:r>
        <w:t xml:space="preserve">    W niniejszym rozporządzeniu </w:t>
      </w:r>
      <w:r>
        <w:rPr>
          <w:i/>
        </w:rPr>
        <w:t>tworzywo sztuczne</w:t>
      </w:r>
      <w:r>
        <w:t xml:space="preserve"> oznacza polimer, który może funkcjonować jako główny składnik strukturalny produktów końcowych, </w:t>
      </w:r>
      <w:bookmarkStart w:id="4" w:name="_Hlk49851962"/>
      <w:r>
        <w:t>niezależnie od tego, czy do polimeru zostały dodane dodatki lub inne substancje.</w:t>
      </w:r>
    </w:p>
    <w:bookmarkEnd w:id="4"/>
    <w:p w14:paraId="2F9F098E" w14:textId="77777777" w:rsidR="00211C2C" w:rsidRDefault="00211C2C" w:rsidP="00211C2C">
      <w:pPr>
        <w:pStyle w:val="BodyTextIndent"/>
      </w:pPr>
      <w:r>
        <w:t xml:space="preserve">Tworzywo sztuczne nie oznacza polimeru występującego naturalnie w środowisku, który nie został zmodyfikowany chemicznie. </w:t>
      </w:r>
    </w:p>
    <w:p w14:paraId="0F1CEE55" w14:textId="77777777" w:rsidR="00646F34" w:rsidRDefault="00646F34" w:rsidP="00646F34">
      <w:pPr>
        <w:pStyle w:val="BodyTextIndent"/>
      </w:pPr>
    </w:p>
    <w:p w14:paraId="614D69D0" w14:textId="468D4CB1" w:rsidR="00211C2C" w:rsidRDefault="00311E20" w:rsidP="00211C2C">
      <w:pPr>
        <w:pStyle w:val="BodyText"/>
        <w:keepNext/>
      </w:pPr>
      <w:r>
        <w:rPr>
          <w:b/>
        </w:rPr>
        <w:t>Ustęp 5</w:t>
      </w:r>
      <w:r>
        <w:t>    W niniejszym rozporządzeniu</w:t>
      </w:r>
    </w:p>
    <w:p w14:paraId="71E1411A" w14:textId="77777777" w:rsidR="00211C2C" w:rsidRPr="00B440B8" w:rsidRDefault="00211C2C" w:rsidP="00211C2C">
      <w:pPr>
        <w:pStyle w:val="BodyTextIndent"/>
        <w:rPr>
          <w:iCs/>
        </w:rPr>
      </w:pPr>
      <w:r>
        <w:rPr>
          <w:i/>
        </w:rPr>
        <w:t>dostarczać na rynek szwedzki</w:t>
      </w:r>
      <w:r>
        <w:t>:środki umożliwiające udostępnienie produktu do dystrybucji, konsumpcji lub użytkowania na rynku szwedzkim za opłatą lub nieodpłatnie w ramach działalności zawodowej, oraz</w:t>
      </w:r>
    </w:p>
    <w:p w14:paraId="698B7BE7" w14:textId="77777777" w:rsidR="00211C2C" w:rsidRDefault="00211C2C" w:rsidP="00211C2C">
      <w:pPr>
        <w:pStyle w:val="BodyTextIndent"/>
        <w:rPr>
          <w:iCs/>
        </w:rPr>
      </w:pPr>
      <w:r>
        <w:rPr>
          <w:i/>
        </w:rPr>
        <w:t>miejsce na rynku szwedzkim</w:t>
      </w:r>
      <w:r>
        <w:t>: oznacza dostarczenie produktu na rynek szwedzki po raz pierwszy.</w:t>
      </w:r>
    </w:p>
    <w:p w14:paraId="3C7251C2" w14:textId="77777777" w:rsidR="00646F34" w:rsidRDefault="00646F34" w:rsidP="00646F34">
      <w:pPr>
        <w:pStyle w:val="BodyTextIndent"/>
        <w:rPr>
          <w:iCs/>
        </w:rPr>
      </w:pPr>
    </w:p>
    <w:p w14:paraId="33DCA43D" w14:textId="395F23BF" w:rsidR="00211C2C" w:rsidRDefault="00311E20" w:rsidP="00211C2C">
      <w:pPr>
        <w:pStyle w:val="BodyTextIndent"/>
        <w:ind w:firstLine="0"/>
        <w:rPr>
          <w:i/>
        </w:rPr>
      </w:pPr>
      <w:r>
        <w:rPr>
          <w:b/>
        </w:rPr>
        <w:t>Ustęp 6</w:t>
      </w:r>
      <w:r>
        <w:t>    W niniejszym rozporządzeniu</w:t>
      </w:r>
      <w:r>
        <w:rPr>
          <w:i/>
        </w:rPr>
        <w:t xml:space="preserve"> </w:t>
      </w:r>
    </w:p>
    <w:p w14:paraId="32959034" w14:textId="77777777" w:rsidR="00211C2C" w:rsidRDefault="00211C2C" w:rsidP="00211C2C">
      <w:pPr>
        <w:pStyle w:val="BodyTextIndent"/>
      </w:pPr>
      <w:r>
        <w:rPr>
          <w:i/>
        </w:rPr>
        <w:t>produkt jednorazowego użytku</w:t>
      </w:r>
      <w:r>
        <w:t xml:space="preserve"> oznacza produkt, który nie został stworzony, zaprojektowany lub wprowadzony na rynek szwedzki w celu odbycia w ciągu swojego cyklu życia wielokrotnych podróży lub rotacji poprzez ponowne użycie do tego samego celu, do którego został stworzony, lub poprzez zwrócenie go producentowi w celu ponownego napełnienia, oraz</w:t>
      </w:r>
    </w:p>
    <w:p w14:paraId="2EC9DEC7" w14:textId="77777777" w:rsidR="00211C2C" w:rsidRDefault="00211C2C" w:rsidP="00211C2C">
      <w:pPr>
        <w:pStyle w:val="BodyTextIndent"/>
      </w:pPr>
      <w:r>
        <w:rPr>
          <w:i/>
        </w:rPr>
        <w:t>produkt jednorazowego użytku z tworzyw sztucznych</w:t>
      </w:r>
      <w:r>
        <w:t>: oznacza produkt jednorazowego użytku wykonany w całości lub w części z tworzywa sztucznego.</w:t>
      </w:r>
    </w:p>
    <w:p w14:paraId="7CB6C08F" w14:textId="77777777" w:rsidR="00646F34" w:rsidRDefault="00646F34" w:rsidP="00646F34">
      <w:pPr>
        <w:pStyle w:val="BodyTextIndent"/>
        <w:rPr>
          <w:iCs/>
        </w:rPr>
      </w:pPr>
    </w:p>
    <w:p w14:paraId="376A036B" w14:textId="0632F7EB" w:rsidR="00211C2C" w:rsidRDefault="00311E20" w:rsidP="00211C2C">
      <w:pPr>
        <w:pStyle w:val="BodyText"/>
        <w:rPr>
          <w:i/>
        </w:rPr>
      </w:pPr>
      <w:r>
        <w:rPr>
          <w:b/>
        </w:rPr>
        <w:t>Ustęp 7</w:t>
      </w:r>
      <w:r>
        <w:t xml:space="preserve">    W niniejszym rozporządzeniu </w:t>
      </w:r>
    </w:p>
    <w:p w14:paraId="7911FBA8" w14:textId="35F7F761" w:rsidR="00211C2C" w:rsidRDefault="00211C2C" w:rsidP="00211C2C">
      <w:pPr>
        <w:pStyle w:val="BodyTextIndent"/>
      </w:pPr>
      <w:r>
        <w:rPr>
          <w:i/>
        </w:rPr>
        <w:t>kubek</w:t>
      </w:r>
      <w:r>
        <w:t xml:space="preserve">: oznacza szklankę, filiżankę lub kubek, z pokrywką lub bez, przeznaczone do napojów zimnych lub gorących, które zwykle pije się bezpośrednio z naczynia, </w:t>
      </w:r>
    </w:p>
    <w:p w14:paraId="41F0496D" w14:textId="77777777" w:rsidR="00211C2C" w:rsidRPr="00FB2596" w:rsidRDefault="00211C2C" w:rsidP="00211C2C">
      <w:pPr>
        <w:pStyle w:val="BodyTextIndent"/>
      </w:pPr>
      <w:r>
        <w:rPr>
          <w:i/>
        </w:rPr>
        <w:t>kubek jednorazowego użytku</w:t>
      </w:r>
      <w:r>
        <w:t>: oznacza kubek będący produktem jednorazowego użytku oraz</w:t>
      </w:r>
    </w:p>
    <w:p w14:paraId="3A3DBBEE" w14:textId="77777777" w:rsidR="00211C2C" w:rsidRDefault="00211C2C" w:rsidP="00211C2C">
      <w:pPr>
        <w:pStyle w:val="BodyTextIndent"/>
      </w:pPr>
      <w:r>
        <w:rPr>
          <w:i/>
        </w:rPr>
        <w:t>pojemnik na napoje</w:t>
      </w:r>
      <w:r>
        <w:t xml:space="preserve">: oznacza plastikową butelkę, opakowanie złożone lub inny pojemnik, który </w:t>
      </w:r>
    </w:p>
    <w:p w14:paraId="6D5F716D" w14:textId="04F70FD1" w:rsidR="00211C2C" w:rsidRDefault="00211C2C" w:rsidP="00211C2C">
      <w:pPr>
        <w:pStyle w:val="BodyTextIndent"/>
      </w:pPr>
      <w:r>
        <w:t>1. jest produktem jednorazowego użytku z tworzywa sztucznego,</w:t>
      </w:r>
    </w:p>
    <w:p w14:paraId="018F45E2" w14:textId="0CE437CB" w:rsidR="00211C2C" w:rsidRDefault="00211C2C" w:rsidP="00211C2C">
      <w:pPr>
        <w:pStyle w:val="BodyTextIndent"/>
      </w:pPr>
      <w:r>
        <w:t xml:space="preserve">2. ma pojemność do trzech litrów, </w:t>
      </w:r>
    </w:p>
    <w:p w14:paraId="70789623" w14:textId="1900851D" w:rsidR="00211C2C" w:rsidRDefault="00211C2C" w:rsidP="00211C2C">
      <w:pPr>
        <w:pStyle w:val="BodyTextIndent"/>
      </w:pPr>
      <w:r>
        <w:t>3. jest przeznaczony do napojów, oraz</w:t>
      </w:r>
    </w:p>
    <w:p w14:paraId="5D24AEE8" w14:textId="3AE3E09F" w:rsidR="00211C2C" w:rsidRDefault="00211C2C" w:rsidP="00211C2C">
      <w:pPr>
        <w:pStyle w:val="BodyTextIndent"/>
      </w:pPr>
      <w:r>
        <w:t>4. nie jest filiżanką.</w:t>
      </w:r>
    </w:p>
    <w:p w14:paraId="0B5458BD" w14:textId="77777777" w:rsidR="00646F34" w:rsidRDefault="00646F34" w:rsidP="00646F34">
      <w:pPr>
        <w:pStyle w:val="BodyTextIndent"/>
      </w:pPr>
    </w:p>
    <w:p w14:paraId="2A9DC098" w14:textId="6153F49F" w:rsidR="00211C2C" w:rsidRDefault="00311E20" w:rsidP="00211C2C">
      <w:pPr>
        <w:pStyle w:val="BodyTextIndent"/>
        <w:ind w:firstLine="0"/>
        <w:rPr>
          <w:i/>
        </w:rPr>
      </w:pPr>
      <w:r>
        <w:rPr>
          <w:b/>
        </w:rPr>
        <w:t>Ustęp 8</w:t>
      </w:r>
      <w:r>
        <w:t>    </w:t>
      </w:r>
      <w:bookmarkStart w:id="5" w:name="_Hlk39491428"/>
      <w:r>
        <w:t>W niniejszym rozporządzeniu</w:t>
      </w:r>
      <w:r>
        <w:rPr>
          <w:i/>
        </w:rPr>
        <w:t xml:space="preserve"> </w:t>
      </w:r>
    </w:p>
    <w:p w14:paraId="00F25C91" w14:textId="77777777" w:rsidR="00211C2C" w:rsidRDefault="00211C2C" w:rsidP="00211C2C">
      <w:pPr>
        <w:pStyle w:val="BodyTextIndent"/>
        <w:rPr>
          <w:iCs/>
        </w:rPr>
      </w:pPr>
      <w:bookmarkStart w:id="6" w:name="_Hlk37753820"/>
      <w:r>
        <w:rPr>
          <w:i/>
        </w:rPr>
        <w:t>żywność</w:t>
      </w:r>
      <w:r>
        <w:t>:</w:t>
      </w:r>
      <w:r>
        <w:rPr>
          <w:i/>
        </w:rPr>
        <w:t xml:space="preserve"> </w:t>
      </w:r>
      <w:r>
        <w:t>oznacza żywność, która nie jest napojami,</w:t>
      </w:r>
    </w:p>
    <w:p w14:paraId="6CD5D5E1" w14:textId="77777777" w:rsidR="00211C2C" w:rsidRPr="00154A99" w:rsidRDefault="00211C2C" w:rsidP="00211C2C">
      <w:pPr>
        <w:pStyle w:val="BodyTextIndent"/>
      </w:pPr>
      <w:r>
        <w:rPr>
          <w:i/>
        </w:rPr>
        <w:t>fast food</w:t>
      </w:r>
      <w:r>
        <w:t xml:space="preserve">: </w:t>
      </w:r>
      <w:bookmarkStart w:id="7" w:name="_Hlk23153179"/>
      <w:r>
        <w:t xml:space="preserve">oznacza żywność, która: </w:t>
      </w:r>
    </w:p>
    <w:p w14:paraId="24371858" w14:textId="04B3961E" w:rsidR="00211C2C" w:rsidRDefault="00211C2C" w:rsidP="00527561">
      <w:pPr>
        <w:pStyle w:val="BodyTextIndent"/>
      </w:pPr>
      <w:r>
        <w:t xml:space="preserve">1. jest przeznaczona do spożycia bezpośrednio w punkcie sprzedaży lub do spożycia w innym miejscu wkrótce po zakupie; </w:t>
      </w:r>
    </w:p>
    <w:p w14:paraId="70ADA6C2" w14:textId="16A3AB60" w:rsidR="00211C2C" w:rsidRDefault="00527561" w:rsidP="00211C2C">
      <w:pPr>
        <w:pStyle w:val="BodyTextIndent"/>
      </w:pPr>
      <w:r>
        <w:t xml:space="preserve">2. jest przeznaczona do spożycia poza opakowaniem; oraz </w:t>
      </w:r>
    </w:p>
    <w:p w14:paraId="50E3428F" w14:textId="4B93E499" w:rsidR="00211C2C" w:rsidRDefault="00527561" w:rsidP="00211C2C">
      <w:pPr>
        <w:pStyle w:val="BodyTextIndent"/>
      </w:pPr>
      <w:r>
        <w:t>3. jest gotowa do spożycia bez dalszego gotowania, podgrzewania lub innego przygotowania</w:t>
      </w:r>
      <w:bookmarkEnd w:id="7"/>
      <w:r>
        <w:t xml:space="preserve"> wykonywanego przez konsumenta, </w:t>
      </w:r>
    </w:p>
    <w:p w14:paraId="397D38F3" w14:textId="77777777" w:rsidR="00211C2C" w:rsidRPr="00635A03" w:rsidRDefault="00211C2C" w:rsidP="00211C2C">
      <w:pPr>
        <w:pStyle w:val="BodyTextIndent"/>
      </w:pPr>
      <w:r>
        <w:rPr>
          <w:i/>
        </w:rPr>
        <w:lastRenderedPageBreak/>
        <w:t>food box:</w:t>
      </w:r>
      <w:r>
        <w:t xml:space="preserve"> oznacza opakowanie, z pokrywką lub bez, które </w:t>
      </w:r>
    </w:p>
    <w:p w14:paraId="13FE8351" w14:textId="77777777" w:rsidR="00211C2C" w:rsidRPr="00635A03" w:rsidRDefault="00211C2C" w:rsidP="00211C2C">
      <w:pPr>
        <w:pStyle w:val="BodyTextIndent"/>
      </w:pPr>
      <w:r>
        <w:t xml:space="preserve">1. jest formowane lub pozostaje zasadniczo w niezmienionym kształcie po dodaniu lub usunięciu zawartości, oraz </w:t>
      </w:r>
    </w:p>
    <w:p w14:paraId="26008761" w14:textId="69B2DDBB" w:rsidR="00211C2C" w:rsidRDefault="00211C2C" w:rsidP="00211C2C">
      <w:pPr>
        <w:pStyle w:val="BodyTextIndent"/>
      </w:pPr>
      <w:r>
        <w:t>2. jest używane do fast foodów, i</w:t>
      </w:r>
    </w:p>
    <w:p w14:paraId="7D565C9E" w14:textId="77777777" w:rsidR="00211C2C" w:rsidRDefault="00211C2C" w:rsidP="00211C2C">
      <w:pPr>
        <w:pStyle w:val="BodyTextIndent"/>
        <w:rPr>
          <w:i/>
        </w:rPr>
      </w:pPr>
      <w:r>
        <w:rPr>
          <w:i/>
        </w:rPr>
        <w:t>jednorazowe pudełko żywności</w:t>
      </w:r>
      <w:r>
        <w:t>: oznacza pudełko na żywność, które jest produktem jednorazowego użytku</w:t>
      </w:r>
      <w:bookmarkEnd w:id="5"/>
      <w:r>
        <w:t>.</w:t>
      </w:r>
    </w:p>
    <w:bookmarkEnd w:id="6"/>
    <w:p w14:paraId="7F5A41D5" w14:textId="752C0511" w:rsidR="00646F34" w:rsidRDefault="00646F34" w:rsidP="00211C2C">
      <w:pPr>
        <w:pStyle w:val="BodyTextIndent"/>
        <w:ind w:firstLine="0"/>
        <w:rPr>
          <w:i/>
          <w:iCs/>
        </w:rPr>
      </w:pPr>
    </w:p>
    <w:p w14:paraId="2D23FD68" w14:textId="2741EADC" w:rsidR="00211C2C" w:rsidRDefault="00311E20" w:rsidP="00211C2C">
      <w:pPr>
        <w:pStyle w:val="BodyTextIndent"/>
        <w:ind w:firstLine="0"/>
      </w:pPr>
      <w:r>
        <w:rPr>
          <w:b/>
        </w:rPr>
        <w:t>Ustęp 9</w:t>
      </w:r>
      <w:r>
        <w:t xml:space="preserve">    W niniejszym rozporządzeniu </w:t>
      </w:r>
      <w:r>
        <w:rPr>
          <w:i/>
        </w:rPr>
        <w:t>cykl ponownego użycia</w:t>
      </w:r>
      <w:r>
        <w:t xml:space="preserve"> oznacza drogę, jaką pokonuje kubek lub pudełko na żywność wielokrotnego użytku od momentu dostarczenia go na rynek szwedzki wraz z napojem lub żywnością, do której przechowywania, ochrony, dostarczania lub prezentowania jest przeznaczony, do momentu przekazania go do systemu ponownego użycia kubków lub pudełek na żywność do fast foodów w celu ich ponownego dostarczenia na rynek szwedzki wraz z napojem lub żywnością, do których są przeznaczone.</w:t>
      </w:r>
    </w:p>
    <w:p w14:paraId="458F3E19" w14:textId="58BD4776" w:rsidR="00646F34" w:rsidRDefault="00646F34" w:rsidP="00646F34">
      <w:pPr>
        <w:pStyle w:val="BodyTextIndent"/>
        <w:ind w:firstLine="0"/>
      </w:pPr>
    </w:p>
    <w:p w14:paraId="234E2165" w14:textId="0C76742F" w:rsidR="00646F34" w:rsidRDefault="00646F34" w:rsidP="00646F34">
      <w:pPr>
        <w:pStyle w:val="BodyText"/>
        <w:keepNext/>
      </w:pPr>
      <w:r>
        <w:rPr>
          <w:b/>
        </w:rPr>
        <w:t>Ustęp 10</w:t>
      </w:r>
      <w:r>
        <w:t xml:space="preserve">    W niniejszym rozporządzeniu </w:t>
      </w:r>
    </w:p>
    <w:p w14:paraId="0763F124" w14:textId="05B0CE3A" w:rsidR="00646F34" w:rsidRDefault="00646F34" w:rsidP="00646F34">
      <w:pPr>
        <w:pStyle w:val="BodyTextIndent"/>
      </w:pPr>
      <w:r>
        <w:rPr>
          <w:i/>
        </w:rPr>
        <w:t>torba na zakupy</w:t>
      </w:r>
      <w:r>
        <w:t>: oznacza torbę umożliwiającą konsumentom zapakowanie i transportowanie towarów z miejsca, w którym są dostarczane, i które nie są przeznaczone do regularnego użytku;</w:t>
      </w:r>
    </w:p>
    <w:p w14:paraId="08368CE8" w14:textId="2EF23F87" w:rsidR="00646F34" w:rsidRDefault="00646F34" w:rsidP="00646F34">
      <w:pPr>
        <w:pStyle w:val="BodyTextIndent"/>
      </w:pPr>
      <w:r>
        <w:rPr>
          <w:i/>
        </w:rPr>
        <w:t>plastikowa torba na zakupy</w:t>
      </w:r>
      <w:r>
        <w:t>: oznacza plastikową torbę na zakupy; oraz</w:t>
      </w:r>
    </w:p>
    <w:p w14:paraId="2FC8448C" w14:textId="340B87C5" w:rsidR="00646F34" w:rsidRDefault="00646F34" w:rsidP="00646F34">
      <w:pPr>
        <w:pStyle w:val="BodyTextIndent"/>
      </w:pPr>
      <w:r>
        <w:rPr>
          <w:i/>
        </w:rPr>
        <w:t>lekka plastikowa torba na zakupy</w:t>
      </w:r>
      <w:r>
        <w:t>:oznacza plastikową torbę na zakupy ze ścianą cieńszą niż 50 mikronów.</w:t>
      </w:r>
    </w:p>
    <w:p w14:paraId="30FA8567" w14:textId="77777777" w:rsidR="00646F34" w:rsidRDefault="00646F34" w:rsidP="00646F34">
      <w:pPr>
        <w:pStyle w:val="BodyTextIndent"/>
        <w:ind w:firstLine="0"/>
      </w:pPr>
    </w:p>
    <w:p w14:paraId="15DC9264" w14:textId="6DA2970F" w:rsidR="00646F34" w:rsidRDefault="00646F34" w:rsidP="00646F34">
      <w:pPr>
        <w:pStyle w:val="BodyTextIndent"/>
        <w:ind w:firstLine="0"/>
      </w:pPr>
      <w:r>
        <w:rPr>
          <w:b/>
        </w:rPr>
        <w:t>Ustęp 11</w:t>
      </w:r>
      <w:r>
        <w:t>   Słowa i wyrażenia w niniejszym rozporządzeniu mają takie samo znaczenie jak w rozdziale 15 Kodeksu Ochrony Środowiska.</w:t>
      </w:r>
    </w:p>
    <w:p w14:paraId="49E8D53A" w14:textId="77777777" w:rsidR="00646F34" w:rsidRPr="006047FF" w:rsidRDefault="00646F34" w:rsidP="009E6D43">
      <w:pPr>
        <w:pStyle w:val="Heading4"/>
      </w:pPr>
      <w:r>
        <w:t>Zakaz wprowadzania do obrotu w Szwecji niektórych produktów jednorazowego użytku z tworzyw sztucznych</w:t>
      </w:r>
    </w:p>
    <w:p w14:paraId="0448F62E" w14:textId="118A0B85" w:rsidR="00646F34" w:rsidRDefault="00646F34" w:rsidP="00646F34">
      <w:pPr>
        <w:pStyle w:val="BodyText"/>
      </w:pPr>
      <w:r>
        <w:rPr>
          <w:b/>
        </w:rPr>
        <w:t>Ustęp 12</w:t>
      </w:r>
      <w:r>
        <w:t xml:space="preserve">    Wprowadzanie na rynek szwedzki następujących produktów jednorazowego użytku z tworzyw sztucznych jest zakazane: </w:t>
      </w:r>
    </w:p>
    <w:p w14:paraId="7E18E998" w14:textId="03D318CD" w:rsidR="00646F34" w:rsidRDefault="00646F34" w:rsidP="00646F34">
      <w:pPr>
        <w:pStyle w:val="BodyTextIndent"/>
      </w:pPr>
      <w:r>
        <w:t>1. patyczki do uszu;</w:t>
      </w:r>
    </w:p>
    <w:p w14:paraId="1CC676D7" w14:textId="1FF93E69" w:rsidR="00646F34" w:rsidRDefault="00646F34" w:rsidP="00646F34">
      <w:pPr>
        <w:pStyle w:val="BodyTextIndent"/>
      </w:pPr>
      <w:r>
        <w:t>2. przeznaczone do napojów pojemniki zawierające styropian ekspandowany;</w:t>
      </w:r>
    </w:p>
    <w:p w14:paraId="04C9CB15" w14:textId="77777777" w:rsidR="00646F34" w:rsidRDefault="00646F34" w:rsidP="00646F34">
      <w:pPr>
        <w:pStyle w:val="BodyTextIndent"/>
      </w:pPr>
      <w:r>
        <w:t>3. kubki jednorazowego użytku i pudełka na żywność jednorazowego użytku zawierające styropian ekspandowany;</w:t>
      </w:r>
    </w:p>
    <w:p w14:paraId="4C80A837" w14:textId="2ACA07CD" w:rsidR="00646F34" w:rsidRDefault="00646F34" w:rsidP="00646F34">
      <w:pPr>
        <w:pStyle w:val="BodyTextIndent"/>
      </w:pPr>
      <w:r>
        <w:t>4. widelce, noże, łyżki, pałeczki i inne sztućce;</w:t>
      </w:r>
    </w:p>
    <w:p w14:paraId="7EC219AC" w14:textId="77777777" w:rsidR="00646F34" w:rsidRDefault="00646F34" w:rsidP="00646F34">
      <w:pPr>
        <w:pStyle w:val="BodyTextIndent"/>
      </w:pPr>
      <w:r>
        <w:t>5. korki i wieczka zawierające styropian ekspandowany stosowane z</w:t>
      </w:r>
    </w:p>
    <w:p w14:paraId="775FD790" w14:textId="26E40C73" w:rsidR="00646F34" w:rsidRDefault="00646F34" w:rsidP="00646F34">
      <w:pPr>
        <w:pStyle w:val="BodyTextIndent"/>
      </w:pPr>
      <w:r>
        <w:t>a) pudełkami na żywność jednorazowego użytku,</w:t>
      </w:r>
    </w:p>
    <w:p w14:paraId="32DDA7B9" w14:textId="22F30CF6" w:rsidR="00646F34" w:rsidRDefault="00646F34" w:rsidP="00646F34">
      <w:pPr>
        <w:pStyle w:val="BodyTextIndent"/>
      </w:pPr>
      <w:r>
        <w:t xml:space="preserve">b) pojemnikami na napoje lub </w:t>
      </w:r>
    </w:p>
    <w:p w14:paraId="7C783A25" w14:textId="03ED3D0F" w:rsidR="00646F34" w:rsidRDefault="00646F34" w:rsidP="00646F34">
      <w:pPr>
        <w:pStyle w:val="BodyTextIndent"/>
      </w:pPr>
      <w:r>
        <w:t>c) kubkami jednorazowego użytku;</w:t>
      </w:r>
    </w:p>
    <w:p w14:paraId="2B5BAAC2" w14:textId="09E2AD98" w:rsidR="00646F34" w:rsidRDefault="00646F34" w:rsidP="00646F34">
      <w:pPr>
        <w:pStyle w:val="BodyTextIndent"/>
      </w:pPr>
      <w:r>
        <w:t>6. mieszadła do napojów;</w:t>
      </w:r>
    </w:p>
    <w:p w14:paraId="76B29E21" w14:textId="70F8D689" w:rsidR="00646F34" w:rsidRDefault="00646F34" w:rsidP="00646F34">
      <w:pPr>
        <w:pStyle w:val="BodyTextIndent"/>
      </w:pPr>
      <w:r>
        <w:t>7. patyczki mocowane do balonów w celu ich podtrzymywania;</w:t>
      </w:r>
    </w:p>
    <w:p w14:paraId="3D694708" w14:textId="534C4101" w:rsidR="00646F34" w:rsidRDefault="00646F34" w:rsidP="00646F34">
      <w:pPr>
        <w:pStyle w:val="BodyTextIndent"/>
      </w:pPr>
      <w:r>
        <w:t>8. słomki; oraz</w:t>
      </w:r>
    </w:p>
    <w:p w14:paraId="0AD6DF3E" w14:textId="162E403C" w:rsidR="00646F34" w:rsidRDefault="00646F34" w:rsidP="00646F34">
      <w:pPr>
        <w:pStyle w:val="BodyTextIndent"/>
      </w:pPr>
      <w:r>
        <w:t>9. talerze.</w:t>
      </w:r>
    </w:p>
    <w:p w14:paraId="703EFF20" w14:textId="77777777" w:rsidR="00646F34" w:rsidRDefault="00646F34" w:rsidP="00646F34">
      <w:pPr>
        <w:pStyle w:val="BodyTextIndent"/>
      </w:pPr>
    </w:p>
    <w:p w14:paraId="3BCE51E8" w14:textId="228D1A90" w:rsidR="00646F34" w:rsidRDefault="00646F34" w:rsidP="00646F34">
      <w:pPr>
        <w:pStyle w:val="BodyText"/>
      </w:pPr>
      <w:r>
        <w:rPr>
          <w:b/>
        </w:rPr>
        <w:t>Ustęp 13</w:t>
      </w:r>
      <w:r>
        <w:t>    Zakazy zawarte w § 12 ust. 1 i 8 nie mają zastosowania do bawełnianych wacików i rurek objętych przepisami dotyczącymi wyrobów medycznych zawartymi w rozporządzeniu Parlamentu Europejskiego i Rady (UE) 2017/745 z dnia 5 kwietnia 2017 r. w sprawie wyrobów medycznych, zmiany dyrektywy 2001/83/WE, rozporządzenia (WE) nr 178/2002 i rozporządzenia (WE) nr 1223/2009 oraz uchylenia dyrektyw Rady 90/385/EWG i 93/42/EWG.</w:t>
      </w:r>
    </w:p>
    <w:p w14:paraId="7528FEAE" w14:textId="326659CB" w:rsidR="00646F34" w:rsidRDefault="00646F34" w:rsidP="00646F34">
      <w:pPr>
        <w:pStyle w:val="BodyTextIndent"/>
      </w:pPr>
      <w:r>
        <w:lastRenderedPageBreak/>
        <w:t>Zakaz określony w § 12 ust. 7 nie ma zastosowania do patyczków przeznaczonych do użytku przemysłowego lub innego użytku profesjonalnego, które nie są rozpowszechniane wśród konsumentów.</w:t>
      </w:r>
    </w:p>
    <w:p w14:paraId="40BF4B67" w14:textId="77777777" w:rsidR="00646F34" w:rsidRDefault="00646F34" w:rsidP="00646F34">
      <w:pPr>
        <w:pStyle w:val="BodyTextIndent"/>
      </w:pPr>
    </w:p>
    <w:p w14:paraId="2BBBA98C" w14:textId="1B8FA1B5" w:rsidR="00646F34" w:rsidRDefault="00646F34" w:rsidP="00646F34">
      <w:pPr>
        <w:pStyle w:val="BodyTextIndent"/>
        <w:ind w:firstLine="0"/>
      </w:pPr>
      <w:r>
        <w:rPr>
          <w:b/>
        </w:rPr>
        <w:t>Ustęp 14</w:t>
      </w:r>
      <w:r>
        <w:t>    Wprowadzanie do obrotu szwedzkiego kubków jednorazowego użytku zawierających więcej niż 15% tworzyw sztucznych jest zabronione.</w:t>
      </w:r>
    </w:p>
    <w:p w14:paraId="635C09F2" w14:textId="77777777" w:rsidR="00211C2C" w:rsidRDefault="00211C2C" w:rsidP="00646F34">
      <w:pPr>
        <w:pStyle w:val="BodyTextIndent"/>
        <w:ind w:firstLine="0"/>
      </w:pPr>
    </w:p>
    <w:p w14:paraId="596434C0" w14:textId="2EC0F643" w:rsidR="00646F34" w:rsidRDefault="00646F34" w:rsidP="00646F34">
      <w:pPr>
        <w:pStyle w:val="BodyTextIndent"/>
        <w:ind w:firstLine="0"/>
      </w:pPr>
      <w:r>
        <w:rPr>
          <w:b/>
        </w:rPr>
        <w:t>Ustęp 15</w:t>
      </w:r>
      <w:r>
        <w:t>    Szwedzka Agencja Ochrony Środowiska może wydać przepisy dotyczące wyłączeń z zakazu w § 14, jeśli istnieją szczególne powody do wprowadzenia kubków jednorazowego użytku na rynek szwedzki.</w:t>
      </w:r>
    </w:p>
    <w:p w14:paraId="7448A23B" w14:textId="77777777" w:rsidR="00646F34" w:rsidRPr="00BB14F4" w:rsidRDefault="00646F34" w:rsidP="009E6D43">
      <w:pPr>
        <w:pStyle w:val="Heading4"/>
      </w:pPr>
      <w:r>
        <w:t xml:space="preserve">Zakaz używania konfetti </w:t>
      </w:r>
    </w:p>
    <w:p w14:paraId="01083929" w14:textId="7D04A31D" w:rsidR="00211C2C" w:rsidRDefault="00211C2C" w:rsidP="00211C2C">
      <w:pPr>
        <w:pStyle w:val="BodyText"/>
      </w:pPr>
      <w:r>
        <w:rPr>
          <w:b/>
        </w:rPr>
        <w:t>Ustęp 16</w:t>
      </w:r>
      <w:r>
        <w:t>    Konfetti zawierające tworzywa sztuczne nie mogą być używane na zewnątrz.</w:t>
      </w:r>
    </w:p>
    <w:p w14:paraId="32161E4B" w14:textId="77777777" w:rsidR="007A4814" w:rsidRDefault="00646F34" w:rsidP="009E6D43">
      <w:pPr>
        <w:pStyle w:val="Heading4"/>
      </w:pPr>
      <w:r>
        <w:t>Wymóg oferowania produktu podawanego w kubkach wielokrotnego użytku i pudełkach na żywność</w:t>
      </w:r>
    </w:p>
    <w:p w14:paraId="67DAC9C3" w14:textId="35F297D5" w:rsidR="00211C2C" w:rsidRDefault="00646F34" w:rsidP="00211C2C">
      <w:pPr>
        <w:pStyle w:val="BodyText"/>
      </w:pPr>
      <w:bookmarkStart w:id="8" w:name="_Hlk57038341"/>
      <w:r>
        <w:rPr>
          <w:b/>
        </w:rPr>
        <w:t>Ustęp 17</w:t>
      </w:r>
      <w:r>
        <w:t>    </w:t>
      </w:r>
      <w:bookmarkEnd w:id="8"/>
      <w:r>
        <w:t xml:space="preserve">Każdy, kto dostarcza napoje na rynku szwedzkim w kubkach jednorazowego użytku, musi: </w:t>
      </w:r>
    </w:p>
    <w:p w14:paraId="4F7B1DE6" w14:textId="77777777" w:rsidR="00211C2C" w:rsidRDefault="00211C2C" w:rsidP="00211C2C">
      <w:pPr>
        <w:pStyle w:val="BodyTextIndent"/>
      </w:pPr>
      <w:r>
        <w:t>1. oferować możliwość serwowania napoju w kubku wielokrotnego użytku, i</w:t>
      </w:r>
    </w:p>
    <w:p w14:paraId="4136D526" w14:textId="77777777" w:rsidR="00211C2C" w:rsidRDefault="00211C2C" w:rsidP="00211C2C">
      <w:pPr>
        <w:pStyle w:val="BodyTextIndent"/>
      </w:pPr>
      <w:r>
        <w:t>2. podjąć skuteczne środki w celu zapewnienia, że kubki wielokrotnego użytku i ich pokrywki przechodzą przez kilka cykli ponownego użycia.</w:t>
      </w:r>
    </w:p>
    <w:p w14:paraId="6F9BEF6A" w14:textId="77777777" w:rsidR="00211C2C" w:rsidRDefault="00211C2C" w:rsidP="00211C2C">
      <w:pPr>
        <w:pStyle w:val="BodyTextIndent"/>
      </w:pPr>
      <w:r>
        <w:t>Kubek wielokrotnego użytku musi być zapewniony przez dostawcę napoju niezależnie od tego, czy napój ma zostać zabrany, czy spożyty w punkcie sprzedaży.</w:t>
      </w:r>
    </w:p>
    <w:p w14:paraId="7A08BAA7" w14:textId="4C3CA2D4" w:rsidR="00646F34" w:rsidRDefault="00646F34" w:rsidP="00211C2C">
      <w:pPr>
        <w:pStyle w:val="BodyText"/>
      </w:pPr>
    </w:p>
    <w:p w14:paraId="64304C20" w14:textId="4B1B33CF" w:rsidR="00211C2C" w:rsidRDefault="00646F34" w:rsidP="00211C2C">
      <w:pPr>
        <w:pStyle w:val="BodyText"/>
      </w:pPr>
      <w:r>
        <w:rPr>
          <w:b/>
        </w:rPr>
        <w:t>Ustęp 18</w:t>
      </w:r>
      <w:r>
        <w:t xml:space="preserve">    Każdy, kto dostarcza fast food na szwedzkim rynku w pudełkach jednorazowego użytku, musi: </w:t>
      </w:r>
    </w:p>
    <w:p w14:paraId="2BE54211" w14:textId="77777777" w:rsidR="00211C2C" w:rsidRDefault="00211C2C" w:rsidP="00211C2C">
      <w:pPr>
        <w:pStyle w:val="BodyTextIndent"/>
      </w:pPr>
      <w:r>
        <w:t>1. oferować możliwość podania fast foodu w pojemniku wielokrotnego użytku oraz ,</w:t>
      </w:r>
    </w:p>
    <w:p w14:paraId="152442DF" w14:textId="77777777" w:rsidR="00211C2C" w:rsidRDefault="00211C2C" w:rsidP="00211C2C">
      <w:pPr>
        <w:pStyle w:val="BodyTextIndent"/>
      </w:pPr>
      <w:r>
        <w:t xml:space="preserve">2. podjąć skuteczne środki w celu zapewnienia, że pojemniki na żywność wielokrotnego użytku i ich pokrywki przechodzą przez kilka cykli ponownego użycia. </w:t>
      </w:r>
    </w:p>
    <w:p w14:paraId="2B261D6F" w14:textId="4D167F28" w:rsidR="00211C2C" w:rsidRDefault="00211C2C" w:rsidP="00211C2C">
      <w:pPr>
        <w:pStyle w:val="BodyTextIndent"/>
      </w:pPr>
      <w:r>
        <w:t>Pudełko na żywność wielokrotnego użytku musi być dostarczone przez dostawcę żywności, niezależnie od tego, czy żywność ma zostać zabrana czy spożyta w punkcie sprzedaży.</w:t>
      </w:r>
    </w:p>
    <w:p w14:paraId="7318FBF8" w14:textId="20873C27" w:rsidR="00211C2C" w:rsidRDefault="00211C2C" w:rsidP="00211C2C">
      <w:pPr>
        <w:pStyle w:val="BodyTextIndent"/>
      </w:pPr>
    </w:p>
    <w:p w14:paraId="7F1B5CBC" w14:textId="467A0583" w:rsidR="00211C2C" w:rsidRPr="00870B91" w:rsidRDefault="00311E20" w:rsidP="00211C2C">
      <w:pPr>
        <w:pStyle w:val="BodyTextIndent"/>
        <w:ind w:firstLine="0"/>
      </w:pPr>
      <w:r>
        <w:rPr>
          <w:b/>
        </w:rPr>
        <w:t>Ustęp 19</w:t>
      </w:r>
      <w:r>
        <w:t xml:space="preserve">    Każdy, kto zapewnia kubek lub pudełko na żywność wielokrotnego użytku zgodnie z § 17 lub 18, powinien wybrać kubek lub pudełko na żywność, które w jak najmniejszym stopniu wpływają negatywnie na zdrowie człowieka i środowisko. </w:t>
      </w:r>
    </w:p>
    <w:p w14:paraId="38EB9268" w14:textId="7043FC8B" w:rsidR="00646F34" w:rsidRDefault="00646F34" w:rsidP="00211C2C">
      <w:pPr>
        <w:pStyle w:val="BodyText"/>
      </w:pPr>
    </w:p>
    <w:p w14:paraId="1E3411BA" w14:textId="1059416E" w:rsidR="00211C2C" w:rsidRDefault="00646F34" w:rsidP="00211C2C">
      <w:pPr>
        <w:pStyle w:val="BodyTextIndent"/>
        <w:ind w:firstLine="0"/>
      </w:pPr>
      <w:r>
        <w:rPr>
          <w:b/>
        </w:rPr>
        <w:t>Ustęp 20</w:t>
      </w:r>
      <w:r>
        <w:t>    </w:t>
      </w:r>
      <w:bookmarkStart w:id="9" w:name="_Hlk50550710"/>
      <w:r>
        <w:t>Każdy, kto dostarcza na szwedzkim rynku napoje w kubkach jednorazowego użytku lub fast foodach w pudełkach jednorazowego użytku, informuje konsumentów w punkcie sprzedaży o:</w:t>
      </w:r>
      <w:bookmarkEnd w:id="9"/>
    </w:p>
    <w:p w14:paraId="4E98CC42" w14:textId="77777777" w:rsidR="00211C2C" w:rsidRDefault="00211C2C" w:rsidP="00211C2C">
      <w:pPr>
        <w:pStyle w:val="BodyTextIndent"/>
      </w:pPr>
      <w:r>
        <w:t xml:space="preserve">1. możliwości podania napoju w kubku wielokrotnego użytku lub fast foodu podawanego w pudełku wielokrotnego użytku, </w:t>
      </w:r>
    </w:p>
    <w:p w14:paraId="56E0E8F3" w14:textId="77777777" w:rsidR="00211C2C" w:rsidRPr="00EE3CA1" w:rsidRDefault="00211C2C" w:rsidP="00211C2C">
      <w:pPr>
        <w:pStyle w:val="BodyTextIndent"/>
      </w:pPr>
      <w:r>
        <w:t>2. wpływie na środowisko spowodowanego użyciem kubków jednorazowego użytku i pudełek na żywność jednorazowego użytku, oraz</w:t>
      </w:r>
    </w:p>
    <w:p w14:paraId="0D559E7A" w14:textId="77777777" w:rsidR="00211C2C" w:rsidRPr="00EE3CA1" w:rsidRDefault="00211C2C" w:rsidP="00211C2C">
      <w:pPr>
        <w:pStyle w:val="BodyTextIndent"/>
      </w:pPr>
      <w:r>
        <w:t>3. korzyści wynikających ze zmniejszenia spożycia kubków jednorazowego użytku i opakowań na żywność jednorazowego użytku.</w:t>
      </w:r>
    </w:p>
    <w:p w14:paraId="28AD6CE3" w14:textId="77777777" w:rsidR="00211C2C" w:rsidRDefault="00211C2C" w:rsidP="00211C2C">
      <w:pPr>
        <w:pStyle w:val="BodyTextIndent"/>
      </w:pPr>
      <w:r>
        <w:lastRenderedPageBreak/>
        <w:t xml:space="preserve">Informacje te muszą być widoczne w punkcie sprzedaży i być łatwo dostępne dla konsumenta.  </w:t>
      </w:r>
    </w:p>
    <w:p w14:paraId="2D79D1CA" w14:textId="20370DA5" w:rsidR="00646F34" w:rsidRDefault="00646F34" w:rsidP="00211C2C">
      <w:pPr>
        <w:pStyle w:val="BodyTextIndent"/>
        <w:ind w:firstLine="0"/>
      </w:pPr>
    </w:p>
    <w:p w14:paraId="3571F6CB" w14:textId="07D257B5" w:rsidR="00646F34" w:rsidRDefault="00646F34" w:rsidP="00646F34">
      <w:pPr>
        <w:pStyle w:val="BodyTextIndent"/>
        <w:ind w:firstLine="0"/>
      </w:pPr>
      <w:r>
        <w:rPr>
          <w:b/>
        </w:rPr>
        <w:t>Ustęp 21</w:t>
      </w:r>
      <w:r>
        <w:t>    Wymogi określone w §§ 17–20 nie mają zastosowania do podmiotów, które dostarczają na rynku szwedzkim napoje w jednorazowych kubkach lub fast food w jednorazowych pudełkach na żywność, jeżeli kubek lub pudełko na żywność jest w całości wykonane z papieru lub tektury niemodyfikowanych chemicznie w sposób opóźniający rozkład.</w:t>
      </w:r>
    </w:p>
    <w:p w14:paraId="70159D5D" w14:textId="77777777" w:rsidR="00646F34" w:rsidRDefault="00646F34" w:rsidP="00646F34">
      <w:pPr>
        <w:pStyle w:val="BodyTextIndent"/>
        <w:ind w:firstLine="0"/>
      </w:pPr>
    </w:p>
    <w:p w14:paraId="6D765FBD" w14:textId="516EB1C2" w:rsidR="00211C2C" w:rsidRPr="004A5119" w:rsidRDefault="00646F34" w:rsidP="00211C2C">
      <w:pPr>
        <w:pStyle w:val="BodyTextIndent"/>
        <w:ind w:firstLine="0"/>
        <w:rPr>
          <w:b/>
        </w:rPr>
      </w:pPr>
      <w:r>
        <w:rPr>
          <w:b/>
        </w:rPr>
        <w:t>Ustęp 22</w:t>
      </w:r>
      <w:r>
        <w:t xml:space="preserve">    Wymogi określone w §§ 14-17 nie mają zastosowania do podmiotów, które dostarczają na rynku szwedzkim napoje lub fast foody w mniej niż 150 kubkach jednorazowego użytku i pudełkach jednorazowego użytku dziennie </w:t>
      </w:r>
      <w:bookmarkStart w:id="10" w:name="_Hlk53479781"/>
      <w:r>
        <w:t>w godzinach otwarcia punktu sprzedaży</w:t>
      </w:r>
      <w:bookmarkEnd w:id="10"/>
      <w:r>
        <w:t xml:space="preserve">. </w:t>
      </w:r>
    </w:p>
    <w:p w14:paraId="4F9631E1" w14:textId="42F7C71B" w:rsidR="00211C2C" w:rsidRDefault="00BC1BFA" w:rsidP="00211C2C">
      <w:pPr>
        <w:pStyle w:val="BodyTextIndent"/>
      </w:pPr>
      <w:r>
        <w:t>Liczbę dostarczonych kubków jednorazowego użytku i pojemników na żywność jednorazowego użytku należy obliczyć jako średnią liczb kubków jednorazowego użytku i pudełek na żywność jednorazowego użytku dostarczonych w dniach,</w:t>
      </w:r>
      <w:bookmarkStart w:id="11" w:name="_Hlk54008522"/>
      <w:r>
        <w:t>w których punkt sprzedaży jest otwarty w ciągu roku kalendarzowego</w:t>
      </w:r>
      <w:bookmarkEnd w:id="11"/>
      <w:r>
        <w:t xml:space="preserve">. </w:t>
      </w:r>
    </w:p>
    <w:p w14:paraId="633C4935" w14:textId="6AAF4527" w:rsidR="009E6722" w:rsidRDefault="009E6722" w:rsidP="00211C2C">
      <w:pPr>
        <w:pStyle w:val="BodyTextIndent"/>
      </w:pPr>
      <w:r>
        <w:t>Podmioty objęte zwolnieniem, które nie dostarczają kubków wielokrotnego użytku i pudełek na żywność, muszą mieć wdrożone procedury zapewniające, że dziennie dostarczanych jest średnio nie więcej niż 150 kubków jednorazowego użytku i pudełek na żywność jednorazowego użytku.</w:t>
      </w:r>
    </w:p>
    <w:p w14:paraId="6CB0CC6C" w14:textId="5004701C" w:rsidR="00646F34" w:rsidRDefault="00646F34" w:rsidP="00211C2C">
      <w:pPr>
        <w:pStyle w:val="BodyTextIndent"/>
        <w:ind w:firstLine="0"/>
      </w:pPr>
    </w:p>
    <w:p w14:paraId="2305370B" w14:textId="61F183B4" w:rsidR="009D070E" w:rsidRPr="00156B40" w:rsidRDefault="00646F34" w:rsidP="009D070E">
      <w:pPr>
        <w:pStyle w:val="BodyTextIndent"/>
        <w:ind w:firstLine="0"/>
      </w:pPr>
      <w:r>
        <w:rPr>
          <w:b/>
        </w:rPr>
        <w:t>Ustęp 23</w:t>
      </w:r>
      <w:r>
        <w:t>    </w:t>
      </w:r>
      <w:bookmarkStart w:id="12" w:name="_Hlk54008598"/>
      <w:r>
        <w:t>Szwedzka Agencja Ochrony Środowiska może wydawać dodatkowe przepisy dotyczące zwolnień z wymogów określonych w §§ 17–20 w przypadkach, gdy nieracjonalne jest wymaganie od osoby dostarczającej napoje w kubkach jednorazowego użytku lub fast foodach w pudełkach jednorazowego użytku, aby dostarczała alternatywę wielokrotnego użytku.</w:t>
      </w:r>
    </w:p>
    <w:p w14:paraId="269C50B5" w14:textId="60FCCAF3" w:rsidR="009D070E" w:rsidRPr="0024586A" w:rsidRDefault="009D070E" w:rsidP="009D070E">
      <w:pPr>
        <w:pStyle w:val="BodyTextIndent"/>
      </w:pPr>
      <w:r>
        <w:t xml:space="preserve">Przepisy dotyczące zwolnień nie mogą być wydawane w odniesieniu do kubków jednorazowego użytku lub pudełek na żywność jednorazowego użytku, jeżeli można założyć, że zwolnienie stwarza ryzyko znacznego zaśmiecania lub że w jego wyniku Szwecja nie przestrzegałaby celów opisanych w § 24. </w:t>
      </w:r>
    </w:p>
    <w:bookmarkEnd w:id="12"/>
    <w:p w14:paraId="7C8314FF" w14:textId="77777777" w:rsidR="00646F34" w:rsidRPr="00F533B0" w:rsidRDefault="00646F34" w:rsidP="009E6D43">
      <w:pPr>
        <w:pStyle w:val="Heading4"/>
      </w:pPr>
      <w:r>
        <w:t xml:space="preserve">Cele w zakresie ograniczenia zużycia </w:t>
      </w:r>
    </w:p>
    <w:p w14:paraId="4BC974B2" w14:textId="2E34F32C" w:rsidR="00646F34" w:rsidRPr="00F533B0" w:rsidRDefault="00732438" w:rsidP="00646F34">
      <w:pPr>
        <w:pStyle w:val="BodyTextIndent"/>
        <w:ind w:firstLine="0"/>
      </w:pPr>
      <w:r>
        <w:rPr>
          <w:b/>
        </w:rPr>
        <w:t>Ustęp 24</w:t>
      </w:r>
      <w:r>
        <w:t xml:space="preserve">    Od 2026 r. zużycie jednorazowych kubków z tworzyw sztucznych i pudełek na żywność będzie niższe o 50% w porównaniu z ich zużyciem w 2022 r. </w:t>
      </w:r>
    </w:p>
    <w:p w14:paraId="0A8EA676" w14:textId="77777777" w:rsidR="00646F34" w:rsidRPr="00F533B0" w:rsidRDefault="00646F34" w:rsidP="00646F34">
      <w:pPr>
        <w:pStyle w:val="BodyTextIndent"/>
        <w:ind w:firstLine="0"/>
      </w:pPr>
    </w:p>
    <w:p w14:paraId="1D94AF85" w14:textId="42A20EAE" w:rsidR="00646F34" w:rsidRPr="0024586A" w:rsidRDefault="00732438" w:rsidP="00646F34">
      <w:pPr>
        <w:pStyle w:val="BodyTextIndent"/>
        <w:ind w:firstLine="0"/>
      </w:pPr>
      <w:r>
        <w:rPr>
          <w:b/>
        </w:rPr>
        <w:t>Ustęp 25</w:t>
      </w:r>
      <w:r>
        <w:t xml:space="preserve"> </w:t>
      </w:r>
      <w:bookmarkStart w:id="13" w:name="_Hlk84256029"/>
      <w:bookmarkStart w:id="14" w:name="_Hlk54788938"/>
      <w:bookmarkStart w:id="15" w:name="_Hlk54692017"/>
      <w:r>
        <w:t>Podmioty dostarczające lub używające kubków i pudełek na żywność, które są produktami jednorazowego użytku wykonanymi z tworzyw sztucznych, w działalności zawodowej, muszą skutecznie przyczynić się do osiągnięcia tego celu</w:t>
      </w:r>
      <w:bookmarkEnd w:id="13"/>
      <w:bookmarkEnd w:id="14"/>
      <w:bookmarkEnd w:id="15"/>
      <w:r>
        <w:t>.</w:t>
      </w:r>
    </w:p>
    <w:p w14:paraId="6C1E5310" w14:textId="77777777" w:rsidR="00646F34" w:rsidRDefault="00646F34" w:rsidP="009E6D43">
      <w:pPr>
        <w:pStyle w:val="Heading4"/>
      </w:pPr>
      <w:r>
        <w:t>Etykietowanie i inne informacje dla konsumentów</w:t>
      </w:r>
    </w:p>
    <w:p w14:paraId="4D808795" w14:textId="7E8A6C22" w:rsidR="00DE4842" w:rsidRPr="00870B91" w:rsidRDefault="00B92EB6">
      <w:pPr>
        <w:pStyle w:val="BodyText"/>
      </w:pPr>
      <w:r>
        <w:rPr>
          <w:b/>
        </w:rPr>
        <w:t>Ustęp 26</w:t>
      </w:r>
      <w:r>
        <w:t xml:space="preserve">    Podpaski, tampony i aplikatory tamponów, które są produktami jednorazowego użytku z tworzyw sztucznych, mogą być wprowadzane do obrotu w Szwecji tylko wtedy, gdy są oznakowane zgodnie z rozporządzeniem wykonawczym Komisji (UE) 2020/2151 z dnia 17 grudnia 2020 r. ustanawiającym zasady dotyczące zharmonizowanych specyfikacji w odniesieniu do oznakowania produktów jednorazowego </w:t>
      </w:r>
      <w:r>
        <w:lastRenderedPageBreak/>
        <w:t>użytku z tworzyw sztucznych wymienionych w części D załącznika do dyrektywy Parlamentu Europejskiego i Rady (UE) 2019/904 w sprawie zmniejszenia wpływu niektórych produktów z tworzyw sztucznych na środowisko.</w:t>
      </w:r>
    </w:p>
    <w:p w14:paraId="41230D35" w14:textId="4E63DF75" w:rsidR="00646F34" w:rsidRDefault="0078709D">
      <w:pPr>
        <w:pStyle w:val="BodyTextIndent"/>
      </w:pPr>
      <w:r>
        <w:t xml:space="preserve">Etykieta musi być widoczna, czytelna i nieusuwalna. </w:t>
      </w:r>
    </w:p>
    <w:p w14:paraId="252DADC9" w14:textId="77777777" w:rsidR="00646F34" w:rsidRDefault="00646F34" w:rsidP="00646F34">
      <w:pPr>
        <w:pStyle w:val="BodyTextIndent"/>
        <w:ind w:firstLine="0"/>
      </w:pPr>
    </w:p>
    <w:p w14:paraId="6470C50B" w14:textId="2B1C6519" w:rsidR="00646F34" w:rsidRDefault="00646F34" w:rsidP="00646F34">
      <w:pPr>
        <w:pStyle w:val="BodyTextIndent"/>
        <w:ind w:firstLine="0"/>
      </w:pPr>
      <w:bookmarkStart w:id="16" w:name="_Hlk39499720"/>
      <w:r>
        <w:rPr>
          <w:b/>
        </w:rPr>
        <w:t>Ustęp 27</w:t>
      </w:r>
      <w:r>
        <w:t xml:space="preserve">    Podmioty wprowadzające do obrotu w Szwecji gumy do żucia, porcjowaną tabakę, podpaski, tampony lub aplikatory do tamponów, które są produktami jednorazowego użytku z tworzyw sztucznych, informują konsumentów o: </w:t>
      </w:r>
    </w:p>
    <w:p w14:paraId="55442CB5" w14:textId="7BD389D1" w:rsidR="00646F34" w:rsidRDefault="00646F34" w:rsidP="00646F34">
      <w:pPr>
        <w:pStyle w:val="BodyTextIndent"/>
      </w:pPr>
      <w:r>
        <w:t xml:space="preserve">1. sposobie postępowania z produktem, gdy staje się odpadem; </w:t>
      </w:r>
    </w:p>
    <w:p w14:paraId="3374034E" w14:textId="77777777" w:rsidR="00646F34" w:rsidRDefault="00646F34" w:rsidP="00646F34">
      <w:pPr>
        <w:pStyle w:val="BodyTextIndent"/>
      </w:pPr>
      <w:r>
        <w:t>2. niekorzystnym wpływie zaśmiecania na środowisko lub wynikającym z innego niewłaściwego usuwania produktu; oraz</w:t>
      </w:r>
    </w:p>
    <w:p w14:paraId="04AFA23A" w14:textId="77777777" w:rsidR="00646F34" w:rsidRDefault="00646F34" w:rsidP="00646F34">
      <w:pPr>
        <w:pStyle w:val="BodyTextIndent"/>
      </w:pPr>
      <w:r>
        <w:t>3. negatywnym wpływie na sieć kanalizacyjną spłukiwania produktu do odpływu.</w:t>
      </w:r>
    </w:p>
    <w:p w14:paraId="60EF4B35" w14:textId="2026A723" w:rsidR="00646F34" w:rsidRDefault="00646F34" w:rsidP="00646F34">
      <w:pPr>
        <w:pStyle w:val="BodyTextIndent"/>
      </w:pPr>
      <w:r>
        <w:t xml:space="preserve">Informacje te pomagają zapewnić odpowiednie postępowanie z odpadami pochodzącymi z produktów jednorazowego użytku z tworzyw sztucznych oraz ograniczyć zaśmiecanie. </w:t>
      </w:r>
    </w:p>
    <w:p w14:paraId="28D3751E" w14:textId="4061BA52" w:rsidR="00A943CA" w:rsidRDefault="00646F34" w:rsidP="00646F34">
      <w:pPr>
        <w:pStyle w:val="BodyTextIndent"/>
        <w:rPr>
          <w:b/>
        </w:rPr>
      </w:pPr>
      <w:r>
        <w:t xml:space="preserve">Informacje te muszą być łatwo dostępne, zachęcać do odpowiedzialnego zachowania konsumentów i być regularnie przekazywane. </w:t>
      </w:r>
      <w:bookmarkEnd w:id="16"/>
    </w:p>
    <w:p w14:paraId="45C9EC51" w14:textId="77777777" w:rsidR="00646F34" w:rsidRDefault="00646F34" w:rsidP="00646F34">
      <w:pPr>
        <w:pStyle w:val="BodyTextIndent"/>
        <w:rPr>
          <w:shd w:val="clear" w:color="auto" w:fill="FFFFFF"/>
        </w:rPr>
      </w:pPr>
    </w:p>
    <w:p w14:paraId="6E7BC699" w14:textId="74873BAA" w:rsidR="00646F34" w:rsidRDefault="00333168" w:rsidP="00646F34">
      <w:pPr>
        <w:pStyle w:val="BodyTextIndent"/>
        <w:ind w:firstLine="0"/>
      </w:pPr>
      <w:bookmarkStart w:id="17" w:name="_Hlk50113133"/>
      <w:r>
        <w:rPr>
          <w:b/>
        </w:rPr>
        <w:t>Ustęp 28</w:t>
      </w:r>
      <w:r>
        <w:t xml:space="preserve">    Osoby, które w ramach działalności zawodowej dostarczają konsumentom plastikowe torby na zakupy, przekazują informacje na temat: </w:t>
      </w:r>
    </w:p>
    <w:p w14:paraId="1D7EE05B" w14:textId="77777777" w:rsidR="00646F34" w:rsidRDefault="00646F34" w:rsidP="00646F34">
      <w:pPr>
        <w:pStyle w:val="BodyTextIndent"/>
      </w:pPr>
      <w:r>
        <w:t xml:space="preserve">1. wpływu plastikowych toreb na zakupy na środowisko i korzyści wynikających ze zmniejszenia zużycia plastikowych toreb na zakupy; oraz </w:t>
      </w:r>
    </w:p>
    <w:p w14:paraId="2771D7CE" w14:textId="05603BF4" w:rsidR="00646F34" w:rsidRDefault="00646F34" w:rsidP="00646F34">
      <w:pPr>
        <w:pStyle w:val="BodyTextIndent"/>
      </w:pPr>
      <w:r>
        <w:t>2. środków, które konsument może podjąć w celu ograniczenia ich zużycia.</w:t>
      </w:r>
    </w:p>
    <w:p w14:paraId="5570BE05" w14:textId="14D7A4AB" w:rsidR="00646F34" w:rsidRDefault="00646F34" w:rsidP="00646F34">
      <w:pPr>
        <w:pStyle w:val="BodyTextIndent"/>
      </w:pPr>
      <w:r>
        <w:t xml:space="preserve">Obowiązek przekazywania informacji nie ma zastosowania do plastikowych toreb na zakupy: </w:t>
      </w:r>
    </w:p>
    <w:p w14:paraId="6136AAE5" w14:textId="4C9E0C8A" w:rsidR="00646F34" w:rsidRDefault="00646F34" w:rsidP="00646F34">
      <w:pPr>
        <w:pStyle w:val="BodyTextIndent"/>
      </w:pPr>
      <w:r>
        <w:t>1</w:t>
      </w:r>
      <w:r w:rsidR="00A34EDA">
        <w:t>.</w:t>
      </w:r>
      <w:r>
        <w:t xml:space="preserve"> które są dostarczane na odległość; lub</w:t>
      </w:r>
    </w:p>
    <w:p w14:paraId="0946EE4F" w14:textId="77777777" w:rsidR="00646F34" w:rsidRPr="00F37459" w:rsidDel="00A4255D" w:rsidRDefault="00646F34" w:rsidP="00646F34">
      <w:pPr>
        <w:pStyle w:val="BodyTextIndent"/>
      </w:pPr>
      <w:r>
        <w:t>2. </w:t>
      </w:r>
      <w:bookmarkStart w:id="18" w:name="_Hlk52885097"/>
      <w:r>
        <w:t xml:space="preserve"> mają ściany cieńsze niż 15 mikronów, które są niezbędne ze względów higienicznych lub są dostarczane jako opakowanie podstawowe żywności sprzedawanej luzem.</w:t>
      </w:r>
    </w:p>
    <w:bookmarkEnd w:id="17"/>
    <w:bookmarkEnd w:id="18"/>
    <w:p w14:paraId="0130FB62" w14:textId="77F6F09F" w:rsidR="00646F34" w:rsidRDefault="00646F34" w:rsidP="00646F34">
      <w:pPr>
        <w:pStyle w:val="BodyTextIndent"/>
      </w:pPr>
      <w:r>
        <w:t xml:space="preserve">Informacje te muszą być łatwo dostępne, zachęcać do odpowiedzialnego zachowania konsumentów i być regularnie przekazywane. </w:t>
      </w:r>
    </w:p>
    <w:p w14:paraId="5779F367" w14:textId="77777777" w:rsidR="00D810C9" w:rsidRDefault="00D810C9" w:rsidP="00646F34">
      <w:pPr>
        <w:pStyle w:val="BodyTextIndent"/>
      </w:pPr>
    </w:p>
    <w:p w14:paraId="3A1F25D9" w14:textId="190F79FF" w:rsidR="00333168" w:rsidRDefault="00311E20" w:rsidP="00333168">
      <w:pPr>
        <w:pStyle w:val="BodyTextIndent"/>
        <w:ind w:firstLine="0"/>
      </w:pPr>
      <w:r>
        <w:rPr>
          <w:b/>
        </w:rPr>
        <w:t>Ustęp 29</w:t>
      </w:r>
      <w:r>
        <w:t xml:space="preserve">    W przypadku produktów jednorazowego użytku z tworzyw sztucznych, o których mowa w sekcji 8 rozporządzenia (2021:000) w sprawie opłat za zaśmiecanie, Szwedzka Agencja Ochrony Środowiska informuje konsumentów o: </w:t>
      </w:r>
    </w:p>
    <w:p w14:paraId="57FBCC86" w14:textId="7D329365" w:rsidR="00333168" w:rsidRDefault="00333168" w:rsidP="00333168">
      <w:pPr>
        <w:pStyle w:val="BodyTextIndent"/>
      </w:pPr>
      <w:r>
        <w:t xml:space="preserve">1. sposobie postępowania z produktami jednorazowego użytku z tworzyw sztucznych, gdy stają się odpadami; </w:t>
      </w:r>
    </w:p>
    <w:p w14:paraId="71E21096" w14:textId="0E200B1D" w:rsidR="00333168" w:rsidRDefault="00333168" w:rsidP="00333168">
      <w:pPr>
        <w:pStyle w:val="BodyTextIndent"/>
      </w:pPr>
      <w:r>
        <w:t>2, niekorzystnym wpływie zaśmiecania na środowisko lub wynikającym z innego niewłaściwego usuwania produktów jednorazowego użytku z tworzyw sztucznych; oraz</w:t>
      </w:r>
    </w:p>
    <w:p w14:paraId="08A33784" w14:textId="28409F05" w:rsidR="00333168" w:rsidRDefault="00333168" w:rsidP="00333168">
      <w:pPr>
        <w:pStyle w:val="BodyTextIndent"/>
      </w:pPr>
      <w:r>
        <w:t>3. negatywnym wpływie na sieć kanalizacyjną spłukiwania jednorazowego użytku produktu z tworzywa sztucznego do odpływu.</w:t>
      </w:r>
    </w:p>
    <w:p w14:paraId="78958184" w14:textId="0761D282" w:rsidR="00333168" w:rsidRDefault="00333168" w:rsidP="00333168">
      <w:pPr>
        <w:pStyle w:val="BodyTextIndent"/>
      </w:pPr>
      <w:bookmarkStart w:id="19" w:name="_Hlk85729959"/>
      <w:r>
        <w:t xml:space="preserve">Informacje te pomagają zapewnić odpowiednie postępowanie z odpadami pochodzącymi z produktów jednorazowego użytku z tworzyw sztucznych oraz ograniczyć zaśmiecanie. </w:t>
      </w:r>
    </w:p>
    <w:bookmarkEnd w:id="19"/>
    <w:p w14:paraId="2FDE9192" w14:textId="05D60899" w:rsidR="00333168" w:rsidRPr="00F37459" w:rsidRDefault="00333168" w:rsidP="00646F34">
      <w:pPr>
        <w:pStyle w:val="BodyTextIndent"/>
      </w:pPr>
      <w:r>
        <w:t xml:space="preserve">Informacje te muszą być łatwo dostępne, zachęcać do odpowiedzialnego zachowania konsumentów i być regularnie przekazywane. </w:t>
      </w:r>
    </w:p>
    <w:p w14:paraId="4F28984C" w14:textId="77777777" w:rsidR="00646F34" w:rsidRPr="004A5FA3" w:rsidRDefault="00646F34" w:rsidP="009E6D43">
      <w:pPr>
        <w:pStyle w:val="Heading4"/>
      </w:pPr>
      <w:r>
        <w:lastRenderedPageBreak/>
        <w:t>Monitorowanie spadku zużycia</w:t>
      </w:r>
    </w:p>
    <w:p w14:paraId="63677034" w14:textId="3A394BD8" w:rsidR="00646F34" w:rsidRDefault="00333168" w:rsidP="00646F34">
      <w:pPr>
        <w:pStyle w:val="BodyText"/>
      </w:pPr>
      <w:r>
        <w:rPr>
          <w:b/>
        </w:rPr>
        <w:t>Ustęp 30</w:t>
      </w:r>
      <w:r>
        <w:t>    </w:t>
      </w:r>
      <w:bookmarkStart w:id="20" w:name="_Hlk39566463"/>
      <w:r>
        <w:t xml:space="preserve">Na podstawie informacji dostarczanych zgodnie z § 73 lit. a) rozporządzenia (2018:1462) w sprawie odpowiedzialności producenta za opakowania, Szwedzka Agencja Ochrony Środowiska monitoruje, czy zużycie: </w:t>
      </w:r>
    </w:p>
    <w:p w14:paraId="124862F8" w14:textId="77777777" w:rsidR="00646F34" w:rsidRDefault="00646F34" w:rsidP="00646F34">
      <w:pPr>
        <w:pStyle w:val="BodyTextIndent"/>
      </w:pPr>
      <w:r>
        <w:t xml:space="preserve">1. plastikowych toreb na zakupy maleje, a zużycie lekkich plastikowych toreb na zakupy nie przekracza 90 toreb na osobę rocznie od dnia 31 grudnia 2019 r. i 40 toreb na osobę rocznie od dnia 31 grudnia 2025 r.; oraz </w:t>
      </w:r>
    </w:p>
    <w:p w14:paraId="7E098308" w14:textId="77777777" w:rsidR="00646F34" w:rsidRDefault="00646F34" w:rsidP="00646F34">
      <w:pPr>
        <w:pStyle w:val="BodyTextIndent"/>
      </w:pPr>
      <w:r>
        <w:t>2. kubków i pudełek na żywność będących produktami jednorazowego użytku z tworzyw sztucznych zmniejszyło się o 50% w roku kalendarzowym 2026 w porównaniu ze zużyciem w roku kalendarzowym 2022.</w:t>
      </w:r>
    </w:p>
    <w:p w14:paraId="4DF4B9EC" w14:textId="77777777" w:rsidR="00646F34" w:rsidRDefault="00646F34" w:rsidP="00646F34">
      <w:pPr>
        <w:pStyle w:val="BodyTextIndent"/>
      </w:pPr>
      <w:r>
        <w:t xml:space="preserve">Obliczanie zużycia lekkich plastikowych toreb na zakupy nie obejmuje toreb na zakupy o ścianie cieńszej niż 15 mikronów oraz jeśli: </w:t>
      </w:r>
    </w:p>
    <w:p w14:paraId="408D81DA" w14:textId="22F58FD7" w:rsidR="00646F34" w:rsidRDefault="00646F34" w:rsidP="00646F34">
      <w:pPr>
        <w:pStyle w:val="BodyTextIndent"/>
      </w:pPr>
      <w:r>
        <w:t xml:space="preserve">1. ich dostarczanie jest konieczne ze względów higienicznych lub </w:t>
      </w:r>
    </w:p>
    <w:p w14:paraId="0FBB7059" w14:textId="77777777" w:rsidR="00646F34" w:rsidRPr="00E975B9" w:rsidRDefault="00646F34" w:rsidP="00646F34">
      <w:pPr>
        <w:pStyle w:val="BodyTextIndent"/>
      </w:pPr>
      <w:r>
        <w:t xml:space="preserve">2. są dostarczane jako opakowanie podstawowe dla żywności sprzedawanej luzem. </w:t>
      </w:r>
    </w:p>
    <w:p w14:paraId="24D1CC3E" w14:textId="55A48E34" w:rsidR="00646F34" w:rsidRDefault="00646F34" w:rsidP="00646F34">
      <w:pPr>
        <w:pStyle w:val="BodyTextIndent"/>
      </w:pPr>
      <w:r>
        <w:t xml:space="preserve">Jeżeli Szwedzka Agencja Ochrony Środowiska uzna, że zużycie plastikowych toreb na zakupy oraz </w:t>
      </w:r>
      <w:r w:rsidRPr="00A34EDA">
        <w:t xml:space="preserve"> </w:t>
      </w:r>
      <w:r>
        <w:t>kubków i pudełek na żywność, które są produktami jednorazowego użytku z tworzyw sztucznych, nie zmniejsza się lub że zużycie lekkich plastikowych toreb na zakupy przekroczy poziomy określone w ust. 1, przedłoży rządowi propozycje wprowadzenia odpowiednich środków.</w:t>
      </w:r>
      <w:bookmarkEnd w:id="20"/>
    </w:p>
    <w:p w14:paraId="1F952C0F" w14:textId="77777777" w:rsidR="00646F34" w:rsidRPr="006047FF" w:rsidRDefault="00646F34" w:rsidP="009E6D43">
      <w:pPr>
        <w:pStyle w:val="Heading4"/>
      </w:pPr>
      <w:r>
        <w:t>Raportowanie</w:t>
      </w:r>
    </w:p>
    <w:p w14:paraId="38C80481" w14:textId="725E6848" w:rsidR="00646F34" w:rsidRDefault="00333168" w:rsidP="00646F34">
      <w:pPr>
        <w:pStyle w:val="BodyText"/>
      </w:pPr>
      <w:r>
        <w:rPr>
          <w:b/>
        </w:rPr>
        <w:t>Ustęp 31</w:t>
      </w:r>
      <w:r>
        <w:t xml:space="preserve">    Agencja Ochrony Środowiska składa Komisji Europejskiej sprawozdanie zgodnie z dyrektywą Parlamentu Europejskiego i Rady (UE) 2019/904 z dnia 5 czerwca 2019 r. w sprawie zmniejszenia wpływu niektórych produktów z tworzyw sztucznych na środowisko w jej pierwotnym brzmieniu. </w:t>
      </w:r>
    </w:p>
    <w:p w14:paraId="6C61A685" w14:textId="77777777" w:rsidR="00646F34" w:rsidRDefault="00646F34" w:rsidP="009E6D43">
      <w:pPr>
        <w:pStyle w:val="Heading4"/>
      </w:pPr>
      <w:r>
        <w:t>Nadzór</w:t>
      </w:r>
    </w:p>
    <w:p w14:paraId="793E3E77" w14:textId="37D380AB" w:rsidR="00646F34" w:rsidRDefault="00646F34" w:rsidP="00646F34">
      <w:pPr>
        <w:pStyle w:val="BodyTextIndent"/>
        <w:ind w:firstLine="0"/>
      </w:pPr>
      <w:bookmarkStart w:id="21" w:name="_Hlk49157704"/>
      <w:r>
        <w:rPr>
          <w:b/>
        </w:rPr>
        <w:t>Ustęp 32</w:t>
      </w:r>
      <w:r>
        <w:t xml:space="preserve">    Rozdział 2, §§ 24 i 31 rozporządzenia (2011:13) w sprawie egzekwowania przepisów w zakresie ochrony środowiska zawierają przepisy dotyczące nadzoru. </w:t>
      </w:r>
    </w:p>
    <w:p w14:paraId="63EF48B3" w14:textId="77777777" w:rsidR="00646F34" w:rsidRDefault="00646F34" w:rsidP="009E6D43">
      <w:pPr>
        <w:pStyle w:val="Heading4"/>
      </w:pPr>
      <w:r>
        <w:t>Sankcje</w:t>
      </w:r>
    </w:p>
    <w:p w14:paraId="6DC4E366" w14:textId="58C77F3B" w:rsidR="00646F34" w:rsidRDefault="00646F34" w:rsidP="00646F34">
      <w:pPr>
        <w:pStyle w:val="BodyText"/>
      </w:pPr>
      <w:r>
        <w:rPr>
          <w:b/>
        </w:rPr>
        <w:t>Ustęp 33</w:t>
      </w:r>
      <w:r>
        <w:t>   Rozporządzenie (2012: 259) w sprawie kar związanych z ochroną środowiska zawiera przepisy dotyczące kwot kar związanych z ochroną środowiska.</w:t>
      </w:r>
      <w:bookmarkEnd w:id="21"/>
    </w:p>
    <w:p w14:paraId="3554C13B" w14:textId="79257F9C" w:rsidR="00646F34" w:rsidRDefault="00C6508D" w:rsidP="00C6508D">
      <w:pPr>
        <w:pStyle w:val="Heading4"/>
      </w:pPr>
      <w:r>
        <w:t>Upoważnienie do wydawania rozporządzeń w sprawie egzekwowania przepisów</w:t>
      </w:r>
    </w:p>
    <w:p w14:paraId="0F85D3F8" w14:textId="4FB63265" w:rsidR="00646F34" w:rsidRDefault="00646F34" w:rsidP="00646F34">
      <w:pPr>
        <w:pStyle w:val="BodyText"/>
      </w:pPr>
      <w:r>
        <w:rPr>
          <w:b/>
        </w:rPr>
        <w:t>Ustęp 34</w:t>
      </w:r>
      <w:r>
        <w:t>   Szwedzka Agencja Ochrony Środowiska może wydawać przepisy dotyczące wykonania tego rozporządzenia.</w:t>
      </w:r>
    </w:p>
    <w:p w14:paraId="1C219B46" w14:textId="77777777" w:rsidR="00646F34" w:rsidRPr="00811E52" w:rsidRDefault="00646F34" w:rsidP="00646F34">
      <w:pPr>
        <w:pStyle w:val="Slutstreck"/>
      </w:pPr>
      <w:r>
        <w:t>                      </w:t>
      </w:r>
    </w:p>
    <w:p w14:paraId="504E9F86" w14:textId="64A3F615" w:rsidR="00646F34" w:rsidRDefault="00646F34" w:rsidP="00646F34">
      <w:pPr>
        <w:pStyle w:val="BodyTextIndent"/>
      </w:pPr>
      <w:r>
        <w:t>1. Niniejsze rozporządzenie wchodzi w życie z dniem 30 kwietnia 2022 r. w odniesieniu do § 16. z dniem 1 stycznia 2024 r. w odniesieniu do §§ 14 i 17–25 i 25, a w pozostałych przypadkach z dniem 1 stycznia 2022 r.</w:t>
      </w:r>
    </w:p>
    <w:p w14:paraId="734AC260" w14:textId="6E9AF961" w:rsidR="00646F34" w:rsidRPr="00830602" w:rsidRDefault="00646F34" w:rsidP="00646F34">
      <w:pPr>
        <w:pStyle w:val="BodyTextIndent"/>
      </w:pPr>
      <w:r>
        <w:t>2. Rozporządzenie uchyla rozporządzenie (2016:1041) w sprawie plastikowych toreb na zakupy.</w:t>
      </w:r>
    </w:p>
    <w:p w14:paraId="605E44B0" w14:textId="77777777" w:rsidR="0084605D" w:rsidRDefault="0084605D" w:rsidP="00C24693">
      <w:pPr>
        <w:pStyle w:val="BodyText"/>
        <w:keepNext/>
        <w:keepLines/>
      </w:pPr>
    </w:p>
    <w:p w14:paraId="41459E47" w14:textId="0F44E051" w:rsidR="00E95ADF" w:rsidRDefault="00E95ADF" w:rsidP="00C24693">
      <w:pPr>
        <w:pStyle w:val="BodyText"/>
        <w:keepNext/>
        <w:keepLines/>
      </w:pPr>
      <w:r>
        <w:t>Z upoważnienia rządu</w:t>
      </w:r>
    </w:p>
    <w:p w14:paraId="26D5D373" w14:textId="77777777" w:rsidR="00E95ADF" w:rsidRDefault="00E95ADF" w:rsidP="00C24693">
      <w:pPr>
        <w:pStyle w:val="BodyText"/>
        <w:keepNext/>
        <w:keepLines/>
      </w:pPr>
    </w:p>
    <w:p w14:paraId="741DAB74" w14:textId="39EAF410" w:rsidR="00E95ADF" w:rsidRPr="003037A4" w:rsidRDefault="0084605D" w:rsidP="00C24693">
      <w:pPr>
        <w:pStyle w:val="BodyText"/>
        <w:keepNext/>
        <w:keepLines/>
        <w:rPr>
          <w:caps/>
        </w:rPr>
      </w:pPr>
      <w:r>
        <w:rPr>
          <w:caps/>
        </w:rPr>
        <w:t>PER BOLUND</w:t>
      </w:r>
    </w:p>
    <w:p w14:paraId="314788B0" w14:textId="490808DB" w:rsidR="00E95ADF" w:rsidRDefault="00E95ADF" w:rsidP="00C24693">
      <w:pPr>
        <w:pStyle w:val="BodyText"/>
        <w:keepNext/>
        <w:keepLines/>
        <w:tabs>
          <w:tab w:val="left" w:pos="3827"/>
        </w:tabs>
        <w:ind w:left="3827" w:hanging="3827"/>
        <w:jc w:val="left"/>
      </w:pPr>
      <w:r>
        <w:tab/>
        <w:t>Maria Jonsson</w:t>
      </w:r>
    </w:p>
    <w:p w14:paraId="2053920B" w14:textId="63A1370F" w:rsidR="00E95ADF" w:rsidRDefault="00E95ADF" w:rsidP="00C24693">
      <w:pPr>
        <w:pStyle w:val="BodyText"/>
        <w:keepLines/>
        <w:tabs>
          <w:tab w:val="left" w:pos="3827"/>
        </w:tabs>
        <w:ind w:left="3827" w:hanging="3827"/>
        <w:jc w:val="left"/>
      </w:pPr>
      <w:r>
        <w:tab/>
        <w:t>(Ministerstwo Środowiska)</w:t>
      </w:r>
    </w:p>
    <w:p w14:paraId="5ED46A6A" w14:textId="77777777" w:rsidR="00FE7D41" w:rsidRPr="00FE7D41" w:rsidRDefault="00FE7D41" w:rsidP="00FE7D41">
      <w:pPr>
        <w:pStyle w:val="BodyTextIndent"/>
      </w:pPr>
    </w:p>
    <w:sectPr w:rsidR="00FE7D41" w:rsidRPr="00FE7D41" w:rsidSect="00B045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7AB6" w14:textId="77777777" w:rsidR="00DA3BC7" w:rsidRDefault="00DA3BC7" w:rsidP="00680442">
      <w:r>
        <w:separator/>
      </w:r>
    </w:p>
  </w:endnote>
  <w:endnote w:type="continuationSeparator" w:id="0">
    <w:p w14:paraId="039BF305" w14:textId="77777777" w:rsidR="00DA3BC7" w:rsidRDefault="00DA3BC7" w:rsidP="00680442">
      <w:r>
        <w:continuationSeparator/>
      </w:r>
    </w:p>
  </w:endnote>
  <w:endnote w:type="continuationNotice" w:id="1">
    <w:p w14:paraId="340AD3BA" w14:textId="77777777" w:rsidR="00DA3BC7" w:rsidRDefault="00DA3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4DED" w14:textId="77777777" w:rsidR="00CE5660" w:rsidRDefault="00CE5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AEBF" w14:textId="77777777" w:rsidR="00CE5660" w:rsidRDefault="00CE5660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ECE3E4" wp14:editId="2DEF5DB2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492BE" w14:textId="77777777" w:rsidR="00CE5660" w:rsidRDefault="00CE5660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CE3E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" fillcolor="white [3201]" stroked="f" strokeweight=".5pt">
              <v:textbox>
                <w:txbxContent>
                  <w:p w14:paraId="1C5492BE" w14:textId="77777777" w:rsidR="00CE5660" w:rsidRDefault="00CE5660" w:rsidP="004043E4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BFE7" w14:textId="77777777" w:rsidR="00CE5660" w:rsidRDefault="00CE5660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EA5486" wp14:editId="02B970E0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4C27F" w14:textId="77777777" w:rsidR="00CE5660" w:rsidRDefault="00CE5660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A548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" fillcolor="white [3201]" stroked="f" strokeweight=".5pt">
              <v:textbox>
                <w:txbxContent>
                  <w:p w14:paraId="3434C27F" w14:textId="77777777" w:rsidR="00CE5660" w:rsidRDefault="00CE5660" w:rsidP="005B2C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0C87" w14:textId="77777777" w:rsidR="00DA3BC7" w:rsidRDefault="00DA3BC7" w:rsidP="00680442"/>
  </w:footnote>
  <w:footnote w:type="continuationSeparator" w:id="0">
    <w:p w14:paraId="5E80CEE8" w14:textId="77777777" w:rsidR="00DA3BC7" w:rsidRPr="00C26807" w:rsidRDefault="00DA3BC7" w:rsidP="00C26807">
      <w:pPr>
        <w:pStyle w:val="Footer"/>
      </w:pPr>
    </w:p>
  </w:footnote>
  <w:footnote w:type="continuationNotice" w:id="1">
    <w:p w14:paraId="0DB87085" w14:textId="77777777" w:rsidR="00DA3BC7" w:rsidRDefault="00DA3BC7"/>
  </w:footnote>
  <w:footnote w:id="2">
    <w:p w14:paraId="4FE7E27D" w14:textId="77777777" w:rsidR="00CE5660" w:rsidRDefault="00CE5660" w:rsidP="00211C2C">
      <w:pPr>
        <w:pStyle w:val="FootnoteText"/>
      </w:pPr>
      <w:r>
        <w:rPr>
          <w:rStyle w:val="FootnoteReference"/>
        </w:rPr>
        <w:footnoteRef/>
      </w:r>
      <w:r>
        <w:t xml:space="preserve"> Por. Dyrektywa Parlamentu Europejskiego i Rady (UE) 2019/904 z dnia 5 czerwca 2019 r. w sprawie ograniczenia wpływu niektórych produktów z tworzyw sztucznych na środowisko, w pierwotnym brzmieniu. Zob. Dyrektywa (UE) 2015/1535 Parlamentu Europejskiego i Rady z dnia 9 września 2015 r. ustanawiająca procedurę udzielania informacji w dziedzinie przepisów technicznych oraz zasad dotyczących usług społeczeństwa informacyjnego.</w:t>
      </w:r>
    </w:p>
    <w:p w14:paraId="6A98EB38" w14:textId="0DE8A2D1" w:rsidR="00CE5660" w:rsidRDefault="00CE566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10D4" w14:textId="77777777" w:rsidR="00CE5660" w:rsidRDefault="00DA3BC7">
    <w:pPr>
      <w:pStyle w:val="Header"/>
    </w:pPr>
    <w:r>
      <w:pict w14:anchorId="24E92F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1026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WERSJA PRÓBNA DOKUMENTU, POZBAWIONA WAŻNOŚCI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2C90" w14:textId="77777777" w:rsidR="00CE5660" w:rsidRDefault="00CE5660" w:rsidP="00F77AB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DA6EBC" wp14:editId="76D6F7C9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BECD6" w14:textId="77777777" w:rsidR="00CE5660" w:rsidRPr="001974BD" w:rsidRDefault="00CE5660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EBC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" fillcolor="white [3201]" stroked="f" strokeweight=".5pt">
              <v:textbox>
                <w:txbxContent>
                  <w:p w14:paraId="1F2BECD6" w14:textId="77777777" w:rsidR="00CE5660" w:rsidRPr="001974BD" w:rsidRDefault="00CE5660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>SFS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51EC" w14:textId="77777777" w:rsidR="00CE5660" w:rsidRDefault="00CE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641D6"/>
    <w:multiLevelType w:val="hybridMultilevel"/>
    <w:tmpl w:val="CDE461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73137">
    <w:abstractNumId w:val="8"/>
  </w:num>
  <w:num w:numId="2" w16cid:durableId="102236244">
    <w:abstractNumId w:val="8"/>
  </w:num>
  <w:num w:numId="3" w16cid:durableId="1100754214">
    <w:abstractNumId w:val="3"/>
  </w:num>
  <w:num w:numId="4" w16cid:durableId="1512640713">
    <w:abstractNumId w:val="2"/>
  </w:num>
  <w:num w:numId="5" w16cid:durableId="853760705">
    <w:abstractNumId w:val="1"/>
  </w:num>
  <w:num w:numId="6" w16cid:durableId="2011135135">
    <w:abstractNumId w:val="0"/>
  </w:num>
  <w:num w:numId="7" w16cid:durableId="1998729875">
    <w:abstractNumId w:val="9"/>
  </w:num>
  <w:num w:numId="8" w16cid:durableId="359210491">
    <w:abstractNumId w:val="7"/>
  </w:num>
  <w:num w:numId="9" w16cid:durableId="27921961">
    <w:abstractNumId w:val="6"/>
  </w:num>
  <w:num w:numId="10" w16cid:durableId="1726640934">
    <w:abstractNumId w:val="5"/>
  </w:num>
  <w:num w:numId="11" w16cid:durableId="1852184287">
    <w:abstractNumId w:val="4"/>
  </w:num>
  <w:num w:numId="12" w16cid:durableId="2014606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34"/>
    <w:rsid w:val="00014844"/>
    <w:rsid w:val="000217E0"/>
    <w:rsid w:val="000309B4"/>
    <w:rsid w:val="00054B0D"/>
    <w:rsid w:val="00062643"/>
    <w:rsid w:val="00065778"/>
    <w:rsid w:val="000776E6"/>
    <w:rsid w:val="00087E73"/>
    <w:rsid w:val="00091696"/>
    <w:rsid w:val="0009400A"/>
    <w:rsid w:val="000963A0"/>
    <w:rsid w:val="000A1BCC"/>
    <w:rsid w:val="000A437D"/>
    <w:rsid w:val="000A6C2B"/>
    <w:rsid w:val="000B072E"/>
    <w:rsid w:val="000B36C7"/>
    <w:rsid w:val="000B7FEB"/>
    <w:rsid w:val="000C42B0"/>
    <w:rsid w:val="000D3E9A"/>
    <w:rsid w:val="000D56FC"/>
    <w:rsid w:val="000D5E85"/>
    <w:rsid w:val="000F3D5F"/>
    <w:rsid w:val="000F7435"/>
    <w:rsid w:val="00100E2C"/>
    <w:rsid w:val="00122CF5"/>
    <w:rsid w:val="00131A73"/>
    <w:rsid w:val="00132BD5"/>
    <w:rsid w:val="00135F8C"/>
    <w:rsid w:val="001409E8"/>
    <w:rsid w:val="001563DC"/>
    <w:rsid w:val="00162B76"/>
    <w:rsid w:val="00165B5E"/>
    <w:rsid w:val="00167E63"/>
    <w:rsid w:val="00175988"/>
    <w:rsid w:val="00181BC1"/>
    <w:rsid w:val="001974BD"/>
    <w:rsid w:val="001A716D"/>
    <w:rsid w:val="001B4DB6"/>
    <w:rsid w:val="001D2D45"/>
    <w:rsid w:val="001D7E3D"/>
    <w:rsid w:val="001E43C6"/>
    <w:rsid w:val="001F4FE9"/>
    <w:rsid w:val="00201C96"/>
    <w:rsid w:val="00205B38"/>
    <w:rsid w:val="00211C2C"/>
    <w:rsid w:val="002124E1"/>
    <w:rsid w:val="00215412"/>
    <w:rsid w:val="00224C44"/>
    <w:rsid w:val="00232439"/>
    <w:rsid w:val="0023447C"/>
    <w:rsid w:val="00236E12"/>
    <w:rsid w:val="002576A9"/>
    <w:rsid w:val="00264764"/>
    <w:rsid w:val="00267351"/>
    <w:rsid w:val="002767C4"/>
    <w:rsid w:val="00276BA7"/>
    <w:rsid w:val="002804CB"/>
    <w:rsid w:val="0029295C"/>
    <w:rsid w:val="002949DD"/>
    <w:rsid w:val="002A76C1"/>
    <w:rsid w:val="002B3871"/>
    <w:rsid w:val="002B452D"/>
    <w:rsid w:val="002C0BBF"/>
    <w:rsid w:val="002D247A"/>
    <w:rsid w:val="002D3D78"/>
    <w:rsid w:val="002F68D4"/>
    <w:rsid w:val="00301819"/>
    <w:rsid w:val="00311E20"/>
    <w:rsid w:val="003216FD"/>
    <w:rsid w:val="00323010"/>
    <w:rsid w:val="00330A7B"/>
    <w:rsid w:val="00332533"/>
    <w:rsid w:val="00333168"/>
    <w:rsid w:val="00333E47"/>
    <w:rsid w:val="00335129"/>
    <w:rsid w:val="00343A99"/>
    <w:rsid w:val="00344B4A"/>
    <w:rsid w:val="00350B0F"/>
    <w:rsid w:val="0035181A"/>
    <w:rsid w:val="00353EE4"/>
    <w:rsid w:val="00355D64"/>
    <w:rsid w:val="003627A1"/>
    <w:rsid w:val="003642F1"/>
    <w:rsid w:val="00364629"/>
    <w:rsid w:val="003661D1"/>
    <w:rsid w:val="00367C3F"/>
    <w:rsid w:val="0037085F"/>
    <w:rsid w:val="003A300E"/>
    <w:rsid w:val="003B4B65"/>
    <w:rsid w:val="003C1B39"/>
    <w:rsid w:val="003C5D66"/>
    <w:rsid w:val="003E4858"/>
    <w:rsid w:val="003E7C57"/>
    <w:rsid w:val="004043E4"/>
    <w:rsid w:val="00420647"/>
    <w:rsid w:val="0042754D"/>
    <w:rsid w:val="0044098C"/>
    <w:rsid w:val="00440A07"/>
    <w:rsid w:val="0044715B"/>
    <w:rsid w:val="00460C4D"/>
    <w:rsid w:val="00461C46"/>
    <w:rsid w:val="00461D7A"/>
    <w:rsid w:val="004630CE"/>
    <w:rsid w:val="00465E8F"/>
    <w:rsid w:val="00467E22"/>
    <w:rsid w:val="00467F48"/>
    <w:rsid w:val="0047191E"/>
    <w:rsid w:val="00475117"/>
    <w:rsid w:val="00475F84"/>
    <w:rsid w:val="00482DD1"/>
    <w:rsid w:val="00487A84"/>
    <w:rsid w:val="00496903"/>
    <w:rsid w:val="00496B57"/>
    <w:rsid w:val="004A3C1C"/>
    <w:rsid w:val="004A728C"/>
    <w:rsid w:val="004B6A07"/>
    <w:rsid w:val="004B7FD3"/>
    <w:rsid w:val="004C2E93"/>
    <w:rsid w:val="004E0106"/>
    <w:rsid w:val="004E0DAA"/>
    <w:rsid w:val="004E1ACE"/>
    <w:rsid w:val="004E4DE2"/>
    <w:rsid w:val="004F0BBC"/>
    <w:rsid w:val="004F112E"/>
    <w:rsid w:val="00506527"/>
    <w:rsid w:val="00527561"/>
    <w:rsid w:val="005373FC"/>
    <w:rsid w:val="0055154B"/>
    <w:rsid w:val="00561BFC"/>
    <w:rsid w:val="00562B95"/>
    <w:rsid w:val="00564C23"/>
    <w:rsid w:val="00565A67"/>
    <w:rsid w:val="00580393"/>
    <w:rsid w:val="00585B17"/>
    <w:rsid w:val="005B0C13"/>
    <w:rsid w:val="005B2C6E"/>
    <w:rsid w:val="005B3A26"/>
    <w:rsid w:val="005B7784"/>
    <w:rsid w:val="005C210E"/>
    <w:rsid w:val="005C6B0C"/>
    <w:rsid w:val="005E410F"/>
    <w:rsid w:val="005E781A"/>
    <w:rsid w:val="005F3664"/>
    <w:rsid w:val="005F5448"/>
    <w:rsid w:val="005F75D2"/>
    <w:rsid w:val="005F7A7D"/>
    <w:rsid w:val="006017CA"/>
    <w:rsid w:val="00601CF4"/>
    <w:rsid w:val="00615D62"/>
    <w:rsid w:val="006178BF"/>
    <w:rsid w:val="00624653"/>
    <w:rsid w:val="006413A7"/>
    <w:rsid w:val="0064475F"/>
    <w:rsid w:val="00646F34"/>
    <w:rsid w:val="006734C6"/>
    <w:rsid w:val="0067379D"/>
    <w:rsid w:val="00674A58"/>
    <w:rsid w:val="00680442"/>
    <w:rsid w:val="0068520B"/>
    <w:rsid w:val="006856DB"/>
    <w:rsid w:val="00685BA1"/>
    <w:rsid w:val="00691E87"/>
    <w:rsid w:val="006972B7"/>
    <w:rsid w:val="006A189D"/>
    <w:rsid w:val="006A31EA"/>
    <w:rsid w:val="006A5C76"/>
    <w:rsid w:val="006A6EF2"/>
    <w:rsid w:val="006B1487"/>
    <w:rsid w:val="006B54FB"/>
    <w:rsid w:val="006C2353"/>
    <w:rsid w:val="006C3DF6"/>
    <w:rsid w:val="006C4712"/>
    <w:rsid w:val="006D0B9D"/>
    <w:rsid w:val="006E7380"/>
    <w:rsid w:val="006F3EF0"/>
    <w:rsid w:val="00701597"/>
    <w:rsid w:val="00705CF7"/>
    <w:rsid w:val="00711FBF"/>
    <w:rsid w:val="007141EE"/>
    <w:rsid w:val="00715836"/>
    <w:rsid w:val="00731454"/>
    <w:rsid w:val="00732438"/>
    <w:rsid w:val="00732889"/>
    <w:rsid w:val="00732900"/>
    <w:rsid w:val="00736FD8"/>
    <w:rsid w:val="00753F80"/>
    <w:rsid w:val="007623A9"/>
    <w:rsid w:val="007708C2"/>
    <w:rsid w:val="0078709D"/>
    <w:rsid w:val="0078756A"/>
    <w:rsid w:val="007878C2"/>
    <w:rsid w:val="00790DED"/>
    <w:rsid w:val="007A10EE"/>
    <w:rsid w:val="007A4814"/>
    <w:rsid w:val="007A5642"/>
    <w:rsid w:val="007A61CF"/>
    <w:rsid w:val="007B32A1"/>
    <w:rsid w:val="007B5968"/>
    <w:rsid w:val="007C0C0F"/>
    <w:rsid w:val="007E6B31"/>
    <w:rsid w:val="007E75A3"/>
    <w:rsid w:val="007F7FC2"/>
    <w:rsid w:val="00805987"/>
    <w:rsid w:val="00831B5C"/>
    <w:rsid w:val="0083514C"/>
    <w:rsid w:val="00835AE2"/>
    <w:rsid w:val="00836C52"/>
    <w:rsid w:val="00836E0C"/>
    <w:rsid w:val="00837A93"/>
    <w:rsid w:val="0084384D"/>
    <w:rsid w:val="0084605D"/>
    <w:rsid w:val="008579BD"/>
    <w:rsid w:val="00865506"/>
    <w:rsid w:val="00870B91"/>
    <w:rsid w:val="00871B1E"/>
    <w:rsid w:val="0088045A"/>
    <w:rsid w:val="00887A99"/>
    <w:rsid w:val="008938FE"/>
    <w:rsid w:val="008A4F77"/>
    <w:rsid w:val="008A56A3"/>
    <w:rsid w:val="008B4876"/>
    <w:rsid w:val="008C6DE9"/>
    <w:rsid w:val="008D7DFB"/>
    <w:rsid w:val="008E3B11"/>
    <w:rsid w:val="008E6436"/>
    <w:rsid w:val="008E7A90"/>
    <w:rsid w:val="008F6E7A"/>
    <w:rsid w:val="008F6EEA"/>
    <w:rsid w:val="009105CE"/>
    <w:rsid w:val="00917859"/>
    <w:rsid w:val="009201AC"/>
    <w:rsid w:val="009331C6"/>
    <w:rsid w:val="00933D9C"/>
    <w:rsid w:val="00944A0C"/>
    <w:rsid w:val="009553B2"/>
    <w:rsid w:val="00984BC8"/>
    <w:rsid w:val="0098565F"/>
    <w:rsid w:val="0099266E"/>
    <w:rsid w:val="00993A25"/>
    <w:rsid w:val="009A32BD"/>
    <w:rsid w:val="009A51AC"/>
    <w:rsid w:val="009B701B"/>
    <w:rsid w:val="009C4782"/>
    <w:rsid w:val="009C5A21"/>
    <w:rsid w:val="009D070E"/>
    <w:rsid w:val="009D46CD"/>
    <w:rsid w:val="009D6C25"/>
    <w:rsid w:val="009D7413"/>
    <w:rsid w:val="009D7436"/>
    <w:rsid w:val="009E0463"/>
    <w:rsid w:val="009E6722"/>
    <w:rsid w:val="009E6D43"/>
    <w:rsid w:val="009F3E51"/>
    <w:rsid w:val="009F4194"/>
    <w:rsid w:val="009F4B8F"/>
    <w:rsid w:val="009F60E3"/>
    <w:rsid w:val="009F63BA"/>
    <w:rsid w:val="00A10981"/>
    <w:rsid w:val="00A11BA4"/>
    <w:rsid w:val="00A33D04"/>
    <w:rsid w:val="00A34EDA"/>
    <w:rsid w:val="00A53593"/>
    <w:rsid w:val="00A619D9"/>
    <w:rsid w:val="00A71376"/>
    <w:rsid w:val="00A8757F"/>
    <w:rsid w:val="00A943CA"/>
    <w:rsid w:val="00A94B58"/>
    <w:rsid w:val="00A953B2"/>
    <w:rsid w:val="00AA35F7"/>
    <w:rsid w:val="00AA4011"/>
    <w:rsid w:val="00AC565C"/>
    <w:rsid w:val="00AE1FEB"/>
    <w:rsid w:val="00AF246E"/>
    <w:rsid w:val="00B045CC"/>
    <w:rsid w:val="00B13367"/>
    <w:rsid w:val="00B13451"/>
    <w:rsid w:val="00B178AA"/>
    <w:rsid w:val="00B316D7"/>
    <w:rsid w:val="00B32DD6"/>
    <w:rsid w:val="00B346FF"/>
    <w:rsid w:val="00B412A6"/>
    <w:rsid w:val="00B47C04"/>
    <w:rsid w:val="00B53E93"/>
    <w:rsid w:val="00B54292"/>
    <w:rsid w:val="00B60D5E"/>
    <w:rsid w:val="00B65511"/>
    <w:rsid w:val="00B7501B"/>
    <w:rsid w:val="00B90519"/>
    <w:rsid w:val="00B92773"/>
    <w:rsid w:val="00B92D7E"/>
    <w:rsid w:val="00B92EB6"/>
    <w:rsid w:val="00BA0591"/>
    <w:rsid w:val="00BA397F"/>
    <w:rsid w:val="00BA7AC5"/>
    <w:rsid w:val="00BC1B38"/>
    <w:rsid w:val="00BC1BFA"/>
    <w:rsid w:val="00BC3E60"/>
    <w:rsid w:val="00BC4608"/>
    <w:rsid w:val="00BC60E8"/>
    <w:rsid w:val="00BC6DC4"/>
    <w:rsid w:val="00BC7154"/>
    <w:rsid w:val="00BC79BB"/>
    <w:rsid w:val="00BD3925"/>
    <w:rsid w:val="00BE1774"/>
    <w:rsid w:val="00BF022A"/>
    <w:rsid w:val="00BF16AF"/>
    <w:rsid w:val="00C126DB"/>
    <w:rsid w:val="00C21A7B"/>
    <w:rsid w:val="00C221CE"/>
    <w:rsid w:val="00C24693"/>
    <w:rsid w:val="00C25750"/>
    <w:rsid w:val="00C25CB0"/>
    <w:rsid w:val="00C26807"/>
    <w:rsid w:val="00C47474"/>
    <w:rsid w:val="00C64668"/>
    <w:rsid w:val="00C6508D"/>
    <w:rsid w:val="00C71C42"/>
    <w:rsid w:val="00C728AE"/>
    <w:rsid w:val="00C73C3C"/>
    <w:rsid w:val="00C747CC"/>
    <w:rsid w:val="00C8494D"/>
    <w:rsid w:val="00C96BEF"/>
    <w:rsid w:val="00CB0127"/>
    <w:rsid w:val="00CB0950"/>
    <w:rsid w:val="00CE05BB"/>
    <w:rsid w:val="00CE5660"/>
    <w:rsid w:val="00CE5EC6"/>
    <w:rsid w:val="00CF03E7"/>
    <w:rsid w:val="00CF5001"/>
    <w:rsid w:val="00CF79ED"/>
    <w:rsid w:val="00D001EA"/>
    <w:rsid w:val="00D107EB"/>
    <w:rsid w:val="00D20572"/>
    <w:rsid w:val="00D25FEB"/>
    <w:rsid w:val="00D318CA"/>
    <w:rsid w:val="00D34DA7"/>
    <w:rsid w:val="00D3638D"/>
    <w:rsid w:val="00D4217D"/>
    <w:rsid w:val="00D42A87"/>
    <w:rsid w:val="00D441D7"/>
    <w:rsid w:val="00D44AC9"/>
    <w:rsid w:val="00D45C8D"/>
    <w:rsid w:val="00D50A6F"/>
    <w:rsid w:val="00D526A3"/>
    <w:rsid w:val="00D54E0F"/>
    <w:rsid w:val="00D65A6A"/>
    <w:rsid w:val="00D70F12"/>
    <w:rsid w:val="00D71BB8"/>
    <w:rsid w:val="00D72FA5"/>
    <w:rsid w:val="00D74117"/>
    <w:rsid w:val="00D810C9"/>
    <w:rsid w:val="00DA3BC7"/>
    <w:rsid w:val="00DB779F"/>
    <w:rsid w:val="00DD0175"/>
    <w:rsid w:val="00DD0E37"/>
    <w:rsid w:val="00DD64FA"/>
    <w:rsid w:val="00DE0B69"/>
    <w:rsid w:val="00DE4842"/>
    <w:rsid w:val="00DE5075"/>
    <w:rsid w:val="00DE5B23"/>
    <w:rsid w:val="00DF2B87"/>
    <w:rsid w:val="00DF648E"/>
    <w:rsid w:val="00DF68E0"/>
    <w:rsid w:val="00DF7898"/>
    <w:rsid w:val="00E1310A"/>
    <w:rsid w:val="00E20D3E"/>
    <w:rsid w:val="00E21E6F"/>
    <w:rsid w:val="00E373D5"/>
    <w:rsid w:val="00E37BB1"/>
    <w:rsid w:val="00E52CB7"/>
    <w:rsid w:val="00E65F76"/>
    <w:rsid w:val="00E80832"/>
    <w:rsid w:val="00E850EC"/>
    <w:rsid w:val="00E95ADF"/>
    <w:rsid w:val="00E967A2"/>
    <w:rsid w:val="00EA0AB8"/>
    <w:rsid w:val="00EA1496"/>
    <w:rsid w:val="00EA2933"/>
    <w:rsid w:val="00EA30FD"/>
    <w:rsid w:val="00EA76D7"/>
    <w:rsid w:val="00EB47C6"/>
    <w:rsid w:val="00ED763F"/>
    <w:rsid w:val="00EE6222"/>
    <w:rsid w:val="00EE684D"/>
    <w:rsid w:val="00EF16E1"/>
    <w:rsid w:val="00EF521D"/>
    <w:rsid w:val="00EF57BC"/>
    <w:rsid w:val="00EF6220"/>
    <w:rsid w:val="00F04DDD"/>
    <w:rsid w:val="00F1229F"/>
    <w:rsid w:val="00F177EF"/>
    <w:rsid w:val="00F24B78"/>
    <w:rsid w:val="00F277AA"/>
    <w:rsid w:val="00F32750"/>
    <w:rsid w:val="00F549CD"/>
    <w:rsid w:val="00F608ED"/>
    <w:rsid w:val="00F70F1F"/>
    <w:rsid w:val="00F76190"/>
    <w:rsid w:val="00F77ABC"/>
    <w:rsid w:val="00F8416E"/>
    <w:rsid w:val="00F94D97"/>
    <w:rsid w:val="00FA1C3B"/>
    <w:rsid w:val="00FA3FC2"/>
    <w:rsid w:val="00FA4314"/>
    <w:rsid w:val="00FB1396"/>
    <w:rsid w:val="00FB2CB0"/>
    <w:rsid w:val="00FD162D"/>
    <w:rsid w:val="00FD3A99"/>
    <w:rsid w:val="00FD5F95"/>
    <w:rsid w:val="00FD635B"/>
    <w:rsid w:val="00FD67E3"/>
    <w:rsid w:val="00FD71AE"/>
    <w:rsid w:val="00FD759F"/>
    <w:rsid w:val="00FE1F7B"/>
    <w:rsid w:val="00FE3076"/>
    <w:rsid w:val="00FE7D41"/>
    <w:rsid w:val="00FF11B7"/>
    <w:rsid w:val="00FF2358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6577B"/>
  <w15:docId w15:val="{1B6604E8-44A5-4D1E-9006-C01F1909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qFormat="1"/>
    <w:lsdException w:name="heading 3" w:semiHidden="1" w:uiPriority="7" w:qFormat="1"/>
    <w:lsdException w:name="heading 4" w:semiHidden="1" w:uiPriority="9" w:qFormat="1"/>
    <w:lsdException w:name="heading 5" w:semiHidden="1" w:uiPriority="11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rsid w:val="0007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qFormat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14"/>
    <w:qFormat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14"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semiHidden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semiHidden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semiHidden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semiHidden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semiHidden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semiHidden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rsid w:val="00E37BB1"/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</w:style>
  <w:style w:type="paragraph" w:styleId="HTMLAddress">
    <w:name w:val="HTML Address"/>
    <w:basedOn w:val="Normal"/>
    <w:link w:val="HTMLAddressChar"/>
    <w:uiPriority w:val="99"/>
    <w:semiHidden/>
    <w:rsid w:val="00E37B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E37BB1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37B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37B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37B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37B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E37B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37B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E37B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E37B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E37BB1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rsid w:val="00E37BB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E37BB1"/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ind w:left="1304"/>
    </w:p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E37BB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ind w:left="0" w:firstLine="0"/>
      <w:contextualSpacing/>
    </w:p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styleId="Hashtag">
    <w:name w:val="Hashtag"/>
    <w:basedOn w:val="DefaultParagraphFont"/>
    <w:uiPriority w:val="99"/>
    <w:semiHidden/>
    <w:rsid w:val="00646F34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rsid w:val="00646F3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rsid w:val="00646F34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rsid w:val="00646F34"/>
    <w:rPr>
      <w:u w:val="dotted"/>
    </w:rPr>
  </w:style>
  <w:style w:type="character" w:styleId="SmartLink">
    <w:name w:val="Smart Link"/>
    <w:basedOn w:val="DefaultParagraphFont"/>
    <w:uiPriority w:val="99"/>
    <w:semiHidden/>
    <w:rsid w:val="00646F3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31D46B8C324B76B3CEC46700909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41850-4ADF-4F02-8010-C2C358BF3FE5}"/>
      </w:docPartPr>
      <w:docPartBody>
        <w:p w:rsidR="0083405B" w:rsidRDefault="00116015" w:rsidP="00116015">
          <w:r>
            <w:rPr>
              <w:rStyle w:val="PlaceholderText"/>
            </w:rPr>
            <w:t>Kliknij tutaj, aby wpisać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5"/>
    <w:rsid w:val="00116015"/>
    <w:rsid w:val="0083405B"/>
    <w:rsid w:val="00B878EB"/>
    <w:rsid w:val="00C203FE"/>
    <w:rsid w:val="00CC7F5C"/>
    <w:rsid w:val="00D127BF"/>
    <w:rsid w:val="00D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F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 Cedrum</SenderName>
      <SenderTitle>Departementssekreterare</SenderTitle>
      <SenderMail>Anna.Cedrum@regeringskansliet.se</SenderMail>
      <SenderPhone>08-405 12 09
072-228 11 41</SenderPhone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2021-03-26</HeaderDate>
    <Office/>
    <Dnr>M2021/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6a372189-8514-43a9-a668-4622024340fc">TSDR5AECP2XP-1839530900-53935</_dlc_DocId>
    <_dlc_DocIdUrl xmlns="6a372189-8514-43a9-a668-4622024340fc">
      <Url>https://dhs.sp.regeringskansliet.se/yta/m-r/_layouts/15/DocIdRedir.aspx?ID=TSDR5AECP2XP-1839530900-53935</Url>
      <Description>TSDR5AECP2XP-1839530900-53935</Description>
    </_dlc_DocIdUrl>
    <RKOrdnaClass xmlns="d4acd662-17ce-4a3b-8e84-c7c9f280a23c" xsi:nil="true"/>
    <RKOrdnaCheckInComment xmlns="d4acd662-17ce-4a3b-8e84-c7c9f280a2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5" ma:contentTypeDescription="Skapa ett nytt dokument." ma:contentTypeScope="" ma:versionID="44e31441bcfe5a11cd9a2cef0337272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4acd662-17ce-4a3b-8e84-c7c9f280a23c" xmlns:ns7="6a372189-8514-43a9-a668-4622024340fc" targetNamespace="http://schemas.microsoft.com/office/2006/metadata/properties" ma:root="true" ma:fieldsID="9755c46bd8cbbb861736efa1e3307b2e" ns2:_="" ns3:_="" ns4:_="" ns5:_="" ns7:_="">
    <xsd:import namespace="4e9c2f0c-7bf8-49af-8356-cbf363fc78a7"/>
    <xsd:import namespace="cc625d36-bb37-4650-91b9-0c96159295ba"/>
    <xsd:import namespace="18f3d968-6251-40b0-9f11-012b293496c2"/>
    <xsd:import namespace="d4acd662-17ce-4a3b-8e84-c7c9f280a23c"/>
    <xsd:import namespace="6a372189-8514-43a9-a668-4622024340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RKOrdnaCheckInComment" minOccurs="0"/>
                <xsd:element ref="ns5:RKOrdnaClas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3b9322c-24b1-4a7f-a49c-b9c86c8c013d}" ma:internalName="TaxCatchAll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8" nillable="true" ma:displayName="Klass" ma:hidden="true" ma:internalName="RKOrdnaCla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9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A5B09-8678-40D5-A305-364511F55171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6a372189-8514-43a9-a668-4622024340fc"/>
    <ds:schemaRef ds:uri="d4acd662-17ce-4a3b-8e84-c7c9f280a23c"/>
  </ds:schemaRefs>
</ds:datastoreItem>
</file>

<file path=customXml/itemProps4.xml><?xml version="1.0" encoding="utf-8"?>
<ds:datastoreItem xmlns:ds="http://schemas.openxmlformats.org/officeDocument/2006/customXml" ds:itemID="{DEE4A30F-19A2-4DF4-8C0F-8AFABA5BE6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40F898-B3FB-4EB0-8C1F-F030ABB2D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4acd662-17ce-4a3b-8e84-c7c9f280a23c"/>
    <ds:schemaRef ds:uri="6a372189-8514-43a9-a668-462202434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739FB88-DAC8-4639-8EC7-CDA9CB424C9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E41085F-F65A-4FFB-8541-203F539B31D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</Template>
  <TotalTime>1</TotalTime>
  <Pages>8</Pages>
  <Words>2351</Words>
  <Characters>14765</Characters>
  <Application>Microsoft Office Word</Application>
  <DocSecurity>0</DocSecurity>
  <Lines>360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engångsprodukter</vt:lpstr>
    </vt:vector>
  </TitlesOfParts>
  <Company>Regeringskansliet</Company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engångsprodukter</dc:title>
  <dc:creator>Anna Cedrum</dc:creator>
  <cp:keywords>class='Internal'</cp:keywords>
  <cp:lastModifiedBy>Ines Varvodic</cp:lastModifiedBy>
  <cp:revision>2</cp:revision>
  <cp:lastPrinted>2016-10-14T09:17:00Z</cp:lastPrinted>
  <dcterms:created xsi:type="dcterms:W3CDTF">2022-05-31T10:00:00Z</dcterms:created>
  <dcterms:modified xsi:type="dcterms:W3CDTF">2022-05-31T10:00:00Z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6f5561cd-0e8a-4334-820a-626a8f3e949f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SFS1</vt:lpwstr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ActivityCategory">
    <vt:lpwstr/>
  </property>
  <property fmtid="{D5CDD505-2E9C-101B-9397-08002B2CF9AE}" pid="11" name="TaxKeywordTaxHTField">
    <vt:lpwstr/>
  </property>
</Properties>
</file>