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0CA3E524" w:rsidR="00E30B60" w:rsidRDefault="00CB547F">
      <w:pPr>
        <w:spacing w:before="6"/>
        <w:ind w:left="105" w:right="225"/>
        <w:jc w:val="center"/>
        <w:rPr>
          <w:sz w:val="46"/>
        </w:rPr>
      </w:pPr>
      <w:r>
        <w:rPr>
          <w:sz w:val="46"/>
        </w:rPr>
        <w:t xml:space="preserve">RECUEIL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C643C9">
        <w:rPr>
          <w:sz w:val="46"/>
        </w:rPr>
        <w:t xml:space="preserve"> </w:t>
      </w:r>
      <w:r>
        <w:rPr>
          <w:sz w:val="46"/>
        </w:rPr>
        <w:t>DES LOIS</w:t>
      </w:r>
    </w:p>
    <w:p w14:paraId="350B1BBF" w14:textId="77777777" w:rsidR="00E30B60" w:rsidRDefault="00CB547F">
      <w:pPr>
        <w:spacing w:before="66"/>
        <w:ind w:left="105" w:right="105"/>
        <w:jc w:val="center"/>
        <w:rPr>
          <w:sz w:val="34"/>
        </w:rPr>
      </w:pPr>
      <w:r>
        <w:rPr>
          <w:sz w:val="34"/>
        </w:rPr>
        <w:t>DE LA RÉPUBLIQUE SLOVAQUE</w:t>
      </w:r>
    </w:p>
    <w:p w14:paraId="06343233" w14:textId="77777777" w:rsidR="00E30B60" w:rsidRDefault="00603E25">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Volume 2021</w:t>
      </w:r>
    </w:p>
    <w:p w14:paraId="0B8D25E3" w14:textId="6A7BAE39" w:rsidR="00D0358C" w:rsidRDefault="00CB547F">
      <w:pPr>
        <w:tabs>
          <w:tab w:val="left" w:pos="4781"/>
        </w:tabs>
        <w:spacing w:before="38" w:line="403" w:lineRule="auto"/>
        <w:ind w:left="105" w:right="103"/>
        <w:jc w:val="center"/>
      </w:pPr>
      <w:r>
        <w:t>Promulgué:26.11.2021</w:t>
      </w:r>
      <w:r w:rsidR="00C643C9">
        <w:t xml:space="preserve">           V</w:t>
      </w:r>
      <w:r>
        <w:t>ersion temporelle de la législation en vigueur de:1.01.2030</w:t>
      </w:r>
    </w:p>
    <w:p w14:paraId="1B7690C4" w14:textId="22EA24A9" w:rsidR="00E30B60" w:rsidRDefault="00CB547F">
      <w:pPr>
        <w:tabs>
          <w:tab w:val="left" w:pos="4781"/>
        </w:tabs>
        <w:spacing w:before="38" w:line="403" w:lineRule="auto"/>
        <w:ind w:left="105" w:right="103"/>
        <w:jc w:val="center"/>
      </w:pPr>
      <w:r>
        <w:t xml:space="preserve"> Le contenu du document est juridiquement contraignant.</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A C T E</w:t>
      </w:r>
    </w:p>
    <w:p w14:paraId="319B4591" w14:textId="77777777" w:rsidR="00E30B60" w:rsidRDefault="00CB547F">
      <w:pPr>
        <w:pStyle w:val="BodyText"/>
        <w:spacing w:before="60"/>
        <w:ind w:left="105" w:right="105"/>
        <w:jc w:val="center"/>
      </w:pPr>
      <w:r>
        <w:t>du 02 novembre 2021,</w:t>
      </w:r>
    </w:p>
    <w:p w14:paraId="2CC89435" w14:textId="77777777" w:rsidR="00E30B60" w:rsidRDefault="00CB547F">
      <w:pPr>
        <w:pStyle w:val="BodyText"/>
        <w:spacing w:before="93" w:line="244" w:lineRule="auto"/>
        <w:ind w:left="1230" w:right="1228"/>
        <w:jc w:val="center"/>
        <w:rPr>
          <w:b/>
        </w:rPr>
      </w:pPr>
      <w:r>
        <w:rPr>
          <w:b/>
        </w:rPr>
        <w:t>modifiant la Loi n° 79/2015 relative aux déchets et modifiant certaines lois, telles que modifiées, et la Loi n° 302/2019 relative à un système de déclaration de dépôt des récipients pour boissons jetables et modifiant certaines lois, telles que modifiées</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Le Conseil national de la République slovaque a adopté la loi suivante :</w:t>
      </w:r>
    </w:p>
    <w:p w14:paraId="5C1BC0D2" w14:textId="77777777" w:rsidR="00E30B60" w:rsidRDefault="00CB547F">
      <w:pPr>
        <w:pStyle w:val="BodyText"/>
        <w:spacing w:before="208"/>
        <w:ind w:left="105" w:right="105"/>
        <w:jc w:val="center"/>
        <w:rPr>
          <w:b/>
        </w:rPr>
      </w:pPr>
      <w:r>
        <w:rPr>
          <w:b/>
        </w:rPr>
        <w:t>Article I</w:t>
      </w:r>
    </w:p>
    <w:p w14:paraId="2FC10E75" w14:textId="4EC5C8BF" w:rsidR="00E30B60" w:rsidRDefault="00CB547F">
      <w:pPr>
        <w:pStyle w:val="BodyText"/>
        <w:spacing w:before="217" w:line="276" w:lineRule="auto"/>
        <w:ind w:left="105" w:right="103" w:firstLine="226"/>
        <w:jc w:val="both"/>
      </w:pPr>
      <w:r>
        <w:t>La loi n° 79/2015 sur les déchets et modifiant certaines lois, telle que modifiée par la loi n° 91/2016, la loi n° 313/2016, la loi n° 90/2017, la loi n° 292/2017, la loi n° 106/2018, la loi n° 177/2018, la loi n° 208/2018, la loi n° 312/2018, la loi n° 302/2019, la loi n° 364/2019, la loi n° 460/2019, la loi n° 74/2020, la loi n° 218/2020, la loi n° 285/2020, la loi n° 9/2021</w:t>
      </w:r>
    </w:p>
    <w:p w14:paraId="1C547400" w14:textId="235D3DB4" w:rsidR="00E30B60" w:rsidRDefault="00CB547F">
      <w:pPr>
        <w:pStyle w:val="BodyText"/>
        <w:spacing w:line="276" w:lineRule="auto"/>
        <w:ind w:left="105" w:right="193"/>
      </w:pPr>
      <w:r>
        <w:t>et la loi n° 46/2021, est modifiée comme suit: La loi n</w:t>
      </w:r>
      <w:r>
        <w:rPr>
          <w:vertAlign w:val="superscript"/>
        </w:rPr>
        <w:t>o</w:t>
      </w:r>
      <w:r>
        <w:t xml:space="preserve"> 128/2021, la loi n</w:t>
      </w:r>
      <w:r>
        <w:rPr>
          <w:vertAlign w:val="superscript"/>
        </w:rPr>
        <w:t>o</w:t>
      </w:r>
      <w:r>
        <w:t xml:space="preserve"> 216/2021 et la loi n</w:t>
      </w:r>
      <w:r>
        <w:rPr>
          <w:vertAlign w:val="superscript"/>
        </w:rPr>
        <w:t>o</w:t>
      </w:r>
      <w:r>
        <w:t xml:space="preserve"> 372/2021 sont modifiées comme suit:</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À l’article 27, paragraphe 1, le mot «septième» est remplacé par «huitième».</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À l’article 52, les paragraphes 29 et 30 sont supprimés.</w:t>
      </w:r>
    </w:p>
    <w:p w14:paraId="731629A1" w14:textId="77777777" w:rsidR="00E30B60" w:rsidRDefault="00CB547F">
      <w:pPr>
        <w:pStyle w:val="BodyText"/>
        <w:spacing w:before="105"/>
        <w:ind w:left="729"/>
      </w:pPr>
      <w:r>
        <w:t>Les paragraphes 31 à 35 deviennent les paragraphes 29 à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Après l’article 53, l’article 53 octovicies est inséré et se lit comme suit:</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«Article 53 octovicies</w:t>
      </w:r>
    </w:p>
    <w:p w14:paraId="78A7988B" w14:textId="0782E007" w:rsidR="00E30B60" w:rsidRDefault="00CB547F">
      <w:pPr>
        <w:pStyle w:val="BodyText"/>
        <w:spacing w:before="217" w:line="276" w:lineRule="auto"/>
        <w:ind w:left="502" w:right="193" w:firstLine="226"/>
      </w:pPr>
      <w:r>
        <w:t>Les organismes de l’administration publique ne doivent pas acheter de boissons dans des emballages à usage unique dans leurs activités.».</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L’article 53 bis est supprimé.</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L’article 73 bis est supprimé.</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Après l’article 75, une nouvelle section huit est insérée, ce qui, y compris le titre, se lit comme suit:</w:t>
      </w:r>
    </w:p>
    <w:p w14:paraId="2697A68C" w14:textId="22600A25" w:rsidR="00E30B60" w:rsidRDefault="00C643C9" w:rsidP="00C643C9">
      <w:pPr>
        <w:pStyle w:val="BodyText"/>
        <w:spacing w:before="208" w:line="302" w:lineRule="auto"/>
        <w:ind w:left="3119" w:right="3379" w:firstLine="658"/>
        <w:rPr>
          <w:b/>
        </w:rPr>
      </w:pPr>
      <w:r>
        <w:rPr>
          <w:b/>
        </w:rPr>
        <w:t xml:space="preserve">        </w:t>
      </w:r>
      <w:r w:rsidR="00CB547F">
        <w:rPr>
          <w:b/>
        </w:rPr>
        <w:t>« Section huit</w:t>
      </w:r>
      <w:r w:rsidR="00CB547F">
        <w:rPr>
          <w:b/>
        </w:rPr>
        <w:br/>
      </w:r>
      <w:r>
        <w:rPr>
          <w:b/>
        </w:rPr>
        <w:t xml:space="preserve">      </w:t>
      </w:r>
      <w:r w:rsidR="00CB547F">
        <w:rPr>
          <w:b/>
        </w:rPr>
        <w:t>Produits plastiques spéciaux</w:t>
      </w:r>
    </w:p>
    <w:p w14:paraId="22DCFF1C" w14:textId="4B6B23C5" w:rsidR="00E30B60" w:rsidRDefault="00C643C9" w:rsidP="00C643C9">
      <w:pPr>
        <w:pStyle w:val="BodyText"/>
        <w:spacing w:before="245" w:line="280" w:lineRule="auto"/>
        <w:ind w:left="4014" w:right="3603"/>
        <w:rPr>
          <w:b/>
        </w:rPr>
      </w:pPr>
      <w:r>
        <w:rPr>
          <w:b/>
        </w:rPr>
        <w:t xml:space="preserve">         </w:t>
      </w:r>
      <w:r w:rsidR="00CB547F">
        <w:rPr>
          <w:b/>
        </w:rPr>
        <w:t>Article 75a</w:t>
      </w:r>
      <w:r w:rsidR="00CB547F">
        <w:rPr>
          <w:b/>
        </w:rPr>
        <w:br/>
      </w:r>
      <w:r>
        <w:rPr>
          <w:b/>
        </w:rPr>
        <w:t xml:space="preserve">  </w:t>
      </w:r>
      <w:r w:rsidR="00CB547F">
        <w:rPr>
          <w:b/>
        </w:rPr>
        <w:t>Dispositions de base</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La présente section réglemente les exigences et les mesures visant à prévenir l’impact environnemental de certains produits plastiques à usage unique, en particulier sur le milieu aquatique, et sur</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la santé humaine, afin de réduire cet impact et de soutenir la transition vers une économie circulaire avec des modèles, des produits et des matériaux commerciaux innovants et durables.</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 xml:space="preserve">Les dispositions de la présente section s’appliquent aux produits plastiques à usage unique énumérés à l’annexe 7 bis, aux produits plastiques </w:t>
      </w:r>
      <w:proofErr w:type="spellStart"/>
      <w:r>
        <w:rPr>
          <w:sz w:val="20"/>
        </w:rPr>
        <w:t>oxo-dégradables</w:t>
      </w:r>
      <w:proofErr w:type="spellEnd"/>
      <w:r>
        <w:rPr>
          <w:sz w:val="20"/>
        </w:rPr>
        <w:t xml:space="preserve"> et aux engins de pêche contenant du plastique.</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Sauf disposition contraire de la présente section, les dispositions générales de la présente loi s’appliquent à tous les produits plastiques à usage unique et à tous les engins de pêche contenant du plastique mis sur le marché ou destinés à être distribués en République slovaque, ainsi qu’à la gestion des déchets qu’ils contiennent.</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Aux fins de la présente section, on entend par matière plastique un matériau constitué d’un polymère,</w:t>
      </w:r>
      <w:r>
        <w:rPr>
          <w:sz w:val="10"/>
        </w:rPr>
        <w:t>72(a)</w:t>
      </w:r>
      <w:r>
        <w:rPr>
          <w:sz w:val="20"/>
        </w:rPr>
        <w:t xml:space="preserve"> auquel des additifs ou d’autres substances peuvent avoir été ajoutés et qui peut fonctionner comme constituant principal des produits finis, à l’exception des polymères naturels qui n’ont pas été chimiquement modifiés.</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Produit plastique à usage unique veut dire qu’un produit fabriqué en tout ou en partie à partir de plastique et qui n’est pas conçu, fabriqué ou mis sur le marché pour réaliser, pendant sa durée de vie, des cycles ou des rotations multiples en étant retourné à un producteur pour le recharger ou réutilisé à la même fin pour laquelle il a été fabriqué.</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 xml:space="preserve">Le plastique </w:t>
      </w:r>
      <w:proofErr w:type="spellStart"/>
      <w:r>
        <w:rPr>
          <w:sz w:val="20"/>
        </w:rPr>
        <w:t>oxo-dégradable</w:t>
      </w:r>
      <w:proofErr w:type="spellEnd"/>
      <w:r>
        <w:rPr>
          <w:sz w:val="20"/>
        </w:rPr>
        <w:t xml:space="preserve"> est un matériau plastique qui contient des additifs qui, par oxydation, décomposent le matériau plastique en </w:t>
      </w:r>
      <w:proofErr w:type="spellStart"/>
      <w:r>
        <w:rPr>
          <w:sz w:val="20"/>
        </w:rPr>
        <w:t>micro-fragments</w:t>
      </w:r>
      <w:proofErr w:type="spellEnd"/>
      <w:r>
        <w:rPr>
          <w:sz w:val="20"/>
        </w:rPr>
        <w:t xml:space="preserve"> ou le décomposent chimiquement.</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Par engins de pêche, on entend tout article ou équipement utilisé dans la pêche ou l’aquaculture pour cibler, capturer ou élever des ressources biologiques marines ou flotter à la surface de la mer, et il est déployé dans le but d’attirer et de capturer ces ressources biologiques marines ou de les exploiter.</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Les engins de pêche usagés sont les engins de pêche qui sont devenus des déchets, y compris tous les composants, substances ou matières distincts qui faisaient partie de ces engins de pêche ou y étaient attachés lorsqu’ils ont été rejetés, y compris lorsqu’ils ont été abandonnés ou perdus.</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La mise sur le marché est la mise à disposition initiale sur le marché d’un produit en plastique à usage unique ou d’un engin de pêche contenant du plastique en République slovaque.</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Par mise à disposition sur le marché, on entend toute fourniture d’un produit plastique à usage unique ou d’un engin de pêche contenant du plastique destiné à la distribution, à la consommation ou à l’utilisation sur le marché de la République slovaque dans le cadre d’activités commerciales, moyennant paiement ou à titre gratuit.</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Une norme harmonisée est une norme Européenne adoptée sur la base des exigences de la Commission pour l’application d’une législation harmonisée au sein de l’UE.</w:t>
      </w:r>
      <w:r>
        <w:rPr>
          <w:sz w:val="10"/>
        </w:rPr>
        <w:t>96 bis</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Le fabricant d’un produit en plastique à usage unique ou d’un engin de pêche contenant du plastique est tout commerçant ou toute personne morale qui, quelles que soient les techniques de vente utilisées, y compris la vente par correspondance et par Internet, </w:t>
      </w:r>
      <w:r>
        <w:rPr>
          <w:sz w:val="10"/>
        </w:rPr>
        <w:t>96b</w:t>
      </w:r>
      <w:r>
        <w:rPr>
          <w:sz w:val="20"/>
        </w:rPr>
        <w:t xml:space="preserve">) à l’exception d’une entité exerçant des activités de pêche en vertu d’une législation spéciale,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possède son siège social ou son établissement en République slovaque et fabrique des produits plastiques à usage unique et des engins de pêche, ou dispose de produits plastiques à usage unique et d’engins de pêche fabriqués et les met sur le marché;</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possède son siège social ou son établissement en République slovaque et vend des produits plastiques à usage unique et des engins de pêche en République slovaque;</w:t>
      </w:r>
    </w:p>
    <w:p w14:paraId="4D4600DA" w14:textId="0EA4A8DD" w:rsidR="00E30B60" w:rsidRPr="00C643C9" w:rsidRDefault="00CB547F" w:rsidP="00C643C9">
      <w:pPr>
        <w:pStyle w:val="ListParagraph"/>
        <w:numPr>
          <w:ilvl w:val="0"/>
          <w:numId w:val="21"/>
        </w:numPr>
        <w:tabs>
          <w:tab w:val="left" w:pos="786"/>
        </w:tabs>
        <w:spacing w:before="100" w:line="276" w:lineRule="auto"/>
        <w:jc w:val="both"/>
        <w:rPr>
          <w:sz w:val="20"/>
        </w:rPr>
      </w:pPr>
      <w:r>
        <w:rPr>
          <w:sz w:val="20"/>
        </w:rPr>
        <w:lastRenderedPageBreak/>
        <w:t>possède son siège social ou son établissement en République slovaque, remplit des produits en plastique à usage unique ou fait remplir des produits en plastique à usage unique et les met sur le marché;</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 xml:space="preserve">possède son siège social ou son établissement en République slovaque et place des produits plastiques à usage unique et des engins de pêche en provenance d’un autre État membre ou d’un État </w:t>
      </w:r>
      <w:proofErr w:type="gramStart"/>
      <w:r>
        <w:rPr>
          <w:sz w:val="20"/>
        </w:rPr>
        <w:t>non membre</w:t>
      </w:r>
      <w:proofErr w:type="gramEnd"/>
      <w:r>
        <w:rPr>
          <w:sz w:val="20"/>
        </w:rPr>
        <w:t xml:space="preserve"> sur le marché de la République slovaque dans le cadre d’activités commerciales;</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vend des produits plastiques à usage unique et des engins de pêche en République slovaque au moyen d’une communication à distance directe aux ménages ou aux utilisateurs non domestiques et a son siège social ou son établissement dans un autre État membre ou dans un autre État tiers;</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possède son siège social ou son établissement en République slovaque et, dans le cadre de ses activités, vend directement à un utilisateur d’un autre État membre des produits plastiques à usage unique et des engins de pêche sur la base d’un contrat à distance.</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Plastique biodégradable signifie un plastique capable de subir une décomposition physique et biologique, de telle sorte qu’il se décompose en dioxyde de carbone (CO</w:t>
      </w:r>
      <w:r>
        <w:rPr>
          <w:vertAlign w:val="subscript"/>
        </w:rPr>
        <w:t>2</w:t>
      </w:r>
      <w:r>
        <w:rPr>
          <w:sz w:val="20"/>
        </w:rPr>
        <w:t>), en biomasse et en eau et qu’il soit, conformément aux normes européennes d’emballage, récupérable par compostage et digestion anaérobie.</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 xml:space="preserve">Les installations portuaires de réception sont des installations portuaires de réception en vertu d’une législation spéciale. </w:t>
      </w:r>
      <w:r>
        <w:rPr>
          <w:sz w:val="10"/>
        </w:rPr>
        <w:t>96 quinquies</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 xml:space="preserve">Les produits du tabac sont des produits du tabac définis conformément à une législation spéciale. </w:t>
      </w:r>
      <w:r>
        <w:rPr>
          <w:sz w:val="10"/>
        </w:rPr>
        <w:t>96 sexies</w:t>
      </w:r>
      <w:r>
        <w:rPr>
          <w:sz w:val="20"/>
        </w:rPr>
        <w:t>)</w:t>
      </w:r>
    </w:p>
    <w:p w14:paraId="60BFB0FA" w14:textId="77777777" w:rsidR="00E30B60" w:rsidRDefault="00E30B60">
      <w:pPr>
        <w:pStyle w:val="BodyText"/>
        <w:spacing w:before="6"/>
        <w:rPr>
          <w:sz w:val="27"/>
        </w:rPr>
      </w:pPr>
    </w:p>
    <w:p w14:paraId="34F54EF9" w14:textId="77777777" w:rsidR="00E30B60" w:rsidRDefault="00CB547F" w:rsidP="00C643C9">
      <w:pPr>
        <w:pStyle w:val="BodyText"/>
        <w:spacing w:line="281" w:lineRule="auto"/>
        <w:ind w:left="3119" w:right="3249" w:firstLine="765"/>
        <w:rPr>
          <w:b/>
        </w:rPr>
      </w:pPr>
      <w:r>
        <w:rPr>
          <w:b/>
        </w:rPr>
        <w:t>Article 75b</w:t>
      </w:r>
      <w:r>
        <w:rPr>
          <w:b/>
        </w:rPr>
        <w:br/>
        <w:t>Réduire la consommation</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Un fabricant de produits plastiques à usage unique qui fournit des produits plastiques à usage unique énumérés à l’annexe n° 7 bis de la partie A au consommateur final pour la consommation d’aliments et de boissons en un lieu autre que le lieu de vente est tenu de</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les fournir contre paiement; il en informe le consommateur final;</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 xml:space="preserve">offrir une alternative réutilisable au consommateur final; </w:t>
      </w:r>
      <w:proofErr w:type="gramStart"/>
      <w:r>
        <w:rPr>
          <w:sz w:val="20"/>
        </w:rPr>
        <w:t>ou</w:t>
      </w:r>
      <w:proofErr w:type="gramEnd"/>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offrir une alternative biodégradable.</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Les produits suivants ne peuvent être fournis aux consommateurs pour la consommation d’aliments et de boissons au point de vente:</w:t>
      </w:r>
    </w:p>
    <w:p w14:paraId="4734A695" w14:textId="77777777" w:rsidR="00E30B60" w:rsidRDefault="00CB547F">
      <w:pPr>
        <w:pStyle w:val="ListParagraph"/>
        <w:numPr>
          <w:ilvl w:val="0"/>
          <w:numId w:val="18"/>
        </w:numPr>
        <w:tabs>
          <w:tab w:val="left" w:pos="786"/>
        </w:tabs>
        <w:spacing w:before="100"/>
        <w:ind w:right="0"/>
        <w:rPr>
          <w:sz w:val="20"/>
        </w:rPr>
      </w:pPr>
      <w:r>
        <w:rPr>
          <w:sz w:val="20"/>
        </w:rPr>
        <w:t>les produits plastiques à usage unique dans les établissements stables de restauration publique et de restauration rapide;</w:t>
      </w:r>
    </w:p>
    <w:p w14:paraId="49E77A18" w14:textId="77777777" w:rsidR="00E30B60" w:rsidRDefault="00CB547F">
      <w:pPr>
        <w:pStyle w:val="ListParagraph"/>
        <w:numPr>
          <w:ilvl w:val="0"/>
          <w:numId w:val="18"/>
        </w:numPr>
        <w:tabs>
          <w:tab w:val="left" w:pos="786"/>
        </w:tabs>
        <w:spacing w:before="135"/>
        <w:ind w:right="0"/>
        <w:rPr>
          <w:sz w:val="20"/>
        </w:rPr>
      </w:pPr>
      <w:r>
        <w:rPr>
          <w:sz w:val="20"/>
        </w:rPr>
        <w:t>des plats plastiques à usage unique lors d’événements publics.</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Outre l’interdiction prévue au paragraphe 2, point b), l’organisateur d’une manifestation publique est tenu, dans le cas de la fourniture de produits biodégradables, d’assurer leur collecte séparée ultérieure.</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Le fabricant des produits plastiques à usage unique énumérés à l’annexe 7 bis, partie A doit tenir à jour des registres sur les différents produits mis sur le marché de la République slovaque, et communiquer les données au ministère dans la mesure spécifiée et conserver les données déclarées.</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Le fabricant d’un produit plastique à usage unique dont la liste figure à l’annexe 7 bis, partie A, doit établir un rapport sur les mesures prises pour réduire la consommation et notifier au ministère, au plus tard le 30 avril, les progrès accomplis dans la réduction de la consommation.</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lastRenderedPageBreak/>
        <w:t>Article 75c</w:t>
      </w:r>
    </w:p>
    <w:p w14:paraId="3AF504C1" w14:textId="33E3979A" w:rsidR="00E30B60" w:rsidRDefault="00CB547F" w:rsidP="00C643C9">
      <w:pPr>
        <w:pStyle w:val="BodyText"/>
        <w:spacing w:before="218" w:line="276" w:lineRule="auto"/>
        <w:ind w:left="502" w:right="110" w:firstLine="226"/>
      </w:pPr>
      <w:r>
        <w:t xml:space="preserve">Il est interdit de mettre sur le marché de la République slovaque les produits plastiques à usage unique énumérés à l’annexe 7a, Partie B, et les matières plastiques </w:t>
      </w:r>
      <w:proofErr w:type="spellStart"/>
      <w:r>
        <w:t>oxo-dégradables</w:t>
      </w:r>
      <w:proofErr w:type="spellEnd"/>
      <w:r>
        <w:t>.</w:t>
      </w: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Article 75d</w:t>
      </w:r>
    </w:p>
    <w:p w14:paraId="223D1A26" w14:textId="77777777" w:rsidR="00E30B60" w:rsidRDefault="00CB547F">
      <w:pPr>
        <w:pStyle w:val="BodyText"/>
        <w:spacing w:before="40"/>
        <w:ind w:left="1230" w:right="834"/>
        <w:jc w:val="center"/>
        <w:rPr>
          <w:b/>
        </w:rPr>
      </w:pPr>
      <w:r>
        <w:rPr>
          <w:b/>
        </w:rPr>
        <w:t>Exigences des produits en plastique à usage unique</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Le fabricant d’un produit en plastique à usage unique est tenu de mettre sur le marché des récipients pour boissons de la République slovaque énumérés à l’annexe 7 bis, partie C, à condition que les bouchons ou couvercles en plastique restent fixés aux récipients pour boissons pendant l’utilisation prévue du produit.</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Les récipients pour boissons énumérés à l’annexe 7 bis, partie C, fabriqués conformément à des normes harmonisées, dont la référence a été publiée au Journal officiel de l’Union européenne, sont considérés comme des récipients pour boissons conformément à l’exigence du paragraphe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Les capuchons ou couvercles métalliques munis de joints en plastique ne sont pas considérés comme étant en plastique.</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Le fabricant d’un produit plastique à usage unique figurant à l’annexe 7 bis, partie F, est tenu de mettre des bouteilles de boissons sur le marché de la République slovaque</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fabriqué à partir de polyéthylène téréphtalate (ci-après «bouteilles de boissons en PET») contenant au moins 25 % de plastique recyclé à partir de la quantité totale de bouteilles de PET qu’il met sur le marché en République slovaque;</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contenant au moins 30 % de plastique recyclé provenant de la quantité totale de bouteilles en plastique qu’elle met sur le marché en République slovaque.</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 xml:space="preserve">Le fabricant d’un produit plastique à usage unique doit soumettre un rapport sur la teneur en plastique recyclé conformément au paragraphe 4 au ministère au plus tard le 30 avril de l’année civile précédente. Cette obligation doit être remplie, dans le cas d’un fabricant d’emballages qui met des boissons sur le marché dans des emballages à usage unique remboursables, par une entité conformément à une législation spéciale. </w:t>
      </w:r>
      <w:r>
        <w:rPr>
          <w:sz w:val="10"/>
        </w:rPr>
        <w:t>96 septies</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Article 75e</w:t>
      </w:r>
    </w:p>
    <w:p w14:paraId="44678E85" w14:textId="77777777" w:rsidR="00E30B60" w:rsidRDefault="00CB547F">
      <w:pPr>
        <w:pStyle w:val="BodyText"/>
        <w:spacing w:before="39"/>
        <w:ind w:left="1230" w:right="834"/>
        <w:jc w:val="center"/>
        <w:rPr>
          <w:b/>
        </w:rPr>
      </w:pPr>
      <w:r>
        <w:rPr>
          <w:b/>
        </w:rPr>
        <w:t>Exigences d’étiquetage des produits</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Le fabricant d’un produit plastique à usage unique figurant à l’annexe 7 bis, partie D, est, avant de mettre le produit sur le marché de la République slovaque, tenu d’étiqueter ce produit avec des informations à l’intention des consommateurs sur</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les moyens les plus appropriés d’éliminer le produit ou les moyens d’éliminer les déchets, ce qu’il faut éviter dans le cas du produit donné, lorsqu’il devient un déchet conformément à la hiérarchie de la gestion des déchets;</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la présence de plastique dans le produit et ses effets négatifs sur l’environnement lorsque le produit devient un déchet.</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 xml:space="preserve">L’étiquetage visé au paragraphe 1 est apposé sur l’emballage du produit, sur les emballages unitaires du produit ou sur le produit lui-même </w:t>
      </w:r>
      <w:proofErr w:type="gramStart"/>
      <w:r>
        <w:rPr>
          <w:sz w:val="20"/>
        </w:rPr>
        <w:t>de manière à ce</w:t>
      </w:r>
      <w:proofErr w:type="gramEnd"/>
      <w:r>
        <w:rPr>
          <w:sz w:val="20"/>
        </w:rPr>
        <w:t xml:space="preserve"> qu’il soit visible, lisible et indélébile.</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 xml:space="preserve">Le fabricant d’un produit plastique à usage unique mentionné à l’annexe 7 bis, partie D est tenu d’assurer l’étiquetage de l’emballage selon le paragraphe 1 conformément aux spécifications prévues par la législation spéciale. </w:t>
      </w:r>
      <w:r>
        <w:rPr>
          <w:sz w:val="10"/>
        </w:rPr>
        <w:t>96 octies</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 xml:space="preserve">L’étiquetage des produits du tabac visés au paragraphe 1 s’ajoute à l’étiquetage prévu par la législation spéciale. </w:t>
      </w:r>
      <w:r>
        <w:rPr>
          <w:sz w:val="10"/>
        </w:rPr>
        <w:t>96 nonies</w:t>
      </w:r>
      <w:r>
        <w:rPr>
          <w:sz w:val="20"/>
        </w:rPr>
        <w:t>)</w:t>
      </w:r>
    </w:p>
    <w:p w14:paraId="37040F9F"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Article 75f</w:t>
      </w:r>
    </w:p>
    <w:p w14:paraId="29563519" w14:textId="77777777" w:rsidR="00E30B60" w:rsidRDefault="00CB547F">
      <w:pPr>
        <w:pStyle w:val="BodyText"/>
        <w:spacing w:before="40"/>
        <w:ind w:left="1230" w:right="834"/>
        <w:jc w:val="center"/>
        <w:rPr>
          <w:b/>
        </w:rPr>
      </w:pPr>
      <w:r>
        <w:rPr>
          <w:b/>
        </w:rPr>
        <w:t>Responsabilité élargie du fabricant d’un produit plastique spécial</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Outre les obligations prévues aux paragraphes 27 et 52, le fabricant d’un produit plastique à usage unique visé à l’annexe 7 bis, partie E, section I, supportera les coûts</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des mesures visant à mieux faire connaître ses produits mis sur le marché de la République slovaque;</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associés à la collecte, au transport, à la valorisation, au recyclage, au traitement et à l’élimination des déchets;</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associés au nettoyage des déchets de ces produits dans les zones où ils n’ont pas été jetés dans les systèmes locaux de collecte des déchets.</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Aux fins de l’obligation prévue au paragraphe 1, point b), le fabricant de produits du tabac peut établir une infrastructure spécifique pour la collecte des déchets provenant de ces produits.</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Le fabricant d’un produit plastique à usage unique figurant à l’annexe 7 bis, partie E, sections II et III est tenu de</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supporter les coûts des mesures de sensibilisation relatives à leurs produits mis sur le marché de la République slovaque;</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supporter les coûts liés au nettoyage des déchets de ces produits dans les zones où ils n’ont pas été jetés dans les systèmes locaux de collecte des déchets;</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tenir et maintenir à jour des registres des produits mis sur le marché de la République slovaque et communiquer les données qu’ils contiennent au ministère dans la mesure spécifiée et conserver les données déclarées.</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Le fabricant d’un produit plastique à usage unique figurant à l’annexe 7 bis, partie E, et d’engins de pêche contenant du plastique, qui a son siège statutaire ou son établissement en République slovaque et qui vend ces produits dans un autre État membre, désigne un mandataire dans cet État membre pour remplir ses obligations à l’égard de ces produits.</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Le fabricant d’engins de pêche contenant du plastique conserve et tient à jour des registres des engins de pêche mis sur le marché de la République slovaque, en communique les données au ministère et conserve les données déclarées.</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 xml:space="preserve">Un producteur d’engins de pêche contenant du plastique est tenu de couvrir les coûts liés à la collecte séparée, au transport, au recyclage, à la récupération ou à l’élimination des déchets d’engins de pêche contenant </w:t>
      </w:r>
      <w:proofErr w:type="gramStart"/>
      <w:r>
        <w:rPr>
          <w:sz w:val="20"/>
        </w:rPr>
        <w:t>du plastique débarqués</w:t>
      </w:r>
      <w:proofErr w:type="gramEnd"/>
      <w:r>
        <w:rPr>
          <w:sz w:val="20"/>
        </w:rPr>
        <w:t xml:space="preserve"> dans les installations de réception portuaires concernées ou dans d’autres systèmes de réception équivalents.</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Article 75 g</w:t>
      </w:r>
      <w:r>
        <w:rPr>
          <w:b/>
        </w:rPr>
        <w:br/>
        <w:t>Activités de sensibilisation</w:t>
      </w:r>
    </w:p>
    <w:p w14:paraId="20D90145" w14:textId="1BEFC6E3" w:rsidR="00E30B60" w:rsidRDefault="00CB547F">
      <w:pPr>
        <w:pStyle w:val="BodyText"/>
        <w:spacing w:before="193" w:line="276" w:lineRule="auto"/>
        <w:ind w:left="502" w:right="103" w:firstLine="226"/>
        <w:jc w:val="both"/>
      </w:pPr>
      <w:r>
        <w:t>Le fabricant d’un produit plastique à usage unique figurant à l’annexe 7a, Partie G, et d’engins de pêche contenant du plastique informe et motive les utilisateurs finals du produit plastique à usage unique à se comporter de manière responsable afin de réduire la pollution de l’environnement due aux déchets provenant de ces produits ;</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utiliser les solutions de remplacement réutilisables disponibles ;</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à la manière correcte d’éliminer les produits lorsqu’ils deviennent des déchets ;</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sur l’impact de l’élimination inappropriée des déchets de produits plastiques à usage unique et d’engins de pêche contenant du plastique sur l’environnement ;</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sur l’impact sur les eaux usées de l’élimination inappropriée de ces produits lorsqu’ils deviennent des déchets.</w:t>
      </w:r>
    </w:p>
    <w:p w14:paraId="5D2E916C" w14:textId="77777777" w:rsidR="00E30B60" w:rsidRDefault="00CB547F">
      <w:pPr>
        <w:pStyle w:val="BodyText"/>
        <w:spacing w:before="85"/>
        <w:ind w:left="729"/>
        <w:jc w:val="both"/>
      </w:pPr>
      <w:r>
        <w:t>Les notes de bas de page 96 bis à 96 nonies se lisent comme suit:</w:t>
      </w:r>
    </w:p>
    <w:p w14:paraId="5E8DB480" w14:textId="7317C8B4" w:rsidR="00E30B60" w:rsidRDefault="00CB547F">
      <w:pPr>
        <w:spacing w:before="104" w:line="244" w:lineRule="auto"/>
        <w:ind w:left="729" w:right="103"/>
        <w:jc w:val="both"/>
        <w:rPr>
          <w:sz w:val="18"/>
        </w:rPr>
      </w:pPr>
      <w:r>
        <w:rPr>
          <w:sz w:val="18"/>
        </w:rPr>
        <w:t>«</w:t>
      </w:r>
      <w:r>
        <w:rPr>
          <w:sz w:val="10"/>
        </w:rPr>
        <w:t>96 bis</w:t>
      </w:r>
      <w:r>
        <w:rPr>
          <w:sz w:val="18"/>
        </w:rPr>
        <w:t>) article 2(1)(c) du règlement (UE) n° 1025/2012 du Parlement européen et du Conseil du 25 octobre 2012 sur la normalisation européenne, modifiant les Directives 89/686/CEE et 93/15/CEE du Conseil et les Directives 94/9/CE, 94/25/CE, 95/16/CE, 97/23/CE, 98/34/CE, 2004/22/CE, 2007/23/CE, 2009/23/CE et 2009/105/CE, en tant que décision du Conseil et du Parlement européen et du Conseil et abrogeant la décision du Conseil n° 87/95/CEE et la décision n° 1673/2006/CE du Parlement Européen et du Conseil, telle que modifiée.</w:t>
      </w:r>
    </w:p>
    <w:p w14:paraId="7D526B49" w14:textId="77777777" w:rsidR="00E30B60" w:rsidRDefault="00CB547F">
      <w:pPr>
        <w:spacing w:before="103" w:line="244" w:lineRule="auto"/>
        <w:ind w:left="729" w:right="103"/>
        <w:jc w:val="both"/>
        <w:rPr>
          <w:sz w:val="18"/>
        </w:rPr>
      </w:pPr>
      <w:r>
        <w:rPr>
          <w:sz w:val="10"/>
        </w:rPr>
        <w:t>96 ter</w:t>
      </w:r>
      <w:r>
        <w:rPr>
          <w:sz w:val="18"/>
        </w:rPr>
        <w:t>) Loi n° 102/2014 sur la protection des consommateurs dans la vente de biens ou la prestation de services sur la base d’un contrat à distance ou d’un contrat hors établissement du vendeur et modifiant certains actes, telle que modifiée.</w:t>
      </w:r>
    </w:p>
    <w:p w14:paraId="5DEAD916" w14:textId="69DCB80D" w:rsidR="00E30B60" w:rsidRDefault="00CB547F">
      <w:pPr>
        <w:spacing w:before="102" w:line="244" w:lineRule="auto"/>
        <w:ind w:left="729" w:right="103"/>
        <w:jc w:val="both"/>
        <w:rPr>
          <w:sz w:val="18"/>
        </w:rPr>
      </w:pPr>
      <w:r>
        <w:rPr>
          <w:sz w:val="10"/>
        </w:rPr>
        <w:t>96 quater</w:t>
      </w:r>
      <w:r>
        <w:rPr>
          <w:sz w:val="18"/>
        </w:rPr>
        <w:t>)</w:t>
      </w:r>
      <w:r>
        <w:t xml:space="preserve"> Article 4(1)(28) du règlement (UE) n° 1380/2013 du Parlement européen et du Conseil du 11 décembre 2013 relatif à la Politique commune de la pêche, modifiant les règlements (CE) n° 1954/2003 et (CE) n° 1224/2009 du Conseil et abrogeant les règlements (CE) n° 2371/2002 et (CE) n° 639/2004 du Conseil et la décision 2004/585/CE du Conseil (JO L 354 du 28/12/2013) tel que modifié.</w:t>
      </w:r>
    </w:p>
    <w:p w14:paraId="15970DB7" w14:textId="77777777" w:rsidR="00E30B60" w:rsidRDefault="00CB547F">
      <w:pPr>
        <w:spacing w:before="102"/>
        <w:ind w:left="729"/>
        <w:jc w:val="both"/>
        <w:rPr>
          <w:sz w:val="18"/>
        </w:rPr>
      </w:pPr>
      <w:r>
        <w:rPr>
          <w:sz w:val="10"/>
        </w:rPr>
        <w:t>96 quinquies</w:t>
      </w:r>
      <w:r>
        <w:rPr>
          <w:sz w:val="18"/>
        </w:rPr>
        <w:t>) Loi sur la marine marchande n° 435/2000, telle que modifiée.</w:t>
      </w:r>
    </w:p>
    <w:p w14:paraId="5EF5EE76" w14:textId="58A6960E" w:rsidR="00E30B60" w:rsidRDefault="00CB547F">
      <w:pPr>
        <w:spacing w:before="105" w:line="244" w:lineRule="auto"/>
        <w:ind w:left="729" w:right="103"/>
        <w:jc w:val="both"/>
        <w:rPr>
          <w:sz w:val="18"/>
        </w:rPr>
      </w:pPr>
      <w:r>
        <w:rPr>
          <w:sz w:val="10"/>
        </w:rPr>
        <w:t>96 sexies</w:t>
      </w:r>
      <w:r>
        <w:rPr>
          <w:sz w:val="18"/>
        </w:rPr>
        <w:t xml:space="preserve">) </w:t>
      </w:r>
      <w:r>
        <w:t>Article 2(3) de la loi n° 89/2016 relative à la production, à l’étiquetage et à la vente des produits du tabac et des produits connexes et modifiant certaines lois, tel que modifié par la loi n° 92/2019</w:t>
      </w:r>
    </w:p>
    <w:p w14:paraId="1BC9FB90" w14:textId="28B52A0A" w:rsidR="00E30B60" w:rsidRDefault="00CB547F">
      <w:pPr>
        <w:spacing w:before="101" w:line="244" w:lineRule="auto"/>
        <w:ind w:left="729" w:right="103"/>
        <w:jc w:val="both"/>
        <w:rPr>
          <w:sz w:val="18"/>
        </w:rPr>
      </w:pPr>
      <w:r>
        <w:rPr>
          <w:sz w:val="10"/>
        </w:rPr>
        <w:t>96 septies</w:t>
      </w:r>
      <w:r>
        <w:rPr>
          <w:sz w:val="18"/>
        </w:rPr>
        <w:t>)</w:t>
      </w:r>
      <w:r>
        <w:t xml:space="preserve"> Article 7(1)(v) de la Loi n° 302/2019 relative à un système de déclaration des dépôts pour les contenants de boissons jetables et à la modification de certaines lois, tel que modifié.</w:t>
      </w:r>
    </w:p>
    <w:p w14:paraId="2EC47CDC" w14:textId="1A1C418A" w:rsidR="00E30B60" w:rsidRDefault="00CB547F">
      <w:pPr>
        <w:spacing w:before="101" w:line="244" w:lineRule="auto"/>
        <w:ind w:left="729" w:right="103"/>
        <w:jc w:val="both"/>
        <w:rPr>
          <w:sz w:val="18"/>
        </w:rPr>
      </w:pPr>
      <w:r>
        <w:rPr>
          <w:sz w:val="10"/>
        </w:rPr>
        <w:t>96 octies</w:t>
      </w:r>
      <w:r>
        <w:rPr>
          <w:sz w:val="18"/>
        </w:rPr>
        <w:t>)</w:t>
      </w:r>
      <w:r>
        <w:t xml:space="preserve"> Règlement d’exécution (UE) 2020/2151 de la Commission du 17 décembre 2020 établissant les règles relatives à l’harmonisation des spécifications de marquage pour les produits en plastique à usage unique énumérés dans la partie D de l’annexe de la directive (UE) 2019/904 du Parlement européen et du Conseil relative à la réduction des effets de certains produits en plastique sur l’environnement (JO L 428 du 18/12/2020).</w:t>
      </w:r>
    </w:p>
    <w:p w14:paraId="42F6CA94" w14:textId="77777777" w:rsidR="00E30B60" w:rsidRDefault="00CB547F">
      <w:pPr>
        <w:spacing w:before="102"/>
        <w:ind w:left="729"/>
        <w:jc w:val="both"/>
        <w:rPr>
          <w:sz w:val="18"/>
        </w:rPr>
      </w:pPr>
      <w:r>
        <w:rPr>
          <w:sz w:val="10"/>
        </w:rPr>
        <w:t>96 nonies</w:t>
      </w:r>
      <w:r>
        <w:rPr>
          <w:sz w:val="18"/>
        </w:rPr>
        <w:t>)</w:t>
      </w:r>
      <w:r>
        <w:t xml:space="preserve"> Loi n° 89/2016, telle que modifiée par la loi n°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À l’article 105, paragraphe 3, le point ad) suivant est ajouté:</w:t>
      </w:r>
    </w:p>
    <w:p w14:paraId="2874BDF9" w14:textId="77777777" w:rsidR="00E30B60" w:rsidRDefault="00CB547F">
      <w:pPr>
        <w:pStyle w:val="BodyText"/>
        <w:spacing w:before="106"/>
        <w:ind w:left="502"/>
        <w:jc w:val="both"/>
      </w:pPr>
      <w:r>
        <w:t>« ad) Les spécifications d’étiquetage visées à l’article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Au paragraphe 106, point (h), le texte «articles 53 bis, 73 bis » est remplacé par «article 75 ter, article 75 quater, article 75 quinquies , article 75 sexies».</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À l’article 110, paragraphe 1, point a), le texte «article 53 bis» est supprimé, et le texte «articles 73 bis et 135 octies».</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À l’article 111, paragraphe 6, les termes «articles 53 bis et 73 bis» sont remplacés par «article 75 quater».</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À l’article 117, paragraphe 1, après le texte «53, paragraphes 7, 8; article 54, paragraphe 1, point f), point 5);» le texte «l’article 53 octovicies;» est inséré.</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L’article 117, paragraphe 6, se lit comme suit:</w:t>
      </w:r>
    </w:p>
    <w:p w14:paraId="2F50D7B0" w14:textId="77777777" w:rsidR="00E30B60" w:rsidRDefault="00CB547F">
      <w:pPr>
        <w:pStyle w:val="BodyText"/>
        <w:spacing w:before="220" w:line="276" w:lineRule="auto"/>
        <w:ind w:left="502" w:right="103" w:firstLine="226"/>
        <w:jc w:val="both"/>
      </w:pPr>
      <w:r>
        <w:t>« (6) « Une amende comprise entre 4 000 et 350 000 EUR est infligée par l’autorité compétente de l’administration publique chargée de la gestion des déchets à une personne morale ou à un opérateur unique qui viole l’obligation prévue aux articles 13; 16(5), (10); 19(1)(f); 21(2); 21(3)(f); (g); 25(1),(7);</w:t>
      </w:r>
    </w:p>
    <w:p w14:paraId="4B6F5513" w14:textId="77777777" w:rsidR="00E30B60" w:rsidRPr="00D0358C" w:rsidRDefault="00CB547F">
      <w:pPr>
        <w:pStyle w:val="BodyText"/>
        <w:ind w:left="502"/>
      </w:pPr>
      <w:r>
        <w:t>Article 27(25); article 28(9)(e); article 31 bis(2), (6), (8); article 33; article 43; article 53(3); article 62(6);</w:t>
      </w:r>
    </w:p>
    <w:p w14:paraId="091FA774" w14:textId="77777777" w:rsidR="00E30B60" w:rsidRPr="00D0358C" w:rsidRDefault="00CB547F">
      <w:pPr>
        <w:pStyle w:val="BodyText"/>
        <w:spacing w:before="35"/>
        <w:ind w:left="502"/>
      </w:pPr>
      <w:r>
        <w:t>Article 75 ter; article 75 quater; article 75 quinquies; article 75 sexies; article 75 septies; article 75 octies; article 76(4); article 79(16), (24); article 84(3), (5);</w:t>
      </w:r>
    </w:p>
    <w:p w14:paraId="1E67AFAF" w14:textId="77777777" w:rsidR="00E30B60" w:rsidRPr="00D0358C" w:rsidRDefault="00CB547F">
      <w:pPr>
        <w:pStyle w:val="BodyText"/>
        <w:spacing w:before="35"/>
        <w:ind w:left="502"/>
      </w:pPr>
      <w:r>
        <w:t>135e(1), (2), (3), (4) ; 135g. ».</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À l’article 135 octies, le texte «Partie B» est inséré après «7 bis».</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lastRenderedPageBreak/>
        <w:t>L’annexe 7 bis, y compris le titre, se lit comme suit:</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 Annexe 7a</w:t>
      </w:r>
      <w:r>
        <w:rPr>
          <w:b/>
        </w:rPr>
        <w:br/>
        <w:t>de la loi n° 79/2015</w:t>
      </w:r>
    </w:p>
    <w:p w14:paraId="53FA3E6C" w14:textId="77777777" w:rsidR="00E30B60" w:rsidRDefault="00CB547F">
      <w:pPr>
        <w:pStyle w:val="BodyText"/>
        <w:spacing w:before="201"/>
        <w:ind w:left="1230" w:right="834"/>
        <w:jc w:val="center"/>
        <w:rPr>
          <w:b/>
        </w:rPr>
      </w:pPr>
      <w:r>
        <w:rPr>
          <w:b/>
        </w:rPr>
        <w:t>PARTIE A</w:t>
      </w:r>
    </w:p>
    <w:p w14:paraId="423994C5" w14:textId="77777777" w:rsidR="00E30B60" w:rsidRDefault="00CB547F">
      <w:pPr>
        <w:pStyle w:val="BodyText"/>
        <w:spacing w:before="231"/>
        <w:ind w:left="729"/>
        <w:rPr>
          <w:b/>
        </w:rPr>
      </w:pPr>
      <w:r>
        <w:rPr>
          <w:b/>
        </w:rPr>
        <w:t>Produits plastiques à usage unique dont la consommation doit être réduite</w:t>
      </w:r>
    </w:p>
    <w:p w14:paraId="360D13BF" w14:textId="77777777" w:rsidR="00E30B60" w:rsidRDefault="00CB547F">
      <w:pPr>
        <w:pStyle w:val="ListParagraph"/>
        <w:numPr>
          <w:ilvl w:val="0"/>
          <w:numId w:val="9"/>
        </w:numPr>
        <w:tabs>
          <w:tab w:val="left" w:pos="786"/>
        </w:tabs>
        <w:spacing w:before="128"/>
        <w:ind w:right="0"/>
        <w:rPr>
          <w:sz w:val="20"/>
        </w:rPr>
      </w:pPr>
      <w:r>
        <w:rPr>
          <w:sz w:val="20"/>
        </w:rPr>
        <w:t>Les gobelets de boissons, y compris leurs capuchons et couvercles;</w:t>
      </w:r>
    </w:p>
    <w:p w14:paraId="0582B242" w14:textId="52DFA387" w:rsidR="00E30B60" w:rsidRPr="00C643C9" w:rsidRDefault="00CB547F" w:rsidP="00C643C9">
      <w:pPr>
        <w:pStyle w:val="ListParagraph"/>
        <w:numPr>
          <w:ilvl w:val="0"/>
          <w:numId w:val="9"/>
        </w:numPr>
        <w:tabs>
          <w:tab w:val="left" w:pos="786"/>
        </w:tabs>
        <w:spacing w:before="105" w:line="244" w:lineRule="auto"/>
        <w:rPr>
          <w:sz w:val="20"/>
        </w:rPr>
      </w:pPr>
      <w:r>
        <w:rPr>
          <w:sz w:val="20"/>
        </w:rPr>
        <w:t>contenants alimentaires, c.-à-d. des boîtes, avec ou sans couvercles, pour les denrées alimentaires qui sont</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destinées à la consommation immédiate soit au point de vente, soit à un point autre que le point de vente;</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généralement consommées à partir de ce réservoir; et</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sont prêtes à être consommées sans autre préparation, comme la cuisson, l’ébullition ou le chauffage;</w:t>
      </w:r>
    </w:p>
    <w:p w14:paraId="6B251702" w14:textId="77777777" w:rsidR="00E30B60" w:rsidRDefault="00CB547F">
      <w:pPr>
        <w:pStyle w:val="BodyText"/>
        <w:spacing w:before="216" w:line="276" w:lineRule="auto"/>
        <w:ind w:left="785" w:right="103" w:firstLine="226"/>
        <w:jc w:val="both"/>
      </w:pPr>
      <w:r>
        <w:t>y compris les récipients alimentaires utilisés pour la restauration rapide ou d’autres plats prêts à être consommés immédiatement, à l’exception des récipients pour boissons, des assiettes et paquets et des emballages contenant des denrées alimentaires.</w:t>
      </w:r>
    </w:p>
    <w:p w14:paraId="08F0A563" w14:textId="77777777" w:rsidR="00E30B60" w:rsidRDefault="00CB547F">
      <w:pPr>
        <w:pStyle w:val="BodyText"/>
        <w:spacing w:before="187"/>
        <w:ind w:left="1230" w:right="834"/>
        <w:jc w:val="center"/>
        <w:rPr>
          <w:b/>
        </w:rPr>
      </w:pPr>
      <w:r>
        <w:rPr>
          <w:b/>
        </w:rPr>
        <w:t>PARTIE B</w:t>
      </w:r>
    </w:p>
    <w:p w14:paraId="13056B9C" w14:textId="77777777" w:rsidR="00E30B60" w:rsidRDefault="00CB547F">
      <w:pPr>
        <w:pStyle w:val="BodyText"/>
        <w:spacing w:before="231"/>
        <w:ind w:left="729"/>
        <w:rPr>
          <w:b/>
        </w:rPr>
      </w:pPr>
      <w:r>
        <w:rPr>
          <w:b/>
        </w:rPr>
        <w:t>Il est interdit de mettre ces produits plastiques à usage unique sur le marché de la République slovaque</w:t>
      </w:r>
    </w:p>
    <w:p w14:paraId="51FDEC54" w14:textId="77777777" w:rsidR="00E30B60" w:rsidRDefault="00CB547F">
      <w:pPr>
        <w:pStyle w:val="ListParagraph"/>
        <w:numPr>
          <w:ilvl w:val="0"/>
          <w:numId w:val="8"/>
        </w:numPr>
        <w:tabs>
          <w:tab w:val="left" w:pos="786"/>
        </w:tabs>
        <w:spacing w:before="128"/>
        <w:ind w:right="0"/>
        <w:rPr>
          <w:sz w:val="20"/>
        </w:rPr>
      </w:pPr>
      <w:r>
        <w:rPr>
          <w:sz w:val="20"/>
        </w:rPr>
        <w:t>écouvillons en coton non couverts par une législation spéciale;</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couverts (fourchettes, couteaux, cuillères, baguettes);</w:t>
      </w:r>
    </w:p>
    <w:p w14:paraId="270DDFA9" w14:textId="77777777" w:rsidR="00E30B60" w:rsidRDefault="00CB547F">
      <w:pPr>
        <w:pStyle w:val="ListParagraph"/>
        <w:numPr>
          <w:ilvl w:val="0"/>
          <w:numId w:val="8"/>
        </w:numPr>
        <w:tabs>
          <w:tab w:val="left" w:pos="786"/>
        </w:tabs>
        <w:spacing w:before="105"/>
        <w:ind w:right="0"/>
        <w:rPr>
          <w:sz w:val="20"/>
        </w:rPr>
      </w:pPr>
      <w:r>
        <w:rPr>
          <w:sz w:val="20"/>
        </w:rPr>
        <w:t>plats;</w:t>
      </w:r>
    </w:p>
    <w:p w14:paraId="5A4A28E4" w14:textId="77777777" w:rsidR="00E30B60" w:rsidRDefault="00CB547F">
      <w:pPr>
        <w:pStyle w:val="ListParagraph"/>
        <w:numPr>
          <w:ilvl w:val="0"/>
          <w:numId w:val="8"/>
        </w:numPr>
        <w:tabs>
          <w:tab w:val="left" w:pos="786"/>
        </w:tabs>
        <w:spacing w:before="105"/>
        <w:ind w:right="0"/>
        <w:rPr>
          <w:sz w:val="20"/>
        </w:rPr>
      </w:pPr>
      <w:r>
        <w:t>pailles non couvertes par une législation spéciale;</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agitateurs pour boissons;</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tiges pour fixer et soutenir les ballons, à l’exception des ballons à usage industriel ou autres utilisations professionnelles et applications qui ne sont pas distribuées aux consommateurs, y compris les mécanismes de ces tiges;</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contenants alimentaires en polystyrène expansé, c’est-à-dire contenants tels que des boîtes, avec ou sans couvercles, pour les denrées alimentaires qui sont utilisées pour les denrées alimentaires</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destinées à la consommation immédiate soit au point de vente, soit à un point autre que le point de vente;</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généralement consommées à partir de ce réservoir; et</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sont prêtes à être consommées sans autre préparation, comme la cuisson, l’ébullition ou le chauffage;</w:t>
      </w:r>
    </w:p>
    <w:p w14:paraId="2B86D403" w14:textId="77777777" w:rsidR="00E30B60" w:rsidRDefault="00CB547F">
      <w:pPr>
        <w:pStyle w:val="BodyText"/>
        <w:spacing w:before="216" w:line="276" w:lineRule="auto"/>
        <w:ind w:left="785" w:right="103" w:firstLine="226"/>
        <w:jc w:val="both"/>
      </w:pPr>
      <w:r>
        <w:t>y compris les récipients alimentaires utilisés pour la restauration rapide ou d’autres plats prêts à être consommés immédiatement, à l’exception des récipients pour boissons, des assiettes et paquets et des emballages contenant des denrées alimentaires ;</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contenants pour boissons en polystyrène expansé, y compris bouchons et couvercles;</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tasses pour boissons en polystyrène expansé, y compris capuchons et couvercles.</w:t>
      </w:r>
    </w:p>
    <w:p w14:paraId="5A3D23E4" w14:textId="77777777" w:rsidR="00E30B60" w:rsidRDefault="00CB547F">
      <w:pPr>
        <w:pStyle w:val="BodyText"/>
        <w:spacing w:before="208"/>
        <w:ind w:left="1230" w:right="834"/>
        <w:jc w:val="center"/>
        <w:rPr>
          <w:b/>
        </w:rPr>
      </w:pPr>
      <w:r>
        <w:rPr>
          <w:b/>
        </w:rPr>
        <w:t>PARTIE C</w:t>
      </w:r>
    </w:p>
    <w:p w14:paraId="7696BE96" w14:textId="77777777" w:rsidR="00E30B60" w:rsidRDefault="00CB547F">
      <w:pPr>
        <w:pStyle w:val="BodyText"/>
        <w:spacing w:before="231" w:line="297" w:lineRule="auto"/>
        <w:ind w:left="502" w:right="103" w:firstLine="226"/>
        <w:jc w:val="both"/>
        <w:rPr>
          <w:b/>
        </w:rPr>
      </w:pPr>
      <w:r>
        <w:rPr>
          <w:b/>
        </w:rPr>
        <w:t>Produits plastiques à usage unique pouvant être mis sur le marché conformément à l'article 75d (1) de la Loi</w:t>
      </w:r>
    </w:p>
    <w:p w14:paraId="101A7BC1" w14:textId="77777777" w:rsidR="00E30B60" w:rsidRDefault="00CB547F">
      <w:pPr>
        <w:pStyle w:val="BodyText"/>
        <w:spacing w:before="185" w:line="276" w:lineRule="auto"/>
        <w:ind w:left="502" w:right="103" w:firstLine="226"/>
        <w:jc w:val="both"/>
      </w:pPr>
      <w:r>
        <w:t>Contenants pour boissons n’excédant pas trois litres, c.-à-d. contenants pour liquides tels que les bouteilles de boissons, y compris les bouchons et couvercles, et contenants pour boissons composés, y compris les bouchons et couvercles, mais à l’exclusion de</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lastRenderedPageBreak/>
        <w:t>récipients en verre ou en métal pour boissons avec bouchons et couvercles en plastique;</w:t>
      </w:r>
    </w:p>
    <w:p w14:paraId="1C5095B9" w14:textId="49A4EC81" w:rsidR="00E30B60" w:rsidRDefault="00CB547F">
      <w:pPr>
        <w:pStyle w:val="ListParagraph"/>
        <w:numPr>
          <w:ilvl w:val="0"/>
          <w:numId w:val="7"/>
        </w:numPr>
        <w:tabs>
          <w:tab w:val="left" w:pos="786"/>
        </w:tabs>
        <w:spacing w:before="106" w:line="244" w:lineRule="auto"/>
        <w:jc w:val="both"/>
        <w:rPr>
          <w:sz w:val="20"/>
        </w:rPr>
      </w:pPr>
      <w:r>
        <w:t>contenants de boissons destinés et utilisés pour les aliments à des fins médicales spécifiques sous forme liquide, sous réserve d’une législation spéciale.</w:t>
      </w:r>
      <w:r>
        <w:rPr>
          <w:sz w:val="10"/>
        </w:rPr>
        <w:t>163</w:t>
      </w:r>
      <w:r>
        <w:rPr>
          <w:sz w:val="20"/>
        </w:rPr>
        <w:t>)</w:t>
      </w:r>
    </w:p>
    <w:p w14:paraId="5A8C8B95" w14:textId="77777777" w:rsidR="00E30B60" w:rsidRDefault="00CB547F">
      <w:pPr>
        <w:pStyle w:val="BodyText"/>
        <w:spacing w:before="203"/>
        <w:ind w:left="1230" w:right="834"/>
        <w:jc w:val="center"/>
        <w:rPr>
          <w:b/>
        </w:rPr>
      </w:pPr>
      <w:r>
        <w:rPr>
          <w:b/>
        </w:rPr>
        <w:t>PARTIE D</w:t>
      </w:r>
    </w:p>
    <w:p w14:paraId="43A76956" w14:textId="288C4191" w:rsidR="00E30B60" w:rsidRDefault="00CB547F" w:rsidP="00D0358C">
      <w:pPr>
        <w:pStyle w:val="BodyText"/>
        <w:spacing w:before="231"/>
        <w:ind w:left="729"/>
        <w:rPr>
          <w:b/>
        </w:rPr>
      </w:pPr>
      <w:r>
        <w:rPr>
          <w:b/>
        </w:rPr>
        <w:t>Produits plastiques à usage unique qui doivent être conformes à l’obligation d’étiquetage prévue à l’article 75 sexies de la loi</w:t>
      </w: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Serviettes hygiéniques, tampons et applicateurs de tampons;</w:t>
      </w:r>
    </w:p>
    <w:p w14:paraId="50510A03" w14:textId="77777777" w:rsidR="00E30B60" w:rsidRDefault="00CB547F">
      <w:pPr>
        <w:pStyle w:val="ListParagraph"/>
        <w:numPr>
          <w:ilvl w:val="0"/>
          <w:numId w:val="6"/>
        </w:numPr>
        <w:tabs>
          <w:tab w:val="left" w:pos="786"/>
        </w:tabs>
        <w:spacing w:before="106"/>
        <w:ind w:right="0"/>
        <w:rPr>
          <w:sz w:val="20"/>
        </w:rPr>
      </w:pPr>
      <w:r>
        <w:rPr>
          <w:sz w:val="20"/>
        </w:rPr>
        <w:t>Lingettes mouillées, c’est-à-dire les lingettes d’hygiène personnelle pré-humidifiées, et lingettes domestiques ;</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}les produits du tabac contenant des filtres et des filtres vendus en combinaison avec des produits du tabac;</w:t>
      </w:r>
    </w:p>
    <w:p w14:paraId="40A96525" w14:textId="77777777" w:rsidR="00E30B60" w:rsidRDefault="00CB547F">
      <w:pPr>
        <w:pStyle w:val="ListParagraph"/>
        <w:numPr>
          <w:ilvl w:val="0"/>
          <w:numId w:val="6"/>
        </w:numPr>
        <w:tabs>
          <w:tab w:val="left" w:pos="786"/>
        </w:tabs>
        <w:spacing w:before="101"/>
        <w:ind w:right="0"/>
        <w:rPr>
          <w:sz w:val="20"/>
        </w:rPr>
      </w:pPr>
      <w:r>
        <w:rPr>
          <w:sz w:val="20"/>
        </w:rPr>
        <w:t>tasses à boissons.</w:t>
      </w:r>
    </w:p>
    <w:p w14:paraId="3D9A0DD0" w14:textId="77777777" w:rsidR="00E30B60" w:rsidRDefault="00CB547F">
      <w:pPr>
        <w:pStyle w:val="BodyText"/>
        <w:spacing w:before="208"/>
        <w:ind w:left="1230" w:right="834"/>
        <w:jc w:val="center"/>
        <w:rPr>
          <w:b/>
        </w:rPr>
      </w:pPr>
      <w:r>
        <w:rPr>
          <w:b/>
        </w:rPr>
        <w:t>PARTIE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Produits plastiques à usage unique visés aux paragraphes 1 et 4 de l’article 75 septies de la loi</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Contenants alimentaires, c.-à-d. des boîtes, avec ou sans couvercles, pour les denrées alimentaires qui sont</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destinées à la consommation immédiate soit au point de vente, soit à un point autre que le point de vente;</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généralement consommées à partir de ce réservoir; et</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sont prêtes à être consommées sans autre préparation, comme la cuisson, l’ébullition ou le chauffage;</w:t>
      </w:r>
    </w:p>
    <w:p w14:paraId="0138E3D4" w14:textId="77777777" w:rsidR="00E30B60" w:rsidRDefault="00CB547F">
      <w:pPr>
        <w:pStyle w:val="BodyText"/>
        <w:spacing w:before="200" w:line="276" w:lineRule="auto"/>
        <w:ind w:left="785" w:right="103" w:firstLine="226"/>
        <w:jc w:val="both"/>
      </w:pPr>
      <w:r>
        <w:t>y compris les récipients alimentaires utilisés pour la restauration rapide ou d’autres plats prêts à être consommés immédiatement, à l’exception des récipients pour boissons, des assiettes et paquets et des emballages contenant des denrées alimentaires ;</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paquets et emballages fabriqués à partir d’un matériau souple contenant des aliments destinés à être consommés immédiatement à partir du paquet ou de l’emballage sans autre préparation;</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récipients pour boissons d'un volume maximal de trois litres, c’est-à-dire les récipients utilisés pour contenir des liquides tels que les bouteilles de boissons, y compris leurs capuchons et couvercles, et les emballages composites pour boissons, y compris leurs capuchons et couvercles, à l’exclusion des récipients pour boissons en verre ou en métal qui ont des capuchons et couvercles en plastique;</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les tasses à boissons, y compris leurs capuchons et couvercles;</w:t>
      </w:r>
    </w:p>
    <w:p w14:paraId="4ACD28C2" w14:textId="77777777" w:rsidR="00E30B60" w:rsidRDefault="00CB547F">
      <w:pPr>
        <w:pStyle w:val="ListParagraph"/>
        <w:numPr>
          <w:ilvl w:val="0"/>
          <w:numId w:val="5"/>
        </w:numPr>
        <w:tabs>
          <w:tab w:val="left" w:pos="786"/>
        </w:tabs>
        <w:spacing w:before="135"/>
        <w:ind w:right="0"/>
        <w:jc w:val="both"/>
        <w:rPr>
          <w:sz w:val="20"/>
        </w:rPr>
      </w:pPr>
      <w:r>
        <w:t>sacs en plastique légers.</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Produits plastiques à usage unique visés aux articles 75 septies (1), (3) et (4) de la loi</w:t>
      </w:r>
    </w:p>
    <w:p w14:paraId="4BA744C0" w14:textId="77777777" w:rsidR="00E30B60" w:rsidRDefault="00CB547F">
      <w:pPr>
        <w:pStyle w:val="ListParagraph"/>
        <w:numPr>
          <w:ilvl w:val="0"/>
          <w:numId w:val="4"/>
        </w:numPr>
        <w:tabs>
          <w:tab w:val="left" w:pos="786"/>
        </w:tabs>
        <w:spacing w:before="143"/>
        <w:ind w:right="0"/>
        <w:rPr>
          <w:sz w:val="20"/>
        </w:rPr>
      </w:pPr>
      <w:r>
        <w:rPr>
          <w:sz w:val="20"/>
        </w:rPr>
        <w:t>Lingettes humides, c’est-à-dire lingettes d’hygiène personnelle pré-humidifiées, et lingettes domestiques;</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 xml:space="preserve">les ballons, à l'exception des ballons qui ne sont pas distribués aux consommateurs et qui sont destinés à un usage et à </w:t>
      </w:r>
      <w:proofErr w:type="gramStart"/>
      <w:r>
        <w:rPr>
          <w:sz w:val="20"/>
        </w:rPr>
        <w:t>une consommation industriels</w:t>
      </w:r>
      <w:proofErr w:type="gramEnd"/>
      <w:r>
        <w:rPr>
          <w:sz w:val="20"/>
        </w:rPr>
        <w:t xml:space="preserve"> ou autres applications professionnelles.</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Autres produits plastiques à usage unique visés aux paragraphes 1 à 4 de l’article 75 septies de la loi</w:t>
      </w:r>
    </w:p>
    <w:p w14:paraId="475248E0" w14:textId="68914F2D" w:rsidR="00E30B60" w:rsidRDefault="00CB547F">
      <w:pPr>
        <w:pStyle w:val="BodyText"/>
        <w:spacing w:before="43" w:line="276" w:lineRule="auto"/>
        <w:ind w:left="502" w:firstLine="226"/>
      </w:pPr>
      <w:r>
        <w:t>Produits du tabac contenant des filtres et des filtres vendus en combinaison avec des produits du tabac.</w:t>
      </w:r>
    </w:p>
    <w:p w14:paraId="29976916" w14:textId="77777777" w:rsidR="00C643C9" w:rsidRDefault="00C643C9">
      <w:pPr>
        <w:pStyle w:val="BodyText"/>
        <w:spacing w:before="43" w:line="276" w:lineRule="auto"/>
        <w:ind w:left="502" w:firstLine="226"/>
      </w:pPr>
    </w:p>
    <w:p w14:paraId="3AC28F65" w14:textId="77777777" w:rsidR="00E30B60" w:rsidRDefault="00CB547F">
      <w:pPr>
        <w:pStyle w:val="BodyText"/>
        <w:spacing w:before="188"/>
        <w:ind w:left="1230" w:right="834"/>
        <w:jc w:val="center"/>
        <w:rPr>
          <w:b/>
        </w:rPr>
      </w:pPr>
      <w:r>
        <w:rPr>
          <w:b/>
        </w:rPr>
        <w:lastRenderedPageBreak/>
        <w:t>PARTIE F</w:t>
      </w:r>
    </w:p>
    <w:p w14:paraId="5503DD3F" w14:textId="77777777" w:rsidR="00E30B60" w:rsidRDefault="00CB547F">
      <w:pPr>
        <w:pStyle w:val="BodyText"/>
        <w:spacing w:before="230" w:line="297" w:lineRule="auto"/>
        <w:ind w:left="502" w:firstLine="226"/>
        <w:rPr>
          <w:b/>
        </w:rPr>
      </w:pPr>
      <w:r>
        <w:rPr>
          <w:b/>
        </w:rPr>
        <w:t>Produits plastiques à usage unique pouvant être mis sur le marché conformément à l'article 75d (4) de la Loi</w:t>
      </w:r>
    </w:p>
    <w:p w14:paraId="104BA5A3" w14:textId="77777777" w:rsidR="00E30B60" w:rsidRDefault="00CB547F">
      <w:pPr>
        <w:pStyle w:val="BodyText"/>
        <w:spacing w:before="186"/>
        <w:ind w:left="729"/>
      </w:pPr>
      <w:r>
        <w:t>Bouteilles de boissons d’une contenance allant jusqu’à trois litres, y compris les bouchons et couvercles, à l’exclusion des</w:t>
      </w:r>
    </w:p>
    <w:p w14:paraId="411E1955" w14:textId="77777777" w:rsidR="00E30B60" w:rsidRDefault="00CB547F">
      <w:pPr>
        <w:pStyle w:val="ListParagraph"/>
        <w:numPr>
          <w:ilvl w:val="0"/>
          <w:numId w:val="3"/>
        </w:numPr>
        <w:tabs>
          <w:tab w:val="left" w:pos="786"/>
        </w:tabs>
        <w:spacing w:before="120"/>
        <w:ind w:right="0"/>
        <w:rPr>
          <w:sz w:val="20"/>
        </w:rPr>
      </w:pPr>
      <w:r>
        <w:rPr>
          <w:sz w:val="20"/>
        </w:rPr>
        <w:t>bouteilles en verre ou en métal à bouchons et couvercles en plastique;</w:t>
      </w:r>
    </w:p>
    <w:p w14:paraId="3ABEB7C8" w14:textId="77777777" w:rsidR="00E30B60" w:rsidRDefault="00CB547F">
      <w:pPr>
        <w:pStyle w:val="ListParagraph"/>
        <w:numPr>
          <w:ilvl w:val="0"/>
          <w:numId w:val="3"/>
        </w:numPr>
        <w:tabs>
          <w:tab w:val="left" w:pos="786"/>
        </w:tabs>
        <w:spacing w:before="105" w:line="244" w:lineRule="auto"/>
        <w:rPr>
          <w:sz w:val="20"/>
        </w:rPr>
      </w:pPr>
      <w:r>
        <w:t>bouteilles de boissons destinées et utilisées à des fins médicales spécifiques sous forme liquide et soumises à une législation spéciale.</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t>PARTIE G</w:t>
      </w:r>
    </w:p>
    <w:p w14:paraId="0B3CFA54" w14:textId="416D168C" w:rsidR="00E30B60" w:rsidRDefault="00CB547F" w:rsidP="00470FBD">
      <w:pPr>
        <w:pStyle w:val="BodyText"/>
        <w:keepNext/>
        <w:keepLines/>
        <w:spacing w:before="231"/>
        <w:ind w:left="729"/>
        <w:rPr>
          <w:b/>
          <w:sz w:val="17"/>
        </w:rPr>
      </w:pPr>
      <w:r>
        <w:rPr>
          <w:b/>
        </w:rPr>
        <w:t>Produits plastiques à usage unique visés à l'article 75 g de la Loi</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Contenants alimentaires, c.-à-d. des boîtes, avec ou sans couvercles, pour les denrées alimentaires qui sont</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destinées à la consommation immédiate soit au point de vente, soit à un point autre que le point de vente;</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généralement consommées à partir de ce réservoir; et</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sont prêtes à être consommées sans autre préparation, comme la cuisson, l’ébullition ou le chauffage;</w:t>
      </w:r>
    </w:p>
    <w:p w14:paraId="43510610" w14:textId="77777777" w:rsidR="00E30B60" w:rsidRDefault="00CB547F">
      <w:pPr>
        <w:pStyle w:val="BodyText"/>
        <w:spacing w:before="216" w:line="276" w:lineRule="auto"/>
        <w:ind w:left="785" w:right="103" w:firstLine="226"/>
        <w:jc w:val="both"/>
      </w:pPr>
      <w:r>
        <w:t>y compris les récipients alimentaires utilisés pour la restauration rapide ou d’autres plats prêts à être consommés immédiatement, à l’exception des récipients pour boissons, des assiettes et paquets et des emballages contenant des denrées alimentaires ;</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paquets et emballages fabriqués à partir d’un matériau souple contenant des aliments destinés à être consommés immédiatement à partir du paquet ou de l’emballage sans autre préparation;</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récipients pour boissons d'un volume maximal de trois litres, c’est-à-dire les récipients utilisés pour contenir des liquides tels que les bouteilles de boissons, y compris leurs capuchons et couvercles, et les emballages composites pour boissons, y compris leurs capuchons et couvercles, à l’exclusion des récipients pour boissons en verre ou en métal qui ont des capuchons et couvercles en plastique;</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les tasses à boissons, y compris leurs capuchons et couvercles;</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}les produits du tabac contenant des filtres et des filtres vendus en combinaison avec des produits du tabac;</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les lingettes humides, c’est-à-dire les lingettes d’hygiène personnelle pré-humidifiées, et les lingettes domestiques;</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 xml:space="preserve">les ballons, à l'exception des ballons qui ne sont pas distribués aux consommateurs et qui sont destinés à un usage et à </w:t>
      </w:r>
      <w:proofErr w:type="gramStart"/>
      <w:r>
        <w:rPr>
          <w:sz w:val="20"/>
        </w:rPr>
        <w:t>une consommation industriels</w:t>
      </w:r>
      <w:proofErr w:type="gramEnd"/>
      <w:r>
        <w:rPr>
          <w:sz w:val="20"/>
        </w:rPr>
        <w:t xml:space="preserve"> ou autres applications professionnelles.</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 xml:space="preserve">les sacs en plastique légers; </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les serviettes hygiéniques, les tampons et applicateurs de tampons.». Les notes de bas de pages 162 et 164 se lisent comme suit:</w:t>
      </w:r>
    </w:p>
    <w:p w14:paraId="159DB5FD" w14:textId="77777777" w:rsidR="00E30B60" w:rsidRDefault="00CB547F">
      <w:pPr>
        <w:spacing w:line="244" w:lineRule="auto"/>
        <w:ind w:left="729" w:right="103"/>
        <w:jc w:val="both"/>
        <w:rPr>
          <w:sz w:val="18"/>
        </w:rPr>
      </w:pPr>
      <w:r>
        <w:rPr>
          <w:sz w:val="18"/>
        </w:rPr>
        <w:t>«</w:t>
      </w:r>
      <w:r>
        <w:rPr>
          <w:sz w:val="10"/>
        </w:rPr>
        <w:t>162</w:t>
      </w:r>
      <w:r>
        <w:rPr>
          <w:sz w:val="18"/>
        </w:rPr>
        <w:t>) Par exemple, la loi n° 362/2011 sur les médicaments et les dispositifs médicaux et portant modification de certaines lois, telle que modifiée, la loi n° 362/2011 sur les médicaments et les dispositifs médicaux et portant modifications de certaines lois, telle que modifiée.</w:t>
      </w:r>
    </w:p>
    <w:p w14:paraId="5E5B56BE" w14:textId="62F04962" w:rsidR="00E30B60" w:rsidRDefault="00CB547F">
      <w:pPr>
        <w:spacing w:before="99" w:line="244" w:lineRule="auto"/>
        <w:ind w:left="729" w:right="103"/>
        <w:jc w:val="both"/>
        <w:rPr>
          <w:sz w:val="18"/>
        </w:rPr>
      </w:pPr>
      <w:r>
        <w:rPr>
          <w:sz w:val="10"/>
        </w:rPr>
        <w:t>163</w:t>
      </w:r>
      <w:r>
        <w:rPr>
          <w:sz w:val="18"/>
        </w:rPr>
        <w:t>) Règlement (UE) n° 609/2013 du Parlement européen et du Conseil du 12 juin 2013 concernant les denrées alimentaires destinées aux nourrissons et aux enfants en bas âge, les denrées alimentaires destinées à des fins médicales spéciales et le remplacement total du régime alimentaire par le contrôle du poids et abrogeant la Directive 92/52/CEE de la Commission, les Directives 96/8/CE, 1999/21/CE, 2006/125/CE et 2006/141/CE, la Directive 2009/39/CE du Parlement européen et du Conseil et les règlements (CE) n° 41/2009 et n° 953/2009 (JO L 181, 29/6/2013) de la Commission, modifiés.»</w:t>
      </w:r>
    </w:p>
    <w:p w14:paraId="711B9AD3" w14:textId="77777777" w:rsidR="00E30B60" w:rsidRDefault="00CB547F">
      <w:pPr>
        <w:spacing w:before="103" w:line="244" w:lineRule="auto"/>
        <w:ind w:left="729" w:right="103"/>
        <w:jc w:val="both"/>
        <w:rPr>
          <w:sz w:val="18"/>
        </w:rPr>
      </w:pPr>
      <w:r>
        <w:rPr>
          <w:sz w:val="10"/>
        </w:rPr>
        <w:t>164</w:t>
      </w:r>
      <w:r>
        <w:rPr>
          <w:sz w:val="18"/>
        </w:rPr>
        <w:t>) Article 52, paragraphe 27 de la loi n° 79/2015 sur les déchets et modifiant certaines lois, tel que modifié.».</w:t>
      </w:r>
    </w:p>
    <w:p w14:paraId="4B0F8EC2" w14:textId="77777777" w:rsidR="00E30B60" w:rsidRDefault="00CB547F">
      <w:pPr>
        <w:pStyle w:val="BodyText"/>
        <w:spacing w:before="205"/>
        <w:ind w:left="105" w:right="105"/>
        <w:jc w:val="center"/>
        <w:rPr>
          <w:b/>
        </w:rPr>
      </w:pPr>
      <w:r>
        <w:rPr>
          <w:b/>
        </w:rPr>
        <w:lastRenderedPageBreak/>
        <w:t>Article II</w:t>
      </w:r>
    </w:p>
    <w:p w14:paraId="2EE476EE" w14:textId="2C3D0D68" w:rsidR="00E30B60" w:rsidRDefault="00CB547F">
      <w:pPr>
        <w:pStyle w:val="BodyText"/>
        <w:spacing w:before="217" w:line="276" w:lineRule="auto"/>
        <w:ind w:left="105" w:right="103" w:firstLine="226"/>
        <w:jc w:val="both"/>
      </w:pPr>
      <w:r>
        <w:t>La loi n° 302/2019 relative au système de dépôt des conteneurs jetables et à la modification de certaines lois, telle que modifiée par les lois n° 74/2020 et n° 285/2020, et n° 372/2021 est modifiée comme suit:</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À l’article 4, paragraphe 1, point h), le texte «l) et m)» est remplacé par «l), m) et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À l’article 7(1), le point v) suivant est ajouté:</w:t>
      </w:r>
    </w:p>
    <w:p w14:paraId="05E6705E" w14:textId="1AC38935" w:rsidR="00E30B60" w:rsidRDefault="00CB547F">
      <w:pPr>
        <w:pStyle w:val="BodyText"/>
        <w:spacing w:before="105" w:line="244" w:lineRule="auto"/>
        <w:ind w:left="785" w:right="103" w:hanging="397"/>
        <w:jc w:val="both"/>
      </w:pPr>
      <w:r>
        <w:t>«v) fait rapport au ministère sur la teneur en plastique recyclé dans les produits conformément aux obligations d’un fabricant d’emballage en vertu d’une législation spéciale</w:t>
      </w:r>
      <w:r>
        <w:rPr>
          <w:sz w:val="10"/>
        </w:rPr>
        <w:t>11 bis</w:t>
      </w:r>
      <w:r>
        <w:t>) au plus tard le 30 avril pour l’année civile précédente.».</w:t>
      </w:r>
    </w:p>
    <w:p w14:paraId="747169BD" w14:textId="77777777" w:rsidR="00E30B60" w:rsidRDefault="00CB547F">
      <w:pPr>
        <w:pStyle w:val="BodyText"/>
        <w:spacing w:before="102"/>
        <w:ind w:left="615"/>
        <w:jc w:val="both"/>
      </w:pPr>
      <w:r>
        <w:t>La note de bas de page 11a se lit comme suit :</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article 75 quinquies (4) et (5) de la loi n° 79/2015 sur les déchets et modifiant certaines lois, modifiées.»</w:t>
      </w:r>
    </w:p>
    <w:p w14:paraId="3C4273E1" w14:textId="4B17B8A4" w:rsidR="00E30B60" w:rsidRPr="00C643C9" w:rsidRDefault="00CB547F" w:rsidP="00C643C9">
      <w:pPr>
        <w:pStyle w:val="ListParagraph"/>
        <w:numPr>
          <w:ilvl w:val="0"/>
          <w:numId w:val="1"/>
        </w:numPr>
        <w:tabs>
          <w:tab w:val="left" w:pos="389"/>
        </w:tabs>
        <w:spacing w:before="102"/>
        <w:ind w:right="0"/>
        <w:jc w:val="both"/>
        <w:rPr>
          <w:sz w:val="20"/>
        </w:rPr>
      </w:pPr>
      <w:r>
        <w:rPr>
          <w:sz w:val="20"/>
        </w:rPr>
        <w:t>À l’article 13, point i), une virgule est ajoutée après le texte «p) à s)» et le texte «et u)» est remplacé par «u) et v)».</w:t>
      </w:r>
    </w:p>
    <w:p w14:paraId="5C64465E" w14:textId="77777777" w:rsidR="00E30B60" w:rsidRDefault="00CB547F">
      <w:pPr>
        <w:pStyle w:val="ListParagraph"/>
        <w:numPr>
          <w:ilvl w:val="0"/>
          <w:numId w:val="1"/>
        </w:numPr>
        <w:tabs>
          <w:tab w:val="left" w:pos="389"/>
        </w:tabs>
        <w:spacing w:before="125"/>
        <w:ind w:right="0"/>
        <w:rPr>
          <w:sz w:val="20"/>
        </w:rPr>
      </w:pPr>
      <w:r>
        <w:rPr>
          <w:sz w:val="20"/>
        </w:rPr>
        <w:t>À l’article IV, le texte «et l’article 103, paragraphe 23, point 5)» est supprimé et le texte suivant est ajouté à la fin:</w:t>
      </w:r>
    </w:p>
    <w:p w14:paraId="0DEC76DE" w14:textId="77777777" w:rsidR="00E30B60" w:rsidRDefault="00CB547F">
      <w:pPr>
        <w:pStyle w:val="BodyText"/>
        <w:spacing w:before="6"/>
        <w:ind w:left="388"/>
      </w:pPr>
      <w:r>
        <w:t>«et à l’exception de l’article III, l’article 103, paragraphe 23, point 5), qui prend effet le 1er janvier 2023».</w:t>
      </w:r>
    </w:p>
    <w:p w14:paraId="4398D9A5" w14:textId="77777777" w:rsidR="00E30B60" w:rsidRDefault="00CB547F">
      <w:pPr>
        <w:pStyle w:val="ListParagraph"/>
        <w:numPr>
          <w:ilvl w:val="0"/>
          <w:numId w:val="1"/>
        </w:numPr>
        <w:tabs>
          <w:tab w:val="left" w:pos="389"/>
        </w:tabs>
        <w:spacing w:before="105"/>
        <w:ind w:right="0"/>
        <w:rPr>
          <w:sz w:val="20"/>
        </w:rPr>
      </w:pPr>
      <w:r>
        <w:rPr>
          <w:sz w:val="20"/>
        </w:rPr>
        <w:t>Le texte existant de l’annexe 2 est étiqueté en tant que point un et le point deux suivant est ajouté:</w:t>
      </w:r>
    </w:p>
    <w:p w14:paraId="59E27538" w14:textId="77777777" w:rsidR="00E30B60" w:rsidRDefault="00CB547F">
      <w:pPr>
        <w:pStyle w:val="BodyText"/>
        <w:spacing w:before="105" w:line="244" w:lineRule="auto"/>
        <w:ind w:left="785" w:hanging="397"/>
      </w:pPr>
      <w:r>
        <w:t>« 2. Directive (UE) 2019/904 du Parlement européen et du Conseil du 5 juin 2019 relative à la réduction des effets de certains produits plastiques sur l’environnement (JO L 155 du 12/6/2019). ».</w:t>
      </w:r>
    </w:p>
    <w:p w14:paraId="5FB7BCDC" w14:textId="77777777" w:rsidR="00E30B60" w:rsidRDefault="00CB547F">
      <w:pPr>
        <w:pStyle w:val="BodyText"/>
        <w:spacing w:before="204"/>
        <w:ind w:left="105" w:right="105"/>
        <w:jc w:val="center"/>
        <w:rPr>
          <w:b/>
        </w:rPr>
      </w:pPr>
      <w:r>
        <w:rPr>
          <w:b/>
        </w:rPr>
        <w:t>Article III</w:t>
      </w:r>
    </w:p>
    <w:p w14:paraId="26D523C2" w14:textId="77777777" w:rsidR="00E30B60" w:rsidRDefault="00CB547F">
      <w:pPr>
        <w:pStyle w:val="BodyText"/>
        <w:spacing w:before="217" w:line="276" w:lineRule="auto"/>
        <w:ind w:left="105" w:right="103" w:firstLine="226"/>
        <w:jc w:val="both"/>
      </w:pPr>
      <w:r>
        <w:t>La présente loi entre en vigueur le 1er décembre 2021, à l’exception de l’article Ier, points 3, 6, article 75 septies, paragraphe 1 et point 11 qui entre en vigueur le 1er janvier 2022, de l’article Ier, point 6, de l’article 75 quinquies, paragraphe 1, qui entre en vigueur le 3 juillet 2024, de l’article Ier, point 6, de l’article 75 septies et 6), qui entre en vigueur le 1er décembre 2021 et de l’article Ier, point 6, article 75 quinquies, paragraphe 4), points a) et (b) qui entrent en vigueur le 1er janvier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w:t>
      </w:r>
      <w:proofErr w:type="spellStart"/>
      <w:r>
        <w:rPr>
          <w:b/>
        </w:rPr>
        <w:t>Čaputová</w:t>
      </w:r>
      <w:proofErr w:type="spellEnd"/>
      <w:r>
        <w:rPr>
          <w:b/>
        </w:rPr>
        <w:t xml:space="preserve"> </w:t>
      </w:r>
      <w:proofErr w:type="spellStart"/>
      <w:r>
        <w:rPr>
          <w:b/>
        </w:rPr>
        <w:t>m.p</w:t>
      </w:r>
      <w:proofErr w:type="spellEnd"/>
      <w:r>
        <w:rPr>
          <w:b/>
        </w:rPr>
        <w:t>.</w:t>
      </w:r>
    </w:p>
    <w:p w14:paraId="076E5D6C" w14:textId="77777777" w:rsidR="00E30B60" w:rsidRDefault="00CB547F" w:rsidP="00D0358C">
      <w:pPr>
        <w:pStyle w:val="BodyText"/>
        <w:spacing w:before="246" w:line="489" w:lineRule="auto"/>
        <w:ind w:left="3971" w:right="3790" w:firstLine="66"/>
        <w:jc w:val="center"/>
        <w:rPr>
          <w:b/>
        </w:rPr>
      </w:pPr>
      <w:r>
        <w:rPr>
          <w:b/>
        </w:rPr>
        <w:t xml:space="preserve">Boris Kollár </w:t>
      </w:r>
      <w:proofErr w:type="spellStart"/>
      <w:r>
        <w:rPr>
          <w:b/>
        </w:rPr>
        <w:t>m.p</w:t>
      </w:r>
      <w:proofErr w:type="spellEnd"/>
      <w:r>
        <w:rPr>
          <w:b/>
        </w:rPr>
        <w:t>. Eduard </w:t>
      </w:r>
      <w:proofErr w:type="spellStart"/>
      <w:r>
        <w:rPr>
          <w:b/>
        </w:rPr>
        <w:t>Heger</w:t>
      </w:r>
      <w:proofErr w:type="spellEnd"/>
      <w:r>
        <w:rPr>
          <w:b/>
        </w:rPr>
        <w:t xml:space="preserve"> </w:t>
      </w:r>
      <w:proofErr w:type="spellStart"/>
      <w:r>
        <w:rPr>
          <w:b/>
        </w:rPr>
        <w:t>m.p</w:t>
      </w:r>
      <w:proofErr w:type="spellEnd"/>
      <w:r>
        <w:rPr>
          <w:b/>
        </w:rPr>
        <w:t>.</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598A6373" w:rsidR="00E30B60" w:rsidRDefault="00603E25">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Page 11</w:t>
      </w:r>
      <w:r w:rsidR="00C643C9">
        <w:tab/>
      </w:r>
      <w:r w:rsidR="00D0358C">
        <w:t xml:space="preserve">Recueil des lois de la République slovaque </w:t>
      </w:r>
      <w:r w:rsidR="00C643C9">
        <w:tab/>
      </w:r>
      <w:r w:rsidR="00C643C9">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603E25">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L’éditeur du recueil des lois de la République slovaque, administrateur de contenu et opérateur du portail juridique et d’information </w:t>
      </w:r>
      <w:proofErr w:type="spellStart"/>
      <w:r>
        <w:rPr>
          <w:sz w:val="18"/>
        </w:rPr>
        <w:t>Slov</w:t>
      </w:r>
      <w:proofErr w:type="spellEnd"/>
      <w:r>
        <w:rPr>
          <w:sz w:val="18"/>
        </w:rPr>
        <w:t xml:space="preserve">-Lex disponible sur le site web </w:t>
      </w:r>
      <w:hyperlink r:id="rId10">
        <w:r>
          <w:rPr>
            <w:sz w:val="18"/>
          </w:rPr>
          <w:t>www.slov-lex.sk</w:t>
        </w:r>
      </w:hyperlink>
      <w:r>
        <w:rPr>
          <w:sz w:val="18"/>
        </w:rPr>
        <w:t>est</w:t>
      </w:r>
    </w:p>
    <w:p w14:paraId="38FEE7A0" w14:textId="77777777" w:rsidR="00E30B60" w:rsidRDefault="00CB547F">
      <w:pPr>
        <w:spacing w:before="1" w:line="244" w:lineRule="auto"/>
        <w:ind w:left="1754" w:right="1752"/>
        <w:jc w:val="center"/>
        <w:rPr>
          <w:sz w:val="18"/>
        </w:rPr>
      </w:pPr>
      <w:r>
        <w:rPr>
          <w:sz w:val="18"/>
        </w:rPr>
        <w:t xml:space="preserve">Bureau du gouvernement de la République slovaque, </w:t>
      </w:r>
      <w:proofErr w:type="spellStart"/>
      <w:r>
        <w:rPr>
          <w:sz w:val="18"/>
        </w:rPr>
        <w:t>Námestie</w:t>
      </w:r>
      <w:proofErr w:type="spellEnd"/>
      <w:r>
        <w:rPr>
          <w:sz w:val="18"/>
        </w:rPr>
        <w:t xml:space="preserve"> </w:t>
      </w:r>
      <w:proofErr w:type="spellStart"/>
      <w:r>
        <w:rPr>
          <w:sz w:val="18"/>
        </w:rPr>
        <w:t>slobody</w:t>
      </w:r>
      <w:proofErr w:type="spellEnd"/>
      <w:r>
        <w:rPr>
          <w:sz w:val="18"/>
        </w:rPr>
        <w:t xml:space="preserve"> 1, 813 70 Bratislava, tél.:02 888 91 131, adresse électronique:</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05B9" w14:textId="77777777" w:rsidR="00603E25" w:rsidRDefault="00603E25">
      <w:r>
        <w:separator/>
      </w:r>
    </w:p>
  </w:endnote>
  <w:endnote w:type="continuationSeparator" w:id="0">
    <w:p w14:paraId="1F308134" w14:textId="77777777" w:rsidR="00603E25" w:rsidRDefault="0060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2D98" w14:textId="77777777" w:rsidR="00603E25" w:rsidRDefault="00603E25">
      <w:r>
        <w:separator/>
      </w:r>
    </w:p>
  </w:footnote>
  <w:footnote w:type="continuationSeparator" w:id="0">
    <w:p w14:paraId="52DA2ED1" w14:textId="77777777" w:rsidR="00603E25" w:rsidRDefault="00603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20746ACC" w:rsidR="00E30B60" w:rsidRDefault="00603E25">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91.55pt;margin-top:39.3pt;width:223.55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Recueil des lois de la République slovaque</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Page </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7C561E86" w:rsidR="00E30B60" w:rsidRDefault="00603E25">
    <w:pPr>
      <w:pStyle w:val="BodyText"/>
      <w:spacing w:line="14" w:lineRule="auto"/>
    </w:pPr>
    <w:r>
      <w:pict w14:anchorId="0C2195BF">
        <v:shapetype id="_x0000_t202" coordsize="21600,21600" o:spt="202" path="m,l,21600r21600,l21600,xe">
          <v:stroke joinstyle="miter"/>
          <v:path gradientshapeok="t" o:connecttype="rect"/>
        </v:shapetype>
        <v:shape id="_x0000_s1026" type="#_x0000_t202" style="position:absolute;margin-left:202.8pt;margin-top:39.3pt;width:212.45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Recueil des lois de la République slovaque</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Page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70FBD"/>
    <w:rsid w:val="00603E25"/>
    <w:rsid w:val="00A77281"/>
    <w:rsid w:val="00A96D32"/>
    <w:rsid w:val="00C643C9"/>
    <w:rsid w:val="00CB547F"/>
    <w:rsid w:val="00D0358C"/>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3C9"/>
    <w:pPr>
      <w:tabs>
        <w:tab w:val="center" w:pos="4536"/>
        <w:tab w:val="right" w:pos="9072"/>
      </w:tabs>
    </w:pPr>
  </w:style>
  <w:style w:type="character" w:customStyle="1" w:styleId="HeaderChar">
    <w:name w:val="Header Char"/>
    <w:basedOn w:val="DefaultParagraphFont"/>
    <w:link w:val="Header"/>
    <w:uiPriority w:val="99"/>
    <w:rsid w:val="00C643C9"/>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C643C9"/>
    <w:pPr>
      <w:tabs>
        <w:tab w:val="center" w:pos="4536"/>
        <w:tab w:val="right" w:pos="9072"/>
      </w:tabs>
    </w:pPr>
  </w:style>
  <w:style w:type="character" w:customStyle="1" w:styleId="FooterChar">
    <w:name w:val="Footer Char"/>
    <w:basedOn w:val="DefaultParagraphFont"/>
    <w:link w:val="Footer"/>
    <w:uiPriority w:val="99"/>
    <w:rsid w:val="00C643C9"/>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4848</Words>
  <Characters>25307</Characters>
  <Application>Microsoft Office Word</Application>
  <DocSecurity>0</DocSecurity>
  <Lines>538</Lines>
  <Paragraphs>249</Paragraphs>
  <ScaleCrop>false</ScaleCrop>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2022-03-29T07:51:00Z</dcterms:created>
  <dcterms:modified xsi:type="dcterms:W3CDTF">2022-03-29T08:43:00Z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