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9F7" w:rsidRPr="009E1D1D" w:rsidRDefault="005949F7" w:rsidP="005949F7">
      <w:pPr>
        <w:pStyle w:val="LLMinisterionAsetus"/>
        <w:rPr>
          <w:b w:val="0"/>
          <w:bCs/>
        </w:rPr>
      </w:pPr>
      <w:r w:rsidRPr="009E1D1D">
        <w:rPr>
          <w:rFonts w:ascii="Courier New" w:hAnsi="Courier New"/>
          <w:b w:val="0"/>
          <w:bCs/>
          <w:sz w:val="20"/>
          <w:szCs w:val="20"/>
        </w:rPr>
        <w:t>1. --</w:t>
      </w:r>
      <w:r w:rsidR="009E1D1D">
        <w:rPr>
          <w:rFonts w:ascii="Courier New" w:hAnsi="Courier New"/>
          <w:b w:val="0"/>
          <w:bCs/>
          <w:sz w:val="20"/>
          <w:szCs w:val="20"/>
        </w:rPr>
        <w:t>-</w:t>
      </w:r>
      <w:r w:rsidRPr="009E1D1D">
        <w:rPr>
          <w:rFonts w:ascii="Courier New" w:hAnsi="Courier New"/>
          <w:b w:val="0"/>
          <w:bCs/>
          <w:sz w:val="20"/>
          <w:szCs w:val="20"/>
        </w:rPr>
        <w:t xml:space="preserve">---IND- 2018 0649 FIN RO- ------ </w:t>
      </w:r>
      <w:r w:rsidRPr="009E1D1D">
        <w:rPr>
          <w:rFonts w:ascii="Segoe UI" w:hAnsi="Segoe UI"/>
          <w:b w:val="0"/>
          <w:bCs/>
          <w:color w:val="000000"/>
          <w:sz w:val="20"/>
          <w:szCs w:val="20"/>
        </w:rPr>
        <w:t>20200804</w:t>
      </w:r>
      <w:r w:rsidRPr="009E1D1D">
        <w:rPr>
          <w:b w:val="0"/>
          <w:bCs/>
          <w:sz w:val="20"/>
          <w:szCs w:val="20"/>
        </w:rPr>
        <w:t xml:space="preserve"> </w:t>
      </w:r>
      <w:r w:rsidRPr="009E1D1D">
        <w:rPr>
          <w:rFonts w:ascii="Courier New" w:hAnsi="Courier New"/>
          <w:b w:val="0"/>
          <w:bCs/>
          <w:sz w:val="20"/>
          <w:szCs w:val="20"/>
        </w:rPr>
        <w:t>--- --- FINAL</w:t>
      </w:r>
    </w:p>
    <w:p w:rsidR="006A1A37" w:rsidRDefault="006A1A37" w:rsidP="006A1A37">
      <w:pPr>
        <w:pStyle w:val="LLMinisterionAsetus"/>
      </w:pPr>
      <w:r>
        <w:t>Decretul Ministerului Mediului</w:t>
      </w:r>
    </w:p>
    <w:p w:rsidR="004A0CA1" w:rsidRPr="004A0CA1" w:rsidRDefault="00906592" w:rsidP="00466C8C">
      <w:pPr>
        <w:pStyle w:val="LLSaadoksenNimi"/>
        <w:tabs>
          <w:tab w:val="center" w:pos="4173"/>
          <w:tab w:val="left" w:pos="7651"/>
        </w:tabs>
        <w:jc w:val="left"/>
      </w:pPr>
      <w:r>
        <w:t>privind cerințele tehnice esențiale aplicabile obiectelor sanitare destinate sistemelor de alimentare cu apă a clădirilor</w:t>
      </w:r>
    </w:p>
    <w:p w:rsidR="004A0CA1" w:rsidRDefault="004A0CA1" w:rsidP="004A0CA1">
      <w:pPr>
        <w:pStyle w:val="LLNormaali"/>
      </w:pPr>
    </w:p>
    <w:p w:rsidR="00B11F6F" w:rsidRDefault="00B11F6F" w:rsidP="00B11F6F">
      <w:pPr>
        <w:pStyle w:val="LLJohtolauseKappaleet"/>
      </w:pPr>
      <w:r>
        <w:t>Prin Hotărârea Ministerului Mediului, se prevăd următoarele în conformitate cu articolul 117c alineatul (3) din Legea privind destinația terenurilor și clădirile (132/1999), astfel cum a fost modificată prin Legea nr. 958/2012:</w:t>
      </w:r>
    </w:p>
    <w:p w:rsidR="006A1A37" w:rsidRDefault="006A1A37" w:rsidP="00E83137">
      <w:pPr>
        <w:pStyle w:val="LLPykala"/>
        <w:keepNext/>
        <w:keepLines/>
        <w:spacing w:before="240" w:after="240"/>
      </w:pPr>
      <w:r>
        <w:t>Articolul 1</w:t>
      </w:r>
    </w:p>
    <w:p w:rsidR="006A1A37" w:rsidRDefault="006A1A37" w:rsidP="00E83137">
      <w:pPr>
        <w:pStyle w:val="LLPykalanOtsikko"/>
        <w:keepNext/>
        <w:keepLines/>
      </w:pPr>
      <w:r>
        <w:t>Domeniul de aplicare</w:t>
      </w:r>
    </w:p>
    <w:p w:rsidR="00B11F6F" w:rsidRDefault="00B11F6F" w:rsidP="00E83137">
      <w:pPr>
        <w:pStyle w:val="LLVoimaantulokappale"/>
      </w:pPr>
      <w:r>
        <w:t xml:space="preserve">Prezentul decret se aplică cerințelor tehnice esențiale pentru obiectele sanitare concepute pentru distribuția apei potabile și a apei calde menajere, montate în clădiri și proprietăți. </w:t>
      </w:r>
    </w:p>
    <w:p w:rsidR="006A1A37" w:rsidRDefault="006A1A37" w:rsidP="00E83137">
      <w:pPr>
        <w:pStyle w:val="LLPykala"/>
        <w:keepNext/>
        <w:keepLines/>
        <w:spacing w:before="240" w:after="240"/>
      </w:pPr>
      <w:r>
        <w:t>Articolul 2</w:t>
      </w:r>
    </w:p>
    <w:p w:rsidR="006A1A37" w:rsidRDefault="006A1A37" w:rsidP="00E83137">
      <w:pPr>
        <w:pStyle w:val="LLPykalanOtsikko"/>
        <w:keepNext/>
        <w:keepLines/>
      </w:pPr>
      <w:r>
        <w:t>Definiții</w:t>
      </w:r>
    </w:p>
    <w:p w:rsidR="00B11F6F" w:rsidRDefault="00D46750" w:rsidP="00E83137">
      <w:pPr>
        <w:pStyle w:val="LLNormaali"/>
        <w:ind w:firstLine="142"/>
        <w:jc w:val="both"/>
      </w:pPr>
      <w:r>
        <w:t>„obiecte sanitare” înseamnă diferite tipuri de robinete destinate alimentării cu apă. Instalațiile sanitare pot include o baterie care este conectată la conducta de apă rece și la conducta de apă caldă sau la un robinet care este conectat la conducta de apă rece sau la conducta de apă caldă.</w:t>
      </w:r>
    </w:p>
    <w:p w:rsidR="006A1A37" w:rsidRDefault="006A1A37" w:rsidP="00E83137">
      <w:pPr>
        <w:pStyle w:val="LLPykala"/>
        <w:keepNext/>
        <w:keepLines/>
        <w:spacing w:before="240" w:after="240"/>
      </w:pPr>
      <w:r>
        <w:t>Articolul 3</w:t>
      </w:r>
    </w:p>
    <w:p w:rsidR="00B11F6F" w:rsidRDefault="00B11F6F" w:rsidP="00E83137">
      <w:pPr>
        <w:pStyle w:val="LLPykalanOtsikko"/>
        <w:keepNext/>
        <w:keepLines/>
      </w:pPr>
      <w:r>
        <w:t xml:space="preserve">Adecvarea pentru transportul apei potabile </w:t>
      </w:r>
    </w:p>
    <w:p w:rsidR="00941742" w:rsidRPr="00666BA2" w:rsidRDefault="00941742" w:rsidP="00666BA2">
      <w:pPr>
        <w:pStyle w:val="LLVoimaantulokappale"/>
      </w:pPr>
      <w:r>
        <w:t>Obiectele sanitare nu trebuie să elibereze în apă substanțe periculoase pentru sănătatea umană sau pentru calitatea apei. Materialele care intră în contact cu apa trebuie să fie adecvate pentru distribuția apei potabile.</w:t>
      </w:r>
    </w:p>
    <w:p w:rsidR="00E02713" w:rsidRPr="00666BA2" w:rsidRDefault="00E02713" w:rsidP="00666BA2">
      <w:pPr>
        <w:pStyle w:val="LLVoimaantulokappale"/>
      </w:pPr>
      <w:r>
        <w:t xml:space="preserve">Concentrația de plumb provenit din materialul din care sunt fabricate obiectele sanitare în apa de încercare nu trebuie să depășească cinci micrograme pe litru atunci când materialul este testat într-o încercare de </w:t>
      </w:r>
      <w:proofErr w:type="spellStart"/>
      <w:r>
        <w:t>lixiviere</w:t>
      </w:r>
      <w:proofErr w:type="spellEnd"/>
      <w:r>
        <w:t xml:space="preserve"> de 26 de săptămâni în condiții similare cu condițiile de funcționare reale. Aciditatea (valoarea </w:t>
      </w:r>
      <w:proofErr w:type="spellStart"/>
      <w:r>
        <w:t>pH-ului</w:t>
      </w:r>
      <w:proofErr w:type="spellEnd"/>
      <w:r>
        <w:t xml:space="preserve">) apei de încercare trebuie să fie de 6,7-8,4, valoarea alcalinității de 0,5-1,3 </w:t>
      </w:r>
      <w:proofErr w:type="spellStart"/>
      <w:r>
        <w:t>milimoli</w:t>
      </w:r>
      <w:proofErr w:type="spellEnd"/>
      <w:r>
        <w:t xml:space="preserve"> pe litru și valoarea de saturație a oxigenului mai mare de 70 %. Apa de încercare trebuie lăsată să stea timp de patru ore înainte de prelevarea unei probe de apă.</w:t>
      </w:r>
    </w:p>
    <w:p w:rsidR="00E02713" w:rsidRPr="00666BA2" w:rsidRDefault="00E02713" w:rsidP="00666BA2">
      <w:pPr>
        <w:pStyle w:val="LLVoimaantulokappale"/>
      </w:pPr>
      <w:r>
        <w:t xml:space="preserve">Cerința alternativă, referitoare la produs, în ceea ce privește conținutul maxim admisibil de plumb eliberat din obiectele sanitare în apă, nu trebuie să depășească cinci micrograme atunci când </w:t>
      </w:r>
      <w:proofErr w:type="spellStart"/>
      <w:r>
        <w:t>lixivierea</w:t>
      </w:r>
      <w:proofErr w:type="spellEnd"/>
      <w:r>
        <w:t xml:space="preserve"> a fost testată pe o perioadă de încercare de zece zile. În cadrul încercării, cadmiul dizolvat în apă nu trebuie să depășească două micrograme. Se utilizează ca soluție de încercare o apă potabilă sintetică înlocuibilă cu valoarea acidității (valoarea pH) de 7,0±0,1.</w:t>
      </w:r>
    </w:p>
    <w:p w:rsidR="006A1A37" w:rsidRDefault="006A1A37" w:rsidP="00E83137">
      <w:pPr>
        <w:pStyle w:val="LLPykala"/>
        <w:keepNext/>
        <w:keepLines/>
        <w:spacing w:before="240" w:after="240"/>
      </w:pPr>
      <w:r>
        <w:t xml:space="preserve">Articolul 4 </w:t>
      </w:r>
      <w:bookmarkStart w:id="0" w:name="_GoBack"/>
      <w:bookmarkEnd w:id="0"/>
    </w:p>
    <w:p w:rsidR="003B65C9" w:rsidRPr="00240E69" w:rsidRDefault="003B65C9" w:rsidP="00E83137">
      <w:pPr>
        <w:pStyle w:val="LLPykalanOtsikko"/>
        <w:keepNext/>
        <w:keepLines/>
        <w:rPr>
          <w:i w:val="0"/>
        </w:rPr>
      </w:pPr>
      <w:r>
        <w:t xml:space="preserve">Rezistența la coroziune a pieselor metalice </w:t>
      </w:r>
    </w:p>
    <w:p w:rsidR="00FA22B7" w:rsidRPr="00666BA2" w:rsidRDefault="0062671D" w:rsidP="00666BA2">
      <w:pPr>
        <w:pStyle w:val="LLVoimaantulokappale"/>
      </w:pPr>
      <w:r>
        <w:t xml:space="preserve">Piesele metalice ale obiectelor sanitare care intră în contact cu apa trebuie să fie fabricate din material rezistent la coroziune. Piesele corpului de alamă supuse presiunii apei trebuie să fie din alamă rezistentă la </w:t>
      </w:r>
      <w:proofErr w:type="spellStart"/>
      <w:r>
        <w:t>dezincare</w:t>
      </w:r>
      <w:proofErr w:type="spellEnd"/>
      <w:r>
        <w:t>.</w:t>
      </w:r>
    </w:p>
    <w:p w:rsidR="003454BB" w:rsidRPr="00666BA2" w:rsidRDefault="00CF1338" w:rsidP="00666BA2">
      <w:pPr>
        <w:pStyle w:val="LLVoimaantulokappale"/>
      </w:pPr>
      <w:r>
        <w:t xml:space="preserve">Valoarea maximă a adâncimii de </w:t>
      </w:r>
      <w:proofErr w:type="spellStart"/>
      <w:r>
        <w:t>dezincare</w:t>
      </w:r>
      <w:proofErr w:type="spellEnd"/>
      <w:r>
        <w:t xml:space="preserve"> a obiectelor sanitare nu trebuie să depășească 200 micrometri. Demonstrarea </w:t>
      </w:r>
      <w:proofErr w:type="spellStart"/>
      <w:r>
        <w:t>dezincării</w:t>
      </w:r>
      <w:proofErr w:type="spellEnd"/>
      <w:r>
        <w:t xml:space="preserve"> nu este necesară dacă conținutul de zinc din compoziția obiectului sanitar nu depășește 15 %.</w:t>
      </w:r>
    </w:p>
    <w:p w:rsidR="00E744B5" w:rsidRPr="007C4179" w:rsidRDefault="00E744B5" w:rsidP="00E83137">
      <w:pPr>
        <w:pStyle w:val="LLPykala"/>
        <w:keepNext/>
        <w:keepLines/>
        <w:spacing w:before="240" w:after="240"/>
      </w:pPr>
      <w:r>
        <w:lastRenderedPageBreak/>
        <w:t>Articolul 5</w:t>
      </w:r>
    </w:p>
    <w:p w:rsidR="00E744B5" w:rsidRDefault="00825138" w:rsidP="00E83137">
      <w:pPr>
        <w:pStyle w:val="LLPykalanOtsikko"/>
        <w:keepNext/>
        <w:keepLines/>
      </w:pPr>
      <w:r>
        <w:t>Suprafața exterioară și utilitatea</w:t>
      </w:r>
    </w:p>
    <w:p w:rsidR="00E744B5" w:rsidRPr="00087684" w:rsidRDefault="007362A4" w:rsidP="00666BA2">
      <w:pPr>
        <w:pStyle w:val="LLVoimaantulokappale"/>
      </w:pPr>
      <w:r>
        <w:t>Suprafața exterioară a obiectelor sanitare trebuie să fie netedă și fără defecte și să nu prezinte părți proeminente ascuțite.</w:t>
      </w:r>
    </w:p>
    <w:p w:rsidR="00F81B7A" w:rsidRDefault="00F81B7A" w:rsidP="00666BA2">
      <w:pPr>
        <w:pStyle w:val="LLVoimaantulokappale"/>
      </w:pPr>
      <w:r>
        <w:t xml:space="preserve">Obiectele sanitare trebuie să fie ușor de folosit și să fie curățate fără produse speciale. </w:t>
      </w:r>
    </w:p>
    <w:p w:rsidR="00672FB4" w:rsidRDefault="00AC7A11" w:rsidP="00666BA2">
      <w:pPr>
        <w:pStyle w:val="LLVoimaantulokappale"/>
      </w:pPr>
      <w:r>
        <w:t>Producătorul trebuie să raporteze temperatura suprafeței dispozitivului de antrenare a obiectului sanitar după scurgerea apei timp de un minut la o temperatură a apei curente de 65 de grade Celsius.</w:t>
      </w:r>
    </w:p>
    <w:p w:rsidR="00C86296" w:rsidRPr="007C4179" w:rsidRDefault="00C86296" w:rsidP="00E83137">
      <w:pPr>
        <w:pStyle w:val="LLPykala"/>
        <w:keepNext/>
        <w:keepLines/>
        <w:spacing w:before="240" w:after="240"/>
      </w:pPr>
      <w:r>
        <w:t>Articolul 6</w:t>
      </w:r>
    </w:p>
    <w:p w:rsidR="00C86296" w:rsidRDefault="00C86296" w:rsidP="00E83137">
      <w:pPr>
        <w:pStyle w:val="LLPykalanOtsikko"/>
        <w:keepNext/>
        <w:keepLines/>
      </w:pPr>
      <w:r>
        <w:t xml:space="preserve">Caracteristicile funcționale </w:t>
      </w:r>
    </w:p>
    <w:p w:rsidR="00794C43" w:rsidRPr="00794C43" w:rsidRDefault="008829DC" w:rsidP="00666BA2">
      <w:pPr>
        <w:pStyle w:val="LLVoimaantulokappale"/>
      </w:pPr>
      <w:r>
        <w:t xml:space="preserve">Pe obiectele sanitare, apa rece se indică printr-un semn albastru, iar apa caldă printr-un semn roșu. Reglarea temperaturii cu robinetul termostatic poate fi indicată de intervalul de temperatură sau de simboluri. </w:t>
      </w:r>
    </w:p>
    <w:p w:rsidR="00E744B5" w:rsidRDefault="00A667E3" w:rsidP="00666BA2">
      <w:pPr>
        <w:pStyle w:val="LLVoimaantulokappale"/>
      </w:pPr>
      <w:r>
        <w:t>În cazul în care obiectele sanitare includ o supapă pentru mașina de spălat, pozițiile deschisă și închisă ale supapei trebuie să fie clar vizibile.</w:t>
      </w:r>
    </w:p>
    <w:p w:rsidR="00D77A6E" w:rsidRPr="003A0B6F" w:rsidRDefault="00EC2FF4" w:rsidP="00E83137">
      <w:pPr>
        <w:pStyle w:val="LLPykala"/>
        <w:keepNext/>
        <w:keepLines/>
        <w:spacing w:before="240" w:after="240"/>
      </w:pPr>
      <w:r>
        <w:t>Articolul 7</w:t>
      </w:r>
    </w:p>
    <w:p w:rsidR="003C6781" w:rsidRPr="003A0B6F" w:rsidRDefault="00AA6FA0" w:rsidP="00E83137">
      <w:pPr>
        <w:pStyle w:val="LLPykalanOtsikko"/>
        <w:keepNext/>
        <w:keepLines/>
      </w:pPr>
      <w:r>
        <w:t>Robinetele electronice</w:t>
      </w:r>
    </w:p>
    <w:p w:rsidR="00312926" w:rsidRPr="00666BA2" w:rsidRDefault="00AA6FA0" w:rsidP="00666BA2">
      <w:pPr>
        <w:pStyle w:val="LLVoimaantulokappale"/>
      </w:pPr>
      <w:r>
        <w:t xml:space="preserve">Tensiunea de funcționare a robinetului electronic nu trebuie să depășească 42 V CA sau 72 V CC. Sursa de alimentare poate fi un transformator, o baterie sau altă sursă de alimentare conectată la rețeaua de alimentare cu energie electrică. </w:t>
      </w:r>
    </w:p>
    <w:p w:rsidR="000D1CBA" w:rsidRPr="003A0B6F" w:rsidRDefault="000D1CBA" w:rsidP="00666BA2">
      <w:pPr>
        <w:pStyle w:val="LLVoimaantulokappale"/>
      </w:pPr>
      <w:r>
        <w:t>Gradul de protecție este indicat pentru unitatea electronică a robinetului electronic. Gradul de protecție pentru robinetele de chiuvetă și de bucătărie trebuie să fie cel puțin din clasa IP 44 și pentru robinetele de duș din clasa IP 67.</w:t>
      </w:r>
    </w:p>
    <w:p w:rsidR="00CE503F" w:rsidRPr="003A0B6F" w:rsidRDefault="003229D2" w:rsidP="00666BA2">
      <w:pPr>
        <w:pStyle w:val="LLVoimaantulokappale"/>
      </w:pPr>
      <w:r>
        <w:t xml:space="preserve">Alimentarea cu apă de la robinetul alimentat de la rețea trebuie să fie oprită în caz de întrerupere a energiei electrice. Alimentarea cu apă de la robinetul alimentat de la baterii nu trebuie să fie pornită dacă tensiunea bateriei scade sub limita de funcționare. </w:t>
      </w:r>
    </w:p>
    <w:p w:rsidR="00E744B5" w:rsidRDefault="00EC2FF4" w:rsidP="00E83137">
      <w:pPr>
        <w:pStyle w:val="LLPykala"/>
        <w:keepNext/>
        <w:keepLines/>
        <w:spacing w:before="240" w:after="240"/>
      </w:pPr>
      <w:r>
        <w:t>Articolul 8</w:t>
      </w:r>
    </w:p>
    <w:p w:rsidR="00E744B5" w:rsidRPr="00666BA2" w:rsidRDefault="00D90E06" w:rsidP="00E83137">
      <w:pPr>
        <w:pStyle w:val="LLPykalanOtsikko"/>
        <w:keepNext/>
        <w:keepLines/>
      </w:pPr>
      <w:r>
        <w:t>Structura și dimensiunile</w:t>
      </w:r>
    </w:p>
    <w:p w:rsidR="00FE7A30" w:rsidRPr="000213F6" w:rsidRDefault="00FE7A30" w:rsidP="00666BA2">
      <w:pPr>
        <w:pStyle w:val="LLVoimaantulokappale"/>
      </w:pPr>
      <w:r>
        <w:t xml:space="preserve">Structura și dimensiunile obiectelor sanitare trebuie să fie astfel încât să poată fi montate în spațiul destinat obiectelor sanitare în conformitate cu scopul pentru care au fost concepute. Dimensiunile principale ale obiectelor sanitare trebuie să respecte dimensiunile indicate în tabelul 1. Pentru racordarea la țeava de apă, racordurile cu manșon sau țevile racordate la obiectele sanitare se conectează la țeava de racordare a țevii de apă cu ajutorul elementelor de montare destinate robinetelor. </w:t>
      </w:r>
    </w:p>
    <w:p w:rsidR="0099645F" w:rsidRDefault="00FE7A30" w:rsidP="00666BA2">
      <w:pPr>
        <w:pStyle w:val="LLVoimaantulokappale"/>
      </w:pPr>
      <w:r>
        <w:t>Obiectele sanitare destinate instalării în interiorul unui perete trebuie să aibă o componentă frontală detașabilă, astfel încât robinetul să poată fi inspectat și reparat.</w:t>
      </w:r>
    </w:p>
    <w:p w:rsidR="002D5731" w:rsidRDefault="002D5731" w:rsidP="00666BA2">
      <w:pPr>
        <w:pStyle w:val="LLVoimaantulokappale"/>
      </w:pPr>
      <w:r>
        <w:t>Este necesar să se indice unghiul de rotație al duzei din robinetul chiuvetei. O duză de evacuare a robinetului de bucătărie trebuie să aibă o funcție de resetare automată a dispozitivului de deviere.</w:t>
      </w:r>
    </w:p>
    <w:p w:rsidR="0099645F" w:rsidRDefault="0099645F" w:rsidP="0099645F">
      <w:pPr>
        <w:spacing w:line="220" w:lineRule="exact"/>
        <w:ind w:firstLine="170"/>
        <w:jc w:val="both"/>
        <w:rPr>
          <w:rFonts w:ascii="Times New Roman" w:hAnsi="Times New Roman"/>
        </w:rPr>
      </w:pPr>
    </w:p>
    <w:p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Tabelul 1. Dimensiunile principale ale obiectului sanitar.</w:t>
      </w:r>
    </w:p>
    <w:p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rsidTr="00E83137">
        <w:trPr>
          <w:cantSplit/>
        </w:trPr>
        <w:tc>
          <w:tcPr>
            <w:tcW w:w="5850" w:type="dxa"/>
            <w:tcBorders>
              <w:top w:val="single" w:sz="6" w:space="0" w:color="auto"/>
              <w:left w:val="single" w:sz="6" w:space="0" w:color="auto"/>
              <w:right w:val="single" w:sz="6" w:space="0" w:color="auto"/>
            </w:tcBorders>
          </w:tcPr>
          <w:p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Tipul de obiecte sanitare și cantitatea fizică</w:t>
            </w:r>
          </w:p>
        </w:tc>
        <w:tc>
          <w:tcPr>
            <w:tcW w:w="1404" w:type="dxa"/>
            <w:tcBorders>
              <w:top w:val="single" w:sz="6" w:space="0" w:color="auto"/>
              <w:left w:val="single" w:sz="6" w:space="0" w:color="auto"/>
              <w:right w:val="single" w:sz="6" w:space="0" w:color="auto"/>
            </w:tcBorders>
          </w:tcPr>
          <w:p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Dimensiunea</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Robinet montat pe perete</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Conexiuni de intrare, distanța dintre axele centrale</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(150±1)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dimensiunea cablului</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lastRenderedPageBreak/>
              <w:t>lungimea cablului</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Distanța dintre centrul orificiului de ieșire a duzei și nivelul peretelui</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Alt orificiu de ieșire, duș etc., dimensiunea cablului</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lungimea cablului</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Robinet de chiuvetă (robinet de lavoar, robinet de bucătărie)</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Înălțimea punctului cel mai de jos al orificiului de ieșire a duzei de la nivelul mesei</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Lungimea țevii de racordare</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Țevi de racordare din cupru, diametru extern</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rsidTr="00E83137">
        <w:trPr>
          <w:cantSplit/>
        </w:trPr>
        <w:tc>
          <w:tcPr>
            <w:tcW w:w="5850"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Țevi flexibile de racordare, cablu de racordare</w:t>
            </w:r>
          </w:p>
        </w:tc>
        <w:tc>
          <w:tcPr>
            <w:tcW w:w="1404" w:type="dxa"/>
            <w:tcBorders>
              <w:top w:val="single" w:sz="6" w:space="0" w:color="auto"/>
              <w:left w:val="single" w:sz="6" w:space="0" w:color="auto"/>
              <w:bottom w:val="single" w:sz="6" w:space="0" w:color="auto"/>
              <w:right w:val="single" w:sz="6" w:space="0" w:color="auto"/>
            </w:tcBorders>
          </w:tcPr>
          <w:p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rsidR="008528ED" w:rsidRDefault="00EC2FF4" w:rsidP="00E83137">
      <w:pPr>
        <w:pStyle w:val="LLPykala"/>
        <w:keepNext/>
        <w:keepLines/>
        <w:spacing w:before="240" w:after="240"/>
      </w:pPr>
      <w:r>
        <w:t>Articolul 9</w:t>
      </w:r>
    </w:p>
    <w:p w:rsidR="008528ED" w:rsidRPr="00BC54A7" w:rsidRDefault="008D28C7" w:rsidP="00E83137">
      <w:pPr>
        <w:pStyle w:val="LLPykalanOtsikko"/>
        <w:keepNext/>
        <w:keepLines/>
        <w:rPr>
          <w:i w:val="0"/>
          <w:color w:val="000000"/>
        </w:rPr>
      </w:pPr>
      <w:r>
        <w:rPr>
          <w:color w:val="000000"/>
        </w:rPr>
        <w:t>Debitul standard</w:t>
      </w:r>
    </w:p>
    <w:p w:rsidR="00E744B5" w:rsidRDefault="00483C63" w:rsidP="00666BA2">
      <w:pPr>
        <w:pStyle w:val="LLVoimaantulokappale"/>
      </w:pPr>
      <w:r>
        <w:t>Obiectele sanitare trebuie să aibă debite standard pentru utilizarea prevăzută, conform specificațiilor din tabelul 2.</w:t>
      </w:r>
    </w:p>
    <w:p w:rsidR="00E83137" w:rsidRDefault="00E83137" w:rsidP="00483C63">
      <w:pPr>
        <w:widowControl w:val="0"/>
        <w:ind w:right="56"/>
        <w:rPr>
          <w:rFonts w:ascii="Times New Roman" w:eastAsia="Times New Roman" w:hAnsi="Times New Roman"/>
          <w:snapToGrid w:val="0"/>
          <w:color w:val="000000"/>
          <w:sz w:val="20"/>
          <w:szCs w:val="20"/>
        </w:rPr>
      </w:pPr>
    </w:p>
    <w:p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Tabelul 2. Viteze standard a debitului în conformitate cu utilizarea prevăzută a obiectelor sanitare sub presiune de 3,0+0,2/-0 bari.</w:t>
      </w:r>
    </w:p>
    <w:p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rsidTr="00E83137">
        <w:trPr>
          <w:cantSplit/>
        </w:trPr>
        <w:tc>
          <w:tcPr>
            <w:tcW w:w="3752" w:type="dxa"/>
            <w:vMerge w:val="restart"/>
            <w:tcBorders>
              <w:top w:val="single" w:sz="6" w:space="0" w:color="auto"/>
              <w:left w:val="single" w:sz="6" w:space="0" w:color="auto"/>
              <w:right w:val="single" w:sz="6" w:space="0" w:color="auto"/>
            </w:tcBorders>
          </w:tcPr>
          <w:p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Destinația de utilizare a obiectelor sanitare</w:t>
            </w:r>
          </w:p>
        </w:tc>
        <w:tc>
          <w:tcPr>
            <w:tcW w:w="2808" w:type="dxa"/>
            <w:gridSpan w:val="2"/>
            <w:tcBorders>
              <w:top w:val="single" w:sz="6" w:space="0" w:color="auto"/>
              <w:left w:val="single" w:sz="6" w:space="0" w:color="auto"/>
              <w:bottom w:val="single" w:sz="6" w:space="0" w:color="auto"/>
              <w:right w:val="single" w:sz="6" w:space="0" w:color="auto"/>
            </w:tcBorders>
          </w:tcPr>
          <w:p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Debitul standard dm</w:t>
            </w:r>
            <w:r>
              <w:rPr>
                <w:rFonts w:ascii="Times New Roman" w:hAnsi="Times New Roman"/>
                <w:color w:val="000000"/>
                <w:sz w:val="20"/>
                <w:vertAlign w:val="superscript"/>
              </w:rPr>
              <w:t>3</w:t>
            </w:r>
            <w:r>
              <w:rPr>
                <w:rFonts w:ascii="Times New Roman" w:hAnsi="Times New Roman"/>
                <w:color w:val="000000"/>
                <w:sz w:val="20"/>
              </w:rPr>
              <w:t>/s</w:t>
            </w:r>
          </w:p>
        </w:tc>
      </w:tr>
      <w:tr w:rsidR="00483C63" w:rsidTr="00E83137">
        <w:trPr>
          <w:cantSplit/>
        </w:trPr>
        <w:tc>
          <w:tcPr>
            <w:tcW w:w="3752" w:type="dxa"/>
            <w:vMerge/>
            <w:tcBorders>
              <w:left w:val="single" w:sz="6" w:space="0" w:color="auto"/>
              <w:bottom w:val="single" w:sz="6" w:space="0" w:color="auto"/>
              <w:right w:val="single" w:sz="6" w:space="0" w:color="auto"/>
            </w:tcBorders>
          </w:tcPr>
          <w:p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Debitul</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Valori-limită </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bucătărie</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Supapă pentru mașinile de spălat vase</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lavoar și duș de mână</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duș</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baie</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golire</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rsidTr="00E83137">
        <w:trPr>
          <w:cantSplit/>
        </w:trPr>
        <w:tc>
          <w:tcPr>
            <w:tcW w:w="3752"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Supapă de grădină DN 15</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rsidTr="00E83137">
        <w:trPr>
          <w:cantSplit/>
        </w:trPr>
        <w:tc>
          <w:tcPr>
            <w:tcW w:w="3752"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Supapă de grădină DN 20</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rsidTr="00E83137">
        <w:trPr>
          <w:cantSplit/>
        </w:trPr>
        <w:tc>
          <w:tcPr>
            <w:tcW w:w="3752"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rsidR="00483C63" w:rsidRPr="00483C63" w:rsidRDefault="00483C63" w:rsidP="00E83137">
            <w:pPr>
              <w:jc w:val="center"/>
              <w:rPr>
                <w:rFonts w:ascii="Times New Roman" w:hAnsi="Times New Roman"/>
                <w:color w:val="000000"/>
                <w:sz w:val="20"/>
                <w:szCs w:val="20"/>
              </w:rPr>
            </w:pPr>
          </w:p>
        </w:tc>
      </w:tr>
    </w:tbl>
    <w:p w:rsidR="006A1A37" w:rsidRDefault="00EC2FF4" w:rsidP="00E83137">
      <w:pPr>
        <w:pStyle w:val="LLPykala"/>
        <w:keepNext/>
        <w:keepLines/>
        <w:spacing w:before="240" w:after="240"/>
      </w:pPr>
      <w:r>
        <w:t>Articolul 10</w:t>
      </w:r>
    </w:p>
    <w:p w:rsidR="003B65C9" w:rsidRDefault="009A6CFC" w:rsidP="00E83137">
      <w:pPr>
        <w:pStyle w:val="LLPykalanOtsikko"/>
        <w:keepNext/>
        <w:keepLines/>
      </w:pPr>
      <w:r>
        <w:t xml:space="preserve">Rezistența </w:t>
      </w:r>
    </w:p>
    <w:p w:rsidR="0062671D" w:rsidRPr="00666BA2" w:rsidRDefault="009A6CFC" w:rsidP="00666BA2">
      <w:pPr>
        <w:pStyle w:val="LLVoimaantulokappale"/>
      </w:pPr>
      <w:r>
        <w:t>Obiectele sanitare trebuie să reziste la presiunile mecanice, chimice și termice prezente în instalațiile de alimentare cu apă, astfel încât obiectele sanitare să rămână funcționale și igienice pe parcursul duratei de viață planificate.</w:t>
      </w:r>
    </w:p>
    <w:p w:rsidR="003B65C9" w:rsidRPr="00666BA2" w:rsidRDefault="003B65C9" w:rsidP="00666BA2">
      <w:pPr>
        <w:pStyle w:val="LLVoimaantulokappale"/>
      </w:pPr>
      <w:r>
        <w:t>Obiectele sanitare trebuie să poată rezista la condițiile de funcționare prezentate în tabelul 3, rămânând în același timp etanșe și fiabile.</w:t>
      </w:r>
    </w:p>
    <w:p w:rsidR="00335B53" w:rsidRDefault="00335B53" w:rsidP="00335B53">
      <w:pPr>
        <w:widowControl w:val="0"/>
        <w:ind w:right="56"/>
        <w:rPr>
          <w:rFonts w:ascii="Times New Roman" w:eastAsia="Times New Roman" w:hAnsi="Times New Roman"/>
          <w:i/>
          <w:snapToGrid w:val="0"/>
          <w:color w:val="000000"/>
          <w:sz w:val="20"/>
          <w:szCs w:val="20"/>
        </w:rPr>
      </w:pPr>
    </w:p>
    <w:p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Tabelul 3. Condiții de funcționare a obiectelor sanitare.</w:t>
      </w:r>
    </w:p>
    <w:p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Sistem de alimentare cu apă</w:t>
            </w:r>
          </w:p>
        </w:tc>
        <w:tc>
          <w:tcPr>
            <w:tcW w:w="4678" w:type="dxa"/>
            <w:gridSpan w:val="2"/>
            <w:tcBorders>
              <w:top w:val="single" w:sz="6" w:space="0" w:color="auto"/>
              <w:left w:val="single" w:sz="6" w:space="0" w:color="auto"/>
              <w:bottom w:val="single" w:sz="6" w:space="0" w:color="auto"/>
              <w:right w:val="single" w:sz="6" w:space="0" w:color="auto"/>
            </w:tcBorders>
          </w:tcPr>
          <w:p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Condiții de funcționare</w:t>
            </w:r>
          </w:p>
        </w:tc>
      </w:tr>
      <w:tr w:rsidR="003058CA" w:rsidTr="00E83137">
        <w:trPr>
          <w:cantSplit/>
        </w:trPr>
        <w:tc>
          <w:tcPr>
            <w:tcW w:w="3015" w:type="dxa"/>
            <w:gridSpan w:val="2"/>
            <w:vMerge/>
            <w:tcBorders>
              <w:left w:val="single" w:sz="6" w:space="0" w:color="auto"/>
              <w:bottom w:val="single" w:sz="6" w:space="0" w:color="auto"/>
              <w:right w:val="single" w:sz="6" w:space="0" w:color="auto"/>
            </w:tcBorders>
          </w:tcPr>
          <w:p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Valoare extremă</w:t>
            </w:r>
          </w:p>
        </w:tc>
        <w:tc>
          <w:tcPr>
            <w:tcW w:w="2410" w:type="dxa"/>
            <w:tcBorders>
              <w:top w:val="single" w:sz="6" w:space="0" w:color="auto"/>
              <w:left w:val="single" w:sz="6" w:space="0" w:color="auto"/>
              <w:bottom w:val="single" w:sz="6" w:space="0" w:color="auto"/>
              <w:right w:val="single" w:sz="6" w:space="0" w:color="auto"/>
            </w:tcBorders>
          </w:tcPr>
          <w:p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Condițiile normale de funcționare</w:t>
            </w:r>
          </w:p>
        </w:tc>
      </w:tr>
      <w:tr w:rsidR="004D7BEB" w:rsidTr="00E83137">
        <w:trPr>
          <w:cantSplit/>
        </w:trPr>
        <w:tc>
          <w:tcPr>
            <w:tcW w:w="747" w:type="dxa"/>
            <w:vMerge w:val="restart"/>
            <w:tcBorders>
              <w:top w:val="single" w:sz="6" w:space="0" w:color="auto"/>
              <w:left w:val="single" w:sz="6" w:space="0" w:color="auto"/>
              <w:right w:val="single" w:sz="6" w:space="0" w:color="auto"/>
            </w:tcBorders>
          </w:tcPr>
          <w:p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Presiune</w:t>
            </w:r>
          </w:p>
        </w:tc>
        <w:tc>
          <w:tcPr>
            <w:tcW w:w="2268" w:type="dxa"/>
            <w:tcBorders>
              <w:top w:val="single" w:sz="6" w:space="0" w:color="auto"/>
              <w:left w:val="single" w:sz="6" w:space="0" w:color="auto"/>
              <w:bottom w:val="single" w:sz="6" w:space="0" w:color="auto"/>
              <w:right w:val="single" w:sz="6" w:space="0" w:color="auto"/>
            </w:tcBorders>
          </w:tcPr>
          <w:p w:rsidR="004D7BEB" w:rsidRDefault="00BD47CC" w:rsidP="00E83137">
            <w:pPr>
              <w:rPr>
                <w:rFonts w:ascii="Times New Roman" w:hAnsi="Times New Roman"/>
                <w:color w:val="000000"/>
                <w:sz w:val="20"/>
                <w:szCs w:val="20"/>
              </w:rPr>
            </w:pPr>
            <w:r>
              <w:rPr>
                <w:rFonts w:ascii="Times New Roman" w:hAnsi="Times New Roman"/>
                <w:color w:val="000000"/>
                <w:sz w:val="20"/>
              </w:rPr>
              <w:t>Presiunea debitului, minimă</w:t>
            </w:r>
          </w:p>
        </w:tc>
        <w:tc>
          <w:tcPr>
            <w:tcW w:w="2268"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bari</w:t>
            </w:r>
          </w:p>
        </w:tc>
        <w:tc>
          <w:tcPr>
            <w:tcW w:w="2410"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bari</w:t>
            </w:r>
          </w:p>
        </w:tc>
      </w:tr>
      <w:tr w:rsidR="004D7BEB" w:rsidTr="00E83137">
        <w:trPr>
          <w:cantSplit/>
        </w:trPr>
        <w:tc>
          <w:tcPr>
            <w:tcW w:w="747" w:type="dxa"/>
            <w:vMerge/>
            <w:tcBorders>
              <w:left w:val="single" w:sz="6" w:space="0" w:color="auto"/>
              <w:bottom w:val="single" w:sz="6" w:space="0" w:color="auto"/>
              <w:right w:val="single" w:sz="6" w:space="0" w:color="auto"/>
            </w:tcBorders>
          </w:tcPr>
          <w:p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rsidR="004D7BEB" w:rsidRDefault="004D7BEB" w:rsidP="00E83137">
            <w:pPr>
              <w:rPr>
                <w:rFonts w:ascii="Times New Roman" w:hAnsi="Times New Roman"/>
                <w:color w:val="000000"/>
                <w:sz w:val="20"/>
                <w:szCs w:val="20"/>
              </w:rPr>
            </w:pPr>
            <w:r>
              <w:rPr>
                <w:rFonts w:ascii="Times New Roman" w:hAnsi="Times New Roman"/>
                <w:color w:val="000000"/>
                <w:sz w:val="20"/>
              </w:rPr>
              <w:t>Presiune statică, maximă</w:t>
            </w:r>
          </w:p>
        </w:tc>
        <w:tc>
          <w:tcPr>
            <w:tcW w:w="2268"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bari</w:t>
            </w:r>
          </w:p>
        </w:tc>
        <w:tc>
          <w:tcPr>
            <w:tcW w:w="2410"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bari</w:t>
            </w:r>
          </w:p>
        </w:tc>
      </w:tr>
      <w:tr w:rsidR="004D7BEB"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Temperatura apei, maximă</w:t>
            </w:r>
          </w:p>
        </w:tc>
        <w:tc>
          <w:tcPr>
            <w:tcW w:w="2268"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 °C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 °C</w:t>
            </w:r>
          </w:p>
        </w:tc>
      </w:tr>
      <w:tr w:rsidR="00BD47CC"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Robinete electronice: 75 °C </w:t>
            </w:r>
          </w:p>
        </w:tc>
      </w:tr>
    </w:tbl>
    <w:p w:rsidR="00DE02E7" w:rsidRDefault="00446020" w:rsidP="00E83137">
      <w:pPr>
        <w:pStyle w:val="LLPykala"/>
        <w:keepNext/>
        <w:keepLines/>
        <w:spacing w:before="240" w:after="240"/>
      </w:pPr>
      <w:r>
        <w:lastRenderedPageBreak/>
        <w:t>Articolul 11</w:t>
      </w:r>
    </w:p>
    <w:p w:rsidR="00DE02E7" w:rsidRDefault="00AB3AE1" w:rsidP="00E83137">
      <w:pPr>
        <w:pStyle w:val="LLPykalanOtsikko"/>
        <w:keepNext/>
        <w:keepLines/>
      </w:pPr>
      <w:r>
        <w:t xml:space="preserve">Grupele de niveluri de zgomot </w:t>
      </w:r>
    </w:p>
    <w:p w:rsidR="009916FE" w:rsidRDefault="00DE02E7" w:rsidP="00545CB0">
      <w:pPr>
        <w:pStyle w:val="LLNormaali"/>
        <w:ind w:firstLine="142"/>
        <w:jc w:val="both"/>
      </w:pPr>
      <w:r>
        <w:t xml:space="preserve">Se indică grupa de nivel de zgomot al obiectelor sanitare. Aceasta se determină în funcție de zgomotul cauzat de debitul de apă din produsele sanitare la o presiune a apei de 0,3 </w:t>
      </w:r>
      <w:proofErr w:type="spellStart"/>
      <w:r>
        <w:t>megapascali</w:t>
      </w:r>
      <w:proofErr w:type="spellEnd"/>
      <w:r>
        <w:t xml:space="preserve"> măsurată în condiții de laborator. Există trei grupe de nivel de zgomot și se determină pe baza nivelurilor de zgomot prezentate în tabelul 4. </w:t>
      </w:r>
    </w:p>
    <w:p w:rsidR="00AB3AE1" w:rsidRDefault="00AB3AE1" w:rsidP="00AB3AE1">
      <w:pPr>
        <w:widowControl w:val="0"/>
        <w:ind w:right="56"/>
        <w:rPr>
          <w:rFonts w:ascii="Times New Roman" w:eastAsia="Times New Roman" w:hAnsi="Times New Roman"/>
          <w:i/>
          <w:snapToGrid w:val="0"/>
          <w:color w:val="000000"/>
          <w:sz w:val="20"/>
          <w:szCs w:val="20"/>
        </w:rPr>
      </w:pPr>
    </w:p>
    <w:p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Tabelul 4. Grupa de nivel de zgomot al obiectelor sanitare.</w:t>
      </w:r>
    </w:p>
    <w:p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rsidTr="00E83137">
        <w:trPr>
          <w:cantSplit/>
        </w:trPr>
        <w:tc>
          <w:tcPr>
            <w:tcW w:w="1947" w:type="dxa"/>
            <w:tcBorders>
              <w:top w:val="single" w:sz="6" w:space="0" w:color="auto"/>
              <w:left w:val="single" w:sz="6" w:space="0" w:color="auto"/>
              <w:bottom w:val="single" w:sz="6" w:space="0" w:color="auto"/>
            </w:tcBorders>
          </w:tcPr>
          <w:p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Grupa 1</w:t>
            </w:r>
          </w:p>
        </w:tc>
        <w:tc>
          <w:tcPr>
            <w:tcW w:w="1947" w:type="dxa"/>
            <w:tcBorders>
              <w:top w:val="single" w:sz="6" w:space="0" w:color="auto"/>
              <w:left w:val="single" w:sz="6" w:space="0" w:color="auto"/>
              <w:bottom w:val="single" w:sz="6" w:space="0" w:color="auto"/>
              <w:right w:val="single" w:sz="6" w:space="0" w:color="auto"/>
            </w:tcBorders>
          </w:tcPr>
          <w:p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Grupa 2</w:t>
            </w:r>
          </w:p>
        </w:tc>
        <w:tc>
          <w:tcPr>
            <w:tcW w:w="1948" w:type="dxa"/>
            <w:tcBorders>
              <w:top w:val="single" w:sz="6" w:space="0" w:color="auto"/>
              <w:bottom w:val="single" w:sz="6" w:space="0" w:color="auto"/>
              <w:right w:val="single" w:sz="6" w:space="0" w:color="auto"/>
            </w:tcBorders>
          </w:tcPr>
          <w:p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Grupa 3</w:t>
            </w:r>
          </w:p>
        </w:tc>
      </w:tr>
      <w:tr w:rsidR="009916FE" w:rsidRPr="009E5AD9" w:rsidTr="00E83137">
        <w:trPr>
          <w:cantSplit/>
        </w:trPr>
        <w:tc>
          <w:tcPr>
            <w:tcW w:w="1947" w:type="dxa"/>
            <w:tcBorders>
              <w:top w:val="dotted" w:sz="6" w:space="0" w:color="auto"/>
              <w:left w:val="single" w:sz="6" w:space="0" w:color="auto"/>
              <w:bottom w:val="single" w:sz="6" w:space="0" w:color="auto"/>
            </w:tcBorders>
          </w:tcPr>
          <w:p w:rsidR="009916FE" w:rsidRPr="009916FE" w:rsidRDefault="009916FE" w:rsidP="003A1DCA">
            <w:pPr>
              <w:jc w:val="center"/>
              <w:rPr>
                <w:rFonts w:ascii="Times New Roman" w:hAnsi="Times New Roman"/>
                <w:color w:val="000000"/>
              </w:rPr>
            </w:pPr>
            <w:proofErr w:type="spellStart"/>
            <w:r>
              <w:rPr>
                <w:rFonts w:ascii="Times New Roman" w:hAnsi="Times New Roman"/>
                <w:color w:val="000000"/>
              </w:rPr>
              <w:t>L</w:t>
            </w:r>
            <w:r>
              <w:rPr>
                <w:rFonts w:ascii="Times New Roman" w:hAnsi="Times New Roman"/>
                <w:color w:val="000000"/>
                <w:vertAlign w:val="subscript"/>
              </w:rPr>
              <w:t>ap</w:t>
            </w:r>
            <w:proofErr w:type="spellEnd"/>
            <w:r>
              <w:rPr>
                <w:rFonts w:ascii="Times New Roman" w:hAnsi="Times New Roman"/>
                <w:color w:val="000000"/>
                <w:vertAlign w:val="subscript"/>
              </w:rPr>
              <w:t xml:space="preserve">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rsidR="009916FE" w:rsidRPr="009916FE" w:rsidRDefault="009916FE" w:rsidP="003A1DCA">
            <w:pPr>
              <w:jc w:val="center"/>
              <w:rPr>
                <w:rFonts w:ascii="Times New Roman" w:hAnsi="Times New Roman"/>
                <w:color w:val="000000"/>
              </w:rPr>
            </w:pPr>
            <w:proofErr w:type="spellStart"/>
            <w:r>
              <w:rPr>
                <w:rFonts w:ascii="Times New Roman" w:hAnsi="Times New Roman"/>
                <w:color w:val="000000"/>
              </w:rPr>
              <w:t>L</w:t>
            </w:r>
            <w:r>
              <w:rPr>
                <w:rFonts w:ascii="Times New Roman" w:hAnsi="Times New Roman"/>
                <w:color w:val="000000"/>
                <w:vertAlign w:val="subscript"/>
              </w:rPr>
              <w:t>ap</w:t>
            </w:r>
            <w:proofErr w:type="spellEnd"/>
            <w:r>
              <w:rPr>
                <w:rFonts w:ascii="Times New Roman" w:hAnsi="Times New Roman"/>
                <w:color w:val="000000"/>
                <w:vertAlign w:val="subscript"/>
              </w:rPr>
              <w:t xml:space="preserve">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rsidR="009916FE" w:rsidRPr="009916FE" w:rsidRDefault="009916FE" w:rsidP="003A1DCA">
            <w:pPr>
              <w:jc w:val="center"/>
              <w:rPr>
                <w:rFonts w:ascii="Times New Roman" w:hAnsi="Times New Roman"/>
                <w:color w:val="000000"/>
              </w:rPr>
            </w:pPr>
            <w:proofErr w:type="spellStart"/>
            <w:r>
              <w:rPr>
                <w:rFonts w:ascii="Times New Roman" w:hAnsi="Times New Roman"/>
                <w:color w:val="000000"/>
              </w:rPr>
              <w:t>L</w:t>
            </w:r>
            <w:r>
              <w:rPr>
                <w:rFonts w:ascii="Times New Roman" w:hAnsi="Times New Roman"/>
                <w:color w:val="000000"/>
                <w:vertAlign w:val="subscript"/>
              </w:rPr>
              <w:t>ap</w:t>
            </w:r>
            <w:proofErr w:type="spellEnd"/>
            <w:r>
              <w:rPr>
                <w:rFonts w:ascii="Times New Roman" w:hAnsi="Times New Roman"/>
                <w:color w:val="000000"/>
                <w:vertAlign w:val="subscript"/>
              </w:rPr>
              <w:t xml:space="preserve"> </w:t>
            </w:r>
            <w:r>
              <w:rPr>
                <w:rFonts w:ascii="Times New Roman" w:hAnsi="Times New Roman"/>
                <w:color w:val="000000"/>
              </w:rPr>
              <w:t>&gt; 30 dB(A)</w:t>
            </w:r>
          </w:p>
        </w:tc>
      </w:tr>
    </w:tbl>
    <w:p w:rsidR="002A54A6" w:rsidRDefault="00915041" w:rsidP="00E83137">
      <w:pPr>
        <w:pStyle w:val="LLPykala"/>
        <w:keepNext/>
        <w:keepLines/>
        <w:spacing w:before="240" w:after="240"/>
      </w:pPr>
      <w:r>
        <w:t>Articolul 12</w:t>
      </w:r>
    </w:p>
    <w:p w:rsidR="002A54A6" w:rsidRPr="00666BA2" w:rsidRDefault="002A54A6" w:rsidP="00E83137">
      <w:pPr>
        <w:pStyle w:val="LLPykalanOtsikko"/>
        <w:keepNext/>
        <w:keepLines/>
      </w:pPr>
      <w:r>
        <w:t xml:space="preserve">Prevenirea returului apei </w:t>
      </w:r>
    </w:p>
    <w:p w:rsidR="008D28C7" w:rsidRDefault="002A54A6" w:rsidP="00666BA2">
      <w:pPr>
        <w:pStyle w:val="LLVoimaantulokappale"/>
      </w:pPr>
      <w:r>
        <w:t xml:space="preserve">Obiectele sanitare trebuie să aibă o protecție împotriva returului apei prin </w:t>
      </w:r>
      <w:proofErr w:type="spellStart"/>
      <w:r>
        <w:t>sifonaj</w:t>
      </w:r>
      <w:proofErr w:type="spellEnd"/>
      <w:r>
        <w:t xml:space="preserve">. În robinetele termostatice, debitul transversal al apei reci și calde trebuie prevenit prin supapele de sens instalate în racordurile fixe de admisie ale robinetului. Obiectele sanitare trebuie să dispună cel puțin de protecție împotriva returului apei prin </w:t>
      </w:r>
      <w:proofErr w:type="spellStart"/>
      <w:r>
        <w:t>sifonaj</w:t>
      </w:r>
      <w:proofErr w:type="spellEnd"/>
      <w:r>
        <w:t>, prezentată în tabelul 5.</w:t>
      </w:r>
    </w:p>
    <w:p w:rsidR="008D28C7" w:rsidRDefault="008D28C7" w:rsidP="008D28C7">
      <w:pPr>
        <w:spacing w:line="220" w:lineRule="exact"/>
        <w:ind w:firstLine="170"/>
        <w:jc w:val="both"/>
        <w:rPr>
          <w:rFonts w:ascii="Times New Roman" w:eastAsia="Times New Roman" w:hAnsi="Times New Roman"/>
        </w:rPr>
      </w:pPr>
    </w:p>
    <w:p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 xml:space="preserve">Tabelul 5. Protecția obiectelor sanitare împotriva returului apei prin </w:t>
      </w:r>
      <w:proofErr w:type="spellStart"/>
      <w:r>
        <w:rPr>
          <w:rFonts w:ascii="Times New Roman" w:hAnsi="Times New Roman"/>
          <w:sz w:val="20"/>
        </w:rPr>
        <w:t>sifonaj</w:t>
      </w:r>
      <w:proofErr w:type="spellEnd"/>
      <w:r>
        <w:rPr>
          <w:rFonts w:ascii="Times New Roman" w:hAnsi="Times New Roman"/>
          <w:sz w:val="20"/>
        </w:rPr>
        <w:t>.</w:t>
      </w:r>
    </w:p>
    <w:p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Unitatea supusă încercării</w:t>
            </w:r>
          </w:p>
        </w:tc>
        <w:tc>
          <w:tcPr>
            <w:tcW w:w="4678" w:type="dxa"/>
            <w:tcBorders>
              <w:top w:val="single" w:sz="6" w:space="0" w:color="auto"/>
              <w:bottom w:val="single" w:sz="6" w:space="0" w:color="auto"/>
              <w:right w:val="single" w:sz="6" w:space="0" w:color="auto"/>
            </w:tcBorders>
          </w:tcPr>
          <w:p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 xml:space="preserve">Protecția împotriva returului apei prin </w:t>
            </w:r>
            <w:proofErr w:type="spellStart"/>
            <w:r>
              <w:rPr>
                <w:rFonts w:ascii="Times New Roman" w:hAnsi="Times New Roman"/>
                <w:color w:val="000000"/>
                <w:sz w:val="20"/>
              </w:rPr>
              <w:t>sifonaj</w:t>
            </w:r>
            <w:proofErr w:type="spellEnd"/>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Duză</w:t>
            </w:r>
          </w:p>
        </w:tc>
        <w:tc>
          <w:tcPr>
            <w:tcW w:w="4678" w:type="dxa"/>
            <w:tcBorders>
              <w:top w:val="single" w:sz="6" w:space="0" w:color="auto"/>
              <w:bottom w:val="single" w:sz="6" w:space="0" w:color="auto"/>
              <w:right w:val="single" w:sz="6" w:space="0" w:color="auto"/>
            </w:tcBorders>
          </w:tcPr>
          <w:p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Strat de aer ≥ 25 mm</w:t>
            </w:r>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Duș de mână</w:t>
            </w:r>
          </w:p>
        </w:tc>
        <w:tc>
          <w:tcPr>
            <w:tcW w:w="4678" w:type="dxa"/>
            <w:tcBorders>
              <w:top w:val="single" w:sz="6" w:space="0" w:color="auto"/>
              <w:bottom w:val="single" w:sz="6" w:space="0" w:color="auto"/>
              <w:right w:val="single" w:sz="6" w:space="0" w:color="auto"/>
            </w:tcBorders>
          </w:tcPr>
          <w:p w:rsidR="008D28C7" w:rsidRDefault="00E83137" w:rsidP="00D83C91">
            <w:pPr>
              <w:jc w:val="center"/>
              <w:rPr>
                <w:rFonts w:ascii="Times New Roman" w:hAnsi="Times New Roman"/>
                <w:color w:val="000000"/>
                <w:sz w:val="20"/>
                <w:szCs w:val="20"/>
              </w:rPr>
            </w:pPr>
            <w:r>
              <w:rPr>
                <w:rFonts w:ascii="Times New Roman" w:hAnsi="Times New Roman"/>
                <w:color w:val="000000"/>
                <w:sz w:val="20"/>
              </w:rPr>
              <w:t>Dispozitiv automat de deviere, supapă de vid, supapă de sens</w:t>
            </w:r>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Robinet termostatic</w:t>
            </w:r>
          </w:p>
        </w:tc>
        <w:tc>
          <w:tcPr>
            <w:tcW w:w="4678" w:type="dxa"/>
            <w:tcBorders>
              <w:top w:val="single" w:sz="6" w:space="0" w:color="auto"/>
              <w:bottom w:val="single" w:sz="6" w:space="0" w:color="auto"/>
              <w:right w:val="single" w:sz="6" w:space="0" w:color="auto"/>
            </w:tcBorders>
          </w:tcPr>
          <w:p w:rsidR="008D28C7" w:rsidRDefault="008D28C7" w:rsidP="00D83C91">
            <w:pPr>
              <w:jc w:val="center"/>
              <w:rPr>
                <w:rFonts w:ascii="Times New Roman" w:hAnsi="Times New Roman"/>
                <w:color w:val="000000"/>
                <w:sz w:val="20"/>
                <w:szCs w:val="20"/>
              </w:rPr>
            </w:pPr>
            <w:r>
              <w:rPr>
                <w:rFonts w:ascii="Times New Roman" w:hAnsi="Times New Roman"/>
                <w:color w:val="000000"/>
                <w:sz w:val="20"/>
              </w:rPr>
              <w:t>Supape de sens</w:t>
            </w:r>
          </w:p>
        </w:tc>
      </w:tr>
      <w:tr w:rsidR="008D28C7" w:rsidRPr="00CE2F4E" w:rsidTr="00D83C91">
        <w:trPr>
          <w:cantSplit/>
        </w:trPr>
        <w:tc>
          <w:tcPr>
            <w:tcW w:w="2015" w:type="dxa"/>
            <w:tcBorders>
              <w:top w:val="single" w:sz="6" w:space="0" w:color="auto"/>
              <w:left w:val="single" w:sz="6" w:space="0" w:color="auto"/>
              <w:bottom w:val="single" w:sz="6" w:space="0" w:color="auto"/>
            </w:tcBorders>
          </w:tcPr>
          <w:p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Bideu cu duș de mână</w:t>
            </w:r>
          </w:p>
        </w:tc>
        <w:tc>
          <w:tcPr>
            <w:tcW w:w="4678" w:type="dxa"/>
            <w:tcBorders>
              <w:top w:val="single" w:sz="6" w:space="0" w:color="auto"/>
              <w:bottom w:val="single" w:sz="6" w:space="0" w:color="auto"/>
              <w:right w:val="single" w:sz="6" w:space="0" w:color="auto"/>
            </w:tcBorders>
          </w:tcPr>
          <w:p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Supape de sens</w:t>
            </w:r>
          </w:p>
        </w:tc>
      </w:tr>
    </w:tbl>
    <w:p w:rsidR="006A1A37" w:rsidRDefault="00915041" w:rsidP="00E83137">
      <w:pPr>
        <w:pStyle w:val="LLPykala"/>
        <w:keepNext/>
        <w:keepLines/>
        <w:spacing w:before="240" w:after="240"/>
      </w:pPr>
      <w:r>
        <w:t>Articolul 13</w:t>
      </w:r>
    </w:p>
    <w:p w:rsidR="003B65C9" w:rsidRDefault="003B65C9" w:rsidP="00666BA2">
      <w:pPr>
        <w:pStyle w:val="LLPykalanOtsikko"/>
        <w:keepNext/>
        <w:keepLines/>
      </w:pPr>
      <w:r>
        <w:t>Marcarea</w:t>
      </w:r>
    </w:p>
    <w:p w:rsidR="00863453" w:rsidRDefault="003B65C9" w:rsidP="00666BA2">
      <w:pPr>
        <w:pStyle w:val="LLVoimaantulokappale"/>
      </w:pPr>
      <w:r>
        <w:t>Obiectele sanitare trebuie să fie marcate astfel încât marcajul să indice cel puțin datele de identificare a producătorului.</w:t>
      </w:r>
    </w:p>
    <w:p w:rsidR="006A1A37" w:rsidRDefault="003E109B" w:rsidP="00666BA2">
      <w:pPr>
        <w:pStyle w:val="LLVoimaantulokappale"/>
      </w:pPr>
      <w:r>
        <w:t>Conexiunile de admisie ale obiectelor sanitare sunt marcate astfel încât să poată fi identificate. Într-un robinet termostatic, racordul de admisie a apei reci trebuie să fie marcat cu culoare albastră și racordul de admisie a apei calde cu culoarea roșie.</w:t>
      </w:r>
    </w:p>
    <w:p w:rsidR="008110FF" w:rsidRPr="00666BA2" w:rsidRDefault="008110FF" w:rsidP="00666BA2">
      <w:pPr>
        <w:pStyle w:val="LLPykala"/>
        <w:keepNext/>
        <w:keepLines/>
        <w:spacing w:before="240" w:after="240"/>
      </w:pPr>
      <w:r>
        <w:t>Articolul 14</w:t>
      </w:r>
    </w:p>
    <w:p w:rsidR="008110FF" w:rsidRPr="00666BA2" w:rsidRDefault="008110FF" w:rsidP="00E83137">
      <w:pPr>
        <w:pStyle w:val="LLPykalanOtsikko"/>
        <w:keepNext/>
        <w:keepLines/>
      </w:pPr>
      <w:r>
        <w:t>Determinarea empirică a caracteristicilor tehnice</w:t>
      </w:r>
    </w:p>
    <w:p w:rsidR="008110FF" w:rsidRPr="00666BA2" w:rsidRDefault="00F76F49" w:rsidP="00666BA2">
      <w:pPr>
        <w:pStyle w:val="LLVoimaantulokappale"/>
      </w:pPr>
      <w:r>
        <w:t>Producătorul determină caracteristicile tehnice prin intermediul încercării. Determinarea empirică se efectuează în țările membre ale Spațiului Economic European sau în Turcia folosind o procedură general acceptată. La cerere, raportul privind metodele utilizate pentru determinarea caracteristicilor tehnice și a rezultatelor încercărilor se furnizează întreprinderilor care realizează un proiect de construcție și autorității responsabile cu construcția și supravegherea pieței.</w:t>
      </w:r>
    </w:p>
    <w:p w:rsidR="006A1A37" w:rsidRDefault="00915041" w:rsidP="00E83137">
      <w:pPr>
        <w:pStyle w:val="LLPykala"/>
        <w:keepNext/>
        <w:keepLines/>
        <w:spacing w:before="240" w:after="240"/>
      </w:pPr>
      <w:r>
        <w:lastRenderedPageBreak/>
        <w:t>Articolul 15</w:t>
      </w:r>
    </w:p>
    <w:p w:rsidR="006A1A37" w:rsidRDefault="006A1A37" w:rsidP="00E83137">
      <w:pPr>
        <w:pStyle w:val="LLPykalanOtsikko"/>
        <w:keepNext/>
        <w:keepLines/>
      </w:pPr>
      <w:r>
        <w:t>Intrare în vigoare</w:t>
      </w:r>
    </w:p>
    <w:p w:rsidR="006A1A37" w:rsidRDefault="006A1A37" w:rsidP="00666BA2">
      <w:pPr>
        <w:pStyle w:val="LLVoimaantulokappale"/>
      </w:pPr>
      <w:r>
        <w:t>Prezentul decret intră în vigoare la 1 ianuarie 2020.</w:t>
      </w:r>
    </w:p>
    <w:p w:rsidR="00E700CA" w:rsidRDefault="00E700CA" w:rsidP="00666BA2">
      <w:pPr>
        <w:pStyle w:val="LLVoimaantulokappale"/>
      </w:pPr>
      <w:r>
        <w:t>Dispozițiile în vigoare la data intrării în vigoare a prezentului decret se aplică tuturor proiectelor aflate în derulare.</w:t>
      </w:r>
    </w:p>
    <w:p w:rsidR="006A1A37" w:rsidRDefault="006A1A37" w:rsidP="006A1A37">
      <w:pPr>
        <w:pStyle w:val="LLNormaali"/>
      </w:pPr>
    </w:p>
    <w:p w:rsidR="006A1A37" w:rsidRPr="00300472" w:rsidRDefault="006A1A37" w:rsidP="006A1A37">
      <w:pPr>
        <w:pStyle w:val="LLNormaali"/>
      </w:pPr>
    </w:p>
    <w:p w:rsidR="006A1A37" w:rsidRDefault="006A1A37" w:rsidP="006A1A37">
      <w:pPr>
        <w:pStyle w:val="LLPaivays"/>
      </w:pPr>
      <w:r>
        <w:t>Helsinki, 11 aprilie 2019</w:t>
      </w:r>
    </w:p>
    <w:p w:rsidR="006A1A37" w:rsidRDefault="006A1A37" w:rsidP="006A1A37">
      <w:pPr>
        <w:pStyle w:val="LLNormaali"/>
      </w:pPr>
    </w:p>
    <w:p w:rsidR="006A1A37" w:rsidRDefault="006A1A37" w:rsidP="006A1A37">
      <w:pPr>
        <w:pStyle w:val="LLNormaali"/>
      </w:pPr>
    </w:p>
    <w:p w:rsidR="006A1A37" w:rsidRDefault="001543CC" w:rsidP="00E83137">
      <w:pPr>
        <w:pStyle w:val="LLMinisterinAllekirjoitus"/>
        <w:keepNext/>
        <w:keepLines/>
      </w:pPr>
      <w:r>
        <w:t xml:space="preserve">Ministrul Mediului, Energiei și Locuințelor, </w:t>
      </w:r>
      <w:proofErr w:type="spellStart"/>
      <w:r>
        <w:t>Kimmo</w:t>
      </w:r>
      <w:proofErr w:type="spellEnd"/>
      <w:r>
        <w:t xml:space="preserve"> </w:t>
      </w:r>
      <w:proofErr w:type="spellStart"/>
      <w:r>
        <w:t>Tiilikainen</w:t>
      </w:r>
      <w:proofErr w:type="spellEnd"/>
    </w:p>
    <w:p w:rsidR="006A1A37" w:rsidRDefault="006A1A37" w:rsidP="00E83137">
      <w:pPr>
        <w:pStyle w:val="LLNormaali"/>
        <w:keepNext/>
        <w:keepLines/>
      </w:pPr>
    </w:p>
    <w:p w:rsidR="006A1A37" w:rsidRDefault="006A1A37" w:rsidP="00E83137">
      <w:pPr>
        <w:pStyle w:val="LLNormaali"/>
        <w:keepNext/>
        <w:keepLines/>
      </w:pPr>
    </w:p>
    <w:p w:rsidR="002D0561" w:rsidRPr="002D0561" w:rsidRDefault="006A1A37" w:rsidP="00E83137">
      <w:pPr>
        <w:pStyle w:val="LLEsittelijanVarmennus"/>
        <w:jc w:val="center"/>
      </w:pPr>
      <w:r>
        <w:t xml:space="preserve">Inginer senior, </w:t>
      </w:r>
      <w:proofErr w:type="spellStart"/>
      <w:r>
        <w:t>Kaisa</w:t>
      </w:r>
      <w:proofErr w:type="spellEnd"/>
      <w:r>
        <w:t xml:space="preserve"> </w:t>
      </w:r>
      <w:proofErr w:type="spellStart"/>
      <w:r>
        <w:t>Kauko</w:t>
      </w:r>
      <w:proofErr w:type="spellEnd"/>
    </w:p>
    <w:sectPr w:rsidR="002D0561" w:rsidRPr="002D0561"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F43" w:rsidRDefault="002D7F43">
      <w:r>
        <w:separator/>
      </w:r>
    </w:p>
  </w:endnote>
  <w:endnote w:type="continuationSeparator" w:id="0">
    <w:p w:rsidR="002D7F43" w:rsidRDefault="002D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rsidR="00E83137" w:rsidRDefault="00E83137" w:rsidP="009E1D1D">
        <w:pPr>
          <w:pStyle w:val="Footer"/>
          <w:jc w:val="center"/>
        </w:pPr>
        <w:r>
          <w:fldChar w:fldCharType="begin"/>
        </w:r>
        <w:r>
          <w:instrText xml:space="preserve"> PAGE   \* MERGEFORMAT </w:instrText>
        </w:r>
        <w:r>
          <w:fldChar w:fldCharType="separate"/>
        </w:r>
        <w:r w:rsidR="009E1D1D">
          <w:rPr>
            <w:noProof/>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F7" w:rsidRPr="00E725A9" w:rsidRDefault="005949F7">
    <w:pPr>
      <w:pStyle w:val="Footer"/>
      <w:rPr>
        <w:rFonts w:ascii="Times New Roman" w:hAnsi="Times New Roman"/>
        <w:sz w:val="16"/>
        <w:szCs w:val="16"/>
      </w:rPr>
    </w:pPr>
    <w:r>
      <w:rPr>
        <w:rFonts w:ascii="Times New Roman" w:hAnsi="Times New Roman"/>
        <w:sz w:val="16"/>
        <w:szCs w:val="16"/>
      </w:rPr>
      <w:t>Directiva (UE) 2015/1535 a Parlamentului European și a Consiliului (32015L1535); JO L 241, 17.9.2015, p.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F43" w:rsidRDefault="002D7F43">
      <w:r>
        <w:separator/>
      </w:r>
    </w:p>
  </w:footnote>
  <w:footnote w:type="continuationSeparator" w:id="0">
    <w:p w:rsidR="002D7F43" w:rsidRDefault="002D7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D7F43"/>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949F7"/>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49D"/>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762"/>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1D1D"/>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02C9E"/>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3E43"/>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25A9"/>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ro-RO"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ro-RO"/>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ro-RO" w:eastAsia="en-GB"/>
    </w:rPr>
  </w:style>
  <w:style w:type="paragraph" w:styleId="Revision">
    <w:name w:val="Revision"/>
    <w:hidden/>
    <w:uiPriority w:val="99"/>
    <w:semiHidden/>
    <w:rsid w:val="005D149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807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00C5C-4A90-45CC-B74A-52B69DC8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1</TotalTime>
  <Pages>5</Pages>
  <Words>1509</Words>
  <Characters>8607</Characters>
  <Application>Microsoft Office Word</Application>
  <DocSecurity>0</DocSecurity>
  <Lines>71</Lines>
  <Paragraphs>20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Ke, Tingting</cp:lastModifiedBy>
  <cp:revision>4</cp:revision>
  <cp:lastPrinted>2015-06-23T07:59:00Z</cp:lastPrinted>
  <dcterms:created xsi:type="dcterms:W3CDTF">2020-07-28T07:26:00Z</dcterms:created>
  <dcterms:modified xsi:type="dcterms:W3CDTF">2020-08-04T08:44:00Z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