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5BD06EA2" w:rsidR="00EC0A5A" w:rsidRPr="00FF0858" w:rsidRDefault="00F35BDC" w:rsidP="00EC0A5A">
      <w:pPr>
        <w:pStyle w:val="PlainText"/>
        <w:rPr>
          <w:rFonts w:ascii="Courier New" w:hAnsi="Courier New" w:cs="Courier New"/>
          <w:sz w:val="20"/>
          <w:szCs w:val="20"/>
        </w:rPr>
      </w:pPr>
      <w:r w:rsidRPr="00FF0858">
        <w:rPr>
          <w:rFonts w:ascii="Courier New" w:hAnsi="Courier New"/>
          <w:sz w:val="20"/>
        </w:rPr>
        <w:t xml:space="preserve">1. ------IND- 2018 0650 FIN DA- ------ 20190107 --- --- PROJET </w:t>
      </w:r>
    </w:p>
    <w:p w14:paraId="647DE0F0" w14:textId="77777777" w:rsidR="00EC0A5A" w:rsidRDefault="00EC0A5A" w:rsidP="00550738">
      <w:pPr>
        <w:pStyle w:val="LLMinisterionAsetus"/>
      </w:pPr>
    </w:p>
    <w:p w14:paraId="14175602" w14:textId="77777777" w:rsidR="006A1A37" w:rsidRDefault="006A1A37" w:rsidP="00550738">
      <w:pPr>
        <w:pStyle w:val="LLMinisterionAsetus"/>
      </w:pPr>
      <w:r>
        <w:t>Miljøministeriets dekret</w:t>
      </w:r>
    </w:p>
    <w:p w14:paraId="4EBBBE25" w14:textId="243DA883" w:rsidR="00716A6B" w:rsidRPr="003E26AD" w:rsidRDefault="008D4D36" w:rsidP="00550738">
      <w:pPr>
        <w:pStyle w:val="LLNormaali"/>
        <w:jc w:val="center"/>
        <w:rPr>
          <w:b/>
        </w:rPr>
      </w:pPr>
      <w:r>
        <w:rPr>
          <w:b/>
        </w:rPr>
        <w:t>om typegodkendelsen af vandarmaturer til vandinstallationer i bygninger</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Ved miljøministeriets beslutning fastlægges følgende i henhold til § 6, stk. 3, § 9, stk. 2, og § 10, stk. 3, i lov om typegodkendelse af visse byggevarer (954/2012):</w:t>
      </w:r>
    </w:p>
    <w:p w14:paraId="1005B5A2" w14:textId="77777777" w:rsidR="006A1A37" w:rsidRDefault="006A1A37" w:rsidP="00550738">
      <w:pPr>
        <w:pStyle w:val="LLPykala"/>
        <w:keepNext/>
        <w:keepLines/>
        <w:spacing w:before="240" w:after="240"/>
      </w:pPr>
      <w:r>
        <w:t>§ 1</w:t>
      </w:r>
    </w:p>
    <w:p w14:paraId="4615D2A1" w14:textId="77777777" w:rsidR="006A1A37" w:rsidRDefault="006A1A37" w:rsidP="00550738">
      <w:pPr>
        <w:pStyle w:val="LLPykalanOtsikko"/>
        <w:keepNext/>
        <w:keepLines/>
        <w:spacing w:after="240"/>
      </w:pPr>
      <w:r>
        <w:t>Dekretets anvendelsesområde</w:t>
      </w:r>
    </w:p>
    <w:p w14:paraId="206086D2" w14:textId="6F2CD699" w:rsidR="00501DF5" w:rsidRDefault="002D7E58" w:rsidP="00CC2462">
      <w:pPr>
        <w:pStyle w:val="LLJohtolauseKappaleet"/>
      </w:pPr>
      <w:r>
        <w:t>Dette dekret gælder for kravene til typegodkendelse af vandarmaturer beregnet til transport af drikkevand og varmt vand i hjemmet anbragt i bygninger og ejendomme.</w:t>
      </w:r>
    </w:p>
    <w:p w14:paraId="06E4F34E" w14:textId="77777777" w:rsidR="006A1A37" w:rsidRDefault="006A1A37" w:rsidP="00550738">
      <w:pPr>
        <w:pStyle w:val="LLPykala"/>
        <w:keepNext/>
        <w:keepLines/>
        <w:spacing w:before="240" w:after="240"/>
      </w:pPr>
      <w:r>
        <w:t>§ 2</w:t>
      </w:r>
    </w:p>
    <w:p w14:paraId="1856AE09" w14:textId="77777777" w:rsidR="006A1A37" w:rsidRDefault="006A1A37" w:rsidP="00550738">
      <w:pPr>
        <w:pStyle w:val="LLPykalanOtsikko"/>
        <w:keepNext/>
        <w:keepLines/>
        <w:spacing w:after="240"/>
      </w:pPr>
      <w:r>
        <w:t>Definitioner</w:t>
      </w:r>
    </w:p>
    <w:p w14:paraId="1DF8779F" w14:textId="3B5661B8" w:rsidR="00AD3350" w:rsidRDefault="00AD3350" w:rsidP="00CC2462">
      <w:pPr>
        <w:pStyle w:val="LLJohtolauseKappaleet"/>
        <w:keepNext/>
        <w:keepLines/>
      </w:pPr>
      <w:r>
        <w:t>For så vidt angår dette dekret, gælder følgende:</w:t>
      </w:r>
    </w:p>
    <w:p w14:paraId="505F59AC" w14:textId="29B69DF8" w:rsidR="00A85386" w:rsidRPr="0008438B" w:rsidRDefault="00501DF5" w:rsidP="00CC2462">
      <w:pPr>
        <w:pStyle w:val="LLJohtolauseKappaleet"/>
      </w:pPr>
      <w:r>
        <w:rPr>
          <w:i/>
        </w:rPr>
        <w:t xml:space="preserve">1) Reguleringsventil til vandarmaturet </w:t>
      </w:r>
      <w:r>
        <w:t>betyder kombinationen af lukkestykke, drivmekanisme og aktuator. Lukkestykket tillader eller forhindrer vand i at løbe igennem vandarmaturet. Dette lukkestykke styres af aktuatoren ved brug af drivmekanismen. Lukkestykket kan styres manuelt eller elektrisk.</w:t>
      </w:r>
    </w:p>
    <w:p w14:paraId="7500037B" w14:textId="190A78B2" w:rsidR="00D72775" w:rsidRDefault="00501DF5" w:rsidP="00CC2462">
      <w:pPr>
        <w:pStyle w:val="LLJohtolauseKappaleet"/>
      </w:pPr>
      <w:r>
        <w:rPr>
          <w:i/>
        </w:rPr>
        <w:t>2) Elektronisk vandarmatur</w:t>
      </w:r>
      <w:r>
        <w:t xml:space="preserve"> betyder en vandhane med en elektrisk styret reguleringsventil.</w:t>
      </w:r>
    </w:p>
    <w:p w14:paraId="3CD39F74" w14:textId="77777777" w:rsidR="006A1A37" w:rsidRPr="00CF6EB7" w:rsidRDefault="006A1A37" w:rsidP="00550738">
      <w:pPr>
        <w:pStyle w:val="LLPykala"/>
        <w:keepNext/>
        <w:keepLines/>
        <w:spacing w:before="240" w:after="240"/>
      </w:pPr>
      <w:r>
        <w:t>§ 3</w:t>
      </w:r>
    </w:p>
    <w:p w14:paraId="1D98F46B" w14:textId="41C504BA" w:rsidR="002D7E58" w:rsidRPr="002D7E58" w:rsidRDefault="00AD3350" w:rsidP="00550738">
      <w:pPr>
        <w:pStyle w:val="LLPykalanOtsikko"/>
        <w:keepNext/>
        <w:keepLines/>
        <w:spacing w:after="240"/>
        <w:rPr>
          <w:i w:val="0"/>
        </w:rPr>
      </w:pPr>
      <w:r>
        <w:t>Påvisning af overensstemmelse</w:t>
      </w:r>
    </w:p>
    <w:p w14:paraId="0FE56718" w14:textId="19BF72C6" w:rsidR="002D7E58" w:rsidRDefault="002D7E58" w:rsidP="00CC2462">
      <w:pPr>
        <w:pStyle w:val="LLJohtolauseKappaleet"/>
      </w:pPr>
      <w:r>
        <w:t>Typegodkendelse skal påvise, at vandarmaturerne opfylder de gældende og væsentlige tekniske krav, der er fastsat i § 117c i loven om arealanvendelse og byggeri (132/1999), som ændret ved loven (958/2012) og fastsat i medfør heraf.</w:t>
      </w:r>
    </w:p>
    <w:p w14:paraId="171CD7AA" w14:textId="60A2D65E" w:rsidR="006A1A37" w:rsidRDefault="006A1A37" w:rsidP="00550738">
      <w:pPr>
        <w:pStyle w:val="LLPykala"/>
        <w:keepNext/>
        <w:keepLines/>
        <w:spacing w:before="240" w:after="240"/>
      </w:pPr>
      <w:r>
        <w:t>§ 4</w:t>
      </w:r>
    </w:p>
    <w:p w14:paraId="488A5D70" w14:textId="77777777" w:rsidR="002D7E58" w:rsidRPr="002D7E58" w:rsidRDefault="002D7E58" w:rsidP="00550738">
      <w:pPr>
        <w:pStyle w:val="LLPykalanOtsikko"/>
        <w:keepNext/>
        <w:keepLines/>
        <w:spacing w:after="240"/>
        <w:rPr>
          <w:i w:val="0"/>
        </w:rPr>
      </w:pPr>
      <w:r>
        <w:t>Egnethed til transport af drikkevand</w:t>
      </w:r>
    </w:p>
    <w:p w14:paraId="7F2F72DE" w14:textId="1BE2D60C" w:rsidR="00A536E0" w:rsidRPr="00CC2462" w:rsidRDefault="00244ED7" w:rsidP="00CC2462">
      <w:pPr>
        <w:pStyle w:val="LLJohtolauseKappaleet"/>
      </w:pPr>
      <w:r>
        <w:t xml:space="preserve">Et akkrediteret testlaboratorium skal undersøge materialespecifikationerne for vandarmaturerne. </w:t>
      </w:r>
    </w:p>
    <w:p w14:paraId="157BE83C" w14:textId="59209D09" w:rsidR="00B41701" w:rsidRPr="00CC2462" w:rsidRDefault="00B41701" w:rsidP="00CC2462">
      <w:pPr>
        <w:pStyle w:val="LLJohtolauseKappaleet"/>
      </w:pPr>
      <w:r>
        <w:t>Et akkrediteret testlaboratorium skal undersøge blyindholdet afgivet i testvandet fra byggematerialet fra vandarmaturet med en perkolationstest over et tidsrum på 26 uger, eller bly og cadmium, som afgives fra vandarmaturer skal testes over et tidsrum på ti dage i overensstemmelse med bilag 1.</w:t>
      </w:r>
    </w:p>
    <w:p w14:paraId="23689952" w14:textId="77777777" w:rsidR="006A1A37" w:rsidRDefault="006A1A37" w:rsidP="00550738">
      <w:pPr>
        <w:pStyle w:val="LLPykala"/>
        <w:keepNext/>
        <w:keepLines/>
        <w:spacing w:before="240" w:after="240"/>
      </w:pPr>
      <w:r>
        <w:lastRenderedPageBreak/>
        <w:t>§ 5</w:t>
      </w:r>
    </w:p>
    <w:p w14:paraId="7ECEA213" w14:textId="4DC1AD9A" w:rsidR="002D7E58" w:rsidRPr="000F06E3" w:rsidRDefault="00740D24" w:rsidP="00550738">
      <w:pPr>
        <w:pStyle w:val="LLPykalanOtsikko"/>
        <w:keepNext/>
        <w:keepLines/>
        <w:spacing w:after="240"/>
        <w:rPr>
          <w:i w:val="0"/>
        </w:rPr>
      </w:pPr>
      <w:r>
        <w:t xml:space="preserve">Kemisk sammensætning og metaldelenes korrosionsbestandighed </w:t>
      </w:r>
    </w:p>
    <w:p w14:paraId="1B1D62B3" w14:textId="3F7F303B" w:rsidR="00B41701" w:rsidRDefault="00B41701" w:rsidP="00CC2462">
      <w:pPr>
        <w:pStyle w:val="LLJohtolauseKappaleet"/>
      </w:pPr>
      <w:r>
        <w:t>Et akkrediteret testlaboratorium skal analysere vandarmaturernes kemiske sammensætning. Sammensætningen skal svare til sammensætningen, der er angivet af producenten.</w:t>
      </w:r>
    </w:p>
    <w:p w14:paraId="0D6A18CF" w14:textId="01D9E64D" w:rsidR="00B41701" w:rsidRDefault="00B41701" w:rsidP="00CC2462">
      <w:pPr>
        <w:pStyle w:val="LLJohtolauseKappaleet"/>
      </w:pPr>
      <w:r>
        <w:t>Et akkrediteret testlaboratorium skal måle vandarmaturernes modstandsdygtighed over for afzinkning, hvis zinkindholdet i vandarmaturernes kemiske sammensætning er over 15 procent.</w:t>
      </w:r>
    </w:p>
    <w:p w14:paraId="64904D08" w14:textId="77777777" w:rsidR="003A4E6A" w:rsidRPr="007C4179" w:rsidRDefault="00B72F51" w:rsidP="00550738">
      <w:pPr>
        <w:pStyle w:val="LLPykala"/>
        <w:keepNext/>
        <w:keepLines/>
        <w:spacing w:before="240" w:after="240"/>
      </w:pPr>
      <w:r>
        <w:t>§ 6</w:t>
      </w:r>
    </w:p>
    <w:p w14:paraId="0EE80EAA" w14:textId="77777777" w:rsidR="003A4E6A" w:rsidRPr="007E7C2D" w:rsidRDefault="00A54D43" w:rsidP="00550738">
      <w:pPr>
        <w:pStyle w:val="LLPykalanOtsikko"/>
        <w:keepNext/>
        <w:keepLines/>
        <w:spacing w:after="240"/>
        <w:rPr>
          <w:i w:val="0"/>
        </w:rPr>
      </w:pPr>
      <w:r>
        <w:t>Udvendig overflade</w:t>
      </w:r>
    </w:p>
    <w:p w14:paraId="18B0D269" w14:textId="7FCC9FC4" w:rsidR="00C15999" w:rsidRDefault="00E46BEE" w:rsidP="00CC2462">
      <w:pPr>
        <w:pStyle w:val="LLJohtolauseKappaleet"/>
      </w:pPr>
      <w:r>
        <w:t xml:space="preserve">Et akkrediteret testlaboratorium skal visuelt kontrollere vandarmaturernes udvendige overflade. </w:t>
      </w:r>
    </w:p>
    <w:p w14:paraId="191BE3E5" w14:textId="1994090E" w:rsidR="009E4F60" w:rsidRDefault="009E4F60" w:rsidP="00CC2462">
      <w:pPr>
        <w:pStyle w:val="LLJohtolauseKappaleet"/>
      </w:pPr>
      <w:r>
        <w:t>Et akkrediteret testlaboratorium skal kontrollere måleresultatet for overfladetemperaturen på vandarmaturets reguleringsventil, der er specificeret af producenten.</w:t>
      </w:r>
    </w:p>
    <w:p w14:paraId="1E18D876" w14:textId="77777777" w:rsidR="00A54D43" w:rsidRPr="007C4179" w:rsidRDefault="00A54D43" w:rsidP="00550738">
      <w:pPr>
        <w:pStyle w:val="LLPykala"/>
        <w:keepNext/>
        <w:keepLines/>
        <w:spacing w:before="240" w:after="240"/>
      </w:pPr>
      <w:r>
        <w:t>§ 7</w:t>
      </w:r>
    </w:p>
    <w:p w14:paraId="3A34F58B" w14:textId="77777777" w:rsidR="00A54D43" w:rsidRPr="006E6A64" w:rsidRDefault="00A54D43" w:rsidP="00550738">
      <w:pPr>
        <w:pStyle w:val="LLPykalanOtsikko"/>
        <w:keepNext/>
        <w:keepLines/>
        <w:spacing w:after="240"/>
        <w:rPr>
          <w:i w:val="0"/>
        </w:rPr>
      </w:pPr>
      <w:r>
        <w:t>Montering og funktioner</w:t>
      </w:r>
    </w:p>
    <w:p w14:paraId="5303EEBC" w14:textId="2B8D9374" w:rsidR="00C15999" w:rsidRDefault="003C71ED" w:rsidP="00CC2462">
      <w:pPr>
        <w:pStyle w:val="LLJohtolauseKappaleet"/>
      </w:pPr>
      <w:r>
        <w:t>Et akkrediteret testlaboratorium skal kontrollere vandarmaturernes montering og funktion. Vandarmaturer skal monteres i overensstemmelse med producentens anvisninger. Vandarmaturer skal fungere i overensstemmelse med producentens angivelser. Den elektroniske vandhanes funktioner skal kontrolleres mindst to gange.</w:t>
      </w:r>
    </w:p>
    <w:p w14:paraId="0787F8ED" w14:textId="77777777" w:rsidR="00ED6D8C" w:rsidRPr="00C574E0" w:rsidRDefault="00ED6D8C" w:rsidP="00550738">
      <w:pPr>
        <w:pStyle w:val="LLPykala"/>
        <w:keepNext/>
        <w:keepLines/>
        <w:spacing w:before="240" w:after="240"/>
      </w:pPr>
      <w:r>
        <w:t>§ 8</w:t>
      </w:r>
    </w:p>
    <w:p w14:paraId="06655B7E" w14:textId="77777777" w:rsidR="00ED6D8C" w:rsidRPr="00C574E0" w:rsidRDefault="00ED6D8C" w:rsidP="00550738">
      <w:pPr>
        <w:pStyle w:val="LLPykalanOtsikko"/>
        <w:keepNext/>
        <w:keepLines/>
        <w:spacing w:after="240"/>
      </w:pPr>
      <w:r>
        <w:t>Elektroniske vandhaner</w:t>
      </w:r>
    </w:p>
    <w:p w14:paraId="79739782" w14:textId="380F9E5A" w:rsidR="00ED6D8C" w:rsidRPr="00C15999" w:rsidRDefault="00131B1F" w:rsidP="00CC2462">
      <w:pPr>
        <w:pStyle w:val="LLJohtolauseKappaleet"/>
      </w:pPr>
      <w:r>
        <w:t xml:space="preserve">Et akkrediteret testlaboratorium skal kontrollere elektroniske vandhaners elektroniske enheder. I en elektronisk vandhane skal beskyttelsesgraden af den elektroniske enhed, der er specificeret af producenten, kontrolleres. </w:t>
      </w:r>
    </w:p>
    <w:p w14:paraId="628852E8" w14:textId="75A18946" w:rsidR="00CC3D71" w:rsidRPr="00CC2462" w:rsidRDefault="00ED6D8C" w:rsidP="00CC2462">
      <w:pPr>
        <w:pStyle w:val="LLJohtolauseKappaleet"/>
      </w:pPr>
      <w:r>
        <w:t>En netdrevet vandhane skal kontrolleres for at sikre, at vandforsyningen er lukket i tilfælde af strømsvigt.</w:t>
      </w:r>
    </w:p>
    <w:p w14:paraId="22E171B7" w14:textId="29ACB360" w:rsidR="003B65C9" w:rsidRPr="00CC2462" w:rsidRDefault="00ED6D8C" w:rsidP="00CC2462">
      <w:pPr>
        <w:pStyle w:val="LLJohtolauseKappaleet"/>
      </w:pPr>
      <w:r>
        <w:t>En batteridrevet vandhane skal kontrolleres for at sikre, at vandhanen forbliver lukket, hvis batterispændingen falder til under driftsgrænsen. Testen skal udføres ved at erstatte batteriet med en strømforsyning med justerbar udgangsspænding.</w:t>
      </w:r>
    </w:p>
    <w:p w14:paraId="307ADAA9" w14:textId="77777777" w:rsidR="006A1A37" w:rsidRDefault="00ED6D8C" w:rsidP="00550738">
      <w:pPr>
        <w:pStyle w:val="LLPykala"/>
        <w:keepNext/>
        <w:keepLines/>
        <w:spacing w:before="240" w:after="240"/>
      </w:pPr>
      <w:r>
        <w:t>§ 9</w:t>
      </w:r>
    </w:p>
    <w:p w14:paraId="742359D6" w14:textId="77777777" w:rsidR="002D7E58" w:rsidRPr="002D7E58" w:rsidRDefault="00A55B06" w:rsidP="00550738">
      <w:pPr>
        <w:pStyle w:val="LLPykalanOtsikko"/>
        <w:keepNext/>
        <w:keepLines/>
        <w:spacing w:after="240"/>
        <w:rPr>
          <w:i w:val="0"/>
        </w:rPr>
      </w:pPr>
      <w:r>
        <w:t>Dimensioner</w:t>
      </w:r>
    </w:p>
    <w:p w14:paraId="520DBAA4" w14:textId="4D9F2959" w:rsidR="00B72F51" w:rsidRDefault="00BD2739" w:rsidP="00550738">
      <w:pPr>
        <w:pStyle w:val="LLNormaali"/>
        <w:ind w:firstLine="170"/>
        <w:jc w:val="both"/>
      </w:pPr>
      <w:r>
        <w:t xml:space="preserve">Et akkrediteret testlaboratorium skal kontrollere vandarmaturernes konstruktion og tilslutningsdimensioner. </w:t>
      </w:r>
    </w:p>
    <w:p w14:paraId="594A7112" w14:textId="77777777" w:rsidR="006A1A37" w:rsidRDefault="00ED6D8C" w:rsidP="00550738">
      <w:pPr>
        <w:pStyle w:val="LLPykala"/>
        <w:keepNext/>
        <w:keepLines/>
        <w:spacing w:before="240" w:after="240"/>
      </w:pPr>
      <w:r>
        <w:t>§ 10</w:t>
      </w:r>
    </w:p>
    <w:p w14:paraId="17E0A179" w14:textId="77777777" w:rsidR="002D7E58" w:rsidRPr="002D7E58" w:rsidRDefault="002D7E58" w:rsidP="00550738">
      <w:pPr>
        <w:pStyle w:val="LLPykalanOtsikko"/>
        <w:keepNext/>
        <w:keepLines/>
        <w:spacing w:after="240"/>
        <w:rPr>
          <w:i w:val="0"/>
        </w:rPr>
      </w:pPr>
      <w:r>
        <w:t>Tæthed</w:t>
      </w:r>
    </w:p>
    <w:p w14:paraId="61ADC219" w14:textId="563C70EC" w:rsidR="00C15999" w:rsidRDefault="00BD2739" w:rsidP="00CC2462">
      <w:pPr>
        <w:pStyle w:val="LLJohtolauseKappaleet"/>
      </w:pPr>
      <w:r>
        <w:t>Et akkrediteret testlaboratorium skal kontrollere vandarmaturerne for lækage. Tæthed skal kontrolleres ved brug af koldt vand (25±5) grader celsius som vist i tabel 1. Under prøvningen skal vandarmaturet lukkes tæt. Aflederen skal fungere i overensstemmelse med den påtænkte anvendelse og den anvendte vandbane skal ikke lække igennem den anden strømningsbane. Vandarmaturer må ikke have krydsstrøm.</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t>Tabel 1. Tæthedstest for vandarmaturer.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82"/>
        <w:gridCol w:w="2500"/>
        <w:gridCol w:w="1094"/>
        <w:gridCol w:w="1445"/>
        <w:gridCol w:w="780"/>
        <w:gridCol w:w="1105"/>
      </w:tblGrid>
      <w:tr w:rsidR="00070D75" w:rsidRPr="0065423A" w14:paraId="06B332D2" w14:textId="77777777" w:rsidTr="00550738">
        <w:trPr>
          <w:cantSplit/>
        </w:trPr>
        <w:tc>
          <w:tcPr>
            <w:tcW w:w="2547"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Enhed, der testes</w:t>
            </w:r>
          </w:p>
        </w:tc>
        <w:tc>
          <w:tcPr>
            <w:tcW w:w="396"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z w:val="20"/>
              </w:rPr>
              <w:t>Lukkestykke</w:t>
            </w:r>
          </w:p>
        </w:tc>
        <w:tc>
          <w:tcPr>
            <w:tcW w:w="949"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Udløbsåbning</w:t>
            </w:r>
          </w:p>
        </w:tc>
        <w:tc>
          <w:tcPr>
            <w:tcW w:w="553"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Tryk</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555"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Testvarighed</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6F107B" w:rsidRPr="0065423A" w14:paraId="6E016CDD" w14:textId="77777777" w:rsidTr="00550738">
        <w:trPr>
          <w:cantSplit/>
        </w:trPr>
        <w:tc>
          <w:tcPr>
            <w:tcW w:w="886"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Reguleringsventil og ventilhus</w:t>
            </w:r>
          </w:p>
        </w:tc>
        <w:tc>
          <w:tcPr>
            <w:tcW w:w="1661"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Strømningsbane indtil lukkestykket</w:t>
            </w:r>
          </w:p>
        </w:tc>
        <w:tc>
          <w:tcPr>
            <w:tcW w:w="396"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Luk</w:t>
            </w:r>
          </w:p>
        </w:tc>
        <w:tc>
          <w:tcPr>
            <w:tcW w:w="949"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Åben</w:t>
            </w:r>
          </w:p>
        </w:tc>
        <w:tc>
          <w:tcPr>
            <w:tcW w:w="553"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 0,5</w:t>
            </w:r>
          </w:p>
        </w:tc>
        <w:tc>
          <w:tcPr>
            <w:tcW w:w="555"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 5</w:t>
            </w:r>
          </w:p>
        </w:tc>
      </w:tr>
      <w:tr w:rsidR="006F107B" w:rsidRPr="0065423A" w14:paraId="693E0DE8" w14:textId="77777777" w:rsidTr="00550738">
        <w:trPr>
          <w:cantSplit/>
        </w:trPr>
        <w:tc>
          <w:tcPr>
            <w:tcW w:w="886"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61"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Strømningsbane efter lukkestykket</w:t>
            </w:r>
          </w:p>
        </w:tc>
        <w:tc>
          <w:tcPr>
            <w:tcW w:w="396"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Åbn</w:t>
            </w:r>
          </w:p>
        </w:tc>
        <w:tc>
          <w:tcPr>
            <w:tcW w:w="949"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Lukket</w:t>
            </w:r>
          </w:p>
        </w:tc>
        <w:tc>
          <w:tcPr>
            <w:tcW w:w="553"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 0,2 </w:t>
            </w:r>
          </w:p>
        </w:tc>
        <w:tc>
          <w:tcPr>
            <w:tcW w:w="555"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550738">
        <w:trPr>
          <w:cantSplit/>
        </w:trPr>
        <w:tc>
          <w:tcPr>
            <w:tcW w:w="886"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61"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396"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Åbn</w:t>
            </w:r>
          </w:p>
        </w:tc>
        <w:tc>
          <w:tcPr>
            <w:tcW w:w="949"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Lukket</w:t>
            </w:r>
          </w:p>
        </w:tc>
        <w:tc>
          <w:tcPr>
            <w:tcW w:w="553"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0,02</w:t>
            </w:r>
          </w:p>
        </w:tc>
        <w:tc>
          <w:tcPr>
            <w:tcW w:w="555"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550738">
        <w:trPr>
          <w:cantSplit/>
        </w:trPr>
        <w:tc>
          <w:tcPr>
            <w:tcW w:w="886"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r>
              <w:rPr>
                <w:rFonts w:ascii="Times New Roman" w:hAnsi="Times New Roman"/>
                <w:color w:val="000000"/>
                <w:sz w:val="20"/>
              </w:rPr>
              <w:t>Afleder, manuel reset</w:t>
            </w:r>
          </w:p>
        </w:tc>
        <w:tc>
          <w:tcPr>
            <w:tcW w:w="2057"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Lukkestykke åben, afleder i badekarposition</w:t>
            </w:r>
          </w:p>
        </w:tc>
        <w:tc>
          <w:tcPr>
            <w:tcW w:w="949"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lukket/S: åben</w:t>
            </w:r>
          </w:p>
        </w:tc>
        <w:tc>
          <w:tcPr>
            <w:tcW w:w="553"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 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0,02</w:t>
            </w:r>
          </w:p>
        </w:tc>
        <w:tc>
          <w:tcPr>
            <w:tcW w:w="555"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550738">
        <w:trPr>
          <w:cantSplit/>
        </w:trPr>
        <w:tc>
          <w:tcPr>
            <w:tcW w:w="886"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åben, afleder i bruserposition</w:t>
            </w:r>
          </w:p>
        </w:tc>
        <w:tc>
          <w:tcPr>
            <w:tcW w:w="949"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lukket/A: åben</w:t>
            </w:r>
          </w:p>
        </w:tc>
        <w:tc>
          <w:tcPr>
            <w:tcW w:w="553"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5"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550738">
        <w:trPr>
          <w:cantSplit/>
        </w:trPr>
        <w:tc>
          <w:tcPr>
            <w:tcW w:w="886"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r>
              <w:rPr>
                <w:rFonts w:ascii="Times New Roman" w:hAnsi="Times New Roman"/>
                <w:color w:val="000000"/>
                <w:sz w:val="20"/>
              </w:rPr>
              <w:t>Afleder, automatisk reset</w:t>
            </w: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åben, afleder i badekarposition</w:t>
            </w:r>
          </w:p>
        </w:tc>
        <w:tc>
          <w:tcPr>
            <w:tcW w:w="949"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Begge åbne</w:t>
            </w:r>
          </w:p>
        </w:tc>
        <w:tc>
          <w:tcPr>
            <w:tcW w:w="553"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 0,2</w:t>
            </w:r>
          </w:p>
        </w:tc>
        <w:tc>
          <w:tcPr>
            <w:tcW w:w="555"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550738">
        <w:trPr>
          <w:cantSplit/>
        </w:trPr>
        <w:tc>
          <w:tcPr>
            <w:tcW w:w="886"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åben, afleder i bruserposition</w:t>
            </w:r>
          </w:p>
        </w:tc>
        <w:tc>
          <w:tcPr>
            <w:tcW w:w="949"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 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 0,02</w:t>
            </w:r>
          </w:p>
        </w:tc>
        <w:tc>
          <w:tcPr>
            <w:tcW w:w="555"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550738">
        <w:trPr>
          <w:cantSplit/>
        </w:trPr>
        <w:tc>
          <w:tcPr>
            <w:tcW w:w="886"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Lukkestykke lukket</w:t>
            </w:r>
          </w:p>
        </w:tc>
        <w:tc>
          <w:tcPr>
            <w:tcW w:w="949"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5"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550738">
        <w:trPr>
          <w:cantSplit/>
        </w:trPr>
        <w:tc>
          <w:tcPr>
            <w:tcW w:w="886"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Lukkestykke åben, afleder i badekarposition</w:t>
            </w:r>
          </w:p>
        </w:tc>
        <w:tc>
          <w:tcPr>
            <w:tcW w:w="949"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 0,02</w:t>
            </w:r>
          </w:p>
        </w:tc>
        <w:tc>
          <w:tcPr>
            <w:tcW w:w="555"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550738">
        <w:trPr>
          <w:cantSplit/>
        </w:trPr>
        <w:tc>
          <w:tcPr>
            <w:tcW w:w="886"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z w:val="20"/>
              </w:rPr>
              <w:t>Reguleringsventil</w:t>
            </w:r>
          </w:p>
        </w:tc>
        <w:tc>
          <w:tcPr>
            <w:tcW w:w="1661"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z w:val="20"/>
              </w:rPr>
              <w:t>Krydsstrøm mellem indløbstilslutninger</w:t>
            </w:r>
          </w:p>
        </w:tc>
        <w:tc>
          <w:tcPr>
            <w:tcW w:w="396"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Luk</w:t>
            </w:r>
          </w:p>
        </w:tc>
        <w:tc>
          <w:tcPr>
            <w:tcW w:w="949"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Åben</w:t>
            </w:r>
          </w:p>
        </w:tc>
        <w:tc>
          <w:tcPr>
            <w:tcW w:w="553"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 0,2</w:t>
            </w:r>
          </w:p>
        </w:tc>
        <w:tc>
          <w:tcPr>
            <w:tcW w:w="555"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badekar, S = bruser</w:t>
      </w:r>
    </w:p>
    <w:p w14:paraId="0623CC3A" w14:textId="4FC658A7" w:rsidR="002D7E58" w:rsidRDefault="00ED6D8C" w:rsidP="00550738">
      <w:pPr>
        <w:pStyle w:val="LLPykala"/>
        <w:keepNext/>
        <w:keepLines/>
        <w:spacing w:before="240" w:after="240"/>
      </w:pPr>
      <w:r>
        <w:t>§ 11</w:t>
      </w:r>
    </w:p>
    <w:p w14:paraId="265E863E" w14:textId="77777777" w:rsidR="006D5BA9" w:rsidRPr="006D5BA9" w:rsidRDefault="006D5BA9" w:rsidP="00550738">
      <w:pPr>
        <w:pStyle w:val="LLPykalanOtsikko"/>
        <w:keepNext/>
        <w:keepLines/>
        <w:spacing w:after="240"/>
        <w:rPr>
          <w:i w:val="0"/>
        </w:rPr>
      </w:pPr>
      <w:r>
        <w:t>Trykmodstand</w:t>
      </w:r>
    </w:p>
    <w:p w14:paraId="1350C2B5" w14:textId="5C61C4DD" w:rsidR="006D5BA9" w:rsidRDefault="00C62FA4" w:rsidP="00CC2462">
      <w:pPr>
        <w:pStyle w:val="LLJohtolauseKappaleet"/>
      </w:pPr>
      <w:r>
        <w:t>Et akkrediteret testlaboratorium skal kontrollere trykmodstanden for vandarmaturerne. Trykprøvningen skal udføres ved brug af koldt vand (25±5) grader celsius som vist i tabel 2. I løbet af testen må der ikke forekomme blivende formændring i vandarmaturerne.</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Tabel 2. Trykprøvning for vandarmaturer.</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Enhed, der testes</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Lukkestykke</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Udløb</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Tryk</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Testvarighed</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Strømningsbane indtil lukkestykket</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Luk</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Åben</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 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 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Strømningsbane efter lukkestykket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Åbn</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Åben</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 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 5</w:t>
            </w:r>
          </w:p>
        </w:tc>
      </w:tr>
    </w:tbl>
    <w:p w14:paraId="3BF35B64" w14:textId="77777777" w:rsidR="004671DD" w:rsidRDefault="00F162EC" w:rsidP="00550738">
      <w:pPr>
        <w:pStyle w:val="LLPykala"/>
        <w:keepNext/>
        <w:keepLines/>
        <w:spacing w:before="240" w:after="240"/>
      </w:pPr>
      <w:r>
        <w:t>§ 12</w:t>
      </w:r>
    </w:p>
    <w:p w14:paraId="0205EB8A" w14:textId="4421EA39" w:rsidR="004671DD" w:rsidRDefault="009A1BF1" w:rsidP="00550738">
      <w:pPr>
        <w:pStyle w:val="LLPykalanOtsikko"/>
        <w:keepNext/>
        <w:keepLines/>
        <w:spacing w:after="240"/>
        <w:rPr>
          <w:i w:val="0"/>
        </w:rPr>
      </w:pPr>
      <w:r>
        <w:t>Standardgennemstrømningshastighed</w:t>
      </w:r>
    </w:p>
    <w:p w14:paraId="7FB957B1" w14:textId="568C8F98" w:rsidR="00C15999" w:rsidRPr="00CC2462" w:rsidRDefault="00F0784A" w:rsidP="00CC2462">
      <w:pPr>
        <w:pStyle w:val="LLJohtolauseKappaleet"/>
      </w:pPr>
      <w:r>
        <w:t>Et akkrediteret testlaboratorium skal kontrollere standardgennemstrømningshastigheden i vandarmaturerne. Standardgennemstrømningshastighed skal kontrolleres ved brug af testudstyr, der er under et vandtryk på (3 0/+0,2) bar. Under prøvningen er vandarmaturets reguleringsventil helt åben. I en blandet type vandarmatur skal standardgennemstrømningshastighed måles ved følgende blandede vandtemperatur: koldt vand (10–15) grader celsius, 34 grader celsius, 38 grader celsius, 44 grader celsius og varmt vand (60–65) grader celsius.</w:t>
      </w:r>
    </w:p>
    <w:p w14:paraId="4E5B34B1" w14:textId="77777777" w:rsidR="00D72775" w:rsidRDefault="00F162EC" w:rsidP="00550738">
      <w:pPr>
        <w:pStyle w:val="LLPykala"/>
        <w:keepNext/>
        <w:keepLines/>
        <w:spacing w:before="240" w:after="240"/>
      </w:pPr>
      <w:r>
        <w:lastRenderedPageBreak/>
        <w:t>§ 13</w:t>
      </w:r>
    </w:p>
    <w:p w14:paraId="1C015992" w14:textId="77777777" w:rsidR="00D72775" w:rsidRDefault="00D72775" w:rsidP="00550738">
      <w:pPr>
        <w:pStyle w:val="LLPykalanOtsikko"/>
        <w:keepNext/>
        <w:keepLines/>
        <w:spacing w:after="240"/>
        <w:rPr>
          <w:i w:val="0"/>
        </w:rPr>
      </w:pPr>
      <w:r>
        <w:t>Kontrolfunktioner</w:t>
      </w:r>
    </w:p>
    <w:p w14:paraId="7AD605C2" w14:textId="2DEF9D5A" w:rsidR="00800AEA" w:rsidRPr="00CC2462" w:rsidRDefault="003F3666" w:rsidP="00CC2462">
      <w:pPr>
        <w:pStyle w:val="LLJohtolauseKappaleet"/>
      </w:pPr>
      <w:r>
        <w:t>Et akkrediteret testlaboratorium skal kontrollere kontrolfunktionerne for den blandede type vandarmaturer. Testen skal udføres ved brug af testudstyr til vandarmaturer, der er under et vandtryk på (3 0/+0,2) bar. I løbet af testen skal de test udføres, der er vist i tabel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Tabel 3. Testning af vandarmaturers kontrolfunktioner.</w:t>
      </w:r>
    </w:p>
    <w:tbl>
      <w:tblPr>
        <w:tblStyle w:val="TableGrid"/>
        <w:tblW w:w="5000" w:type="pct"/>
        <w:tblCellMar>
          <w:left w:w="57" w:type="dxa"/>
          <w:right w:w="57" w:type="dxa"/>
        </w:tblCellMar>
        <w:tblLook w:val="01E0" w:firstRow="1" w:lastRow="1" w:firstColumn="1" w:lastColumn="1" w:noHBand="0" w:noVBand="0"/>
      </w:tblPr>
      <w:tblGrid>
        <w:gridCol w:w="3441"/>
        <w:gridCol w:w="1435"/>
        <w:gridCol w:w="1865"/>
        <w:gridCol w:w="1719"/>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Test</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Krav</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Blandingsbatteri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Brusehaner; Gv</w:t>
            </w:r>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Andre vandhaner; Gv</w:t>
            </w:r>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Blandet vandtemperatur T</w:t>
            </w:r>
            <w:r>
              <w:rPr>
                <w:rFonts w:ascii="Times New Roman" w:hAnsi="Times New Roman"/>
                <w:sz w:val="20"/>
                <w:vertAlign w:val="subscript"/>
              </w:rPr>
              <w:t>s</w:t>
            </w:r>
            <w:r>
              <w:rPr>
                <w:rFonts w:ascii="Times New Roman" w:hAnsi="Times New Roman"/>
                <w:sz w:val="20"/>
              </w:rPr>
              <w:t xml:space="preserve"> følsomhedsregulering mellem (T</w:t>
            </w:r>
            <w:r>
              <w:rPr>
                <w:rFonts w:ascii="Times New Roman" w:hAnsi="Times New Roman"/>
                <w:sz w:val="20"/>
                <w:vertAlign w:val="subscript"/>
              </w:rPr>
              <w:t>m</w:t>
            </w:r>
            <w:r>
              <w:rPr>
                <w:rFonts w:ascii="Times New Roman" w:hAnsi="Times New Roman"/>
                <w:sz w:val="20"/>
              </w:rPr>
              <w:t xml:space="preserve"> - 4) og (T</w:t>
            </w:r>
            <w:r>
              <w:rPr>
                <w:rFonts w:ascii="Times New Roman" w:hAnsi="Times New Roman"/>
                <w:sz w:val="20"/>
                <w:vertAlign w:val="subscript"/>
              </w:rPr>
              <w:t>m</w:t>
            </w:r>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eller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 eller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Termostatisk vandhane</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Køkkenvandhaner</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Andre vandhaner</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Følsomhedsregulering mellem 34 °C og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Ved starten af test 1–3, T</w:t>
            </w:r>
            <w:r>
              <w:rPr>
                <w:rFonts w:ascii="Times New Roman" w:hAnsi="Times New Roman"/>
                <w:sz w:val="20"/>
                <w:vertAlign w:val="subscript"/>
              </w:rPr>
              <w:t>s</w:t>
            </w:r>
            <w:r>
              <w:rPr>
                <w:rFonts w:ascii="Times New Roman" w:hAnsi="Times New Roman"/>
                <w:sz w:val="20"/>
              </w:rPr>
              <w:t xml:space="preserve"> = (38±1)°C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Sikkerhed når koldvandforsyning afbrydes, vandmængde</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Temperaturstabilitet under forandringen af koldtvandstryk</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Trykforandring: 3 bar -&gt; 2 bar, 15 s -&gt; 3 bar, 60 s -&gt; 2 bar, 15 s -&gt; 3 bar,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maksimal afvigelse 2 K 20 s og efter reset. Desuden T</w:t>
            </w:r>
            <w:r>
              <w:rPr>
                <w:rFonts w:ascii="Times New Roman" w:hAnsi="Times New Roman"/>
                <w:sz w:val="20"/>
                <w:vertAlign w:val="subscript"/>
              </w:rPr>
              <w:t>s</w:t>
            </w:r>
            <w:r>
              <w:rPr>
                <w:rFonts w:ascii="Times New Roman" w:hAnsi="Times New Roman"/>
                <w:sz w:val="20"/>
              </w:rPr>
              <w:t xml:space="preserve"> maksimal afvigelse efter 3 K 1 s for andet end badekarudløb.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Temperaturstabilitet under forandringen af varmtvandstryk</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Forandring af temperatur: varmt vand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90835FF"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er blandet vandtemperatur</w:t>
            </w:r>
          </w:p>
          <w:p w14:paraId="2B0702C0" w14:textId="4647AD6C"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 xml:space="preserve">      middeltemperatur for koldt og varmt vand</w:t>
            </w:r>
          </w:p>
          <w:p w14:paraId="470148BB" w14:textId="2B03A7C3" w:rsidR="009C10E4" w:rsidRPr="00CC2462" w:rsidRDefault="00872D80" w:rsidP="002148BB">
            <w:pPr>
              <w:suppressAutoHyphens/>
              <w:rPr>
                <w:rFonts w:ascii="Times New Roman" w:hAnsi="Times New Roman"/>
                <w:sz w:val="20"/>
                <w:szCs w:val="20"/>
              </w:rPr>
            </w:pPr>
            <w:r>
              <w:rPr>
                <w:rFonts w:ascii="Times New Roman" w:hAnsi="Times New Roman"/>
                <w:sz w:val="20"/>
              </w:rPr>
              <w:t xml:space="preserve">Gv    </w:t>
            </w:r>
            <w:r w:rsidR="004905DA">
              <w:rPr>
                <w:rFonts w:ascii="Times New Roman" w:hAnsi="Times New Roman"/>
                <w:sz w:val="20"/>
              </w:rPr>
              <w:t xml:space="preserve">  </w:t>
            </w:r>
            <w:r>
              <w:rPr>
                <w:rFonts w:ascii="Times New Roman" w:hAnsi="Times New Roman"/>
                <w:sz w:val="20"/>
              </w:rPr>
              <w:t>forskydning af enden af blandingsbatteriets dysehåndtag eller forandring i rotationsvinkel</w:t>
            </w:r>
          </w:p>
          <w:p w14:paraId="73CE4E08" w14:textId="46D4E0F3" w:rsidR="00872D80" w:rsidRPr="00CC2462" w:rsidRDefault="00EB7D9A" w:rsidP="002148BB">
            <w:pPr>
              <w:suppressAutoHyphens/>
              <w:rPr>
                <w:rFonts w:ascii="Times New Roman" w:hAnsi="Times New Roman"/>
                <w:sz w:val="20"/>
                <w:szCs w:val="20"/>
              </w:rPr>
            </w:pPr>
            <w:r>
              <w:rPr>
                <w:rFonts w:ascii="Times New Roman" w:hAnsi="Times New Roman"/>
                <w:sz w:val="20"/>
              </w:rPr>
              <w:t xml:space="preserve">r      </w:t>
            </w:r>
            <w:r w:rsidR="004905DA">
              <w:rPr>
                <w:rFonts w:ascii="Times New Roman" w:hAnsi="Times New Roman"/>
                <w:sz w:val="20"/>
              </w:rPr>
              <w:t xml:space="preserve">  </w:t>
            </w:r>
            <w:bookmarkStart w:id="0" w:name="_GoBack"/>
            <w:bookmarkEnd w:id="0"/>
            <w:r>
              <w:rPr>
                <w:rFonts w:ascii="Times New Roman" w:hAnsi="Times New Roman"/>
                <w:sz w:val="20"/>
              </w:rPr>
              <w:t xml:space="preserve"> afstand mellem enden på dysehåndtaget og blandingsbatteriets centrale akse</w:t>
            </w:r>
          </w:p>
        </w:tc>
      </w:tr>
    </w:tbl>
    <w:p w14:paraId="1CBD340A" w14:textId="77777777" w:rsidR="002D7E58" w:rsidRDefault="002D7E58" w:rsidP="00550738">
      <w:pPr>
        <w:pStyle w:val="LLPykala"/>
        <w:keepNext/>
        <w:keepLines/>
        <w:spacing w:before="240" w:after="240"/>
      </w:pPr>
      <w:r>
        <w:t>§ 14</w:t>
      </w:r>
    </w:p>
    <w:p w14:paraId="21823708" w14:textId="77777777" w:rsidR="006D5BA9" w:rsidRPr="006D5BA9" w:rsidRDefault="00BF7638" w:rsidP="00550738">
      <w:pPr>
        <w:pStyle w:val="LLPykalanOtsikko"/>
        <w:keepNext/>
        <w:keepLines/>
        <w:spacing w:after="240"/>
        <w:rPr>
          <w:i w:val="0"/>
        </w:rPr>
      </w:pPr>
      <w:r>
        <w:t>Holdbarhed</w:t>
      </w:r>
    </w:p>
    <w:p w14:paraId="1B85E7C1" w14:textId="5582000C" w:rsidR="006D5BA9" w:rsidRPr="00CC2462" w:rsidRDefault="00F10C4F" w:rsidP="00CC2462">
      <w:pPr>
        <w:pStyle w:val="LLJohtolauseKappaleet"/>
      </w:pPr>
      <w:r>
        <w:t>Et akkrediteret testlaboratorium skal kontrollere holdbarheden på blandingsbatteriets vandarmatur. Testen skal udføres ved brug af testudstyr, hvor der gentagne gange åbnes og lukkes for vandgennemstrømningen ved hjælp af ventilen. En manuel reguleringsventil skal lukkes ved en vinkelhastighed på (60±5) grader pr. sekund. Åbne og lukkede positioner skal holde i (5±0,5) sekunder. Antallet af driftscyklusser og testbetingelser under holdbarhedstest vises i tabel 4.</w:t>
      </w:r>
    </w:p>
    <w:p w14:paraId="4CF46FC8" w14:textId="11733792" w:rsidR="00AD41D1" w:rsidRDefault="00AD41D1" w:rsidP="00CC2462">
      <w:pPr>
        <w:pStyle w:val="LLJohtolauseKappaleet"/>
      </w:pPr>
      <w:r>
        <w:t>Efter holdbarhedstesten skal vandarmaturerne forsegles, hvis de testet i overensstemmelse med § 10 i dette dekret.</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 4. Testbetingelser for holdbarhedstest og antal driftscyklusser.</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775"/>
        <w:gridCol w:w="1717"/>
        <w:gridCol w:w="2403"/>
        <w:gridCol w:w="1565"/>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Enhed, der testes</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Vandtemperatur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(kold/varm)</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Tryk og gennemstrømningshastighed</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Antal cyklusser</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Reguleringsventil, skru-på</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val="restart"/>
          </w:tcPr>
          <w:p w14:paraId="3190EA97" w14:textId="6CBDAE15" w:rsidR="00F16AAE" w:rsidRDefault="00F16AAE" w:rsidP="002148BB">
            <w:pPr>
              <w:suppressAutoHyphens/>
              <w:rPr>
                <w:rFonts w:ascii="Times New Roman" w:hAnsi="Times New Roman"/>
                <w:sz w:val="20"/>
                <w:szCs w:val="20"/>
              </w:rPr>
            </w:pPr>
            <w:r>
              <w:rPr>
                <w:rFonts w:ascii="Times New Roman" w:hAnsi="Times New Roman"/>
                <w:sz w:val="20"/>
              </w:rPr>
              <w:t>(4± 0,5) bar</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Reguleringsventil, blandingsbatteri</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70 000 </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lastRenderedPageBreak/>
              <w:t>Reguleringsventil, termostatisk vandhane</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r>
              <w:rPr>
                <w:rFonts w:ascii="Times New Roman" w:hAnsi="Times New Roman"/>
                <w:sz w:val="20"/>
              </w:rPr>
              <w:t>Afleder</w:t>
            </w:r>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Vandhanetud, tilbageførsel</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Vaskemaskineventil</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Elektronisk vandarmatur, afløbshane</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Elektronisk vandarmatur, blandingsbatteri</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3F07B59C"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Blandingsbatterier: firkantet eller trekantet bane, inklusive tre åbne-/lukke-cyklusser, gennemstrømningens varighed (5±0,5) s</w:t>
            </w:r>
          </w:p>
        </w:tc>
      </w:tr>
    </w:tbl>
    <w:p w14:paraId="0D197F72" w14:textId="27225D5E" w:rsidR="002D7E58" w:rsidRDefault="002D7E58" w:rsidP="00550738">
      <w:pPr>
        <w:pStyle w:val="LLPykala"/>
        <w:keepNext/>
        <w:keepLines/>
        <w:spacing w:before="240" w:after="240"/>
      </w:pPr>
      <w:r>
        <w:t>§ 15</w:t>
      </w:r>
    </w:p>
    <w:p w14:paraId="263AE2D3" w14:textId="77777777" w:rsidR="006D5BA9" w:rsidRDefault="00212378" w:rsidP="00550738">
      <w:pPr>
        <w:pStyle w:val="LLPykalanOtsikko"/>
        <w:keepNext/>
        <w:keepLines/>
        <w:spacing w:after="240"/>
        <w:rPr>
          <w:i w:val="0"/>
        </w:rPr>
      </w:pPr>
      <w:r>
        <w:t xml:space="preserve">Udmatningsstyrke for vridning af drivmekanisme </w:t>
      </w:r>
    </w:p>
    <w:p w14:paraId="3C1C8B26" w14:textId="54909F56" w:rsidR="005D05AE" w:rsidRDefault="00EE2532" w:rsidP="00CC2462">
      <w:pPr>
        <w:pStyle w:val="LLJohtolauseKappaleet"/>
      </w:pPr>
      <w:r>
        <w:t>Et akkrediteret testlaboratorium skal kontrollere udmatningsstyrken for vridning af drivmekanismen på vandarmaturet. Testen skal udføres som vist i tabel 5. I løbet af testen må der ikke forekomme blivende formændring i vandarmaturerne. Efter testen skal vandarmaturerne være tætte. Termostatiske vandhaner skal opfylde kravene til kontrolfunktioner.</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 5. Udmatningsstyrke for vridning af drivmekanisme.</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65"/>
        <w:gridCol w:w="1861"/>
        <w:gridCol w:w="2480"/>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Enhed, der testes</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Vridningssmoment</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Testvarighed</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Reguleringsventil: lukke-/åben-retninger</w:t>
            </w:r>
          </w:p>
        </w:tc>
        <w:tc>
          <w:tcPr>
            <w:tcW w:w="1107" w:type="pct"/>
            <w:tcBorders>
              <w:top w:val="single" w:sz="6" w:space="0" w:color="auto"/>
              <w:bottom w:val="single" w:sz="6" w:space="0" w:color="auto"/>
            </w:tcBorders>
          </w:tcPr>
          <w:p w14:paraId="7CD2659B"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(6±0,2) Nm</w:t>
            </w:r>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vridningsmoment</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accelerationstid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Termostatisk vandhane, temperatur kontrolhåndtag</w:t>
            </w:r>
          </w:p>
        </w:tc>
        <w:tc>
          <w:tcPr>
            <w:tcW w:w="1107" w:type="pct"/>
            <w:tcBorders>
              <w:top w:val="single" w:sz="6" w:space="0" w:color="auto"/>
              <w:bottom w:val="single" w:sz="6" w:space="0" w:color="auto"/>
            </w:tcBorders>
          </w:tcPr>
          <w:p w14:paraId="326A3837"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 16</w:t>
      </w:r>
    </w:p>
    <w:p w14:paraId="68FD2CFC" w14:textId="77777777" w:rsidR="006D5BA9" w:rsidRPr="006D5BA9" w:rsidRDefault="007A4CC9" w:rsidP="00550738">
      <w:pPr>
        <w:pStyle w:val="LLPykalanOtsikko"/>
        <w:keepNext/>
        <w:keepLines/>
        <w:spacing w:after="240"/>
        <w:rPr>
          <w:i w:val="0"/>
        </w:rPr>
      </w:pPr>
      <w:r>
        <w:t>Forebyggelse af tilbagestrømning</w:t>
      </w:r>
    </w:p>
    <w:p w14:paraId="3015D8DF" w14:textId="4E6FBFC9" w:rsidR="004E5E93" w:rsidRDefault="00EE2532" w:rsidP="00CC2462">
      <w:pPr>
        <w:pStyle w:val="LLJohtolauseKappaleet"/>
      </w:pPr>
      <w:r>
        <w:t xml:space="preserve">Et akkrediteret testlaboratorium skal kontrollere beskyttelsen mod tilbagesugning i vandarmaturerne. </w:t>
      </w:r>
    </w:p>
    <w:p w14:paraId="66EF51BC" w14:textId="77777777" w:rsidR="002D7E58" w:rsidRDefault="002D7E58" w:rsidP="00550738">
      <w:pPr>
        <w:pStyle w:val="LLPykala"/>
        <w:keepNext/>
        <w:keepLines/>
        <w:spacing w:before="240" w:after="240"/>
      </w:pPr>
      <w:r>
        <w:t>§ 17</w:t>
      </w:r>
    </w:p>
    <w:p w14:paraId="061F9874" w14:textId="3C8CCB76" w:rsidR="006D5BA9" w:rsidRPr="006D5BA9" w:rsidRDefault="006D5BA9" w:rsidP="00550738">
      <w:pPr>
        <w:pStyle w:val="LLPykalanOtsikko"/>
        <w:keepNext/>
        <w:keepLines/>
        <w:spacing w:after="240"/>
        <w:rPr>
          <w:i w:val="0"/>
        </w:rPr>
      </w:pPr>
      <w:r>
        <w:t>Støjniveau</w:t>
      </w:r>
    </w:p>
    <w:p w14:paraId="052856FC" w14:textId="5A913DDC" w:rsidR="002D7E58" w:rsidRPr="00CC2462" w:rsidRDefault="000752ED" w:rsidP="00CC2462">
      <w:pPr>
        <w:pStyle w:val="LLJohtolauseKappaleet"/>
      </w:pPr>
      <w:r>
        <w:t>Et akkrediteret testlaboratorium skal støjniveauet i vandarmaturerne. For måling af støjniveauet kan den udskiftelige enhed i vandarmaturet erstattes med strømningsmodstand. Denne gennemstrømning skal udvælges, så den svarer til den udskiftelige enhed for at kunne opfylde kravene til gennemstrømningshastighed i overensstemmelse med den påtænkte anvendelse af vandarmaturer.</w:t>
      </w:r>
    </w:p>
    <w:p w14:paraId="12705B3F" w14:textId="118714F4" w:rsidR="008D4D36" w:rsidRDefault="00021660" w:rsidP="00CC2462">
      <w:pPr>
        <w:pStyle w:val="LLJohtolauseKappaleet"/>
      </w:pPr>
      <w:r>
        <w:t>Støjniveauet for vandarmaturerne og tilsvarende gennemstrømningshastighed skal måles ved vandtryk på 0,1, 0,3 og 0,5 megapascal. I målingen bruges trykket på 0,3 megapascal, som bestemmer vandarmaturets støjgruppe, til at finde vandhanens maksimale støjniveau ved at dreje på dysehåndtagene. Støjniveaugruppen skal fastsættes på baggrund af målinger fra tre prøver.</w:t>
      </w:r>
    </w:p>
    <w:p w14:paraId="6A17592E" w14:textId="77777777" w:rsidR="002D7E58" w:rsidRDefault="002D7E58" w:rsidP="00550738">
      <w:pPr>
        <w:pStyle w:val="LLPykala"/>
        <w:keepNext/>
        <w:keepLines/>
        <w:spacing w:before="240" w:after="240"/>
      </w:pPr>
      <w:r>
        <w:t>§ 18</w:t>
      </w:r>
    </w:p>
    <w:p w14:paraId="1CC527A2" w14:textId="77777777" w:rsidR="006D5BA9" w:rsidRPr="006D5BA9" w:rsidRDefault="006D5BA9" w:rsidP="00550738">
      <w:pPr>
        <w:pStyle w:val="LLPykalanOtsikko"/>
        <w:keepNext/>
        <w:keepLines/>
        <w:spacing w:after="240"/>
        <w:rPr>
          <w:i w:val="0"/>
        </w:rPr>
      </w:pPr>
      <w:r>
        <w:t>Mærkning</w:t>
      </w:r>
    </w:p>
    <w:p w14:paraId="0BB2C61D" w14:textId="54E81564" w:rsidR="008D4D36" w:rsidRPr="00CC2462" w:rsidRDefault="00C90E99" w:rsidP="00CC2462">
      <w:pPr>
        <w:pStyle w:val="LLJohtolauseKappaleet"/>
      </w:pPr>
      <w:r>
        <w:t xml:space="preserve">Et akkrediteret testlaboratorium skal kontrollere vandarmaturernes mærkning. </w:t>
      </w:r>
    </w:p>
    <w:p w14:paraId="1C0EA578" w14:textId="77777777" w:rsidR="002D7E58" w:rsidRDefault="002D7E58" w:rsidP="00550738">
      <w:pPr>
        <w:pStyle w:val="LLPykala"/>
        <w:keepNext/>
        <w:keepLines/>
        <w:spacing w:before="240" w:after="240"/>
      </w:pPr>
      <w:r>
        <w:lastRenderedPageBreak/>
        <w:t>§ 19</w:t>
      </w:r>
    </w:p>
    <w:p w14:paraId="78EEAA68" w14:textId="77777777" w:rsidR="006D5BA9" w:rsidRPr="006D5BA9" w:rsidRDefault="006D5BA9" w:rsidP="00550738">
      <w:pPr>
        <w:pStyle w:val="LLPykalanOtsikko"/>
        <w:keepNext/>
        <w:keepLines/>
        <w:spacing w:after="240"/>
        <w:rPr>
          <w:i w:val="0"/>
        </w:rPr>
      </w:pPr>
      <w:r>
        <w:t>Typeprøvning</w:t>
      </w:r>
    </w:p>
    <w:p w14:paraId="770C525C" w14:textId="7A3B5397" w:rsidR="0008438B" w:rsidRDefault="00CA2483" w:rsidP="00CC2462">
      <w:pPr>
        <w:pStyle w:val="LLJohtolauseKappaleet"/>
      </w:pPr>
      <w:r>
        <w:t>Et akkrediteret laboratorium skal typeprøve vandarmaturerne for typegodkendelsen i overensstemmelse med testomfanget, som det fremgår af tabel 2.1.</w:t>
      </w:r>
    </w:p>
    <w:p w14:paraId="284AB8C0" w14:textId="5102BB65" w:rsidR="008D4D36" w:rsidRDefault="006D5BA9" w:rsidP="00CC2462">
      <w:pPr>
        <w:pStyle w:val="LLJohtolauseKappaleet"/>
      </w:pPr>
      <w:r>
        <w:t>Ved typeprøvning skal producenten udover prøver stille produkttegninger, herunder stykliste og specifikationer om råstoffer, materialedata og certifikater samt anvisninger til montering til rådighed.</w:t>
      </w:r>
    </w:p>
    <w:p w14:paraId="6375D8A5" w14:textId="77777777" w:rsidR="002D7E58" w:rsidRDefault="00ED6D8C" w:rsidP="00550738">
      <w:pPr>
        <w:pStyle w:val="LLPykala"/>
        <w:keepNext/>
        <w:keepLines/>
        <w:spacing w:before="240" w:after="240"/>
      </w:pPr>
      <w:r>
        <w:t>§ 20</w:t>
      </w:r>
    </w:p>
    <w:p w14:paraId="3B052F86" w14:textId="5205DB07" w:rsidR="006D5BA9" w:rsidRPr="006D5BA9" w:rsidRDefault="006D5BA9" w:rsidP="00550738">
      <w:pPr>
        <w:pStyle w:val="LLPykalanOtsikko"/>
        <w:keepNext/>
        <w:keepLines/>
        <w:spacing w:after="240"/>
        <w:rPr>
          <w:i w:val="0"/>
        </w:rPr>
      </w:pPr>
      <w:r>
        <w:t>Kvalitetskontrol i forbindelse med typegodkendelse</w:t>
      </w:r>
    </w:p>
    <w:p w14:paraId="166038B4" w14:textId="2826FDFB" w:rsidR="007A2E38" w:rsidRPr="002148BB" w:rsidRDefault="00E22470" w:rsidP="00CC2462">
      <w:pPr>
        <w:pStyle w:val="LLJohtolauseKappaleet"/>
      </w:pPr>
      <w:r>
        <w:t>Certificeringsorganet for kvalitetskontrol skal sikre, at vandarmaturerne opfylder kravene til typegodkendelse og desuden opfylder betingelserne i beslutningen om typegodkendelse.</w:t>
      </w:r>
    </w:p>
    <w:p w14:paraId="4F451703" w14:textId="4F588639" w:rsidR="008D4D36" w:rsidRDefault="006D5BA9" w:rsidP="00CC2462">
      <w:pPr>
        <w:pStyle w:val="LLJohtolauseKappaleet"/>
      </w:pPr>
      <w:r>
        <w:t>En kvalitetskontrolgruppe skal foretage en indledende kontrol af produktionsanlægget, en løbende overvågning af den interne kvalitetskontrol samt prøvninger af tilfældige produkter mindst en gang om året eller hyppigere, hvis produkterne ikke overholder typegodkendelseskravene. Omfanget af testningen af stikprøverne fremgår af tabel 2.2 i bilag 2.</w:t>
      </w:r>
    </w:p>
    <w:p w14:paraId="1FE215D5" w14:textId="7AEA3C6E" w:rsidR="008D4D36" w:rsidRDefault="00DF3012" w:rsidP="00CC2462">
      <w:pPr>
        <w:pStyle w:val="LLJohtolauseKappaleet"/>
      </w:pPr>
      <w:r>
        <w:t>Den interne kvalitetskontrol, som producenten har udført af produktionen, skal som minimum dække de kontroller og test, der fremgår af tabel 3.1 i bilag 3.</w:t>
      </w:r>
    </w:p>
    <w:p w14:paraId="0662A94F" w14:textId="77777777" w:rsidR="006A1A37" w:rsidRDefault="00ED6D8C" w:rsidP="00550738">
      <w:pPr>
        <w:pStyle w:val="LLPykala"/>
        <w:keepNext/>
        <w:keepLines/>
        <w:spacing w:before="240" w:after="240"/>
      </w:pPr>
      <w:r>
        <w:t>§ 21</w:t>
      </w:r>
    </w:p>
    <w:p w14:paraId="1205E823" w14:textId="77777777" w:rsidR="006A1A37" w:rsidRDefault="006A1A37" w:rsidP="00550738">
      <w:pPr>
        <w:pStyle w:val="LLPykalanOtsikko"/>
        <w:keepNext/>
        <w:keepLines/>
        <w:spacing w:after="240"/>
      </w:pPr>
      <w:r>
        <w:t>Ikrafttrædelse</w:t>
      </w:r>
    </w:p>
    <w:p w14:paraId="07A72F2E" w14:textId="2621DB47" w:rsidR="005320F8" w:rsidRDefault="006A1A37" w:rsidP="00550738">
      <w:pPr>
        <w:pStyle w:val="LLKappalejako"/>
      </w:pPr>
      <w:r>
        <w:t>Dette dekret træder i kraft den [dato] [måned] 20XX.</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3E1C5055" w:rsidR="008D4D36" w:rsidRDefault="006A1A37" w:rsidP="00550738">
      <w:pPr>
        <w:pStyle w:val="LLPaivays"/>
      </w:pPr>
      <w:r>
        <w:t>Helsingfors, [dato] [måned] 20XX</w:t>
      </w:r>
    </w:p>
    <w:p w14:paraId="5088DC75" w14:textId="1930FD8A" w:rsidR="006A1A37" w:rsidRDefault="006A1A37" w:rsidP="00550738">
      <w:pPr>
        <w:pStyle w:val="LLPaivays"/>
      </w:pPr>
    </w:p>
    <w:p w14:paraId="2D7E651F" w14:textId="077B45BE" w:rsidR="006A1A37" w:rsidRDefault="00A37429" w:rsidP="002148BB">
      <w:pPr>
        <w:pStyle w:val="LLMinisterinAllekirjoitus"/>
        <w:keepNext/>
        <w:keepLines/>
      </w:pPr>
      <w:r>
        <w:t>Minister for miljø, energi og boliganliggender</w:t>
      </w:r>
    </w:p>
    <w:p w14:paraId="25EECFB6" w14:textId="77777777" w:rsidR="008D4D36" w:rsidRPr="008D4D36" w:rsidRDefault="008D4D36" w:rsidP="002148BB">
      <w:pPr>
        <w:pStyle w:val="LLNormaali"/>
        <w:keepNext/>
        <w:keepLines/>
      </w:pPr>
    </w:p>
    <w:p w14:paraId="54B4EBFD" w14:textId="723A6A76" w:rsidR="001E4DE2" w:rsidRDefault="008D4D36" w:rsidP="002148BB">
      <w:pPr>
        <w:pStyle w:val="LLMinisterinAllekirjoitus"/>
      </w:pPr>
      <w:r>
        <w:t>Seniorspecialist</w:t>
      </w:r>
    </w:p>
    <w:p w14:paraId="3BCE37A8" w14:textId="046EEDAC" w:rsidR="006D5BA9" w:rsidRPr="006D5BA9" w:rsidRDefault="00A56177"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Bilag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Opløsning af tungmetaller – testmetode</w:t>
      </w:r>
    </w:p>
    <w:p w14:paraId="5652FD1E"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Opløsningen af tungmetaller (cadmium og bly) i vandarmaturernes messingdele, der kommer i kontakt med vandet, skal testes. Testning skal udføres på et ikke-brugt vandarmatur i en 10-dages test.</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Testopløsning</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Testopløsningen (syntetisk drikkevand) skal tilberedes ved at veje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og 50 mg CaCO</w:t>
      </w:r>
      <w:r>
        <w:rPr>
          <w:rFonts w:ascii="Times New Roman" w:hAnsi="Times New Roman"/>
          <w:snapToGrid w:val="0"/>
          <w:sz w:val="20"/>
          <w:vertAlign w:val="subscript"/>
        </w:rPr>
        <w:t xml:space="preserve">3 </w:t>
      </w:r>
      <w:r>
        <w:rPr>
          <w:rFonts w:ascii="Times New Roman" w:hAnsi="Times New Roman"/>
          <w:snapToGrid w:val="0"/>
          <w:sz w:val="20"/>
        </w:rPr>
        <w:t>(alle p.a. kvalitet) pr. liter af destilleret eller deioniseret vand. Opløsningen røres rundt, og CO</w:t>
      </w:r>
      <w:r>
        <w:rPr>
          <w:rFonts w:ascii="Times New Roman" w:hAnsi="Times New Roman"/>
          <w:snapToGrid w:val="0"/>
          <w:sz w:val="20"/>
          <w:vertAlign w:val="subscript"/>
        </w:rPr>
        <w:t>2</w:t>
      </w:r>
      <w:r>
        <w:rPr>
          <w:rFonts w:ascii="Times New Roman" w:hAnsi="Times New Roman"/>
          <w:snapToGrid w:val="0"/>
          <w:sz w:val="20"/>
        </w:rPr>
        <w:t>-bobler tilføjes, indtil al CaCO</w:t>
      </w:r>
      <w:r>
        <w:rPr>
          <w:rFonts w:ascii="Times New Roman" w:hAnsi="Times New Roman"/>
          <w:snapToGrid w:val="0"/>
          <w:sz w:val="20"/>
          <w:vertAlign w:val="subscript"/>
        </w:rPr>
        <w:t>3</w:t>
      </w:r>
      <w:r>
        <w:rPr>
          <w:rFonts w:ascii="Times New Roman" w:hAnsi="Times New Roman"/>
          <w:snapToGrid w:val="0"/>
          <w:sz w:val="20"/>
        </w:rPr>
        <w:t xml:space="preserve"> er opløst. Efterfølgende skal der tilføjes luftbobler til opløsningen under omrøring af opløsningen, indtil pH-værdien er steget til 7,0±0,1. Fordi CaCO</w:t>
      </w:r>
      <w:r>
        <w:rPr>
          <w:rFonts w:ascii="Times New Roman" w:hAnsi="Times New Roman"/>
          <w:snapToGrid w:val="0"/>
          <w:sz w:val="20"/>
          <w:vertAlign w:val="subscript"/>
        </w:rPr>
        <w:t>3</w:t>
      </w:r>
      <w:r>
        <w:rPr>
          <w:rFonts w:ascii="Times New Roman" w:hAnsi="Times New Roman"/>
          <w:snapToGrid w:val="0"/>
          <w:sz w:val="20"/>
        </w:rPr>
        <w:t xml:space="preserve"> opløses meget langsomt, skal man sørge for at sikre, at al CaCO</w:t>
      </w:r>
      <w:r>
        <w:rPr>
          <w:rFonts w:ascii="Times New Roman" w:hAnsi="Times New Roman"/>
          <w:snapToGrid w:val="0"/>
          <w:sz w:val="20"/>
          <w:vertAlign w:val="subscript"/>
        </w:rPr>
        <w:t>3</w:t>
      </w:r>
      <w:r>
        <w:rPr>
          <w:rFonts w:ascii="Times New Roman" w:hAnsi="Times New Roman"/>
          <w:snapToGrid w:val="0"/>
          <w:sz w:val="20"/>
        </w:rPr>
        <w:t xml:space="preserve"> er opløst, inden der tilføjes luftbobler, ellers vil opløsningen ikke blive stabiliseret.</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Testopløsningen kan også tilberedes ved at veje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og 37 mg Ca(OH)</w:t>
      </w:r>
      <w:r>
        <w:rPr>
          <w:rFonts w:ascii="Times New Roman" w:hAnsi="Times New Roman"/>
          <w:snapToGrid w:val="0"/>
          <w:sz w:val="20"/>
          <w:vertAlign w:val="subscript"/>
        </w:rPr>
        <w:t xml:space="preserve">2 </w:t>
      </w:r>
      <w:r>
        <w:rPr>
          <w:rFonts w:ascii="Times New Roman" w:hAnsi="Times New Roman"/>
          <w:snapToGrid w:val="0"/>
          <w:sz w:val="20"/>
        </w:rPr>
        <w:t>(alle p.a. kvalitet) pr. liter af destilleret og/eller deioniseret vand. Opløsningen røres rundt, indtil Ca(OH)</w:t>
      </w:r>
      <w:r>
        <w:rPr>
          <w:rFonts w:ascii="Times New Roman" w:hAnsi="Times New Roman"/>
          <w:snapToGrid w:val="0"/>
          <w:sz w:val="20"/>
          <w:vertAlign w:val="subscript"/>
        </w:rPr>
        <w:t>2</w:t>
      </w:r>
      <w:r>
        <w:rPr>
          <w:rFonts w:ascii="Times New Roman" w:hAnsi="Times New Roman"/>
          <w:snapToGrid w:val="0"/>
          <w:sz w:val="20"/>
        </w:rPr>
        <w:t xml:space="preserve"> er næsten opløst, og CO</w:t>
      </w:r>
      <w:r>
        <w:rPr>
          <w:rFonts w:ascii="Times New Roman" w:hAnsi="Times New Roman"/>
          <w:snapToGrid w:val="0"/>
          <w:sz w:val="20"/>
          <w:vertAlign w:val="subscript"/>
        </w:rPr>
        <w:t>2</w:t>
      </w:r>
      <w:r>
        <w:rPr>
          <w:rFonts w:ascii="Times New Roman" w:hAnsi="Times New Roman"/>
          <w:snapToGrid w:val="0"/>
          <w:sz w:val="20"/>
        </w:rPr>
        <w:t>-bobler tilføjes, indtil pH-værdien er under 5. Efterfølgende skal der tilføjes luftbobler til opløsningen under omrøring af opløsningen, indtil pH-værdien er steget til 7,0±0,1. Denne tilberedelsesmetode vil gøre det lettere for saltet at blive opløst.</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Syntetisk drikkevand skal tilberedes enten direkte før hver vandudskiftning, eller det skal sikres, at opløsningen er klar med en pH på 7,0±0,1 som minimum i forbindelse med vandudskiftning for dag 4, 8 og 9. Der skal tages en blindprøve fra opløsningen i forbindelse med vandudskiftning på dag 8 og 9.</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Analyseudstyr</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Atomabsorptionsspektrometer udstyret med grafitovn eller andet tilstrækkeligt følsomt meter. Detektionsgrænsen for måling skal være på mindst 0,1 </w:t>
      </w:r>
      <w:r>
        <w:rPr>
          <w:rFonts w:ascii="Times New Roman" w:hAnsi="Times New Roman"/>
          <w:snapToGrid w:val="0"/>
          <w:sz w:val="20"/>
          <w:szCs w:val="20"/>
        </w:rPr>
        <w:sym w:font="Symbol" w:char="F06D"/>
      </w:r>
      <w:r>
        <w:rPr>
          <w:rFonts w:ascii="Times New Roman" w:hAnsi="Times New Roman"/>
          <w:snapToGrid w:val="0"/>
          <w:sz w:val="20"/>
        </w:rPr>
        <w:t>g/l for bly (Pb) og 0,02 </w:t>
      </w:r>
      <w:r>
        <w:rPr>
          <w:rFonts w:ascii="Times New Roman" w:hAnsi="Times New Roman"/>
          <w:snapToGrid w:val="0"/>
          <w:sz w:val="20"/>
          <w:szCs w:val="20"/>
        </w:rPr>
        <w:sym w:font="Symbol" w:char="F06D"/>
      </w:r>
      <w:r>
        <w:rPr>
          <w:rFonts w:ascii="Times New Roman" w:hAnsi="Times New Roman"/>
          <w:snapToGrid w:val="0"/>
          <w:sz w:val="20"/>
        </w:rPr>
        <w:t>g/l for cadmium (Cd).</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Prøvemetode</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De dele af prøven, der kommer i kontakt med drikkevandet, skal renses for fedt med rent sprit. Efterfølgende skal der løbe postevand igennem prøven i en time ved standardgennemstrømningshastighed for vandarmaturet.</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Propper af farveløst polyethylen eller med et polyethylenovertræk skal anvendes til prøvens åbninger til gennemstrømning. Propperne må være fremstillet af andre materialer, så længe de ikke opløser cadmium eller bly. Prøven skylles efterfølgende straks med syntetisk drikkevand ved at fylde den halvvejs op og ryste den i et halvt minut, hvorefter vandet hældes ud. Umiddelbart efter dette skal prøven fyldes op med syntetisk drikkevand for at skubbe al luften ud, og gennemstrømningsåbningerne lukkes tæt.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Syntetisk drikkevand holdes i prøven i 1 dag, hvorefter det tømmes, mængden af vandet måles, og prøven fyldes igen. Syntetisk drikkevand skal skiftes ud i prøven efter dag 1, 2, 3, 4, 7, 8 og 9. Vandmængden drænet fra prøven skal kontrolleres for at sikre, at den bliver på et konstant niveau (±10%).</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Cadmium og bly skal analyseres den 8. og 9. dag efter vandprøven er udskiftet (testperiode på 9 og 10 dage). De målte koncentrationer minus blindprøver med tilsvarende koncentrationer skal angives i resultaterne (</w:t>
      </w:r>
      <w:r>
        <w:rPr>
          <w:rFonts w:ascii="Times New Roman" w:hAnsi="Times New Roman"/>
          <w:snapToGrid w:val="0"/>
          <w:sz w:val="20"/>
          <w:szCs w:val="20"/>
        </w:rPr>
        <w:sym w:font="Symbol" w:char="F06D"/>
      </w:r>
      <w:r>
        <w:rPr>
          <w:rFonts w:ascii="Times New Roman" w:hAnsi="Times New Roman"/>
          <w:snapToGrid w:val="0"/>
          <w:sz w:val="20"/>
        </w:rPr>
        <w:t>g/l). Derudover skal der angives samlede mængder af cadmium og bly (</w:t>
      </w:r>
      <w:r>
        <w:rPr>
          <w:rFonts w:ascii="Times New Roman" w:hAnsi="Times New Roman"/>
          <w:snapToGrid w:val="0"/>
          <w:sz w:val="20"/>
          <w:szCs w:val="20"/>
        </w:rPr>
        <w:sym w:font="Symbol" w:char="F06D"/>
      </w:r>
      <w:r>
        <w:rPr>
          <w:rFonts w:ascii="Times New Roman" w:hAnsi="Times New Roman"/>
          <w:snapToGrid w:val="0"/>
          <w:sz w:val="20"/>
        </w:rPr>
        <w:t>g) beregnet ud fra prøvens koncentrationer og vandmængde samt vandmængde i liter.</w:t>
      </w:r>
    </w:p>
    <w:p w14:paraId="2C0A86BD" w14:textId="6DE40F23" w:rsidR="006D5BA9" w:rsidRPr="006D5BA9" w:rsidRDefault="006D5BA9"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Bilag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Typegodkendelsestest for vandarmaturer og ekstern kvalitetskontrol</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Default="006D5BA9"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Tabel 2.1. Egenskaber, der skal testes i typegodkendelsestest af vandarmaturer, og testomfanget.</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Egenskab, der skal testes</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Prøvningsomfang</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enhed/produkt</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Materialer, egenskaber</w:t>
            </w:r>
          </w:p>
          <w:p w14:paraId="7DE71C32" w14:textId="77777777" w:rsidR="00C13C32" w:rsidRPr="00C13C32" w:rsidRDefault="00C13C32" w:rsidP="002148BB">
            <w:pPr>
              <w:rPr>
                <w:rFonts w:ascii="Times New Roman" w:hAnsi="Times New Roman"/>
              </w:rPr>
            </w:pPr>
            <w:r>
              <w:rPr>
                <w:rFonts w:ascii="Times New Roman" w:hAnsi="Times New Roman"/>
              </w:rPr>
              <w:t>Frigivelse af tungmetaller</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rPr>
              <w:t>en gang/råstof/vandhanetype</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Dimensioner</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Tæthed</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Trykmodstand</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Gennemstrømningstekniske karakteristika</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Udmatningsstyrke for vridning af dysehåndtag</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Slidstyrke</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Akustisk</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Pr="00C13C32" w:rsidRDefault="00C13C32" w:rsidP="00550738">
      <w:pPr>
        <w:rPr>
          <w:rFonts w:ascii="Times New Roman" w:hAnsi="Times New Roman"/>
          <w:i/>
        </w:rPr>
      </w:pPr>
    </w:p>
    <w:p w14:paraId="68847E25" w14:textId="7BE2B03D" w:rsidR="00C13C32" w:rsidRPr="00CC2462" w:rsidRDefault="00C13C32"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Tabel 2.2. Ekstern kvalitetskontroltest og undersøgelser og deres omfangs minimumsgrænse for vandarmaturer.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Testning</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Omfang af testning</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Visuel kontrol</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en gang/produkt</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Tæthed</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en gang/år/produktfamilie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Trykmodstand</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en gang/år/produktfamilie</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Akustisk</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en gang/år</w:t>
            </w:r>
          </w:p>
        </w:tc>
      </w:tr>
    </w:tbl>
    <w:p w14:paraId="1097ED65" w14:textId="42CA2906" w:rsidR="00DF3012" w:rsidRDefault="00DF3012" w:rsidP="002148BB">
      <w:pPr>
        <w:pStyle w:val="LLNormaali"/>
        <w:pageBreakBefore/>
      </w:pPr>
      <w:r>
        <w:lastRenderedPageBreak/>
        <w:t>Bilag 3</w:t>
      </w:r>
    </w:p>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Producentens interne kvalitetskontroltest</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08292C" w:rsidRDefault="00DF3012" w:rsidP="002148BB">
      <w:pPr>
        <w:pStyle w:val="LLNormaali"/>
        <w:keepNext/>
        <w:keepLines/>
        <w:rPr>
          <w:i/>
          <w:sz w:val="20"/>
          <w:szCs w:val="20"/>
        </w:rPr>
      </w:pPr>
      <w:r>
        <w:rPr>
          <w:i/>
          <w:sz w:val="20"/>
        </w:rPr>
        <w:t>Tabel 3.1. Interne kvalitetskontroltest og undersøgelser og deres omfangs minimumsgrænse for vandarmaturer.</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218"/>
        <w:gridCol w:w="4242"/>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Testning</w:t>
            </w:r>
          </w:p>
        </w:tc>
        <w:tc>
          <w:tcPr>
            <w:tcW w:w="2507" w:type="pct"/>
          </w:tcPr>
          <w:p w14:paraId="59D8D4A6" w14:textId="77777777" w:rsidR="00DF3012" w:rsidRPr="00DF3012" w:rsidRDefault="00DF3012" w:rsidP="002148BB">
            <w:pPr>
              <w:pStyle w:val="LLNormaali"/>
              <w:rPr>
                <w:b/>
              </w:rPr>
            </w:pPr>
            <w:r>
              <w:rPr>
                <w:b/>
              </w:rPr>
              <w:t>Omfang af testning</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Godkendelseskontrol af materialer: råstoffer, låse, andre komponenter</w:t>
            </w:r>
          </w:p>
        </w:tc>
        <w:tc>
          <w:tcPr>
            <w:tcW w:w="2507" w:type="pct"/>
          </w:tcPr>
          <w:p w14:paraId="5A2A4E37" w14:textId="1D60DFB9" w:rsidR="00DF3012" w:rsidRPr="00DF3012" w:rsidRDefault="00DF3012" w:rsidP="002148BB">
            <w:pPr>
              <w:pStyle w:val="LLNormaali"/>
            </w:pPr>
            <w:r>
              <w:t>Hvert godkendt parti skal registreres og egnetheden af det godkendte materiale skal efterprøves</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Fremstillingsproces</w:t>
            </w:r>
          </w:p>
          <w:p w14:paraId="17BE3CFE" w14:textId="77777777" w:rsidR="00DF3012" w:rsidRPr="00DF3012" w:rsidRDefault="00DF3012" w:rsidP="002148BB">
            <w:pPr>
              <w:pStyle w:val="LLNormaali"/>
              <w:numPr>
                <w:ilvl w:val="0"/>
                <w:numId w:val="48"/>
              </w:numPr>
              <w:ind w:left="318" w:hanging="318"/>
            </w:pPr>
            <w:r>
              <w:t>Støbningsproces</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Værktøj</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Forkromning</w:t>
            </w:r>
          </w:p>
          <w:p w14:paraId="114B7B6D" w14:textId="77777777" w:rsidR="00DF3012" w:rsidRPr="00DF3012" w:rsidRDefault="00DF3012" w:rsidP="002148BB">
            <w:pPr>
              <w:pStyle w:val="LLNormaali"/>
              <w:numPr>
                <w:ilvl w:val="0"/>
                <w:numId w:val="48"/>
              </w:numPr>
              <w:ind w:left="318" w:hanging="318"/>
            </w:pPr>
            <w:r>
              <w:t>Komponent</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Kontinuerlig overvågning af temperatur og visuel overvågning</w:t>
            </w:r>
          </w:p>
          <w:p w14:paraId="1BAF4DEE" w14:textId="77777777" w:rsidR="00DF3012" w:rsidRPr="00DF3012" w:rsidRDefault="00DF3012" w:rsidP="002148BB">
            <w:pPr>
              <w:pStyle w:val="LLNormaali"/>
              <w:numPr>
                <w:ilvl w:val="0"/>
                <w:numId w:val="48"/>
              </w:numPr>
              <w:ind w:left="318" w:hanging="318"/>
            </w:pPr>
            <w:r>
              <w:t>De mest kritiske dimensioner skal fastlægges og dimensionsstabilitet skal overvåges</w:t>
            </w:r>
          </w:p>
          <w:p w14:paraId="2F4D6181" w14:textId="77777777" w:rsidR="00DF3012" w:rsidRPr="00DF3012" w:rsidRDefault="00DF3012" w:rsidP="002148BB">
            <w:pPr>
              <w:pStyle w:val="LLNormaali"/>
              <w:numPr>
                <w:ilvl w:val="0"/>
                <w:numId w:val="48"/>
              </w:numPr>
              <w:ind w:left="318" w:hanging="318"/>
            </w:pPr>
            <w:r>
              <w:t>Visuel kontrol</w:t>
            </w:r>
          </w:p>
          <w:p w14:paraId="46A254A0" w14:textId="77777777" w:rsidR="00DF3012" w:rsidRPr="00DF3012" w:rsidRDefault="00DF3012" w:rsidP="002148BB">
            <w:pPr>
              <w:pStyle w:val="LLNormaali"/>
              <w:numPr>
                <w:ilvl w:val="0"/>
                <w:numId w:val="48"/>
              </w:numPr>
              <w:ind w:left="318" w:hanging="318"/>
            </w:pPr>
            <w:r>
              <w:t>Visuel kontrol</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Kontrolfunktioner</w:t>
            </w:r>
          </w:p>
          <w:p w14:paraId="590977AA" w14:textId="77777777" w:rsidR="00DF3012" w:rsidRPr="00DF3012" w:rsidRDefault="00DF3012" w:rsidP="002148BB">
            <w:pPr>
              <w:pStyle w:val="LLNormaali"/>
              <w:numPr>
                <w:ilvl w:val="0"/>
                <w:numId w:val="48"/>
              </w:numPr>
              <w:ind w:left="318" w:hanging="318"/>
            </w:pPr>
            <w:r>
              <w:t>Tæthed</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Alle produkter</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Arbejdsforskrifter, procedurer og tegninger</w:t>
            </w:r>
          </w:p>
        </w:tc>
        <w:tc>
          <w:tcPr>
            <w:tcW w:w="2507" w:type="pct"/>
          </w:tcPr>
          <w:p w14:paraId="52DFE6E5" w14:textId="750ED10D" w:rsidR="00DF3012" w:rsidRPr="00DF3012" w:rsidRDefault="00DF3012" w:rsidP="002148BB">
            <w:pPr>
              <w:pStyle w:val="LLNormaali"/>
              <w:numPr>
                <w:ilvl w:val="0"/>
                <w:numId w:val="48"/>
              </w:numPr>
              <w:ind w:left="318" w:hanging="318"/>
            </w:pPr>
            <w:r>
              <w:t>Retningslinjerne for produktionstrin skal dokumenteres. Ændringerne af dokumenterne skal registreres og dateres.</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Klagebehandling</w:t>
            </w:r>
          </w:p>
        </w:tc>
        <w:tc>
          <w:tcPr>
            <w:tcW w:w="2507" w:type="pct"/>
          </w:tcPr>
          <w:p w14:paraId="7CCCAAB8" w14:textId="28738B2F" w:rsidR="00DF3012" w:rsidRPr="00DF3012" w:rsidRDefault="00901757" w:rsidP="002148BB">
            <w:pPr>
              <w:pStyle w:val="LLNormaali"/>
              <w:numPr>
                <w:ilvl w:val="0"/>
                <w:numId w:val="48"/>
              </w:numPr>
              <w:ind w:left="318" w:hanging="318"/>
            </w:pPr>
            <w:r>
              <w:t>Der skal være en procedure til administrering af klager.</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65123" w14:textId="77777777" w:rsidR="00EF768B" w:rsidRDefault="00EF768B">
      <w:r>
        <w:separator/>
      </w:r>
    </w:p>
  </w:endnote>
  <w:endnote w:type="continuationSeparator" w:id="0">
    <w:p w14:paraId="7F587391" w14:textId="77777777" w:rsidR="00EF768B" w:rsidRDefault="00EF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pPr>
          <w:pStyle w:val="Footer"/>
        </w:pPr>
        <w:r>
          <w:fldChar w:fldCharType="begin"/>
        </w:r>
        <w:r>
          <w:instrText xml:space="preserve"> PAGE   \* MERGEFORMAT </w:instrText>
        </w:r>
        <w:r>
          <w:fldChar w:fldCharType="separate"/>
        </w:r>
        <w:r w:rsidR="004905DA">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122DC" w14:textId="77777777" w:rsidR="00EF768B" w:rsidRDefault="00EF768B">
      <w:r>
        <w:separator/>
      </w:r>
    </w:p>
  </w:footnote>
  <w:footnote w:type="continuationSeparator" w:id="0">
    <w:p w14:paraId="06A86501" w14:textId="77777777" w:rsidR="00EF768B" w:rsidRDefault="00EF7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497F" w14:textId="77777777" w:rsidR="00550738" w:rsidRPr="00550738" w:rsidRDefault="00550738" w:rsidP="00550738">
    <w:pPr>
      <w:pStyle w:val="Header"/>
      <w:jc w:val="right"/>
      <w:rPr>
        <w:rFonts w:ascii="Times New Roman" w:hAnsi="Times New Roman"/>
        <w:i/>
      </w:rPr>
    </w:pPr>
    <w:r>
      <w:rPr>
        <w:rFonts w:ascii="Times New Roman" w:hAnsi="Times New Roman"/>
        <w:i/>
      </w:rPr>
      <w:t>Udkast af 11. december 2018</w:t>
    </w:r>
  </w:p>
  <w:p w14:paraId="00B78494" w14:textId="77777777" w:rsidR="00550738" w:rsidRPr="00550738" w:rsidRDefault="00550738" w:rsidP="00550738">
    <w:pPr>
      <w:pStyle w:val="Header"/>
      <w:jc w:val="right"/>
      <w:rPr>
        <w:rFonts w:ascii="Times New Roman" w:hAnsi="Times New Roman"/>
        <w:i/>
      </w:rPr>
    </w:pPr>
  </w:p>
  <w:p w14:paraId="1B65C390" w14:textId="77777777" w:rsidR="00550738" w:rsidRPr="00550738" w:rsidRDefault="00550738" w:rsidP="00550738">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55111"/>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5DA"/>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68B"/>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5BDC"/>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0858"/>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DABFC058-3E5D-47EB-AF61-B7123FB4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da-DK"/>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da-D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686F-1E79-410A-960A-5A86ACC4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TotalTime>
  <Pages>9</Pages>
  <Words>2435</Words>
  <Characters>13882</Characters>
  <Application>Microsoft Office Word</Application>
  <DocSecurity>0</DocSecurity>
  <Lines>115</Lines>
  <Paragraphs>32</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1</vt:lpstr>
      <vt:lpstr>1</vt:lpstr>
      <vt:lpstr>1</vt:lpstr>
    </vt:vector>
  </TitlesOfParts>
  <Company>VM</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5</cp:revision>
  <cp:lastPrinted>2015-09-29T15:18:00Z</cp:lastPrinted>
  <dcterms:created xsi:type="dcterms:W3CDTF">2019-01-03T10:31:00Z</dcterms:created>
  <dcterms:modified xsi:type="dcterms:W3CDTF">2019-01-08T09:47:00Z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