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72"/>
        <w:gridCol w:w="369"/>
        <w:gridCol w:w="47"/>
        <w:gridCol w:w="97"/>
        <w:gridCol w:w="598"/>
        <w:gridCol w:w="696"/>
        <w:gridCol w:w="77"/>
        <w:gridCol w:w="217"/>
        <w:gridCol w:w="402"/>
        <w:gridCol w:w="561"/>
        <w:gridCol w:w="45"/>
        <w:gridCol w:w="90"/>
        <w:gridCol w:w="234"/>
        <w:gridCol w:w="462"/>
        <w:gridCol w:w="133"/>
        <w:gridCol w:w="563"/>
        <w:gridCol w:w="401"/>
        <w:gridCol w:w="295"/>
        <w:gridCol w:w="248"/>
        <w:gridCol w:w="421"/>
        <w:gridCol w:w="27"/>
        <w:gridCol w:w="696"/>
        <w:gridCol w:w="241"/>
        <w:gridCol w:w="455"/>
        <w:gridCol w:w="509"/>
        <w:gridCol w:w="187"/>
        <w:gridCol w:w="971"/>
        <w:gridCol w:w="68"/>
        <w:gridCol w:w="79"/>
      </w:tblGrid>
      <w:tr w:rsidR="005C3FCE" w:rsidRPr="00067989" w14:paraId="16900C1D" w14:textId="77777777" w:rsidTr="008A3FA9">
        <w:trPr>
          <w:gridAfter w:val="1"/>
          <w:wAfter w:w="61" w:type="dxa"/>
          <w:trHeight w:val="1611"/>
          <w:jc w:val="center"/>
        </w:trPr>
        <w:tc>
          <w:tcPr>
            <w:tcW w:w="7455" w:type="dxa"/>
            <w:gridSpan w:val="21"/>
          </w:tcPr>
          <w:p w14:paraId="06D5F93E" w14:textId="77777777" w:rsidR="006A701A" w:rsidRPr="00067989" w:rsidRDefault="006A701A" w:rsidP="008A3FA9">
            <w:pPr>
              <w:spacing w:before="60" w:after="60"/>
              <w:ind w:left="63"/>
              <w:jc w:val="both"/>
              <w:rPr>
                <w:rFonts w:ascii="Times New Roman" w:hAnsi="Times New Roman" w:cs="Times New Roman"/>
                <w:b/>
                <w:color w:val="000000" w:themeColor="text1"/>
              </w:rPr>
            </w:pPr>
            <w:bookmarkStart w:id="0" w:name="t1"/>
            <w:r w:rsidRPr="00067989">
              <w:rPr>
                <w:rFonts w:ascii="Times New Roman" w:hAnsi="Times New Roman" w:cs="Times New Roman"/>
                <w:b/>
                <w:color w:val="000000" w:themeColor="text1"/>
              </w:rPr>
              <w:t xml:space="preserve">Nazwa </w:t>
            </w:r>
            <w:r w:rsidR="001B75D8" w:rsidRPr="00067989">
              <w:rPr>
                <w:rFonts w:ascii="Times New Roman" w:hAnsi="Times New Roman" w:cs="Times New Roman"/>
                <w:b/>
                <w:color w:val="000000" w:themeColor="text1"/>
              </w:rPr>
              <w:t>projektu</w:t>
            </w:r>
          </w:p>
          <w:p w14:paraId="59C76AFB" w14:textId="77777777" w:rsidR="005C3FCE" w:rsidRPr="00067989" w:rsidRDefault="00967B32" w:rsidP="008A3FA9">
            <w:pPr>
              <w:spacing w:before="60" w:after="60"/>
              <w:ind w:left="63"/>
              <w:jc w:val="both"/>
              <w:rPr>
                <w:rFonts w:ascii="Times New Roman" w:hAnsi="Times New Roman" w:cs="Times New Roman"/>
                <w:color w:val="000000" w:themeColor="text1"/>
              </w:rPr>
            </w:pPr>
            <w:r w:rsidRPr="00067989">
              <w:rPr>
                <w:rFonts w:ascii="Times New Roman" w:hAnsi="Times New Roman" w:cs="Times New Roman"/>
                <w:color w:val="000000" w:themeColor="text1"/>
              </w:rPr>
              <w:t xml:space="preserve">ustawa </w:t>
            </w:r>
            <w:r w:rsidR="00957275" w:rsidRPr="00067989">
              <w:rPr>
                <w:rFonts w:ascii="Times New Roman" w:hAnsi="Times New Roman" w:cs="Times New Roman"/>
                <w:color w:val="000000" w:themeColor="text1"/>
              </w:rPr>
              <w:t xml:space="preserve">o </w:t>
            </w:r>
            <w:r w:rsidR="00845246" w:rsidRPr="00067989">
              <w:rPr>
                <w:rFonts w:ascii="Times New Roman" w:hAnsi="Times New Roman" w:cs="Times New Roman"/>
                <w:color w:val="000000" w:themeColor="text1"/>
              </w:rPr>
              <w:t>doręczeniach elektronicznych</w:t>
            </w:r>
            <w:r w:rsidR="00911F11" w:rsidRPr="00067989">
              <w:rPr>
                <w:rFonts w:ascii="Times New Roman" w:hAnsi="Times New Roman" w:cs="Times New Roman"/>
                <w:color w:val="000000" w:themeColor="text1"/>
              </w:rPr>
              <w:t xml:space="preserve"> </w:t>
            </w:r>
          </w:p>
          <w:p w14:paraId="52600682" w14:textId="77777777" w:rsidR="006A701A" w:rsidRPr="00067989" w:rsidRDefault="006A701A" w:rsidP="008A3FA9">
            <w:pPr>
              <w:spacing w:before="60" w:after="60"/>
              <w:ind w:left="63"/>
              <w:jc w:val="both"/>
              <w:rPr>
                <w:rFonts w:ascii="Times New Roman" w:hAnsi="Times New Roman" w:cs="Times New Roman"/>
                <w:b/>
                <w:color w:val="000000" w:themeColor="text1"/>
              </w:rPr>
            </w:pPr>
            <w:r w:rsidRPr="00067989">
              <w:rPr>
                <w:rFonts w:ascii="Times New Roman" w:hAnsi="Times New Roman" w:cs="Times New Roman"/>
                <w:b/>
                <w:color w:val="000000" w:themeColor="text1"/>
              </w:rPr>
              <w:t>Ministerstwo wiodące i ministerstwa współ</w:t>
            </w:r>
            <w:bookmarkStart w:id="1" w:name="_GoBack"/>
            <w:bookmarkEnd w:id="1"/>
            <w:r w:rsidRPr="00067989">
              <w:rPr>
                <w:rFonts w:ascii="Times New Roman" w:hAnsi="Times New Roman" w:cs="Times New Roman"/>
                <w:b/>
                <w:color w:val="000000" w:themeColor="text1"/>
              </w:rPr>
              <w:t>pracujące</w:t>
            </w:r>
          </w:p>
          <w:p w14:paraId="48E69593" w14:textId="77777777" w:rsidR="003A56B7" w:rsidRPr="000E2DF4" w:rsidRDefault="003A56B7" w:rsidP="008A3FA9">
            <w:pPr>
              <w:spacing w:before="60" w:after="60"/>
              <w:ind w:left="63"/>
              <w:jc w:val="both"/>
              <w:rPr>
                <w:rFonts w:ascii="Times New Roman" w:hAnsi="Times New Roman" w:cs="Times New Roman"/>
                <w:color w:val="000000" w:themeColor="text1"/>
              </w:rPr>
            </w:pPr>
            <w:r w:rsidRPr="00067989">
              <w:rPr>
                <w:rFonts w:ascii="Times New Roman" w:hAnsi="Times New Roman" w:cs="Times New Roman"/>
                <w:color w:val="000000" w:themeColor="text1"/>
              </w:rPr>
              <w:t>Ministerstwo Cyfryzacji</w:t>
            </w:r>
            <w:bookmarkEnd w:id="0"/>
            <w:r w:rsidR="00B62740" w:rsidRPr="00067989">
              <w:rPr>
                <w:rFonts w:ascii="Times New Roman" w:hAnsi="Times New Roman" w:cs="Times New Roman"/>
                <w:color w:val="000000" w:themeColor="text1"/>
              </w:rPr>
              <w:t>,</w:t>
            </w:r>
          </w:p>
          <w:p w14:paraId="5104F4E7" w14:textId="77777777" w:rsidR="00A42CFC" w:rsidRPr="000E2DF4" w:rsidRDefault="00A42CFC" w:rsidP="008A3FA9">
            <w:pPr>
              <w:spacing w:before="60" w:after="60"/>
              <w:ind w:left="63"/>
              <w:jc w:val="both"/>
              <w:rPr>
                <w:rFonts w:ascii="Times New Roman" w:hAnsi="Times New Roman" w:cs="Times New Roman"/>
                <w:color w:val="000000" w:themeColor="text1"/>
              </w:rPr>
            </w:pPr>
            <w:r w:rsidRPr="000E2DF4">
              <w:rPr>
                <w:rFonts w:ascii="Times New Roman" w:hAnsi="Times New Roman" w:cs="Times New Roman"/>
                <w:color w:val="000000" w:themeColor="text1"/>
              </w:rPr>
              <w:t>Ministerstwo Infrastruktury</w:t>
            </w:r>
            <w:r w:rsidR="00B62740" w:rsidRPr="000E2DF4">
              <w:rPr>
                <w:rFonts w:ascii="Times New Roman" w:hAnsi="Times New Roman" w:cs="Times New Roman"/>
                <w:color w:val="000000" w:themeColor="text1"/>
              </w:rPr>
              <w:t>,</w:t>
            </w:r>
          </w:p>
          <w:p w14:paraId="46342D37" w14:textId="77777777" w:rsidR="00B62740" w:rsidRPr="000E2DF4" w:rsidRDefault="00B62740" w:rsidP="008A3FA9">
            <w:pPr>
              <w:spacing w:before="60" w:after="60"/>
              <w:ind w:left="63"/>
              <w:jc w:val="both"/>
              <w:rPr>
                <w:rFonts w:ascii="Times New Roman" w:hAnsi="Times New Roman" w:cs="Times New Roman"/>
                <w:color w:val="000000" w:themeColor="text1"/>
              </w:rPr>
            </w:pPr>
            <w:r w:rsidRPr="000E2DF4">
              <w:rPr>
                <w:rFonts w:ascii="Times New Roman" w:hAnsi="Times New Roman" w:cs="Times New Roman"/>
                <w:color w:val="000000" w:themeColor="text1"/>
              </w:rPr>
              <w:t>Ministerstwo Przedsiębiorczości i Technologii.</w:t>
            </w:r>
          </w:p>
          <w:p w14:paraId="5AB77504" w14:textId="77777777" w:rsidR="001B3460" w:rsidRPr="000E2DF4" w:rsidRDefault="001B3460" w:rsidP="008A3FA9">
            <w:pPr>
              <w:spacing w:before="60" w:after="60"/>
              <w:ind w:left="63"/>
              <w:jc w:val="both"/>
              <w:rPr>
                <w:rFonts w:ascii="Times New Roman" w:hAnsi="Times New Roman" w:cs="Times New Roman"/>
                <w:color w:val="000000" w:themeColor="text1"/>
              </w:rPr>
            </w:pPr>
            <w:r w:rsidRPr="000E2DF4">
              <w:rPr>
                <w:rFonts w:ascii="Times New Roman" w:hAnsi="Times New Roman" w:cs="Times New Roman"/>
                <w:b/>
                <w:color w:val="000000" w:themeColor="text1"/>
              </w:rPr>
              <w:t xml:space="preserve">Osoba odpowiedzialna za projekt w randze Ministra, Sekretarza Stanu lub Podsekretarza Stanu </w:t>
            </w:r>
          </w:p>
          <w:p w14:paraId="4B10F2B8" w14:textId="77777777" w:rsidR="001B3460" w:rsidRPr="00067989" w:rsidRDefault="00764FB0" w:rsidP="008A3FA9">
            <w:pPr>
              <w:spacing w:before="60" w:after="60"/>
              <w:ind w:left="62"/>
              <w:jc w:val="both"/>
              <w:rPr>
                <w:rFonts w:ascii="Times New Roman" w:hAnsi="Times New Roman" w:cs="Times New Roman"/>
                <w:color w:val="000000" w:themeColor="text1"/>
              </w:rPr>
            </w:pPr>
            <w:r w:rsidRPr="000E2DF4">
              <w:rPr>
                <w:rFonts w:ascii="Times New Roman" w:hAnsi="Times New Roman" w:cs="Times New Roman"/>
                <w:color w:val="000000" w:themeColor="text1"/>
              </w:rPr>
              <w:t>Marek Zagórski</w:t>
            </w:r>
            <w:r w:rsidR="00957275" w:rsidRPr="000E2DF4">
              <w:rPr>
                <w:rFonts w:ascii="Times New Roman" w:hAnsi="Times New Roman" w:cs="Times New Roman"/>
                <w:color w:val="000000" w:themeColor="text1"/>
              </w:rPr>
              <w:t xml:space="preserve">, </w:t>
            </w:r>
            <w:r w:rsidR="00E557D3" w:rsidRPr="000E2DF4">
              <w:rPr>
                <w:rFonts w:ascii="Times New Roman" w:hAnsi="Times New Roman" w:cs="Times New Roman"/>
                <w:color w:val="000000" w:themeColor="text1"/>
              </w:rPr>
              <w:t>Minister</w:t>
            </w:r>
            <w:r w:rsidR="00F709FE" w:rsidRPr="00E42D6D">
              <w:rPr>
                <w:rFonts w:ascii="Times New Roman" w:hAnsi="Times New Roman" w:cs="Times New Roman"/>
                <w:color w:val="000000" w:themeColor="text1"/>
              </w:rPr>
              <w:t xml:space="preserve"> </w:t>
            </w:r>
            <w:r w:rsidR="004E1B7A" w:rsidRPr="00080920">
              <w:rPr>
                <w:rFonts w:ascii="Times New Roman" w:hAnsi="Times New Roman" w:cs="Times New Roman"/>
                <w:color w:val="000000" w:themeColor="text1"/>
              </w:rPr>
              <w:t>Cyfryzacji</w:t>
            </w:r>
          </w:p>
          <w:p w14:paraId="643C55A2" w14:textId="77777777" w:rsidR="006A701A" w:rsidRPr="00067989" w:rsidRDefault="006A701A" w:rsidP="008A3FA9">
            <w:pPr>
              <w:spacing w:before="60" w:after="60"/>
              <w:ind w:left="63"/>
              <w:jc w:val="both"/>
              <w:rPr>
                <w:rFonts w:ascii="Times New Roman" w:hAnsi="Times New Roman" w:cs="Times New Roman"/>
                <w:b/>
                <w:color w:val="000000" w:themeColor="text1"/>
              </w:rPr>
            </w:pPr>
            <w:r w:rsidRPr="00067989">
              <w:rPr>
                <w:rFonts w:ascii="Times New Roman" w:hAnsi="Times New Roman" w:cs="Times New Roman"/>
                <w:b/>
                <w:color w:val="000000" w:themeColor="text1"/>
              </w:rPr>
              <w:t>Kontakt do opiekuna merytorycznego projektu</w:t>
            </w:r>
          </w:p>
          <w:p w14:paraId="79AE0B0E" w14:textId="77777777" w:rsidR="006A701A" w:rsidRPr="00067989" w:rsidRDefault="00957275" w:rsidP="008A3FA9">
            <w:pPr>
              <w:spacing w:before="60" w:after="60"/>
              <w:ind w:left="63"/>
              <w:jc w:val="both"/>
              <w:rPr>
                <w:rFonts w:ascii="Times New Roman" w:hAnsi="Times New Roman" w:cs="Times New Roman"/>
                <w:color w:val="000000" w:themeColor="text1"/>
              </w:rPr>
            </w:pPr>
            <w:r w:rsidRPr="00067989">
              <w:rPr>
                <w:rFonts w:ascii="Times New Roman" w:hAnsi="Times New Roman" w:cs="Times New Roman"/>
                <w:color w:val="000000" w:themeColor="text1"/>
              </w:rPr>
              <w:t xml:space="preserve">Sylwester Szczepaniak, </w:t>
            </w:r>
            <w:r w:rsidR="00F32CE7" w:rsidRPr="00067989">
              <w:rPr>
                <w:rFonts w:ascii="Times New Roman" w:hAnsi="Times New Roman" w:cs="Times New Roman"/>
                <w:color w:val="000000" w:themeColor="text1"/>
              </w:rPr>
              <w:t>Zastępca Dyrektora Departamentu Prawnego</w:t>
            </w:r>
            <w:r w:rsidR="004E1B7A" w:rsidRPr="00067989">
              <w:rPr>
                <w:rFonts w:ascii="Times New Roman" w:hAnsi="Times New Roman" w:cs="Times New Roman"/>
                <w:color w:val="000000" w:themeColor="text1"/>
              </w:rPr>
              <w:t xml:space="preserve">, </w:t>
            </w:r>
            <w:r w:rsidR="00604747" w:rsidRPr="00067989">
              <w:rPr>
                <w:rFonts w:ascii="Times New Roman" w:hAnsi="Times New Roman" w:cs="Times New Roman"/>
                <w:color w:val="000000" w:themeColor="text1"/>
              </w:rPr>
              <w:t>tel. 022</w:t>
            </w:r>
            <w:r w:rsidR="00AB04E9">
              <w:rPr>
                <w:rFonts w:ascii="Times New Roman" w:hAnsi="Times New Roman" w:cs="Times New Roman"/>
                <w:color w:val="000000" w:themeColor="text1"/>
              </w:rPr>
              <w:t xml:space="preserve"> </w:t>
            </w:r>
            <w:r w:rsidR="00604747" w:rsidRPr="00067989">
              <w:rPr>
                <w:rFonts w:ascii="Times New Roman" w:hAnsi="Times New Roman" w:cs="Times New Roman"/>
                <w:color w:val="000000" w:themeColor="text1"/>
              </w:rPr>
              <w:t xml:space="preserve">245 58 22, </w:t>
            </w:r>
            <w:r w:rsidR="004E1B7A" w:rsidRPr="00067989">
              <w:rPr>
                <w:rFonts w:ascii="Times New Roman" w:hAnsi="Times New Roman" w:cs="Times New Roman"/>
                <w:color w:val="000000" w:themeColor="text1"/>
              </w:rPr>
              <w:t>e</w:t>
            </w:r>
            <w:r w:rsidR="00DE7977" w:rsidRPr="00067989">
              <w:rPr>
                <w:rFonts w:ascii="Times New Roman" w:hAnsi="Times New Roman" w:cs="Times New Roman"/>
                <w:color w:val="000000" w:themeColor="text1"/>
              </w:rPr>
              <w:t>-</w:t>
            </w:r>
            <w:r w:rsidR="004E1B7A" w:rsidRPr="00067989">
              <w:rPr>
                <w:rFonts w:ascii="Times New Roman" w:hAnsi="Times New Roman" w:cs="Times New Roman"/>
                <w:color w:val="000000" w:themeColor="text1"/>
              </w:rPr>
              <w:t xml:space="preserve">mail: </w:t>
            </w:r>
            <w:hyperlink r:id="rId12" w:history="1">
              <w:r w:rsidR="004E1B7A" w:rsidRPr="00067989">
                <w:rPr>
                  <w:rStyle w:val="Hipercze"/>
                  <w:rFonts w:ascii="Times New Roman" w:hAnsi="Times New Roman" w:cs="Times New Roman"/>
                  <w:color w:val="000000" w:themeColor="text1"/>
                  <w:u w:val="none"/>
                </w:rPr>
                <w:t>sylwester.szczepaniak@mc.gov.pl</w:t>
              </w:r>
            </w:hyperlink>
          </w:p>
        </w:tc>
        <w:tc>
          <w:tcPr>
            <w:tcW w:w="3111" w:type="dxa"/>
            <w:gridSpan w:val="7"/>
            <w:shd w:val="clear" w:color="auto" w:fill="FFFFFF"/>
          </w:tcPr>
          <w:p w14:paraId="24EB04CF" w14:textId="39E29F76" w:rsidR="001B3460" w:rsidRPr="00067989" w:rsidRDefault="001B3460" w:rsidP="00010570">
            <w:pPr>
              <w:spacing w:before="60" w:after="60"/>
              <w:rPr>
                <w:rFonts w:ascii="Times New Roman" w:hAnsi="Times New Roman" w:cs="Times New Roman"/>
                <w:b/>
                <w:color w:val="000000" w:themeColor="text1"/>
              </w:rPr>
            </w:pPr>
            <w:r w:rsidRPr="00067989">
              <w:rPr>
                <w:rFonts w:ascii="Times New Roman" w:hAnsi="Times New Roman" w:cs="Times New Roman"/>
                <w:b/>
                <w:color w:val="000000" w:themeColor="text1"/>
              </w:rPr>
              <w:t>Data sporządzenia</w:t>
            </w:r>
            <w:r w:rsidR="00303493">
              <w:rPr>
                <w:rFonts w:ascii="Times New Roman" w:hAnsi="Times New Roman" w:cs="Times New Roman"/>
                <w:b/>
                <w:color w:val="000000" w:themeColor="text1"/>
              </w:rPr>
              <w:br/>
            </w:r>
            <w:r w:rsidR="00845246" w:rsidRPr="00067989">
              <w:rPr>
                <w:rFonts w:ascii="Times New Roman" w:hAnsi="Times New Roman" w:cs="Times New Roman"/>
                <w:color w:val="000000" w:themeColor="text1"/>
              </w:rPr>
              <w:t>2</w:t>
            </w:r>
            <w:r w:rsidR="007823D7" w:rsidRPr="00067989">
              <w:rPr>
                <w:rFonts w:ascii="Times New Roman" w:hAnsi="Times New Roman" w:cs="Times New Roman"/>
                <w:color w:val="000000" w:themeColor="text1"/>
              </w:rPr>
              <w:t>8</w:t>
            </w:r>
            <w:r w:rsidR="00F47731" w:rsidRPr="00067989">
              <w:rPr>
                <w:rFonts w:ascii="Times New Roman" w:hAnsi="Times New Roman" w:cs="Times New Roman"/>
                <w:color w:val="000000" w:themeColor="text1"/>
              </w:rPr>
              <w:t>.</w:t>
            </w:r>
            <w:r w:rsidR="00414E17" w:rsidRPr="00067989">
              <w:rPr>
                <w:rFonts w:ascii="Times New Roman" w:hAnsi="Times New Roman" w:cs="Times New Roman"/>
                <w:color w:val="000000" w:themeColor="text1"/>
              </w:rPr>
              <w:t>0</w:t>
            </w:r>
            <w:r w:rsidR="00845246" w:rsidRPr="00067989">
              <w:rPr>
                <w:rFonts w:ascii="Times New Roman" w:hAnsi="Times New Roman" w:cs="Times New Roman"/>
                <w:color w:val="000000" w:themeColor="text1"/>
              </w:rPr>
              <w:t>8</w:t>
            </w:r>
            <w:r w:rsidR="00F47731" w:rsidRPr="00067989">
              <w:rPr>
                <w:rFonts w:ascii="Times New Roman" w:hAnsi="Times New Roman" w:cs="Times New Roman"/>
                <w:color w:val="000000" w:themeColor="text1"/>
              </w:rPr>
              <w:t>.2019</w:t>
            </w:r>
            <w:r w:rsidR="00967B32" w:rsidRPr="00067989">
              <w:rPr>
                <w:rFonts w:ascii="Times New Roman" w:hAnsi="Times New Roman" w:cs="Times New Roman"/>
                <w:color w:val="000000" w:themeColor="text1"/>
              </w:rPr>
              <w:t xml:space="preserve"> r</w:t>
            </w:r>
            <w:r w:rsidR="00414E17" w:rsidRPr="00067989">
              <w:rPr>
                <w:rFonts w:ascii="Times New Roman" w:hAnsi="Times New Roman" w:cs="Times New Roman"/>
                <w:color w:val="000000" w:themeColor="text1"/>
              </w:rPr>
              <w:t>.</w:t>
            </w:r>
          </w:p>
          <w:p w14:paraId="67244241" w14:textId="3BEAEDD6" w:rsidR="00F76884" w:rsidRPr="00067989" w:rsidRDefault="00F76884" w:rsidP="008A3FA9">
            <w:pPr>
              <w:spacing w:before="60" w:after="60"/>
              <w:jc w:val="both"/>
              <w:rPr>
                <w:rFonts w:ascii="Times New Roman" w:hAnsi="Times New Roman" w:cs="Times New Roman"/>
                <w:b/>
                <w:color w:val="000000" w:themeColor="text1"/>
              </w:rPr>
            </w:pPr>
            <w:r w:rsidRPr="00067989">
              <w:rPr>
                <w:rFonts w:ascii="Times New Roman" w:hAnsi="Times New Roman" w:cs="Times New Roman"/>
                <w:b/>
                <w:color w:val="000000" w:themeColor="text1"/>
              </w:rPr>
              <w:t xml:space="preserve">Źródło </w:t>
            </w:r>
            <w:bookmarkStart w:id="2" w:name="Lista1"/>
          </w:p>
          <w:bookmarkEnd w:id="2"/>
          <w:p w14:paraId="750E9545" w14:textId="77777777" w:rsidR="00F76884" w:rsidRPr="00067989" w:rsidRDefault="003A56B7" w:rsidP="008A3FA9">
            <w:pPr>
              <w:jc w:val="both"/>
              <w:rPr>
                <w:rFonts w:ascii="Times New Roman" w:hAnsi="Times New Roman" w:cs="Times New Roman"/>
                <w:color w:val="000000" w:themeColor="text1"/>
              </w:rPr>
            </w:pPr>
            <w:r w:rsidRPr="00067989">
              <w:rPr>
                <w:rFonts w:ascii="Times New Roman" w:hAnsi="Times New Roman" w:cs="Times New Roman"/>
                <w:color w:val="000000" w:themeColor="text1"/>
              </w:rPr>
              <w:t>Inne</w:t>
            </w:r>
          </w:p>
          <w:p w14:paraId="4B817A37" w14:textId="77777777" w:rsidR="00F76884" w:rsidRPr="000E2DF4" w:rsidRDefault="00957275" w:rsidP="008A3FA9">
            <w:pPr>
              <w:jc w:val="both"/>
              <w:rPr>
                <w:rFonts w:ascii="Times New Roman" w:hAnsi="Times New Roman" w:cs="Times New Roman"/>
                <w:color w:val="000000" w:themeColor="text1"/>
              </w:rPr>
            </w:pPr>
            <w:r w:rsidRPr="00067989">
              <w:rPr>
                <w:rFonts w:ascii="Times New Roman" w:hAnsi="Times New Roman" w:cs="Times New Roman"/>
                <w:color w:val="000000" w:themeColor="text1"/>
              </w:rPr>
              <w:t>Strategia na rzecz Odpowiedzialnego Rozwoju (SOR)</w:t>
            </w:r>
            <w:r w:rsidR="00ED5915" w:rsidRPr="00067989">
              <w:rPr>
                <w:rFonts w:ascii="Times New Roman" w:hAnsi="Times New Roman" w:cs="Times New Roman"/>
                <w:color w:val="000000" w:themeColor="text1"/>
              </w:rPr>
              <w:t>, obszar</w:t>
            </w:r>
            <w:r w:rsidR="00A16CBE" w:rsidRPr="000E2DF4">
              <w:rPr>
                <w:rFonts w:ascii="Times New Roman" w:hAnsi="Times New Roman" w:cs="Times New Roman"/>
                <w:color w:val="000000" w:themeColor="text1"/>
              </w:rPr>
              <w:t xml:space="preserve"> „</w:t>
            </w:r>
            <w:r w:rsidR="00147E2B" w:rsidRPr="000E2DF4">
              <w:rPr>
                <w:rFonts w:ascii="Times New Roman" w:hAnsi="Times New Roman" w:cs="Times New Roman"/>
                <w:color w:val="000000" w:themeColor="text1"/>
              </w:rPr>
              <w:t>e</w:t>
            </w:r>
            <w:r w:rsidRPr="000E2DF4">
              <w:rPr>
                <w:rFonts w:ascii="Times New Roman" w:hAnsi="Times New Roman" w:cs="Times New Roman"/>
                <w:color w:val="000000" w:themeColor="text1"/>
              </w:rPr>
              <w:t>-</w:t>
            </w:r>
            <w:r w:rsidR="00A16CBE" w:rsidRPr="000E2DF4">
              <w:rPr>
                <w:rFonts w:ascii="Times New Roman" w:hAnsi="Times New Roman" w:cs="Times New Roman"/>
                <w:color w:val="000000" w:themeColor="text1"/>
              </w:rPr>
              <w:t>Państwo”,</w:t>
            </w:r>
            <w:r w:rsidRPr="000E2DF4">
              <w:rPr>
                <w:rFonts w:ascii="Times New Roman" w:hAnsi="Times New Roman" w:cs="Times New Roman"/>
                <w:color w:val="000000" w:themeColor="text1"/>
              </w:rPr>
              <w:t xml:space="preserve"> Program „Od papierowej do cyfrowej Polski”</w:t>
            </w:r>
          </w:p>
          <w:p w14:paraId="413A7D73" w14:textId="1639A13A" w:rsidR="006A701A" w:rsidRPr="000E2DF4" w:rsidRDefault="006A701A" w:rsidP="008A3FA9">
            <w:pPr>
              <w:spacing w:before="60" w:after="60"/>
              <w:jc w:val="both"/>
              <w:rPr>
                <w:rFonts w:ascii="Times New Roman" w:hAnsi="Times New Roman" w:cs="Times New Roman"/>
                <w:b/>
                <w:color w:val="000000" w:themeColor="text1"/>
              </w:rPr>
            </w:pPr>
            <w:r w:rsidRPr="000E2DF4">
              <w:rPr>
                <w:rFonts w:ascii="Times New Roman" w:hAnsi="Times New Roman" w:cs="Times New Roman"/>
                <w:b/>
                <w:color w:val="000000" w:themeColor="text1"/>
              </w:rPr>
              <w:t xml:space="preserve">Nr </w:t>
            </w:r>
            <w:r w:rsidR="0057668E" w:rsidRPr="000E2DF4">
              <w:rPr>
                <w:rFonts w:ascii="Times New Roman" w:hAnsi="Times New Roman" w:cs="Times New Roman"/>
                <w:b/>
                <w:color w:val="000000" w:themeColor="text1"/>
              </w:rPr>
              <w:t>w</w:t>
            </w:r>
            <w:r w:rsidRPr="000E2DF4">
              <w:rPr>
                <w:rFonts w:ascii="Times New Roman" w:hAnsi="Times New Roman" w:cs="Times New Roman"/>
                <w:b/>
                <w:color w:val="000000" w:themeColor="text1"/>
              </w:rPr>
              <w:t xml:space="preserve"> </w:t>
            </w:r>
            <w:r w:rsidR="004E0AF6">
              <w:rPr>
                <w:rFonts w:ascii="Times New Roman" w:hAnsi="Times New Roman" w:cs="Times New Roman"/>
                <w:b/>
                <w:color w:val="000000" w:themeColor="text1"/>
              </w:rPr>
              <w:t>W</w:t>
            </w:r>
            <w:r w:rsidRPr="000E2DF4">
              <w:rPr>
                <w:rFonts w:ascii="Times New Roman" w:hAnsi="Times New Roman" w:cs="Times New Roman"/>
                <w:b/>
                <w:color w:val="000000" w:themeColor="text1"/>
              </w:rPr>
              <w:t>ykaz</w:t>
            </w:r>
            <w:r w:rsidR="0057668E" w:rsidRPr="000E2DF4">
              <w:rPr>
                <w:rFonts w:ascii="Times New Roman" w:hAnsi="Times New Roman" w:cs="Times New Roman"/>
                <w:b/>
                <w:color w:val="000000" w:themeColor="text1"/>
              </w:rPr>
              <w:t>ie</w:t>
            </w:r>
            <w:r w:rsidRPr="000E2DF4">
              <w:rPr>
                <w:rFonts w:ascii="Times New Roman" w:hAnsi="Times New Roman" w:cs="Times New Roman"/>
                <w:b/>
                <w:color w:val="000000" w:themeColor="text1"/>
              </w:rPr>
              <w:t xml:space="preserve"> prac </w:t>
            </w:r>
          </w:p>
          <w:p w14:paraId="7BEB8D13" w14:textId="77777777" w:rsidR="006A701A" w:rsidRPr="004E0AF6" w:rsidRDefault="00B03899" w:rsidP="008A3FA9">
            <w:pPr>
              <w:spacing w:before="60" w:after="60"/>
              <w:jc w:val="both"/>
              <w:rPr>
                <w:rFonts w:ascii="Times New Roman" w:hAnsi="Times New Roman" w:cs="Times New Roman"/>
                <w:color w:val="000000" w:themeColor="text1"/>
              </w:rPr>
            </w:pPr>
            <w:r w:rsidRPr="00661E0A">
              <w:rPr>
                <w:rFonts w:ascii="Times New Roman" w:hAnsi="Times New Roman" w:cs="Times New Roman"/>
                <w:color w:val="000000" w:themeColor="text1"/>
              </w:rPr>
              <w:t>UD 462</w:t>
            </w:r>
          </w:p>
        </w:tc>
      </w:tr>
      <w:tr w:rsidR="005C3FCE" w:rsidRPr="00067989" w14:paraId="7D777BB0" w14:textId="77777777" w:rsidTr="008A3FA9">
        <w:trPr>
          <w:gridAfter w:val="1"/>
          <w:wAfter w:w="61" w:type="dxa"/>
          <w:trHeight w:val="142"/>
          <w:jc w:val="center"/>
        </w:trPr>
        <w:tc>
          <w:tcPr>
            <w:tcW w:w="10566" w:type="dxa"/>
            <w:gridSpan w:val="28"/>
            <w:shd w:val="clear" w:color="auto" w:fill="99CCFF"/>
          </w:tcPr>
          <w:p w14:paraId="2F2D71E7" w14:textId="77777777" w:rsidR="006A701A" w:rsidRPr="00067989" w:rsidRDefault="006A701A" w:rsidP="00067989">
            <w:pPr>
              <w:spacing w:before="60" w:after="60"/>
              <w:jc w:val="center"/>
              <w:rPr>
                <w:rFonts w:ascii="Times New Roman" w:hAnsi="Times New Roman" w:cs="Times New Roman"/>
                <w:b/>
                <w:color w:val="000000" w:themeColor="text1"/>
                <w:sz w:val="32"/>
                <w:szCs w:val="32"/>
              </w:rPr>
            </w:pPr>
            <w:r w:rsidRPr="00067989">
              <w:rPr>
                <w:rFonts w:ascii="Times New Roman" w:hAnsi="Times New Roman" w:cs="Times New Roman"/>
                <w:b/>
                <w:color w:val="FFFFFF" w:themeColor="background1"/>
                <w:sz w:val="32"/>
                <w:szCs w:val="32"/>
              </w:rPr>
              <w:t>OCENA SKUTKÓW REGULACJI</w:t>
            </w:r>
          </w:p>
        </w:tc>
      </w:tr>
      <w:tr w:rsidR="005C3FCE" w:rsidRPr="00067989" w14:paraId="4D24F680" w14:textId="77777777" w:rsidTr="008A3FA9">
        <w:trPr>
          <w:gridAfter w:val="1"/>
          <w:wAfter w:w="61" w:type="dxa"/>
          <w:trHeight w:val="333"/>
          <w:jc w:val="center"/>
        </w:trPr>
        <w:tc>
          <w:tcPr>
            <w:tcW w:w="10566" w:type="dxa"/>
            <w:gridSpan w:val="28"/>
            <w:shd w:val="clear" w:color="auto" w:fill="99CCFF"/>
            <w:vAlign w:val="center"/>
          </w:tcPr>
          <w:p w14:paraId="6BD107CB" w14:textId="77777777" w:rsidR="006A701A" w:rsidRPr="00067989" w:rsidRDefault="003D12F6" w:rsidP="00067989">
            <w:pPr>
              <w:numPr>
                <w:ilvl w:val="0"/>
                <w:numId w:val="1"/>
              </w:numPr>
              <w:spacing w:before="60" w:after="60"/>
              <w:ind w:left="318" w:hanging="284"/>
              <w:jc w:val="both"/>
              <w:rPr>
                <w:rFonts w:ascii="Times New Roman" w:hAnsi="Times New Roman" w:cs="Times New Roman"/>
                <w:b/>
                <w:color w:val="000000" w:themeColor="text1"/>
              </w:rPr>
            </w:pPr>
            <w:r w:rsidRPr="00067989">
              <w:rPr>
                <w:rFonts w:ascii="Times New Roman" w:hAnsi="Times New Roman" w:cs="Times New Roman"/>
                <w:b/>
                <w:color w:val="000000" w:themeColor="text1"/>
              </w:rPr>
              <w:t xml:space="preserve">Jaki problem jest </w:t>
            </w:r>
            <w:r w:rsidR="00CC6305" w:rsidRPr="00067989">
              <w:rPr>
                <w:rFonts w:ascii="Times New Roman" w:hAnsi="Times New Roman" w:cs="Times New Roman"/>
                <w:b/>
                <w:color w:val="000000" w:themeColor="text1"/>
              </w:rPr>
              <w:t>rozwiązywany?</w:t>
            </w:r>
            <w:bookmarkStart w:id="3" w:name="Wybór1"/>
            <w:bookmarkEnd w:id="3"/>
          </w:p>
        </w:tc>
      </w:tr>
      <w:tr w:rsidR="005C3FCE" w:rsidRPr="00067989" w14:paraId="24B28225" w14:textId="77777777" w:rsidTr="008A3FA9">
        <w:trPr>
          <w:gridAfter w:val="1"/>
          <w:wAfter w:w="61" w:type="dxa"/>
          <w:trHeight w:val="142"/>
          <w:jc w:val="center"/>
        </w:trPr>
        <w:tc>
          <w:tcPr>
            <w:tcW w:w="10566" w:type="dxa"/>
            <w:gridSpan w:val="28"/>
            <w:shd w:val="clear" w:color="auto" w:fill="FFFFFF"/>
          </w:tcPr>
          <w:p w14:paraId="1E115ACD" w14:textId="3BCFC9A4" w:rsidR="001E2106" w:rsidRPr="00067989" w:rsidRDefault="001E2106" w:rsidP="008A3FA9">
            <w:pPr>
              <w:spacing w:before="60" w:after="60"/>
              <w:ind w:left="62"/>
              <w:jc w:val="both"/>
              <w:rPr>
                <w:rFonts w:ascii="Times New Roman" w:hAnsi="Times New Roman" w:cs="Times New Roman"/>
                <w:color w:val="000000" w:themeColor="text1"/>
              </w:rPr>
            </w:pPr>
            <w:r w:rsidRPr="00067989">
              <w:rPr>
                <w:rFonts w:ascii="Times New Roman" w:hAnsi="Times New Roman" w:cs="Times New Roman"/>
                <w:color w:val="000000" w:themeColor="text1"/>
              </w:rPr>
              <w:t>Wprowadzenie efektywnych e-usług publicznych stanowi jeden z celów Programu Zintegrowanej Informatyzacji Państwa (PZIP), stanowiącego załącznik do uchwały nr 11/2014 Rady Ministrów z dnia 8</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stycznia 2014 r. w</w:t>
            </w:r>
            <w:r w:rsidR="008742F0">
              <w:rPr>
                <w:rFonts w:ascii="Times New Roman" w:hAnsi="Times New Roman" w:cs="Times New Roman"/>
                <w:color w:val="000000" w:themeColor="text1"/>
              </w:rPr>
              <w:t> </w:t>
            </w:r>
            <w:r w:rsidRPr="00067989">
              <w:rPr>
                <w:rFonts w:ascii="Times New Roman" w:hAnsi="Times New Roman" w:cs="Times New Roman"/>
                <w:color w:val="000000" w:themeColor="text1"/>
              </w:rPr>
              <w:t xml:space="preserve">sprawie przyjęcia </w:t>
            </w:r>
            <w:r w:rsidRPr="00067989">
              <w:rPr>
                <w:rFonts w:ascii="Times New Roman" w:hAnsi="Times New Roman" w:cs="Times New Roman"/>
                <w:i/>
                <w:color w:val="000000" w:themeColor="text1"/>
              </w:rPr>
              <w:t>„Programu Zintegrowanej Informatyzacji Państwa”</w:t>
            </w:r>
            <w:r w:rsidRPr="00067989">
              <w:rPr>
                <w:rFonts w:ascii="Times New Roman" w:hAnsi="Times New Roman" w:cs="Times New Roman"/>
                <w:color w:val="000000" w:themeColor="text1"/>
              </w:rPr>
              <w:t xml:space="preserve">, zmienionej uchwałą 117/2016 Rady Ministrów z dnia 27 września 2016 r. </w:t>
            </w:r>
          </w:p>
          <w:p w14:paraId="1AD53D32" w14:textId="6EF60D5F" w:rsidR="001E2106" w:rsidRPr="00067989" w:rsidRDefault="001E2106" w:rsidP="008A3FA9">
            <w:pPr>
              <w:spacing w:before="60" w:after="60"/>
              <w:ind w:left="62"/>
              <w:jc w:val="both"/>
              <w:rPr>
                <w:rFonts w:ascii="Times New Roman" w:hAnsi="Times New Roman" w:cs="Times New Roman"/>
                <w:color w:val="000000" w:themeColor="text1"/>
              </w:rPr>
            </w:pPr>
            <w:r w:rsidRPr="00067989">
              <w:rPr>
                <w:rFonts w:ascii="Times New Roman" w:hAnsi="Times New Roman" w:cs="Times New Roman"/>
                <w:color w:val="000000" w:themeColor="text1"/>
              </w:rPr>
              <w:t>Projekt ustawy stanowi odpowiedź na Deklarację ministerialną w sprawie administracji elektronicznej, podpisaną w</w:t>
            </w:r>
            <w:r w:rsidR="008742F0">
              <w:rPr>
                <w:rFonts w:ascii="Times New Roman" w:hAnsi="Times New Roman" w:cs="Times New Roman"/>
                <w:color w:val="000000" w:themeColor="text1"/>
              </w:rPr>
              <w:t> </w:t>
            </w:r>
            <w:r w:rsidRPr="00067989">
              <w:rPr>
                <w:rFonts w:ascii="Times New Roman" w:hAnsi="Times New Roman" w:cs="Times New Roman"/>
                <w:color w:val="000000" w:themeColor="text1"/>
              </w:rPr>
              <w:t>Tallinie w dniu 6 października 2017 r., w której wskazano m.in. na zasadę domyślności cyfrowej i</w:t>
            </w:r>
            <w:r w:rsidR="008742F0">
              <w:rPr>
                <w:rFonts w:ascii="Times New Roman" w:hAnsi="Times New Roman" w:cs="Times New Roman"/>
                <w:color w:val="000000" w:themeColor="text1"/>
              </w:rPr>
              <w:t> </w:t>
            </w:r>
            <w:r w:rsidRPr="00067989">
              <w:rPr>
                <w:rFonts w:ascii="Times New Roman" w:hAnsi="Times New Roman" w:cs="Times New Roman"/>
                <w:color w:val="000000" w:themeColor="text1"/>
              </w:rPr>
              <w:t>powszechności. Zgodnie z tą zasadą usługi publiczne powinny być dostępne w postaci cyfrowej, która powinna być formą domyślną, jednak państwo powinno oferować alternatywne drogi komunikacji obywatelom niechcącym lub niemogącym ich używać w</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cyfrowej postaci.</w:t>
            </w:r>
          </w:p>
          <w:p w14:paraId="01996F06" w14:textId="77777777" w:rsidR="001E2106" w:rsidRPr="000E2DF4" w:rsidRDefault="001E2106" w:rsidP="008A3FA9">
            <w:pPr>
              <w:spacing w:before="60" w:after="60"/>
              <w:ind w:left="62"/>
              <w:jc w:val="both"/>
              <w:rPr>
                <w:rFonts w:ascii="Times New Roman" w:hAnsi="Times New Roman" w:cs="Times New Roman"/>
                <w:color w:val="000000" w:themeColor="text1"/>
              </w:rPr>
            </w:pPr>
            <w:r w:rsidRPr="00067989">
              <w:rPr>
                <w:rFonts w:ascii="Times New Roman" w:hAnsi="Times New Roman" w:cs="Times New Roman"/>
                <w:color w:val="000000" w:themeColor="text1"/>
              </w:rPr>
              <w:t xml:space="preserve">Projekt ustawy o </w:t>
            </w:r>
            <w:r w:rsidR="006E44CA" w:rsidRPr="00067989">
              <w:rPr>
                <w:rFonts w:ascii="Times New Roman" w:hAnsi="Times New Roman" w:cs="Times New Roman"/>
                <w:color w:val="000000" w:themeColor="text1"/>
              </w:rPr>
              <w:t>doręczeniach elektronicznych</w:t>
            </w:r>
            <w:r w:rsidRPr="000E2DF4">
              <w:rPr>
                <w:rFonts w:ascii="Times New Roman" w:hAnsi="Times New Roman" w:cs="Times New Roman"/>
                <w:color w:val="000000" w:themeColor="text1"/>
              </w:rPr>
              <w:t xml:space="preserve"> służy również realizacji przyjętej przez Radę Ministrów Strategii na</w:t>
            </w:r>
            <w:r w:rsidR="00AB04E9">
              <w:rPr>
                <w:rFonts w:ascii="Times New Roman" w:hAnsi="Times New Roman" w:cs="Times New Roman"/>
                <w:color w:val="000000" w:themeColor="text1"/>
              </w:rPr>
              <w:t xml:space="preserve"> </w:t>
            </w:r>
            <w:r w:rsidRPr="000E2DF4">
              <w:rPr>
                <w:rFonts w:ascii="Times New Roman" w:hAnsi="Times New Roman" w:cs="Times New Roman"/>
                <w:color w:val="000000" w:themeColor="text1"/>
              </w:rPr>
              <w:t xml:space="preserve">rzecz Odpowiedzialnego Rozwoju (SOR) w obszarze „e-Państwo </w:t>
            </w:r>
            <w:r w:rsidR="005F6337">
              <w:rPr>
                <w:rFonts w:ascii="Times New Roman" w:hAnsi="Times New Roman" w:cs="Times New Roman"/>
                <w:color w:val="000000" w:themeColor="text1"/>
              </w:rPr>
              <w:t>–</w:t>
            </w:r>
            <w:r w:rsidRPr="000E2DF4">
              <w:rPr>
                <w:rFonts w:ascii="Times New Roman" w:hAnsi="Times New Roman" w:cs="Times New Roman"/>
                <w:color w:val="000000" w:themeColor="text1"/>
              </w:rPr>
              <w:t xml:space="preserve"> </w:t>
            </w:r>
            <w:r w:rsidRPr="000E2DF4">
              <w:rPr>
                <w:rFonts w:ascii="Times New Roman" w:hAnsi="Times New Roman" w:cs="Times New Roman"/>
                <w:i/>
                <w:iCs/>
                <w:color w:val="000000" w:themeColor="text1"/>
              </w:rPr>
              <w:t>Skuteczne państwo i</w:t>
            </w:r>
            <w:r w:rsidR="00AB04E9">
              <w:rPr>
                <w:rFonts w:ascii="Times New Roman" w:hAnsi="Times New Roman" w:cs="Times New Roman"/>
                <w:i/>
                <w:iCs/>
                <w:color w:val="000000" w:themeColor="text1"/>
              </w:rPr>
              <w:t xml:space="preserve"> </w:t>
            </w:r>
            <w:r w:rsidRPr="000E2DF4">
              <w:rPr>
                <w:rFonts w:ascii="Times New Roman" w:hAnsi="Times New Roman" w:cs="Times New Roman"/>
                <w:i/>
                <w:iCs/>
                <w:color w:val="000000" w:themeColor="text1"/>
              </w:rPr>
              <w:t>instytucje służące wzrostowi oraz rozwojowi społecznemu i gospodarczemu”</w:t>
            </w:r>
            <w:r w:rsidRPr="000E2DF4">
              <w:rPr>
                <w:rFonts w:ascii="Times New Roman" w:hAnsi="Times New Roman" w:cs="Times New Roman"/>
                <w:color w:val="000000" w:themeColor="text1"/>
              </w:rPr>
              <w:t>. W obszarze tym planowane są działania usprawniające funkcjonowanie administracji publicznej, świadczącej wysokiej jakości usługi z</w:t>
            </w:r>
            <w:r w:rsidR="00AB04E9">
              <w:rPr>
                <w:rFonts w:ascii="Times New Roman" w:hAnsi="Times New Roman" w:cs="Times New Roman"/>
                <w:color w:val="000000" w:themeColor="text1"/>
              </w:rPr>
              <w:t xml:space="preserve"> </w:t>
            </w:r>
            <w:r w:rsidRPr="000E2DF4">
              <w:rPr>
                <w:rFonts w:ascii="Times New Roman" w:hAnsi="Times New Roman" w:cs="Times New Roman"/>
                <w:color w:val="000000" w:themeColor="text1"/>
              </w:rPr>
              <w:t>wykorzystaniem nowoczesnych technologii informatycznych w celu rozwijania społeczeństwa i</w:t>
            </w:r>
            <w:r w:rsidR="00AB04E9">
              <w:rPr>
                <w:rFonts w:ascii="Times New Roman" w:hAnsi="Times New Roman" w:cs="Times New Roman"/>
                <w:color w:val="000000" w:themeColor="text1"/>
              </w:rPr>
              <w:t xml:space="preserve"> </w:t>
            </w:r>
            <w:r w:rsidRPr="000E2DF4">
              <w:rPr>
                <w:rFonts w:ascii="Times New Roman" w:hAnsi="Times New Roman" w:cs="Times New Roman"/>
                <w:color w:val="000000" w:themeColor="text1"/>
              </w:rPr>
              <w:t xml:space="preserve">gospodarki. </w:t>
            </w:r>
          </w:p>
          <w:p w14:paraId="7644F412" w14:textId="77777777" w:rsidR="001E2106" w:rsidRPr="000E2DF4" w:rsidRDefault="001E2106" w:rsidP="008A3FA9">
            <w:pPr>
              <w:spacing w:before="60" w:after="60"/>
              <w:ind w:left="62"/>
              <w:jc w:val="both"/>
              <w:rPr>
                <w:rFonts w:ascii="Times New Roman" w:hAnsi="Times New Roman" w:cs="Times New Roman"/>
                <w:i/>
                <w:color w:val="000000" w:themeColor="text1"/>
              </w:rPr>
            </w:pPr>
            <w:r w:rsidRPr="000E2DF4">
              <w:rPr>
                <w:rFonts w:ascii="Times New Roman" w:hAnsi="Times New Roman" w:cs="Times New Roman"/>
                <w:color w:val="000000" w:themeColor="text1"/>
              </w:rPr>
              <w:t>Jednym z</w:t>
            </w:r>
            <w:r w:rsidR="00AB04E9">
              <w:rPr>
                <w:rFonts w:ascii="Times New Roman" w:hAnsi="Times New Roman" w:cs="Times New Roman"/>
                <w:color w:val="000000" w:themeColor="text1"/>
              </w:rPr>
              <w:t xml:space="preserve"> </w:t>
            </w:r>
            <w:r w:rsidRPr="000E2DF4">
              <w:rPr>
                <w:rFonts w:ascii="Times New Roman" w:hAnsi="Times New Roman" w:cs="Times New Roman"/>
                <w:color w:val="000000" w:themeColor="text1"/>
              </w:rPr>
              <w:t>kierunków interwencji wskazanych w</w:t>
            </w:r>
            <w:r w:rsidR="00AB04E9">
              <w:rPr>
                <w:rFonts w:ascii="Times New Roman" w:hAnsi="Times New Roman" w:cs="Times New Roman"/>
                <w:color w:val="000000" w:themeColor="text1"/>
              </w:rPr>
              <w:t xml:space="preserve"> </w:t>
            </w:r>
            <w:r w:rsidRPr="000E2DF4">
              <w:rPr>
                <w:rFonts w:ascii="Times New Roman" w:hAnsi="Times New Roman" w:cs="Times New Roman"/>
                <w:color w:val="000000" w:themeColor="text1"/>
              </w:rPr>
              <w:t>SOR jest zapewnienie dominującego udziału elektronicznego obiegu dokumentów w administracji i obrocie gospodarczym (zadanie „Budowa i rozwój e</w:t>
            </w:r>
            <w:r w:rsidR="005F6337">
              <w:rPr>
                <w:rFonts w:ascii="Times New Roman" w:hAnsi="Times New Roman" w:cs="Times New Roman"/>
                <w:color w:val="000000" w:themeColor="text1"/>
              </w:rPr>
              <w:t>-</w:t>
            </w:r>
            <w:r w:rsidRPr="000E2DF4">
              <w:rPr>
                <w:rFonts w:ascii="Times New Roman" w:hAnsi="Times New Roman" w:cs="Times New Roman"/>
                <w:color w:val="000000" w:themeColor="text1"/>
              </w:rPr>
              <w:t>administracji – orientacja administracji państwa na usługi cyfrowe”).</w:t>
            </w:r>
          </w:p>
          <w:p w14:paraId="4E544DE7" w14:textId="113EB05B" w:rsidR="001E2106" w:rsidRPr="00E42D6D" w:rsidRDefault="001E2106" w:rsidP="008A3FA9">
            <w:pPr>
              <w:spacing w:before="60" w:after="60"/>
              <w:ind w:left="62"/>
              <w:jc w:val="both"/>
              <w:rPr>
                <w:rFonts w:ascii="Times New Roman" w:hAnsi="Times New Roman" w:cs="Times New Roman"/>
                <w:i/>
                <w:color w:val="000000" w:themeColor="text1"/>
              </w:rPr>
            </w:pPr>
            <w:r w:rsidRPr="000E2DF4">
              <w:rPr>
                <w:rFonts w:ascii="Times New Roman" w:hAnsi="Times New Roman" w:cs="Times New Roman"/>
                <w:color w:val="000000" w:themeColor="text1"/>
              </w:rPr>
              <w:t>Projekt ustawy wychodzi także naprzeciw potrzebom określonym podczas posiedzenia Rady</w:t>
            </w:r>
            <w:r w:rsidR="00AB04E9">
              <w:rPr>
                <w:rFonts w:ascii="Times New Roman" w:hAnsi="Times New Roman" w:cs="Times New Roman"/>
                <w:color w:val="000000" w:themeColor="text1"/>
              </w:rPr>
              <w:t xml:space="preserve"> </w:t>
            </w:r>
            <w:r w:rsidRPr="000E2DF4">
              <w:rPr>
                <w:rFonts w:ascii="Times New Roman" w:hAnsi="Times New Roman" w:cs="Times New Roman"/>
                <w:color w:val="000000" w:themeColor="text1"/>
              </w:rPr>
              <w:t>Ministrów z</w:t>
            </w:r>
            <w:r w:rsidR="00AB04E9">
              <w:rPr>
                <w:rFonts w:ascii="Times New Roman" w:hAnsi="Times New Roman" w:cs="Times New Roman"/>
                <w:color w:val="000000" w:themeColor="text1"/>
              </w:rPr>
              <w:t xml:space="preserve"> </w:t>
            </w:r>
            <w:r w:rsidRPr="000E2DF4">
              <w:rPr>
                <w:rFonts w:ascii="Times New Roman" w:hAnsi="Times New Roman" w:cs="Times New Roman"/>
                <w:color w:val="000000" w:themeColor="text1"/>
              </w:rPr>
              <w:t>dnia 5</w:t>
            </w:r>
            <w:r w:rsidR="008742F0">
              <w:rPr>
                <w:rFonts w:ascii="Times New Roman" w:hAnsi="Times New Roman" w:cs="Times New Roman"/>
                <w:color w:val="000000" w:themeColor="text1"/>
              </w:rPr>
              <w:t> </w:t>
            </w:r>
            <w:r w:rsidRPr="000E2DF4">
              <w:rPr>
                <w:rFonts w:ascii="Times New Roman" w:hAnsi="Times New Roman" w:cs="Times New Roman"/>
                <w:color w:val="000000" w:themeColor="text1"/>
              </w:rPr>
              <w:t>kwietnia 2018 r., podczas którego poruszono temat przeglądu prawa pod kątem możliwości ograniczenia obowiązków administracyjnych oraz wyznaczono Ministra Przedsiębiorczości i</w:t>
            </w:r>
            <w:r w:rsidR="00AB04E9">
              <w:rPr>
                <w:rFonts w:ascii="Times New Roman" w:hAnsi="Times New Roman" w:cs="Times New Roman"/>
                <w:color w:val="000000" w:themeColor="text1"/>
              </w:rPr>
              <w:t xml:space="preserve"> </w:t>
            </w:r>
            <w:r w:rsidRPr="000E2DF4">
              <w:rPr>
                <w:rFonts w:ascii="Times New Roman" w:hAnsi="Times New Roman" w:cs="Times New Roman"/>
                <w:color w:val="000000" w:themeColor="text1"/>
              </w:rPr>
              <w:t>Technologii do koordynacji tego zadania. Pakiet rozwiązań umożliwiających doręczenia elektroniczne zamiast papierowych stanie się niezbędnym narzędziem umożliwiającym uproszczenie procesów administracyjnych</w:t>
            </w:r>
            <w:r w:rsidRPr="00E42D6D">
              <w:rPr>
                <w:rFonts w:ascii="Times New Roman" w:hAnsi="Times New Roman" w:cs="Times New Roman"/>
                <w:i/>
                <w:color w:val="000000" w:themeColor="text1"/>
              </w:rPr>
              <w:t>.</w:t>
            </w:r>
          </w:p>
          <w:p w14:paraId="133D6393" w14:textId="3EB2F452" w:rsidR="001E2106" w:rsidRPr="00067989" w:rsidRDefault="001E2106" w:rsidP="008A3FA9">
            <w:pPr>
              <w:spacing w:before="60" w:after="60"/>
              <w:jc w:val="both"/>
              <w:rPr>
                <w:rFonts w:ascii="Times New Roman" w:hAnsi="Times New Roman" w:cs="Times New Roman"/>
                <w:color w:val="000000" w:themeColor="text1"/>
              </w:rPr>
            </w:pPr>
            <w:r w:rsidRPr="00080920">
              <w:rPr>
                <w:rFonts w:ascii="Times New Roman" w:hAnsi="Times New Roman" w:cs="Times New Roman"/>
                <w:color w:val="000000" w:themeColor="text1"/>
              </w:rPr>
              <w:t>Obecnie podstawową formą wymiany korespondencji z podmiotami publicznymi jest tradycyjny sposób komunikacji, oparty o papierową przesyłkę poleconą lub osobist</w:t>
            </w:r>
            <w:r w:rsidR="0071404E" w:rsidRPr="00067989">
              <w:rPr>
                <w:rFonts w:ascii="Times New Roman" w:hAnsi="Times New Roman" w:cs="Times New Roman"/>
                <w:color w:val="000000" w:themeColor="text1"/>
              </w:rPr>
              <w:t>ą</w:t>
            </w:r>
            <w:r w:rsidRPr="00067989">
              <w:rPr>
                <w:rFonts w:ascii="Times New Roman" w:hAnsi="Times New Roman" w:cs="Times New Roman"/>
                <w:color w:val="000000" w:themeColor="text1"/>
              </w:rPr>
              <w:t xml:space="preserve"> </w:t>
            </w:r>
            <w:r w:rsidR="0071404E" w:rsidRPr="00067989">
              <w:rPr>
                <w:rFonts w:ascii="Times New Roman" w:hAnsi="Times New Roman" w:cs="Times New Roman"/>
                <w:color w:val="000000" w:themeColor="text1"/>
              </w:rPr>
              <w:t xml:space="preserve">wizytę </w:t>
            </w:r>
            <w:r w:rsidRPr="00067989">
              <w:rPr>
                <w:rFonts w:ascii="Times New Roman" w:hAnsi="Times New Roman" w:cs="Times New Roman"/>
                <w:color w:val="000000" w:themeColor="text1"/>
              </w:rPr>
              <w:t xml:space="preserve">w punkcie obsługi klienta. Administracja publiczna </w:t>
            </w:r>
            <w:r w:rsidR="0071404E" w:rsidRPr="00067989">
              <w:rPr>
                <w:rFonts w:ascii="Times New Roman" w:hAnsi="Times New Roman" w:cs="Times New Roman"/>
                <w:color w:val="000000" w:themeColor="text1"/>
              </w:rPr>
              <w:t>komunikuje się z różnymi podmiotami poprzez</w:t>
            </w:r>
            <w:r w:rsidR="00AB04E9">
              <w:rPr>
                <w:rFonts w:ascii="Times New Roman" w:hAnsi="Times New Roman" w:cs="Times New Roman"/>
                <w:color w:val="000000" w:themeColor="text1"/>
              </w:rPr>
              <w:t xml:space="preserve"> </w:t>
            </w:r>
            <w:r w:rsidR="0071404E" w:rsidRPr="00067989">
              <w:rPr>
                <w:rFonts w:ascii="Times New Roman" w:hAnsi="Times New Roman" w:cs="Times New Roman"/>
                <w:color w:val="000000" w:themeColor="text1"/>
              </w:rPr>
              <w:t>e-</w:t>
            </w:r>
            <w:r w:rsidRPr="00067989">
              <w:rPr>
                <w:rFonts w:ascii="Times New Roman" w:hAnsi="Times New Roman" w:cs="Times New Roman"/>
                <w:color w:val="000000" w:themeColor="text1"/>
              </w:rPr>
              <w:t xml:space="preserve">usługi udostępniane w </w:t>
            </w:r>
            <w:r w:rsidR="0071404E" w:rsidRPr="00067989">
              <w:rPr>
                <w:rFonts w:ascii="Times New Roman" w:hAnsi="Times New Roman" w:cs="Times New Roman"/>
                <w:color w:val="000000" w:themeColor="text1"/>
              </w:rPr>
              <w:t xml:space="preserve">dedykowanych systemach </w:t>
            </w:r>
            <w:r w:rsidRPr="00067989">
              <w:rPr>
                <w:rFonts w:ascii="Times New Roman" w:hAnsi="Times New Roman" w:cs="Times New Roman"/>
                <w:color w:val="000000" w:themeColor="text1"/>
              </w:rPr>
              <w:t>lub</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na ePUAP</w:t>
            </w:r>
            <w:r w:rsidR="0071404E" w:rsidRPr="00067989">
              <w:rPr>
                <w:rFonts w:ascii="Times New Roman" w:hAnsi="Times New Roman" w:cs="Times New Roman"/>
                <w:color w:val="000000" w:themeColor="text1"/>
              </w:rPr>
              <w:t xml:space="preserve">. Niestety są to najczęściej usługi </w:t>
            </w:r>
            <w:r w:rsidRPr="00067989">
              <w:rPr>
                <w:rFonts w:ascii="Times New Roman" w:hAnsi="Times New Roman" w:cs="Times New Roman"/>
                <w:color w:val="000000" w:themeColor="text1"/>
              </w:rPr>
              <w:t xml:space="preserve">przeznaczone dla określonego celu lub </w:t>
            </w:r>
            <w:r w:rsidR="0071404E" w:rsidRPr="00067989">
              <w:rPr>
                <w:rFonts w:ascii="Times New Roman" w:hAnsi="Times New Roman" w:cs="Times New Roman"/>
                <w:color w:val="000000" w:themeColor="text1"/>
              </w:rPr>
              <w:t xml:space="preserve">załatwienia wyłącznie </w:t>
            </w:r>
            <w:r w:rsidRPr="00067989">
              <w:rPr>
                <w:rFonts w:ascii="Times New Roman" w:hAnsi="Times New Roman" w:cs="Times New Roman"/>
                <w:color w:val="000000" w:themeColor="text1"/>
              </w:rPr>
              <w:t xml:space="preserve">określonej sprawy. </w:t>
            </w:r>
          </w:p>
          <w:p w14:paraId="3521AAE9" w14:textId="77777777" w:rsidR="001E2106" w:rsidRPr="00067989" w:rsidRDefault="001E2106" w:rsidP="008A3FA9">
            <w:p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W 2017 r. tylko 31% osób w wieku 16</w:t>
            </w:r>
            <w:r w:rsidR="005F6337">
              <w:rPr>
                <w:rFonts w:ascii="Times New Roman" w:hAnsi="Times New Roman" w:cs="Times New Roman"/>
                <w:color w:val="000000" w:themeColor="text1"/>
              </w:rPr>
              <w:t>–</w:t>
            </w:r>
            <w:r w:rsidRPr="00067989">
              <w:rPr>
                <w:rFonts w:ascii="Times New Roman" w:hAnsi="Times New Roman" w:cs="Times New Roman"/>
                <w:color w:val="000000" w:themeColor="text1"/>
              </w:rPr>
              <w:t>74 lat kontaktowało się z administracją publiczną elektronicznie</w:t>
            </w:r>
            <w:r w:rsidRPr="00067989">
              <w:rPr>
                <w:rStyle w:val="Odwoanieprzypisudolnego"/>
                <w:rFonts w:ascii="Times New Roman" w:hAnsi="Times New Roman" w:cs="Times New Roman"/>
                <w:color w:val="000000" w:themeColor="text1"/>
              </w:rPr>
              <w:footnoteReference w:id="2"/>
            </w:r>
            <w:r w:rsidR="00067989" w:rsidRPr="008A3FA9">
              <w:rPr>
                <w:rFonts w:ascii="Times New Roman" w:hAnsi="Times New Roman" w:cs="Times New Roman"/>
                <w:color w:val="000000" w:themeColor="text1"/>
                <w:vertAlign w:val="superscript"/>
              </w:rPr>
              <w:t>)</w:t>
            </w:r>
            <w:r w:rsidRPr="00067989">
              <w:rPr>
                <w:rFonts w:ascii="Times New Roman" w:hAnsi="Times New Roman" w:cs="Times New Roman"/>
                <w:color w:val="000000" w:themeColor="text1"/>
              </w:rPr>
              <w:t xml:space="preserve">. </w:t>
            </w:r>
          </w:p>
          <w:p w14:paraId="67A6826F" w14:textId="36E8F46D" w:rsidR="00D41E0B" w:rsidRPr="00067989" w:rsidRDefault="008F3B9E" w:rsidP="008A3FA9">
            <w:p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N</w:t>
            </w:r>
            <w:r w:rsidR="00D41E0B" w:rsidRPr="00067989">
              <w:rPr>
                <w:rFonts w:ascii="Times New Roman" w:hAnsi="Times New Roman" w:cs="Times New Roman"/>
                <w:color w:val="000000" w:themeColor="text1"/>
              </w:rPr>
              <w:t>isk</w:t>
            </w:r>
            <w:r w:rsidRPr="00067989">
              <w:rPr>
                <w:rFonts w:ascii="Times New Roman" w:hAnsi="Times New Roman" w:cs="Times New Roman"/>
                <w:color w:val="000000" w:themeColor="text1"/>
              </w:rPr>
              <w:t>a</w:t>
            </w:r>
            <w:r w:rsidR="00D41E0B" w:rsidRPr="00067989">
              <w:rPr>
                <w:rFonts w:ascii="Times New Roman" w:hAnsi="Times New Roman" w:cs="Times New Roman"/>
                <w:color w:val="000000" w:themeColor="text1"/>
              </w:rPr>
              <w:t xml:space="preserve"> popularność wśród obywateli tej formy komunikacji </w:t>
            </w:r>
            <w:r w:rsidR="004A025D" w:rsidRPr="00067989">
              <w:rPr>
                <w:rFonts w:ascii="Times New Roman" w:hAnsi="Times New Roman" w:cs="Times New Roman"/>
                <w:color w:val="000000" w:themeColor="text1"/>
              </w:rPr>
              <w:t>nie wynika tylko z cyfrowego wykluczenia</w:t>
            </w:r>
            <w:r w:rsidR="009310EB">
              <w:rPr>
                <w:rFonts w:ascii="Times New Roman" w:hAnsi="Times New Roman" w:cs="Times New Roman"/>
                <w:color w:val="000000" w:themeColor="text1"/>
              </w:rPr>
              <w:t>,</w:t>
            </w:r>
            <w:r w:rsidR="004A025D" w:rsidRPr="00067989">
              <w:rPr>
                <w:rFonts w:ascii="Times New Roman" w:hAnsi="Times New Roman" w:cs="Times New Roman"/>
                <w:color w:val="000000" w:themeColor="text1"/>
              </w:rPr>
              <w:t xml:space="preserve"> ale także z</w:t>
            </w:r>
            <w:r w:rsidR="008742F0">
              <w:rPr>
                <w:rFonts w:ascii="Times New Roman" w:hAnsi="Times New Roman" w:cs="Times New Roman"/>
                <w:color w:val="000000" w:themeColor="text1"/>
              </w:rPr>
              <w:t> </w:t>
            </w:r>
            <w:r w:rsidR="00650086" w:rsidRPr="00067989">
              <w:rPr>
                <w:rFonts w:ascii="Times New Roman" w:hAnsi="Times New Roman" w:cs="Times New Roman"/>
                <w:color w:val="000000" w:themeColor="text1"/>
              </w:rPr>
              <w:t>niedostatk</w:t>
            </w:r>
            <w:r w:rsidR="004A025D" w:rsidRPr="00067989">
              <w:rPr>
                <w:rFonts w:ascii="Times New Roman" w:hAnsi="Times New Roman" w:cs="Times New Roman"/>
                <w:color w:val="000000" w:themeColor="text1"/>
              </w:rPr>
              <w:t>ów</w:t>
            </w:r>
            <w:r w:rsidR="00D41E0B" w:rsidRPr="00067989">
              <w:rPr>
                <w:rFonts w:ascii="Times New Roman" w:hAnsi="Times New Roman" w:cs="Times New Roman"/>
                <w:color w:val="000000" w:themeColor="text1"/>
              </w:rPr>
              <w:t xml:space="preserve"> przyjętych w</w:t>
            </w:r>
            <w:r w:rsidR="00AB04E9">
              <w:rPr>
                <w:rFonts w:ascii="Times New Roman" w:hAnsi="Times New Roman" w:cs="Times New Roman"/>
                <w:color w:val="000000" w:themeColor="text1"/>
              </w:rPr>
              <w:t xml:space="preserve"> </w:t>
            </w:r>
            <w:r w:rsidR="00D41E0B" w:rsidRPr="00067989">
              <w:rPr>
                <w:rFonts w:ascii="Times New Roman" w:hAnsi="Times New Roman" w:cs="Times New Roman"/>
                <w:color w:val="000000" w:themeColor="text1"/>
              </w:rPr>
              <w:t>poprzednich latach rozwiązań taki</w:t>
            </w:r>
            <w:r w:rsidR="004A025D" w:rsidRPr="00067989">
              <w:rPr>
                <w:rFonts w:ascii="Times New Roman" w:hAnsi="Times New Roman" w:cs="Times New Roman"/>
                <w:color w:val="000000" w:themeColor="text1"/>
              </w:rPr>
              <w:t>ch</w:t>
            </w:r>
            <w:r w:rsidR="00D41E0B" w:rsidRPr="00067989">
              <w:rPr>
                <w:rFonts w:ascii="Times New Roman" w:hAnsi="Times New Roman" w:cs="Times New Roman"/>
                <w:color w:val="000000" w:themeColor="text1"/>
              </w:rPr>
              <w:t xml:space="preserve"> jak:</w:t>
            </w:r>
          </w:p>
          <w:p w14:paraId="79E6DBB3" w14:textId="77777777" w:rsidR="00C0377B" w:rsidRPr="00067989" w:rsidRDefault="00967B32" w:rsidP="008A3FA9">
            <w:pPr>
              <w:pStyle w:val="Akapitzlist"/>
              <w:numPr>
                <w:ilvl w:val="0"/>
                <w:numId w:val="18"/>
              </w:num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s</w:t>
            </w:r>
            <w:r w:rsidR="00D41E0B" w:rsidRPr="00067989">
              <w:rPr>
                <w:rFonts w:ascii="Times New Roman" w:hAnsi="Times New Roman" w:cs="Times New Roman"/>
                <w:color w:val="000000" w:themeColor="text1"/>
              </w:rPr>
              <w:t>ilosowość</w:t>
            </w:r>
            <w:r w:rsidR="00C0377B" w:rsidRPr="00067989">
              <w:rPr>
                <w:rFonts w:ascii="Times New Roman" w:hAnsi="Times New Roman" w:cs="Times New Roman"/>
                <w:color w:val="000000" w:themeColor="text1"/>
              </w:rPr>
              <w:t xml:space="preserve"> </w:t>
            </w:r>
            <w:r w:rsidR="00067989">
              <w:rPr>
                <w:rFonts w:ascii="Times New Roman" w:hAnsi="Times New Roman" w:cs="Times New Roman"/>
                <w:color w:val="000000" w:themeColor="text1"/>
              </w:rPr>
              <w:t>–</w:t>
            </w:r>
            <w:r w:rsidR="00D41E0B" w:rsidRPr="00067989">
              <w:rPr>
                <w:rFonts w:ascii="Times New Roman" w:hAnsi="Times New Roman" w:cs="Times New Roman"/>
                <w:color w:val="000000" w:themeColor="text1"/>
              </w:rPr>
              <w:t xml:space="preserve"> </w:t>
            </w:r>
            <w:r w:rsidR="00C0377B" w:rsidRPr="00067989">
              <w:rPr>
                <w:rFonts w:ascii="Times New Roman" w:hAnsi="Times New Roman" w:cs="Times New Roman"/>
                <w:color w:val="000000" w:themeColor="text1"/>
              </w:rPr>
              <w:t>funkcjonowanie portali do dostarczania korespondencji czy komunikacji utrzymywanych przez poszczególne urzędy powodujące dla odbiorcy tej korespondencji konieczność posiadania wielu punktów jej odbioru w wielu systemach</w:t>
            </w:r>
            <w:r w:rsidRPr="00067989">
              <w:rPr>
                <w:rFonts w:ascii="Times New Roman" w:hAnsi="Times New Roman" w:cs="Times New Roman"/>
                <w:color w:val="000000" w:themeColor="text1"/>
              </w:rPr>
              <w:t>,</w:t>
            </w:r>
            <w:r w:rsidR="00C0377B" w:rsidRPr="00067989">
              <w:rPr>
                <w:rFonts w:ascii="Times New Roman" w:eastAsia="Times New Roman" w:hAnsi="Times New Roman" w:cs="Times New Roman"/>
                <w:color w:val="000000" w:themeColor="text1"/>
              </w:rPr>
              <w:t xml:space="preserve"> </w:t>
            </w:r>
          </w:p>
          <w:p w14:paraId="28875A24" w14:textId="77777777" w:rsidR="004A025D" w:rsidRPr="000E2DF4" w:rsidRDefault="00967B32" w:rsidP="008A3FA9">
            <w:pPr>
              <w:pStyle w:val="Akapitzlist"/>
              <w:numPr>
                <w:ilvl w:val="0"/>
                <w:numId w:val="18"/>
              </w:num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n</w:t>
            </w:r>
            <w:r w:rsidR="00D41E0B" w:rsidRPr="00067989">
              <w:rPr>
                <w:rFonts w:ascii="Times New Roman" w:hAnsi="Times New Roman" w:cs="Times New Roman"/>
                <w:color w:val="000000" w:themeColor="text1"/>
              </w:rPr>
              <w:t xml:space="preserve">iska użyteczność – </w:t>
            </w:r>
            <w:r w:rsidR="00650086" w:rsidRPr="00067989">
              <w:rPr>
                <w:rFonts w:ascii="Times New Roman" w:hAnsi="Times New Roman" w:cs="Times New Roman"/>
                <w:color w:val="000000" w:themeColor="text1"/>
              </w:rPr>
              <w:t xml:space="preserve">znaczna część rozwiązań posiada ubogą funkcjonalność </w:t>
            </w:r>
            <w:r w:rsidR="004A025D" w:rsidRPr="00067989">
              <w:rPr>
                <w:rFonts w:ascii="Times New Roman" w:hAnsi="Times New Roman" w:cs="Times New Roman"/>
                <w:color w:val="000000" w:themeColor="text1"/>
              </w:rPr>
              <w:t xml:space="preserve">(wąski katalog usług/spraw jakie można załatwić) realizowaną w portalach o </w:t>
            </w:r>
            <w:r w:rsidR="00650086" w:rsidRPr="000E2DF4">
              <w:rPr>
                <w:rFonts w:ascii="Times New Roman" w:hAnsi="Times New Roman" w:cs="Times New Roman"/>
                <w:color w:val="000000" w:themeColor="text1"/>
              </w:rPr>
              <w:t>niskiej ergonomii</w:t>
            </w:r>
            <w:r w:rsidRPr="000E2DF4">
              <w:rPr>
                <w:rFonts w:ascii="Times New Roman" w:hAnsi="Times New Roman" w:cs="Times New Roman"/>
                <w:color w:val="000000" w:themeColor="text1"/>
              </w:rPr>
              <w:t>,</w:t>
            </w:r>
          </w:p>
          <w:p w14:paraId="6B99D125" w14:textId="77777777" w:rsidR="001E2106" w:rsidRPr="00080920" w:rsidRDefault="00967B32" w:rsidP="008A3FA9">
            <w:pPr>
              <w:pStyle w:val="Akapitzlist"/>
              <w:numPr>
                <w:ilvl w:val="0"/>
                <w:numId w:val="18"/>
              </w:numPr>
              <w:spacing w:before="60" w:after="60"/>
              <w:jc w:val="both"/>
              <w:rPr>
                <w:rFonts w:ascii="Times New Roman" w:hAnsi="Times New Roman" w:cs="Times New Roman"/>
                <w:color w:val="000000" w:themeColor="text1"/>
              </w:rPr>
            </w:pPr>
            <w:r w:rsidRPr="000E2DF4">
              <w:rPr>
                <w:rFonts w:ascii="Times New Roman" w:hAnsi="Times New Roman" w:cs="Times New Roman"/>
                <w:color w:val="000000" w:themeColor="text1"/>
              </w:rPr>
              <w:t>b</w:t>
            </w:r>
            <w:r w:rsidR="00D41E0B" w:rsidRPr="000E2DF4">
              <w:rPr>
                <w:rFonts w:ascii="Times New Roman" w:hAnsi="Times New Roman" w:cs="Times New Roman"/>
                <w:color w:val="000000" w:themeColor="text1"/>
              </w:rPr>
              <w:t xml:space="preserve">rak orientacji na procesy </w:t>
            </w:r>
            <w:r w:rsidR="008F3B9E" w:rsidRPr="000E2DF4">
              <w:rPr>
                <w:rFonts w:ascii="Times New Roman" w:hAnsi="Times New Roman" w:cs="Times New Roman"/>
                <w:color w:val="000000" w:themeColor="text1"/>
              </w:rPr>
              <w:t xml:space="preserve">odbiorcy </w:t>
            </w:r>
            <w:r w:rsidR="00D41E0B" w:rsidRPr="000E2DF4">
              <w:rPr>
                <w:rFonts w:ascii="Times New Roman" w:hAnsi="Times New Roman" w:cs="Times New Roman"/>
                <w:color w:val="000000" w:themeColor="text1"/>
              </w:rPr>
              <w:t xml:space="preserve">– </w:t>
            </w:r>
            <w:r w:rsidR="008F3B9E" w:rsidRPr="000E2DF4">
              <w:rPr>
                <w:rFonts w:ascii="Times New Roman" w:hAnsi="Times New Roman" w:cs="Times New Roman"/>
                <w:color w:val="000000" w:themeColor="text1"/>
              </w:rPr>
              <w:t>rozwiązania są w niskim stopniu wbudowane w procesy urzędów</w:t>
            </w:r>
            <w:r w:rsidRPr="000E2DF4">
              <w:rPr>
                <w:rFonts w:ascii="Times New Roman" w:hAnsi="Times New Roman" w:cs="Times New Roman"/>
                <w:color w:val="000000" w:themeColor="text1"/>
              </w:rPr>
              <w:t>,</w:t>
            </w:r>
            <w:r w:rsidR="008F3B9E" w:rsidRPr="000E2DF4">
              <w:rPr>
                <w:rFonts w:ascii="Times New Roman" w:hAnsi="Times New Roman" w:cs="Times New Roman"/>
                <w:color w:val="000000" w:themeColor="text1"/>
              </w:rPr>
              <w:t xml:space="preserve"> a co gorsze oderwane od procesów komunikacji zachodzących po stronie przedsiębiorcy czy obywatela</w:t>
            </w:r>
            <w:r w:rsidRPr="000E2DF4">
              <w:rPr>
                <w:rFonts w:ascii="Times New Roman" w:hAnsi="Times New Roman" w:cs="Times New Roman"/>
                <w:color w:val="000000" w:themeColor="text1"/>
              </w:rPr>
              <w:t>,</w:t>
            </w:r>
            <w:r w:rsidR="008F3B9E" w:rsidRPr="00E42D6D">
              <w:rPr>
                <w:rFonts w:ascii="Times New Roman" w:hAnsi="Times New Roman" w:cs="Times New Roman"/>
                <w:color w:val="000000" w:themeColor="text1"/>
              </w:rPr>
              <w:t xml:space="preserve"> </w:t>
            </w:r>
          </w:p>
          <w:p w14:paraId="06F96FE2" w14:textId="77777777" w:rsidR="00D41E0B" w:rsidRPr="00067989" w:rsidRDefault="00967B32" w:rsidP="008A3FA9">
            <w:pPr>
              <w:pStyle w:val="Akapitzlist"/>
              <w:numPr>
                <w:ilvl w:val="0"/>
                <w:numId w:val="18"/>
              </w:num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z</w:t>
            </w:r>
            <w:r w:rsidR="00D41E0B" w:rsidRPr="00067989">
              <w:rPr>
                <w:rFonts w:ascii="Times New Roman" w:hAnsi="Times New Roman" w:cs="Times New Roman"/>
                <w:color w:val="000000" w:themeColor="text1"/>
              </w:rPr>
              <w:t xml:space="preserve">byt wąski katalog środków komunikacji elektronicznej </w:t>
            </w:r>
            <w:r w:rsidR="008F3B9E" w:rsidRPr="00067989">
              <w:rPr>
                <w:rFonts w:ascii="Times New Roman" w:hAnsi="Times New Roman" w:cs="Times New Roman"/>
                <w:color w:val="000000" w:themeColor="text1"/>
              </w:rPr>
              <w:t xml:space="preserve">– poza platformą ePUAP nie ma środków komunikacji </w:t>
            </w:r>
            <w:r w:rsidR="008F3B9E" w:rsidRPr="00067989">
              <w:rPr>
                <w:rFonts w:ascii="Times New Roman" w:hAnsi="Times New Roman" w:cs="Times New Roman"/>
                <w:color w:val="000000" w:themeColor="text1"/>
              </w:rPr>
              <w:lastRenderedPageBreak/>
              <w:t>elektronicznej gwarantujących doręczenie korespondencji w formie elektronicznej zachowując odpowiednie skutki prawne</w:t>
            </w:r>
            <w:r w:rsidRPr="00067989">
              <w:rPr>
                <w:rFonts w:ascii="Times New Roman" w:hAnsi="Times New Roman" w:cs="Times New Roman"/>
                <w:color w:val="000000" w:themeColor="text1"/>
              </w:rPr>
              <w:t>.</w:t>
            </w:r>
          </w:p>
          <w:p w14:paraId="2A45D2E5" w14:textId="7253D5DD" w:rsidR="00AE3F94" w:rsidRPr="00067989" w:rsidRDefault="00D72971" w:rsidP="00067989">
            <w:pPr>
              <w:pStyle w:val="NormalnyWeb"/>
              <w:shd w:val="clear" w:color="auto" w:fill="FFFFFF" w:themeFill="background1"/>
              <w:spacing w:before="60" w:beforeAutospacing="0" w:after="60" w:afterAutospacing="0"/>
              <w:jc w:val="both"/>
              <w:rPr>
                <w:rFonts w:cs="Times New Roman"/>
                <w:color w:val="000000" w:themeColor="text1"/>
                <w:sz w:val="22"/>
                <w:szCs w:val="22"/>
              </w:rPr>
            </w:pPr>
            <w:r w:rsidRPr="00067989">
              <w:rPr>
                <w:rFonts w:eastAsiaTheme="minorEastAsia" w:cs="Times New Roman"/>
                <w:color w:val="000000" w:themeColor="text1"/>
                <w:sz w:val="22"/>
                <w:szCs w:val="22"/>
              </w:rPr>
              <w:t xml:space="preserve">W dobie cyfrowego przyspieszenia niwelowanie ww. </w:t>
            </w:r>
            <w:r w:rsidR="004A025D" w:rsidRPr="00067989">
              <w:rPr>
                <w:rFonts w:eastAsiaTheme="minorEastAsia" w:cs="Times New Roman"/>
                <w:color w:val="000000" w:themeColor="text1"/>
                <w:sz w:val="22"/>
                <w:szCs w:val="22"/>
              </w:rPr>
              <w:t>niedostatk</w:t>
            </w:r>
            <w:r w:rsidRPr="00067989">
              <w:rPr>
                <w:rFonts w:eastAsiaTheme="minorEastAsia" w:cs="Times New Roman"/>
                <w:color w:val="000000" w:themeColor="text1"/>
                <w:sz w:val="22"/>
                <w:szCs w:val="22"/>
              </w:rPr>
              <w:t>ów</w:t>
            </w:r>
            <w:r w:rsidR="004A025D" w:rsidRPr="00067989">
              <w:rPr>
                <w:rFonts w:eastAsiaTheme="minorEastAsia" w:cs="Times New Roman"/>
                <w:color w:val="000000" w:themeColor="text1"/>
                <w:sz w:val="22"/>
                <w:szCs w:val="22"/>
              </w:rPr>
              <w:t xml:space="preserve"> </w:t>
            </w:r>
            <w:r w:rsidRPr="00067989">
              <w:rPr>
                <w:rFonts w:eastAsiaTheme="minorEastAsia" w:cs="Times New Roman"/>
                <w:color w:val="000000" w:themeColor="text1"/>
                <w:sz w:val="22"/>
                <w:szCs w:val="22"/>
              </w:rPr>
              <w:t>jest obowiązkiem każdego społeczeństwa. Należy także odnotować wysiłek U</w:t>
            </w:r>
            <w:r w:rsidR="00967B32" w:rsidRPr="00067989">
              <w:rPr>
                <w:rFonts w:eastAsiaTheme="minorEastAsia" w:cs="Times New Roman"/>
                <w:color w:val="000000" w:themeColor="text1"/>
                <w:sz w:val="22"/>
                <w:szCs w:val="22"/>
              </w:rPr>
              <w:t xml:space="preserve">nii </w:t>
            </w:r>
            <w:r w:rsidRPr="00067989">
              <w:rPr>
                <w:rFonts w:eastAsiaTheme="minorEastAsia" w:cs="Times New Roman"/>
                <w:color w:val="000000" w:themeColor="text1"/>
                <w:sz w:val="22"/>
                <w:szCs w:val="22"/>
              </w:rPr>
              <w:t>E</w:t>
            </w:r>
            <w:r w:rsidR="00967B32" w:rsidRPr="00067989">
              <w:rPr>
                <w:rFonts w:eastAsiaTheme="minorEastAsia" w:cs="Times New Roman"/>
                <w:color w:val="000000" w:themeColor="text1"/>
                <w:sz w:val="22"/>
                <w:szCs w:val="22"/>
              </w:rPr>
              <w:t>uropejskiej</w:t>
            </w:r>
            <w:r w:rsidR="00AB65C3" w:rsidRPr="00067989">
              <w:rPr>
                <w:rFonts w:eastAsiaTheme="minorEastAsia" w:cs="Times New Roman"/>
                <w:color w:val="000000" w:themeColor="text1"/>
                <w:sz w:val="22"/>
                <w:szCs w:val="22"/>
              </w:rPr>
              <w:t xml:space="preserve"> (UE)</w:t>
            </w:r>
            <w:r w:rsidRPr="00067989">
              <w:rPr>
                <w:rFonts w:eastAsiaTheme="minorEastAsia" w:cs="Times New Roman"/>
                <w:color w:val="000000" w:themeColor="text1"/>
                <w:sz w:val="22"/>
                <w:szCs w:val="22"/>
              </w:rPr>
              <w:t xml:space="preserve"> w ramach którego nieustannie</w:t>
            </w:r>
            <w:r w:rsidR="004A025D" w:rsidRPr="00067989">
              <w:rPr>
                <w:rFonts w:eastAsiaTheme="minorEastAsia" w:cs="Times New Roman"/>
                <w:color w:val="000000" w:themeColor="text1"/>
                <w:sz w:val="22"/>
                <w:szCs w:val="22"/>
              </w:rPr>
              <w:t xml:space="preserve"> standaryzuj</w:t>
            </w:r>
            <w:r w:rsidRPr="00067989">
              <w:rPr>
                <w:rFonts w:eastAsiaTheme="minorEastAsia" w:cs="Times New Roman"/>
                <w:color w:val="000000" w:themeColor="text1"/>
                <w:sz w:val="22"/>
                <w:szCs w:val="22"/>
              </w:rPr>
              <w:t>e</w:t>
            </w:r>
            <w:r w:rsidR="004A025D" w:rsidRPr="00067989">
              <w:rPr>
                <w:rFonts w:eastAsiaTheme="minorEastAsia" w:cs="Times New Roman"/>
                <w:color w:val="000000" w:themeColor="text1"/>
                <w:sz w:val="22"/>
                <w:szCs w:val="22"/>
              </w:rPr>
              <w:t xml:space="preserve"> </w:t>
            </w:r>
            <w:r w:rsidRPr="00067989">
              <w:rPr>
                <w:rFonts w:eastAsiaTheme="minorEastAsia" w:cs="Times New Roman"/>
                <w:color w:val="000000" w:themeColor="text1"/>
                <w:sz w:val="22"/>
                <w:szCs w:val="22"/>
              </w:rPr>
              <w:t>się rynek usług cyfrowych, czego wyrazem może być podjęcie szeregu inicjatyw zmierzających do wzajemnego uznawani</w:t>
            </w:r>
            <w:r w:rsidR="00967B32" w:rsidRPr="00067989">
              <w:rPr>
                <w:rFonts w:eastAsiaTheme="minorEastAsia" w:cs="Times New Roman"/>
                <w:color w:val="000000" w:themeColor="text1"/>
                <w:sz w:val="22"/>
                <w:szCs w:val="22"/>
              </w:rPr>
              <w:t>a</w:t>
            </w:r>
            <w:r w:rsidRPr="00067989">
              <w:rPr>
                <w:rFonts w:eastAsiaTheme="minorEastAsia" w:cs="Times New Roman"/>
                <w:color w:val="000000" w:themeColor="text1"/>
                <w:sz w:val="22"/>
                <w:szCs w:val="22"/>
              </w:rPr>
              <w:t xml:space="preserve"> </w:t>
            </w:r>
            <w:r w:rsidR="004A025D" w:rsidRPr="00067989">
              <w:rPr>
                <w:rFonts w:eastAsiaTheme="minorEastAsia" w:cs="Times New Roman"/>
                <w:color w:val="000000" w:themeColor="text1"/>
                <w:sz w:val="22"/>
                <w:szCs w:val="22"/>
              </w:rPr>
              <w:t>system</w:t>
            </w:r>
            <w:r w:rsidRPr="00067989">
              <w:rPr>
                <w:rFonts w:eastAsiaTheme="minorEastAsia" w:cs="Times New Roman"/>
                <w:color w:val="000000" w:themeColor="text1"/>
                <w:sz w:val="22"/>
                <w:szCs w:val="22"/>
              </w:rPr>
              <w:t>u</w:t>
            </w:r>
            <w:r w:rsidR="004A025D" w:rsidRPr="00067989">
              <w:rPr>
                <w:rFonts w:eastAsiaTheme="minorEastAsia" w:cs="Times New Roman"/>
                <w:color w:val="000000" w:themeColor="text1"/>
                <w:sz w:val="22"/>
                <w:szCs w:val="22"/>
              </w:rPr>
              <w:t xml:space="preserve"> identyfikatorów cyfrowych i podpis</w:t>
            </w:r>
            <w:r w:rsidRPr="00067989">
              <w:rPr>
                <w:rFonts w:eastAsiaTheme="minorEastAsia" w:cs="Times New Roman"/>
                <w:color w:val="000000" w:themeColor="text1"/>
                <w:sz w:val="22"/>
                <w:szCs w:val="22"/>
              </w:rPr>
              <w:t>ów</w:t>
            </w:r>
            <w:r w:rsidR="004A025D" w:rsidRPr="00067989">
              <w:rPr>
                <w:rFonts w:eastAsiaTheme="minorEastAsia" w:cs="Times New Roman"/>
                <w:color w:val="000000" w:themeColor="text1"/>
                <w:sz w:val="22"/>
                <w:szCs w:val="22"/>
              </w:rPr>
              <w:t xml:space="preserve"> </w:t>
            </w:r>
            <w:r w:rsidR="0057639B" w:rsidRPr="00067989">
              <w:rPr>
                <w:rFonts w:eastAsiaTheme="minorEastAsia" w:cs="Times New Roman"/>
                <w:color w:val="000000" w:themeColor="text1"/>
                <w:sz w:val="22"/>
                <w:szCs w:val="22"/>
              </w:rPr>
              <w:t>elektronicznych</w:t>
            </w:r>
            <w:r w:rsidRPr="00067989">
              <w:rPr>
                <w:rFonts w:eastAsiaTheme="minorEastAsia" w:cs="Times New Roman"/>
                <w:color w:val="000000" w:themeColor="text1"/>
                <w:sz w:val="22"/>
                <w:szCs w:val="22"/>
              </w:rPr>
              <w:t>.</w:t>
            </w:r>
            <w:r w:rsidR="00AB04E9">
              <w:rPr>
                <w:rFonts w:eastAsiaTheme="minorEastAsia" w:cs="Times New Roman"/>
                <w:color w:val="000000" w:themeColor="text1"/>
                <w:sz w:val="22"/>
                <w:szCs w:val="22"/>
              </w:rPr>
              <w:t xml:space="preserve"> </w:t>
            </w:r>
            <w:r w:rsidR="0057639B" w:rsidRPr="00067989">
              <w:rPr>
                <w:rFonts w:eastAsiaTheme="minorEastAsia" w:cs="Times New Roman"/>
                <w:color w:val="000000" w:themeColor="text1"/>
                <w:sz w:val="22"/>
                <w:szCs w:val="22"/>
              </w:rPr>
              <w:t xml:space="preserve">Należy w tym miejscu wskazać na </w:t>
            </w:r>
            <w:r w:rsidRPr="00067989">
              <w:rPr>
                <w:rFonts w:eastAsiaTheme="minorEastAsia" w:cs="Times New Roman"/>
                <w:color w:val="000000" w:themeColor="text1"/>
                <w:sz w:val="22"/>
                <w:szCs w:val="22"/>
              </w:rPr>
              <w:t>wprowadzenie regulacji w sprawie identyfikacji elektronicznej i usług zaufania (</w:t>
            </w:r>
            <w:r w:rsidR="00AB4755" w:rsidRPr="00067989">
              <w:rPr>
                <w:rFonts w:eastAsiaTheme="minorEastAsia" w:cs="Times New Roman"/>
                <w:color w:val="000000" w:themeColor="text1"/>
                <w:sz w:val="22"/>
                <w:szCs w:val="22"/>
              </w:rPr>
              <w:t>r</w:t>
            </w:r>
            <w:r w:rsidRPr="00067989">
              <w:rPr>
                <w:rFonts w:eastAsiaTheme="minorEastAsia" w:cs="Times New Roman"/>
                <w:color w:val="000000" w:themeColor="text1"/>
                <w:sz w:val="22"/>
                <w:szCs w:val="22"/>
              </w:rPr>
              <w:t>ozporządzenie</w:t>
            </w:r>
            <w:r w:rsidR="00C12997" w:rsidRPr="00067989">
              <w:rPr>
                <w:rFonts w:eastAsiaTheme="minorEastAsia" w:cs="Times New Roman"/>
                <w:color w:val="000000" w:themeColor="text1"/>
                <w:sz w:val="22"/>
                <w:szCs w:val="22"/>
              </w:rPr>
              <w:t xml:space="preserve"> Parlamentu Europejskiego i Rady (UE) nr</w:t>
            </w:r>
            <w:r w:rsidR="008742F0">
              <w:rPr>
                <w:rFonts w:eastAsiaTheme="minorEastAsia" w:cs="Times New Roman"/>
                <w:color w:val="000000" w:themeColor="text1"/>
                <w:sz w:val="22"/>
                <w:szCs w:val="22"/>
              </w:rPr>
              <w:t> </w:t>
            </w:r>
            <w:r w:rsidR="00C12997" w:rsidRPr="00067989">
              <w:rPr>
                <w:rFonts w:eastAsiaTheme="minorEastAsia" w:cs="Times New Roman"/>
                <w:color w:val="000000" w:themeColor="text1"/>
                <w:sz w:val="22"/>
                <w:szCs w:val="22"/>
              </w:rPr>
              <w:t xml:space="preserve">910/2014 z dnia 23 lipca 2014 r. w sprawie identyfikacji elektronicznej i usług zaufania w odniesieniu do transakcji elektronicznych na rynku wewnętrznym oraz uchylające dyrektywę 1999/93/WE (Dz. Urz. UE. L 257, </w:t>
            </w:r>
            <w:r w:rsidR="00AB4755" w:rsidRPr="00067989">
              <w:rPr>
                <w:rFonts w:eastAsiaTheme="minorEastAsia" w:cs="Times New Roman"/>
                <w:color w:val="000000" w:themeColor="text1"/>
                <w:sz w:val="22"/>
                <w:szCs w:val="22"/>
              </w:rPr>
              <w:t>z</w:t>
            </w:r>
            <w:r w:rsidR="008742F0">
              <w:rPr>
                <w:rFonts w:eastAsiaTheme="minorEastAsia" w:cs="Times New Roman"/>
                <w:color w:val="000000" w:themeColor="text1"/>
                <w:sz w:val="22"/>
                <w:szCs w:val="22"/>
              </w:rPr>
              <w:t> </w:t>
            </w:r>
            <w:r w:rsidR="00AB4755" w:rsidRPr="00067989">
              <w:rPr>
                <w:rFonts w:eastAsiaTheme="minorEastAsia" w:cs="Times New Roman"/>
                <w:color w:val="000000" w:themeColor="text1"/>
                <w:sz w:val="22"/>
                <w:szCs w:val="22"/>
              </w:rPr>
              <w:t xml:space="preserve">28.08.2014, </w:t>
            </w:r>
            <w:r w:rsidR="00C12997" w:rsidRPr="00067989">
              <w:rPr>
                <w:rFonts w:eastAsiaTheme="minorEastAsia" w:cs="Times New Roman"/>
                <w:color w:val="000000" w:themeColor="text1"/>
                <w:sz w:val="22"/>
                <w:szCs w:val="22"/>
              </w:rPr>
              <w:t>str. 73)</w:t>
            </w:r>
            <w:r w:rsidR="00C237E2" w:rsidRPr="00067989">
              <w:rPr>
                <w:rFonts w:eastAsiaTheme="minorEastAsia" w:cs="Times New Roman"/>
                <w:color w:val="000000" w:themeColor="text1"/>
                <w:sz w:val="22"/>
                <w:szCs w:val="22"/>
              </w:rPr>
              <w:t>, zwane dalej „rozporządzeniem eIDAS”</w:t>
            </w:r>
            <w:r w:rsidR="0002759D">
              <w:rPr>
                <w:rFonts w:eastAsiaTheme="minorEastAsia" w:cs="Times New Roman"/>
                <w:color w:val="000000" w:themeColor="text1"/>
                <w:sz w:val="22"/>
                <w:szCs w:val="22"/>
              </w:rPr>
              <w:t>,</w:t>
            </w:r>
            <w:r w:rsidR="00967B32" w:rsidRPr="00067989">
              <w:rPr>
                <w:rFonts w:eastAsiaTheme="minorEastAsia" w:cs="Times New Roman"/>
                <w:color w:val="000000" w:themeColor="text1"/>
                <w:sz w:val="22"/>
                <w:szCs w:val="22"/>
              </w:rPr>
              <w:t xml:space="preserve"> </w:t>
            </w:r>
            <w:r w:rsidR="0057639B" w:rsidRPr="00067989">
              <w:rPr>
                <w:rFonts w:eastAsiaTheme="minorEastAsia" w:cs="Times New Roman"/>
                <w:color w:val="000000" w:themeColor="text1"/>
                <w:sz w:val="22"/>
                <w:szCs w:val="22"/>
              </w:rPr>
              <w:t>gdyż umocowuje ono doręczenie elektroniczne jako jedną z usług zaufania. Tym samym</w:t>
            </w:r>
            <w:r w:rsidR="00127006" w:rsidRPr="00067989">
              <w:rPr>
                <w:rFonts w:eastAsiaTheme="minorEastAsia" w:cs="Times New Roman"/>
                <w:color w:val="000000" w:themeColor="text1"/>
                <w:sz w:val="22"/>
                <w:szCs w:val="22"/>
              </w:rPr>
              <w:t xml:space="preserve"> projekt e-Doręczenia stanowi polski wkład w budujący się w UE rynek nowych usług cyfrowych wynikających z art. 44 rozporządzenia 910/2014. </w:t>
            </w:r>
            <w:r w:rsidR="00AB65C3" w:rsidRPr="00067989">
              <w:rPr>
                <w:rFonts w:eastAsiaTheme="minorEastAsia" w:cs="Times New Roman"/>
                <w:color w:val="000000" w:themeColor="text1"/>
                <w:sz w:val="22"/>
                <w:szCs w:val="22"/>
              </w:rPr>
              <w:t>Za pomocą tego</w:t>
            </w:r>
            <w:r w:rsidR="00127006" w:rsidRPr="00067989">
              <w:rPr>
                <w:rFonts w:eastAsiaTheme="minorEastAsia" w:cs="Times New Roman"/>
                <w:color w:val="000000" w:themeColor="text1"/>
                <w:sz w:val="22"/>
                <w:szCs w:val="22"/>
              </w:rPr>
              <w:t xml:space="preserve"> projekt</w:t>
            </w:r>
            <w:r w:rsidR="00AB65C3" w:rsidRPr="00067989">
              <w:rPr>
                <w:rFonts w:eastAsiaTheme="minorEastAsia" w:cs="Times New Roman"/>
                <w:color w:val="000000" w:themeColor="text1"/>
                <w:sz w:val="22"/>
                <w:szCs w:val="22"/>
              </w:rPr>
              <w:t>u</w:t>
            </w:r>
            <w:r w:rsidR="00127006" w:rsidRPr="00067989">
              <w:rPr>
                <w:rFonts w:eastAsiaTheme="minorEastAsia" w:cs="Times New Roman"/>
                <w:color w:val="000000" w:themeColor="text1"/>
                <w:sz w:val="22"/>
                <w:szCs w:val="22"/>
              </w:rPr>
              <w:t xml:space="preserve"> nastąpi wdrożenie rozwiązań koniecznych dla spełnienia wymagań związanych z umocowaniem doręczeń elektronicznych w polskim porządku prawnym.</w:t>
            </w:r>
            <w:r w:rsidR="00416485" w:rsidRPr="00067989">
              <w:rPr>
                <w:rFonts w:eastAsiaTheme="minorEastAsia" w:cs="Times New Roman"/>
                <w:color w:val="000000" w:themeColor="text1"/>
                <w:sz w:val="22"/>
                <w:szCs w:val="22"/>
              </w:rPr>
              <w:t xml:space="preserve"> </w:t>
            </w:r>
            <w:r w:rsidR="001F2C04" w:rsidRPr="00067989">
              <w:rPr>
                <w:rFonts w:cs="Times New Roman"/>
                <w:color w:val="000000" w:themeColor="text1"/>
                <w:sz w:val="22"/>
                <w:szCs w:val="22"/>
              </w:rPr>
              <w:t xml:space="preserve">Wprowadzenie </w:t>
            </w:r>
            <w:r w:rsidR="00AE3F94" w:rsidRPr="00067989">
              <w:rPr>
                <w:rFonts w:cs="Times New Roman"/>
                <w:color w:val="000000" w:themeColor="text1"/>
                <w:sz w:val="22"/>
                <w:szCs w:val="22"/>
              </w:rPr>
              <w:t xml:space="preserve">usługi rejestrowanego doręczenia elektronicznego, pozwalającej na doręczenia korespondencji ze skutkiem prawnym równoważnym do tradycyjnego doręczenia korespondencji realizowanego obecnie, pozwoli rozwiązać poniżej opisany problem dotyczący doręczeń </w:t>
            </w:r>
            <w:r w:rsidR="008E2974" w:rsidRPr="00067989">
              <w:rPr>
                <w:rFonts w:cs="Times New Roman"/>
                <w:color w:val="000000" w:themeColor="text1"/>
                <w:sz w:val="22"/>
                <w:szCs w:val="22"/>
              </w:rPr>
              <w:t xml:space="preserve">elektronicznych </w:t>
            </w:r>
            <w:r w:rsidR="00AE3F94" w:rsidRPr="00067989">
              <w:rPr>
                <w:rFonts w:cs="Times New Roman"/>
                <w:color w:val="000000" w:themeColor="text1"/>
                <w:sz w:val="22"/>
                <w:szCs w:val="22"/>
              </w:rPr>
              <w:t>przez ePUAP</w:t>
            </w:r>
            <w:r w:rsidR="00AB65C3" w:rsidRPr="00067989">
              <w:rPr>
                <w:rFonts w:cs="Times New Roman"/>
                <w:color w:val="000000" w:themeColor="text1"/>
                <w:sz w:val="22"/>
                <w:szCs w:val="22"/>
              </w:rPr>
              <w:t>,</w:t>
            </w:r>
            <w:r w:rsidR="00AE3F94" w:rsidRPr="00067989">
              <w:rPr>
                <w:rFonts w:cs="Times New Roman"/>
                <w:color w:val="000000" w:themeColor="text1"/>
                <w:sz w:val="22"/>
                <w:szCs w:val="22"/>
              </w:rPr>
              <w:t xml:space="preserve"> a także odpowie na</w:t>
            </w:r>
            <w:r w:rsidR="00AB04E9">
              <w:rPr>
                <w:rFonts w:cs="Times New Roman"/>
                <w:color w:val="000000" w:themeColor="text1"/>
                <w:sz w:val="22"/>
                <w:szCs w:val="22"/>
              </w:rPr>
              <w:t xml:space="preserve"> </w:t>
            </w:r>
            <w:r w:rsidR="00AE3F94" w:rsidRPr="00067989">
              <w:rPr>
                <w:rFonts w:cs="Times New Roman"/>
                <w:color w:val="000000" w:themeColor="text1"/>
                <w:sz w:val="22"/>
                <w:szCs w:val="22"/>
              </w:rPr>
              <w:t>potrzeby interesariuszy i otworzy perspektywę na zwiększenie liczby osób kontaktujących się elektronicznie z</w:t>
            </w:r>
            <w:r w:rsidR="00AB04E9">
              <w:rPr>
                <w:rFonts w:cs="Times New Roman"/>
                <w:color w:val="000000" w:themeColor="text1"/>
                <w:sz w:val="22"/>
                <w:szCs w:val="22"/>
              </w:rPr>
              <w:t xml:space="preserve"> </w:t>
            </w:r>
            <w:r w:rsidR="00AE3F94" w:rsidRPr="00067989">
              <w:rPr>
                <w:rFonts w:cs="Times New Roman"/>
                <w:color w:val="000000" w:themeColor="text1"/>
                <w:sz w:val="22"/>
                <w:szCs w:val="22"/>
              </w:rPr>
              <w:t xml:space="preserve">podmiotami publicznymi. </w:t>
            </w:r>
          </w:p>
          <w:p w14:paraId="53B871F5" w14:textId="65B95814" w:rsidR="00AE3F94" w:rsidRPr="00067989" w:rsidRDefault="00AE3F94" w:rsidP="008A3FA9">
            <w:p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Praktycznie wszyscy obywatele i pozostałe podmioty mogą korzystać z usługi doręczenia elektronicznego na</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ePUAP za pomocą konta, które umożliwia doręczanie korespondencji na Elektroniczne Skrzynki Podawcze (ESP) podmiotów publicznych. Doręczenie przy pomocy skrzynek ePUAP jest skuteczne tylko w</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komunikacji z</w:t>
            </w:r>
            <w:r w:rsidR="008742F0">
              <w:rPr>
                <w:rFonts w:ascii="Times New Roman" w:hAnsi="Times New Roman" w:cs="Times New Roman"/>
                <w:color w:val="000000" w:themeColor="text1"/>
              </w:rPr>
              <w:t> </w:t>
            </w:r>
            <w:r w:rsidRPr="00067989">
              <w:rPr>
                <w:rFonts w:ascii="Times New Roman" w:hAnsi="Times New Roman" w:cs="Times New Roman"/>
                <w:color w:val="000000" w:themeColor="text1"/>
              </w:rPr>
              <w:t>podmiotami publicznymi i tylko w</w:t>
            </w:r>
            <w:r w:rsidR="000E6647" w:rsidRPr="0006798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ramach spraw wszczętych elektronicznie lub dla których została wyrażona zgoda na doręczanie elektroniczne. Obecnie podmiot korzystający z ePUAP może mieć wiele adresów e-skrzynek, zakładanych często w celu wysłania i odebrania korespondencji tylko w jednej sprawie. W efekcie funkcjonuje wiele adresów elektronicznych, które są trudne do wyszukania i w praktyce są znane tylko uczestnikom korespondencji prowadzonej w określonej sprawie. Każdy z podmiotów publicznych zarządza własną listą adresów elektronicznych swoich klientów, w tym nawet kilkoma adresami jednego klienta przyporządkowanymi dla</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różnych spraw.</w:t>
            </w:r>
          </w:p>
          <w:p w14:paraId="65F8AAE1" w14:textId="1EDC2480" w:rsidR="000E6647" w:rsidRPr="00067989" w:rsidRDefault="00AE3F94" w:rsidP="008A3FA9">
            <w:p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 xml:space="preserve">Ustawa z dnia 17 lutego 2005 r. o informatyzacji działalności podmiotów realizujących zadania publiczne </w:t>
            </w:r>
            <w:r w:rsidR="001B5FB3" w:rsidRPr="00067989">
              <w:rPr>
                <w:rFonts w:ascii="Times New Roman" w:hAnsi="Times New Roman" w:cs="Times New Roman"/>
                <w:color w:val="000000" w:themeColor="text1"/>
              </w:rPr>
              <w:t>(Dz. U. z</w:t>
            </w:r>
            <w:r w:rsidR="008742F0">
              <w:rPr>
                <w:rFonts w:ascii="Times New Roman" w:hAnsi="Times New Roman" w:cs="Times New Roman"/>
                <w:color w:val="000000" w:themeColor="text1"/>
              </w:rPr>
              <w:t> </w:t>
            </w:r>
            <w:r w:rsidR="001B5FB3" w:rsidRPr="00067989">
              <w:rPr>
                <w:rFonts w:ascii="Times New Roman" w:hAnsi="Times New Roman" w:cs="Times New Roman"/>
                <w:color w:val="000000" w:themeColor="text1"/>
              </w:rPr>
              <w:t>2019 r. poz. 700, z późn. zm.)</w:t>
            </w:r>
            <w:r w:rsidR="004532C1">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nakłada na podmioty publiczne obowiązek posiadania ESP, jednakże przypisany jej adres bywa trudny do</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wyszukania, a ponadto doręczenie na niego jest skuteczne tylko w niektórych procedurach, gdyż</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liczne przepisy regulujące specjalne zasady doręczeń elektronicznych w określonych sytuacjach wykluczają możliwość wykorzystania tego sposobu komunikacji. Dodatkowo</w:t>
            </w:r>
            <w:r w:rsidR="001B5FB3" w:rsidRPr="00067989">
              <w:rPr>
                <w:rFonts w:ascii="Times New Roman" w:hAnsi="Times New Roman" w:cs="Times New Roman"/>
                <w:color w:val="000000" w:themeColor="text1"/>
              </w:rPr>
              <w:t>,</w:t>
            </w:r>
            <w:r w:rsidRPr="00067989">
              <w:rPr>
                <w:rFonts w:ascii="Times New Roman" w:hAnsi="Times New Roman" w:cs="Times New Roman"/>
                <w:color w:val="000000" w:themeColor="text1"/>
              </w:rPr>
              <w:t xml:space="preserve"> pomimo wymogu posiadania skrzynki podawczej, tylko 97% urzędów posiadało w 2015 r. ESP, co wskazuje na niepełne stosowanie się do wymogów ustawy o</w:t>
            </w:r>
            <w:r w:rsidR="008742F0">
              <w:rPr>
                <w:rFonts w:ascii="Times New Roman" w:hAnsi="Times New Roman" w:cs="Times New Roman"/>
                <w:color w:val="000000" w:themeColor="text1"/>
              </w:rPr>
              <w:t> </w:t>
            </w:r>
            <w:r w:rsidRPr="00067989">
              <w:rPr>
                <w:rFonts w:ascii="Times New Roman" w:hAnsi="Times New Roman" w:cs="Times New Roman"/>
                <w:color w:val="000000" w:themeColor="text1"/>
              </w:rPr>
              <w:t>informatyzacji oraz uniemożliwia stosowanie się do art. 39</w:t>
            </w:r>
            <w:r w:rsidR="001377EB" w:rsidRPr="00067989">
              <w:rPr>
                <w:rFonts w:ascii="Times New Roman" w:hAnsi="Times New Roman" w:cs="Times New Roman"/>
                <w:color w:val="000000" w:themeColor="text1"/>
                <w:vertAlign w:val="superscript"/>
              </w:rPr>
              <w:t>2</w:t>
            </w:r>
            <w:r w:rsidRPr="00067989">
              <w:rPr>
                <w:rFonts w:ascii="Times New Roman" w:hAnsi="Times New Roman" w:cs="Times New Roman"/>
                <w:color w:val="000000" w:themeColor="text1"/>
              </w:rPr>
              <w:t xml:space="preserve"> </w:t>
            </w:r>
            <w:r w:rsidR="001B5FB3" w:rsidRPr="00067989">
              <w:rPr>
                <w:rFonts w:ascii="Times New Roman" w:hAnsi="Times New Roman" w:cs="Times New Roman"/>
                <w:color w:val="000000" w:themeColor="text1"/>
              </w:rPr>
              <w:t xml:space="preserve">ustawy z dnia 14 czerwca 1960 r. </w:t>
            </w:r>
            <w:r w:rsidR="005F6337">
              <w:rPr>
                <w:rFonts w:ascii="Times New Roman" w:hAnsi="Times New Roman" w:cs="Times New Roman"/>
                <w:color w:val="000000" w:themeColor="text1"/>
              </w:rPr>
              <w:t>–</w:t>
            </w:r>
            <w:r w:rsidR="001B5FB3" w:rsidRPr="00067989" w:rsidDel="001B5FB3">
              <w:rPr>
                <w:rFonts w:ascii="Times New Roman" w:hAnsi="Times New Roman" w:cs="Times New Roman"/>
                <w:color w:val="000000" w:themeColor="text1"/>
              </w:rPr>
              <w:t xml:space="preserve"> </w:t>
            </w:r>
            <w:r w:rsidR="001B5FB3" w:rsidRPr="00067989">
              <w:rPr>
                <w:rFonts w:ascii="Times New Roman" w:hAnsi="Times New Roman" w:cs="Times New Roman"/>
                <w:color w:val="000000" w:themeColor="text1"/>
              </w:rPr>
              <w:t>K</w:t>
            </w:r>
            <w:r w:rsidRPr="00067989">
              <w:rPr>
                <w:rFonts w:ascii="Times New Roman" w:hAnsi="Times New Roman" w:cs="Times New Roman"/>
                <w:color w:val="000000" w:themeColor="text1"/>
              </w:rPr>
              <w:t>odeks postępowania administracyjnego</w:t>
            </w:r>
            <w:r w:rsidR="001B5FB3" w:rsidRPr="00067989">
              <w:rPr>
                <w:rFonts w:ascii="Times New Roman" w:hAnsi="Times New Roman" w:cs="Times New Roman"/>
                <w:color w:val="000000" w:themeColor="text1"/>
              </w:rPr>
              <w:t xml:space="preserve"> (Dz. U. z 2018 r. poz. 2096, z późn. zm.)</w:t>
            </w:r>
            <w:r w:rsidRPr="00067989">
              <w:rPr>
                <w:rFonts w:ascii="Times New Roman" w:hAnsi="Times New Roman" w:cs="Times New Roman"/>
                <w:color w:val="000000" w:themeColor="text1"/>
              </w:rPr>
              <w:t xml:space="preserve">. </w:t>
            </w:r>
          </w:p>
          <w:p w14:paraId="0FC062A4" w14:textId="77777777" w:rsidR="00AE3F94" w:rsidRPr="00067989" w:rsidRDefault="00AE3F94" w:rsidP="008A3FA9">
            <w:p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Niewiele więcej niż połowa jednostek wykorzystuje ESP do udzielania odpowiedzi na</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korespondencję, która wpłynęła tą drogą, a tylko 23% podmiotów używa ESP do doręczania korespondencji wszczynanej z własnej inicjatywy</w:t>
            </w:r>
            <w:r w:rsidRPr="00067989">
              <w:rPr>
                <w:rStyle w:val="Odwoanieprzypisudolnego"/>
                <w:rFonts w:ascii="Times New Roman" w:hAnsi="Times New Roman" w:cs="Times New Roman"/>
                <w:color w:val="000000" w:themeColor="text1"/>
              </w:rPr>
              <w:footnoteReference w:id="3"/>
            </w:r>
            <w:r w:rsidR="00067989" w:rsidRPr="008A3FA9">
              <w:rPr>
                <w:rFonts w:ascii="Times New Roman" w:hAnsi="Times New Roman" w:cs="Times New Roman"/>
                <w:color w:val="000000" w:themeColor="text1"/>
                <w:vertAlign w:val="superscript"/>
              </w:rPr>
              <w:t>)</w:t>
            </w:r>
            <w:r w:rsidRPr="00067989">
              <w:rPr>
                <w:rFonts w:ascii="Times New Roman" w:hAnsi="Times New Roman" w:cs="Times New Roman"/>
                <w:color w:val="000000" w:themeColor="text1"/>
              </w:rPr>
              <w:t>.Podsumowując, na niesatysfakcjonujący stopień wykorzystania ePUAP zasadniczy wpływ mają ograniczenia prawne skuteczności doręczeń realizowanych za pomocą ePUAP wynikające z</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przepisów szczegółowych, wykluczających możliwość skutecznego doręczania korespondencji tą drogą. Powoduje to dezorientację użytkowników i niepewność co do sensu jej wykorzystywania</w:t>
            </w:r>
            <w:r w:rsidR="001377EB" w:rsidRPr="0006798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 np. osoby fizyczne, które po próbie wniesienia pisma za pomocą ePUAP do sądu lub ZUS otrzymały zwrotną korespondencję wskazującą na konieczność wniesienia pisma procesowego do sądu na papierze lub do ZUS za</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pomocą systemu PUE ZUS, rezygnują z wykorzystywania ePUAP w przyszłości.</w:t>
            </w:r>
          </w:p>
          <w:p w14:paraId="6294EC71" w14:textId="700E0A9A" w:rsidR="00AE3F94" w:rsidRPr="00067989" w:rsidRDefault="00AE3F94" w:rsidP="008A3FA9">
            <w:p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Ponadto interfejs użytkownika ePUAP i rozwiązania organizacyjne tego systemu są już nienowoczesne i</w:t>
            </w:r>
            <w:r w:rsidR="008742F0">
              <w:rPr>
                <w:rFonts w:ascii="Times New Roman" w:hAnsi="Times New Roman" w:cs="Times New Roman"/>
                <w:color w:val="000000" w:themeColor="text1"/>
              </w:rPr>
              <w:t> </w:t>
            </w:r>
            <w:r w:rsidRPr="00067989">
              <w:rPr>
                <w:rFonts w:ascii="Times New Roman" w:hAnsi="Times New Roman" w:cs="Times New Roman"/>
                <w:color w:val="000000" w:themeColor="text1"/>
              </w:rPr>
              <w:t>niezrozumiałe dla użytkowników, w tym także dla podmiotów publicznych, co potęguje nacisk na tworzenie rozwiązań alternatywnych, dedykowanych dla określonej sprawy lub podmiotu. Obecne rozwiązania techniczne ePUAP są także niezgodne z przygotowywanymi wytycznymi europejskimi dla</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rejestrowanego doręczenia elektronicznego. Stwarzają też istotne ograniczenia wydajnościowe i nie powinny być dalej rozwijane.</w:t>
            </w:r>
          </w:p>
          <w:p w14:paraId="063F941B" w14:textId="77777777" w:rsidR="00AE3F94" w:rsidRPr="000E2DF4" w:rsidRDefault="00AE3F94" w:rsidP="008A3FA9">
            <w:pPr>
              <w:spacing w:before="60" w:after="60"/>
              <w:jc w:val="both"/>
              <w:rPr>
                <w:rFonts w:ascii="Times New Roman" w:hAnsi="Times New Roman" w:cs="Times New Roman"/>
                <w:color w:val="000000" w:themeColor="text1"/>
              </w:rPr>
            </w:pPr>
            <w:r w:rsidRPr="000E2DF4">
              <w:rPr>
                <w:rFonts w:ascii="Times New Roman" w:hAnsi="Times New Roman" w:cs="Times New Roman"/>
                <w:color w:val="000000" w:themeColor="text1"/>
              </w:rPr>
              <w:t>Przykład ePUAP pokazuje, że należy stworzyć rozwiązanie nie tylko wygodne i zrozumiałe, ale przede wszystkim umocowujące w prawie nową metodę doręczenia, która pozwoli na korzystanie z niej, bez obaw użytkowników co do skuteczności e-Doręczeń.</w:t>
            </w:r>
          </w:p>
          <w:p w14:paraId="5021763F" w14:textId="77777777" w:rsidR="00AE3F94" w:rsidRPr="00067989" w:rsidRDefault="00AE3F94" w:rsidP="008A3FA9">
            <w:pPr>
              <w:pStyle w:val="Akapitzlist"/>
              <w:spacing w:before="60" w:after="60"/>
              <w:ind w:left="0"/>
              <w:jc w:val="both"/>
              <w:rPr>
                <w:rFonts w:ascii="Times New Roman" w:hAnsi="Times New Roman" w:cs="Times New Roman"/>
                <w:color w:val="000000" w:themeColor="text1"/>
              </w:rPr>
            </w:pPr>
            <w:r w:rsidRPr="000E2DF4">
              <w:rPr>
                <w:rFonts w:ascii="Times New Roman" w:hAnsi="Times New Roman" w:cs="Times New Roman"/>
                <w:color w:val="000000" w:themeColor="text1"/>
              </w:rPr>
              <w:t>W Polsce od 2005 r. obowiązuje również wymóg weryfikacji, czy potencjalny odbiorca korespondencji życzy sobie doręczeń elektronicznych wysyłanych przez podmioty publiczne w danej sprawie</w:t>
            </w:r>
            <w:r w:rsidRPr="00067989">
              <w:rPr>
                <w:rStyle w:val="Odwoanieprzypisudolnego"/>
                <w:rFonts w:ascii="Times New Roman" w:hAnsi="Times New Roman" w:cs="Times New Roman"/>
                <w:color w:val="000000" w:themeColor="text1"/>
              </w:rPr>
              <w:footnoteReference w:id="4"/>
            </w:r>
            <w:r w:rsidR="00067989" w:rsidRPr="008A3FA9">
              <w:rPr>
                <w:rFonts w:ascii="Times New Roman" w:hAnsi="Times New Roman" w:cs="Times New Roman"/>
                <w:color w:val="000000" w:themeColor="text1"/>
                <w:vertAlign w:val="superscript"/>
              </w:rPr>
              <w:t>)</w:t>
            </w:r>
            <w:r w:rsidRPr="00067989">
              <w:rPr>
                <w:rFonts w:ascii="Times New Roman" w:hAnsi="Times New Roman" w:cs="Times New Roman"/>
                <w:color w:val="000000" w:themeColor="text1"/>
              </w:rPr>
              <w:t xml:space="preserve">. </w:t>
            </w:r>
          </w:p>
          <w:p w14:paraId="2EC22FB2" w14:textId="7459EE6E" w:rsidR="00416485" w:rsidRPr="00067989" w:rsidRDefault="00AE3F94" w:rsidP="008A3FA9">
            <w:pPr>
              <w:pStyle w:val="Akapitzlist"/>
              <w:spacing w:before="60" w:after="60"/>
              <w:ind w:left="0"/>
              <w:jc w:val="both"/>
              <w:rPr>
                <w:rFonts w:ascii="Times New Roman" w:hAnsi="Times New Roman" w:cs="Times New Roman"/>
                <w:color w:val="000000" w:themeColor="text1"/>
              </w:rPr>
            </w:pPr>
            <w:r w:rsidRPr="00067989">
              <w:rPr>
                <w:rFonts w:ascii="Times New Roman" w:hAnsi="Times New Roman" w:cs="Times New Roman"/>
                <w:color w:val="000000" w:themeColor="text1"/>
              </w:rPr>
              <w:t xml:space="preserve">Każdy podmiot publiczny musi sobie radzić z tym obowiązkiem we własnym zakresie, tworząc samodzielne systemy </w:t>
            </w:r>
            <w:r w:rsidRPr="00067989">
              <w:rPr>
                <w:rFonts w:ascii="Times New Roman" w:hAnsi="Times New Roman" w:cs="Times New Roman"/>
                <w:color w:val="000000" w:themeColor="text1"/>
              </w:rPr>
              <w:lastRenderedPageBreak/>
              <w:t>informatyczne, usługi lub procedury. Zdiagnozowana „silosowość</w:t>
            </w:r>
            <w:r w:rsidR="001377EB" w:rsidRPr="00067989">
              <w:rPr>
                <w:rFonts w:ascii="Times New Roman" w:hAnsi="Times New Roman" w:cs="Times New Roman"/>
                <w:color w:val="000000" w:themeColor="text1"/>
              </w:rPr>
              <w:t>”</w:t>
            </w:r>
            <w:r w:rsidRPr="00067989">
              <w:rPr>
                <w:rStyle w:val="Odwoanieprzypisudolnego"/>
                <w:rFonts w:ascii="Times New Roman" w:hAnsi="Times New Roman" w:cs="Times New Roman"/>
                <w:color w:val="000000" w:themeColor="text1"/>
              </w:rPr>
              <w:footnoteReference w:id="5"/>
            </w:r>
            <w:r w:rsidR="00067989" w:rsidRPr="008A3FA9">
              <w:rPr>
                <w:rFonts w:ascii="Times New Roman" w:hAnsi="Times New Roman" w:cs="Times New Roman"/>
                <w:color w:val="000000" w:themeColor="text1"/>
                <w:vertAlign w:val="superscript"/>
              </w:rPr>
              <w:t>)</w:t>
            </w:r>
            <w:r w:rsidRPr="00067989">
              <w:rPr>
                <w:rFonts w:ascii="Times New Roman" w:hAnsi="Times New Roman" w:cs="Times New Roman"/>
                <w:color w:val="000000" w:themeColor="text1"/>
              </w:rPr>
              <w:t xml:space="preserve"> i</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fragmentaryczność rozwiązań przełożyły się na brak synergii pomiędzy działaniami podejmowanymi w</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różnych sektorach czy resortach. Systemy i</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rejestry państwowe nie są wzajemnie powiązane, co dla podmiotów publicznych jest realnym utrudnieniem w oferowanych usługach i realizowanych procedurach. Brak standaryzacji usługi rejestrowanego doręczenia w</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Polsce powoduje wielokrotne ponoszenie kosztów projektowania, wdrożenia i</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utrzymania systemów realizujących takie zadania. W</w:t>
            </w:r>
            <w:r w:rsidR="008742F0">
              <w:rPr>
                <w:rFonts w:ascii="Times New Roman" w:hAnsi="Times New Roman" w:cs="Times New Roman"/>
                <w:color w:val="000000" w:themeColor="text1"/>
              </w:rPr>
              <w:t> </w:t>
            </w:r>
            <w:r w:rsidRPr="00067989">
              <w:rPr>
                <w:rFonts w:ascii="Times New Roman" w:hAnsi="Times New Roman" w:cs="Times New Roman"/>
                <w:color w:val="000000" w:themeColor="text1"/>
              </w:rPr>
              <w:t>efekcie obywatele, przedsiębiorcy i podmioty publiczne w celu prowadzenia korespondencji elektronicznej muszą posiadać wiele kont w różnych systemach.</w:t>
            </w:r>
            <w:r w:rsidR="00416485" w:rsidRPr="00067989">
              <w:rPr>
                <w:rFonts w:ascii="Times New Roman" w:hAnsi="Times New Roman" w:cs="Times New Roman"/>
                <w:color w:val="000000" w:themeColor="text1"/>
              </w:rPr>
              <w:t xml:space="preserve"> Projekt e-Doręczenia, zawierający w swym zakresie uporządkowanie aspektów prawnego umocowania doręczeń elektronicznych w polskim porządku prawnym</w:t>
            </w:r>
            <w:r w:rsidR="00876914">
              <w:rPr>
                <w:rFonts w:ascii="Times New Roman" w:hAnsi="Times New Roman" w:cs="Times New Roman"/>
                <w:color w:val="000000" w:themeColor="text1"/>
              </w:rPr>
              <w:t>,</w:t>
            </w:r>
            <w:r w:rsidR="00416485" w:rsidRPr="00067989">
              <w:rPr>
                <w:rFonts w:ascii="Times New Roman" w:hAnsi="Times New Roman" w:cs="Times New Roman"/>
                <w:color w:val="000000" w:themeColor="text1"/>
              </w:rPr>
              <w:t xml:space="preserve"> idealnie odpowiada na zidentyfikowane potrzeby rynkowe</w:t>
            </w:r>
            <w:r w:rsidR="00105320" w:rsidRPr="00067989">
              <w:rPr>
                <w:rFonts w:ascii="Times New Roman" w:hAnsi="Times New Roman" w:cs="Times New Roman"/>
                <w:color w:val="000000" w:themeColor="text1"/>
              </w:rPr>
              <w:t xml:space="preserve">. </w:t>
            </w:r>
            <w:r w:rsidR="00416485" w:rsidRPr="00067989">
              <w:rPr>
                <w:rFonts w:ascii="Times New Roman" w:hAnsi="Times New Roman" w:cs="Times New Roman"/>
                <w:color w:val="000000" w:themeColor="text1"/>
              </w:rPr>
              <w:t>Wprowadzenie wymogu korzystania z publicznej usługi rejestrowanego doręczenia elektronicznego po</w:t>
            </w:r>
            <w:r w:rsidR="00AB04E9">
              <w:rPr>
                <w:rFonts w:ascii="Times New Roman" w:hAnsi="Times New Roman" w:cs="Times New Roman"/>
                <w:color w:val="000000" w:themeColor="text1"/>
              </w:rPr>
              <w:t xml:space="preserve"> </w:t>
            </w:r>
            <w:r w:rsidR="00416485" w:rsidRPr="00067989">
              <w:rPr>
                <w:rFonts w:ascii="Times New Roman" w:hAnsi="Times New Roman" w:cs="Times New Roman"/>
                <w:color w:val="000000" w:themeColor="text1"/>
              </w:rPr>
              <w:t>stronie podmiotów publicznych</w:t>
            </w:r>
            <w:r w:rsidR="00416485" w:rsidRPr="00067989">
              <w:rPr>
                <w:rStyle w:val="Odwoanieprzypisudolnego"/>
                <w:rFonts w:ascii="Times New Roman" w:hAnsi="Times New Roman" w:cs="Times New Roman"/>
                <w:color w:val="000000" w:themeColor="text1"/>
              </w:rPr>
              <w:footnoteReference w:id="6"/>
            </w:r>
            <w:r w:rsidR="00067989" w:rsidRPr="008A3FA9">
              <w:rPr>
                <w:rFonts w:ascii="Times New Roman" w:hAnsi="Times New Roman" w:cs="Times New Roman"/>
                <w:color w:val="000000" w:themeColor="text1"/>
                <w:vertAlign w:val="superscript"/>
              </w:rPr>
              <w:t>)</w:t>
            </w:r>
            <w:r w:rsidR="00416485" w:rsidRPr="00067989">
              <w:rPr>
                <w:rFonts w:ascii="Times New Roman" w:hAnsi="Times New Roman" w:cs="Times New Roman"/>
                <w:color w:val="000000" w:themeColor="text1"/>
              </w:rPr>
              <w:t>, podmiotów wpisanych do CEIDG oraz podmiotów wpisanych do KRS nie powinno wiązać się z nałożeniem obowiązku wykorzystania technologii cyfrowych na obywateli nie stosujących ich na co dzień.</w:t>
            </w:r>
          </w:p>
          <w:p w14:paraId="6AAC8D36" w14:textId="77777777" w:rsidR="00374E30" w:rsidRPr="00067989" w:rsidRDefault="00374E30" w:rsidP="00067989">
            <w:pPr>
              <w:pStyle w:val="NormalnyWeb"/>
              <w:shd w:val="clear" w:color="auto" w:fill="FFFFFF" w:themeFill="background1"/>
              <w:spacing w:before="60" w:beforeAutospacing="0" w:after="60" w:afterAutospacing="0"/>
              <w:jc w:val="both"/>
              <w:rPr>
                <w:rFonts w:eastAsiaTheme="minorEastAsia" w:cs="Times New Roman"/>
                <w:color w:val="000000" w:themeColor="text1"/>
                <w:sz w:val="22"/>
                <w:szCs w:val="22"/>
              </w:rPr>
            </w:pPr>
            <w:r w:rsidRPr="00067989">
              <w:rPr>
                <w:rFonts w:eastAsiaTheme="minorEastAsia" w:cs="Times New Roman"/>
                <w:color w:val="000000" w:themeColor="text1"/>
                <w:sz w:val="22"/>
                <w:szCs w:val="22"/>
              </w:rPr>
              <w:t>Kolejne problemy jakie rozwiązuje projekt można zdefiniować w dwóch płaszczyznach:</w:t>
            </w:r>
          </w:p>
          <w:p w14:paraId="78B250BE" w14:textId="77777777" w:rsidR="00AE3F94" w:rsidRPr="00067989" w:rsidRDefault="007B7D01" w:rsidP="00067989">
            <w:pPr>
              <w:pStyle w:val="NormalnyWeb"/>
              <w:numPr>
                <w:ilvl w:val="0"/>
                <w:numId w:val="19"/>
              </w:numPr>
              <w:shd w:val="clear" w:color="auto" w:fill="FFFFFF" w:themeFill="background1"/>
              <w:spacing w:before="60" w:beforeAutospacing="0" w:after="60" w:afterAutospacing="0"/>
              <w:jc w:val="both"/>
              <w:rPr>
                <w:rFonts w:eastAsiaTheme="minorEastAsia" w:cs="Times New Roman"/>
                <w:color w:val="000000" w:themeColor="text1"/>
                <w:sz w:val="22"/>
                <w:szCs w:val="22"/>
              </w:rPr>
            </w:pPr>
            <w:r w:rsidRPr="00067989">
              <w:rPr>
                <w:rFonts w:eastAsiaTheme="minorEastAsia" w:cs="Times New Roman"/>
                <w:color w:val="000000" w:themeColor="text1"/>
                <w:sz w:val="22"/>
                <w:szCs w:val="22"/>
              </w:rPr>
              <w:t>n</w:t>
            </w:r>
            <w:r w:rsidR="00CE0E50" w:rsidRPr="00067989">
              <w:rPr>
                <w:rFonts w:eastAsiaTheme="minorEastAsia" w:cs="Times New Roman"/>
                <w:color w:val="000000" w:themeColor="text1"/>
                <w:sz w:val="22"/>
                <w:szCs w:val="22"/>
              </w:rPr>
              <w:t xml:space="preserve">ieoptymalnego przebiegu </w:t>
            </w:r>
            <w:r w:rsidR="00374E30" w:rsidRPr="00067989">
              <w:rPr>
                <w:rFonts w:eastAsiaTheme="minorEastAsia" w:cs="Times New Roman"/>
                <w:color w:val="000000" w:themeColor="text1"/>
                <w:sz w:val="22"/>
                <w:szCs w:val="22"/>
              </w:rPr>
              <w:t>procesów biznesowych</w:t>
            </w:r>
            <w:r w:rsidR="007215D2" w:rsidRPr="00067989">
              <w:rPr>
                <w:rFonts w:eastAsiaTheme="minorEastAsia" w:cs="Times New Roman"/>
                <w:color w:val="000000" w:themeColor="text1"/>
                <w:sz w:val="22"/>
                <w:szCs w:val="22"/>
              </w:rPr>
              <w:t>;</w:t>
            </w:r>
            <w:r w:rsidR="00374E30" w:rsidRPr="00067989">
              <w:rPr>
                <w:rFonts w:eastAsiaTheme="minorEastAsia" w:cs="Times New Roman"/>
                <w:color w:val="000000" w:themeColor="text1"/>
                <w:sz w:val="22"/>
                <w:szCs w:val="22"/>
              </w:rPr>
              <w:t xml:space="preserve"> </w:t>
            </w:r>
          </w:p>
          <w:p w14:paraId="6BD07A16" w14:textId="77777777" w:rsidR="00374E30" w:rsidRPr="00067989" w:rsidRDefault="007B7D01" w:rsidP="00067989">
            <w:pPr>
              <w:pStyle w:val="NormalnyWeb"/>
              <w:numPr>
                <w:ilvl w:val="0"/>
                <w:numId w:val="19"/>
              </w:numPr>
              <w:shd w:val="clear" w:color="auto" w:fill="FFFFFF" w:themeFill="background1"/>
              <w:spacing w:before="60" w:beforeAutospacing="0" w:after="60" w:afterAutospacing="0"/>
              <w:jc w:val="both"/>
              <w:rPr>
                <w:rFonts w:eastAsiaTheme="minorEastAsia" w:cs="Times New Roman"/>
                <w:color w:val="000000" w:themeColor="text1"/>
                <w:sz w:val="22"/>
                <w:szCs w:val="22"/>
              </w:rPr>
            </w:pPr>
            <w:r w:rsidRPr="00067989">
              <w:rPr>
                <w:rFonts w:eastAsiaTheme="minorEastAsia" w:cs="Times New Roman"/>
                <w:color w:val="000000" w:themeColor="text1"/>
                <w:sz w:val="22"/>
                <w:szCs w:val="22"/>
              </w:rPr>
              <w:t>b</w:t>
            </w:r>
            <w:r w:rsidR="005B0F0A" w:rsidRPr="00067989">
              <w:rPr>
                <w:rFonts w:eastAsiaTheme="minorEastAsia" w:cs="Times New Roman"/>
                <w:color w:val="000000" w:themeColor="text1"/>
                <w:sz w:val="22"/>
                <w:szCs w:val="22"/>
              </w:rPr>
              <w:t>rak</w:t>
            </w:r>
            <w:r w:rsidR="007215D2" w:rsidRPr="00067989">
              <w:rPr>
                <w:rFonts w:eastAsiaTheme="minorEastAsia" w:cs="Times New Roman"/>
                <w:color w:val="000000" w:themeColor="text1"/>
                <w:sz w:val="22"/>
                <w:szCs w:val="22"/>
              </w:rPr>
              <w:t>u</w:t>
            </w:r>
            <w:r w:rsidR="008B2C53" w:rsidRPr="00067989">
              <w:rPr>
                <w:rFonts w:eastAsiaTheme="minorEastAsia" w:cs="Times New Roman"/>
                <w:color w:val="000000" w:themeColor="text1"/>
                <w:sz w:val="22"/>
                <w:szCs w:val="22"/>
              </w:rPr>
              <w:t xml:space="preserve"> </w:t>
            </w:r>
            <w:r w:rsidR="005B0F0A" w:rsidRPr="00067989">
              <w:rPr>
                <w:rFonts w:eastAsiaTheme="minorEastAsia" w:cs="Times New Roman"/>
                <w:color w:val="000000" w:themeColor="text1"/>
                <w:sz w:val="22"/>
                <w:szCs w:val="22"/>
              </w:rPr>
              <w:t xml:space="preserve">interoperacyjności </w:t>
            </w:r>
            <w:r w:rsidR="00A24B75" w:rsidRPr="00067989">
              <w:rPr>
                <w:rFonts w:eastAsiaTheme="minorEastAsia" w:cs="Times New Roman"/>
                <w:color w:val="000000" w:themeColor="text1"/>
                <w:sz w:val="22"/>
                <w:szCs w:val="22"/>
              </w:rPr>
              <w:t xml:space="preserve">między </w:t>
            </w:r>
            <w:r w:rsidR="005B0F0A" w:rsidRPr="00067989">
              <w:rPr>
                <w:rFonts w:eastAsiaTheme="minorEastAsia" w:cs="Times New Roman"/>
                <w:color w:val="000000" w:themeColor="text1"/>
                <w:sz w:val="22"/>
                <w:szCs w:val="22"/>
              </w:rPr>
              <w:t>usług</w:t>
            </w:r>
            <w:r w:rsidR="00A24B75" w:rsidRPr="00067989">
              <w:rPr>
                <w:rFonts w:eastAsiaTheme="minorEastAsia" w:cs="Times New Roman"/>
                <w:color w:val="000000" w:themeColor="text1"/>
                <w:sz w:val="22"/>
                <w:szCs w:val="22"/>
              </w:rPr>
              <w:t>ami</w:t>
            </w:r>
            <w:r w:rsidR="00AB04E9">
              <w:rPr>
                <w:rFonts w:eastAsiaTheme="minorEastAsia" w:cs="Times New Roman"/>
                <w:color w:val="000000" w:themeColor="text1"/>
                <w:sz w:val="22"/>
                <w:szCs w:val="22"/>
              </w:rPr>
              <w:t xml:space="preserve"> </w:t>
            </w:r>
            <w:r w:rsidR="00A24B75" w:rsidRPr="00067989">
              <w:rPr>
                <w:rFonts w:eastAsiaTheme="minorEastAsia" w:cs="Times New Roman"/>
                <w:color w:val="000000" w:themeColor="text1"/>
                <w:sz w:val="22"/>
                <w:szCs w:val="22"/>
              </w:rPr>
              <w:t>cyfrowymi i tradycyjnymi</w:t>
            </w:r>
            <w:r w:rsidR="007215D2" w:rsidRPr="00067989">
              <w:rPr>
                <w:rFonts w:eastAsiaTheme="minorEastAsia" w:cs="Times New Roman"/>
                <w:color w:val="000000" w:themeColor="text1"/>
                <w:sz w:val="22"/>
                <w:szCs w:val="22"/>
              </w:rPr>
              <w:t>.</w:t>
            </w:r>
            <w:r w:rsidR="00374E30" w:rsidRPr="00067989">
              <w:rPr>
                <w:rFonts w:eastAsiaTheme="minorEastAsia" w:cs="Times New Roman"/>
                <w:color w:val="000000" w:themeColor="text1"/>
                <w:sz w:val="22"/>
                <w:szCs w:val="22"/>
              </w:rPr>
              <w:t xml:space="preserve"> </w:t>
            </w:r>
          </w:p>
          <w:p w14:paraId="37E8A1F1" w14:textId="27F62051" w:rsidR="00CC7060" w:rsidRPr="00067989" w:rsidRDefault="00CE0E50" w:rsidP="00067989">
            <w:pPr>
              <w:pStyle w:val="NormalnyWeb"/>
              <w:shd w:val="clear" w:color="auto" w:fill="FFFFFF" w:themeFill="background1"/>
              <w:spacing w:before="60" w:beforeAutospacing="0" w:after="60" w:afterAutospacing="0"/>
              <w:jc w:val="both"/>
              <w:rPr>
                <w:rFonts w:eastAsiaTheme="minorEastAsia" w:cs="Times New Roman"/>
                <w:color w:val="000000" w:themeColor="text1"/>
                <w:sz w:val="22"/>
                <w:szCs w:val="22"/>
              </w:rPr>
            </w:pPr>
            <w:r w:rsidRPr="00067989">
              <w:rPr>
                <w:rFonts w:eastAsiaTheme="minorEastAsia" w:cs="Times New Roman"/>
                <w:color w:val="000000" w:themeColor="text1"/>
                <w:sz w:val="22"/>
                <w:szCs w:val="22"/>
              </w:rPr>
              <w:t>Jedną z przyczyn nieoptymalnego przebiegu</w:t>
            </w:r>
            <w:r w:rsidR="00A24B75" w:rsidRPr="00067989">
              <w:rPr>
                <w:rFonts w:eastAsiaTheme="minorEastAsia" w:cs="Times New Roman"/>
                <w:color w:val="000000" w:themeColor="text1"/>
                <w:sz w:val="22"/>
                <w:szCs w:val="22"/>
              </w:rPr>
              <w:t xml:space="preserve"> procesów biznesowych</w:t>
            </w:r>
            <w:r w:rsidRPr="000E2DF4">
              <w:rPr>
                <w:rFonts w:eastAsiaTheme="minorEastAsia" w:cs="Times New Roman"/>
                <w:color w:val="000000" w:themeColor="text1"/>
                <w:sz w:val="22"/>
                <w:szCs w:val="22"/>
              </w:rPr>
              <w:t xml:space="preserve"> jest wykonywanie zbędnych działań bądź </w:t>
            </w:r>
            <w:r w:rsidR="00BC2629" w:rsidRPr="000E2DF4">
              <w:rPr>
                <w:rFonts w:eastAsiaTheme="minorEastAsia" w:cs="Times New Roman"/>
                <w:color w:val="000000" w:themeColor="text1"/>
                <w:sz w:val="22"/>
                <w:szCs w:val="22"/>
              </w:rPr>
              <w:t>utrzymywanie w organizacji procesów pobocznych, nie wn</w:t>
            </w:r>
            <w:r w:rsidRPr="000E2DF4">
              <w:rPr>
                <w:rFonts w:eastAsiaTheme="minorEastAsia" w:cs="Times New Roman"/>
                <w:color w:val="000000" w:themeColor="text1"/>
                <w:sz w:val="22"/>
                <w:szCs w:val="22"/>
              </w:rPr>
              <w:t xml:space="preserve">oszących wartości dodanej </w:t>
            </w:r>
            <w:r w:rsidR="00BC2629" w:rsidRPr="000E2DF4">
              <w:rPr>
                <w:rFonts w:eastAsiaTheme="minorEastAsia" w:cs="Times New Roman"/>
                <w:color w:val="000000" w:themeColor="text1"/>
                <w:sz w:val="22"/>
                <w:szCs w:val="22"/>
              </w:rPr>
              <w:t>do rezultatów</w:t>
            </w:r>
            <w:r w:rsidRPr="000E2DF4">
              <w:rPr>
                <w:rFonts w:eastAsiaTheme="minorEastAsia" w:cs="Times New Roman"/>
                <w:color w:val="000000" w:themeColor="text1"/>
                <w:sz w:val="22"/>
                <w:szCs w:val="22"/>
              </w:rPr>
              <w:t xml:space="preserve"> proces</w:t>
            </w:r>
            <w:r w:rsidR="00BC2629" w:rsidRPr="000E2DF4">
              <w:rPr>
                <w:rFonts w:eastAsiaTheme="minorEastAsia" w:cs="Times New Roman"/>
                <w:color w:val="000000" w:themeColor="text1"/>
                <w:sz w:val="22"/>
                <w:szCs w:val="22"/>
              </w:rPr>
              <w:t>ów.</w:t>
            </w:r>
            <w:r w:rsidR="00AB04E9">
              <w:rPr>
                <w:rFonts w:eastAsiaTheme="minorEastAsia" w:cs="Times New Roman"/>
                <w:color w:val="000000" w:themeColor="text1"/>
                <w:sz w:val="22"/>
                <w:szCs w:val="22"/>
              </w:rPr>
              <w:t xml:space="preserve"> </w:t>
            </w:r>
            <w:r w:rsidR="00BC2629" w:rsidRPr="000E2DF4">
              <w:rPr>
                <w:rFonts w:eastAsiaTheme="minorEastAsia" w:cs="Times New Roman"/>
                <w:color w:val="000000" w:themeColor="text1"/>
                <w:sz w:val="22"/>
                <w:szCs w:val="22"/>
              </w:rPr>
              <w:t xml:space="preserve">Stąd między innymi podejście do optymalizacji polegające na wyszczuplaniu procesów (z ang. Lean) i eliminacji zbędnych operacji bądź całych procesów. </w:t>
            </w:r>
            <w:r w:rsidR="005E00F5" w:rsidRPr="000E2DF4">
              <w:rPr>
                <w:rFonts w:eastAsiaTheme="minorEastAsia" w:cs="Times New Roman"/>
                <w:color w:val="000000" w:themeColor="text1"/>
                <w:sz w:val="22"/>
                <w:szCs w:val="22"/>
              </w:rPr>
              <w:t>N</w:t>
            </w:r>
            <w:r w:rsidR="00A24B75" w:rsidRPr="000E2DF4">
              <w:rPr>
                <w:rFonts w:eastAsiaTheme="minorEastAsia" w:cs="Times New Roman"/>
                <w:color w:val="000000" w:themeColor="text1"/>
                <w:sz w:val="22"/>
                <w:szCs w:val="22"/>
              </w:rPr>
              <w:t>ależy zwrócić uwagę</w:t>
            </w:r>
            <w:r w:rsidR="00CC7060" w:rsidRPr="00E42D6D">
              <w:rPr>
                <w:rFonts w:eastAsiaTheme="minorEastAsia" w:cs="Times New Roman"/>
                <w:color w:val="000000" w:themeColor="text1"/>
                <w:sz w:val="22"/>
                <w:szCs w:val="22"/>
              </w:rPr>
              <w:t>,</w:t>
            </w:r>
            <w:r w:rsidR="00A24B75" w:rsidRPr="00080920">
              <w:rPr>
                <w:rFonts w:eastAsiaTheme="minorEastAsia" w:cs="Times New Roman"/>
                <w:color w:val="000000" w:themeColor="text1"/>
                <w:sz w:val="22"/>
                <w:szCs w:val="22"/>
              </w:rPr>
              <w:t xml:space="preserve"> że administracja państwowa coraz bardziej </w:t>
            </w:r>
            <w:r w:rsidR="00AF238E" w:rsidRPr="00067989">
              <w:rPr>
                <w:rFonts w:eastAsiaTheme="minorEastAsia" w:cs="Times New Roman"/>
                <w:color w:val="000000" w:themeColor="text1"/>
                <w:sz w:val="22"/>
                <w:szCs w:val="22"/>
              </w:rPr>
              <w:t xml:space="preserve">opiera się na </w:t>
            </w:r>
            <w:r w:rsidR="00A24B75" w:rsidRPr="00067989">
              <w:rPr>
                <w:rFonts w:eastAsiaTheme="minorEastAsia" w:cs="Times New Roman"/>
                <w:color w:val="000000" w:themeColor="text1"/>
                <w:sz w:val="22"/>
                <w:szCs w:val="22"/>
              </w:rPr>
              <w:t>specjaliz</w:t>
            </w:r>
            <w:r w:rsidR="00AF238E" w:rsidRPr="00067989">
              <w:rPr>
                <w:rFonts w:eastAsiaTheme="minorEastAsia" w:cs="Times New Roman"/>
                <w:color w:val="000000" w:themeColor="text1"/>
                <w:sz w:val="22"/>
                <w:szCs w:val="22"/>
              </w:rPr>
              <w:t>acji</w:t>
            </w:r>
            <w:r w:rsidR="00A24B75" w:rsidRPr="00067989">
              <w:rPr>
                <w:rFonts w:eastAsiaTheme="minorEastAsia" w:cs="Times New Roman"/>
                <w:color w:val="000000" w:themeColor="text1"/>
                <w:sz w:val="22"/>
                <w:szCs w:val="22"/>
              </w:rPr>
              <w:t xml:space="preserve"> i doskonali procesy biznesowe</w:t>
            </w:r>
            <w:r w:rsidR="00AF238E" w:rsidRPr="00067989">
              <w:rPr>
                <w:rFonts w:eastAsiaTheme="minorEastAsia" w:cs="Times New Roman"/>
                <w:color w:val="000000" w:themeColor="text1"/>
                <w:sz w:val="22"/>
                <w:szCs w:val="22"/>
              </w:rPr>
              <w:t>.</w:t>
            </w:r>
            <w:r w:rsidR="00A24B75" w:rsidRPr="00067989">
              <w:rPr>
                <w:rFonts w:eastAsiaTheme="minorEastAsia" w:cs="Times New Roman"/>
                <w:color w:val="000000" w:themeColor="text1"/>
                <w:sz w:val="22"/>
                <w:szCs w:val="22"/>
              </w:rPr>
              <w:t xml:space="preserve"> </w:t>
            </w:r>
            <w:r w:rsidR="00AF238E" w:rsidRPr="00067989">
              <w:rPr>
                <w:rFonts w:eastAsiaTheme="minorEastAsia" w:cs="Times New Roman"/>
                <w:color w:val="000000" w:themeColor="text1"/>
                <w:sz w:val="22"/>
                <w:szCs w:val="22"/>
              </w:rPr>
              <w:t>N</w:t>
            </w:r>
            <w:r w:rsidR="00A24B75" w:rsidRPr="00067989">
              <w:rPr>
                <w:rFonts w:eastAsiaTheme="minorEastAsia" w:cs="Times New Roman"/>
                <w:color w:val="000000" w:themeColor="text1"/>
                <w:sz w:val="22"/>
                <w:szCs w:val="22"/>
              </w:rPr>
              <w:t xml:space="preserve">ie jest więc optymalne aby specjaliści dziedzinowi zamiast optymalizować rezultaty procesów w których się specjalizują byli angażowani do procesów </w:t>
            </w:r>
            <w:r w:rsidR="00CC7060" w:rsidRPr="00067989">
              <w:rPr>
                <w:rFonts w:eastAsiaTheme="minorEastAsia" w:cs="Times New Roman"/>
                <w:color w:val="000000" w:themeColor="text1"/>
                <w:sz w:val="22"/>
                <w:szCs w:val="22"/>
              </w:rPr>
              <w:t>poboczn</w:t>
            </w:r>
            <w:r w:rsidR="00A24B75" w:rsidRPr="00067989">
              <w:rPr>
                <w:rFonts w:eastAsiaTheme="minorEastAsia" w:cs="Times New Roman"/>
                <w:color w:val="000000" w:themeColor="text1"/>
                <w:sz w:val="22"/>
                <w:szCs w:val="22"/>
              </w:rPr>
              <w:t xml:space="preserve">ych </w:t>
            </w:r>
            <w:r w:rsidR="005E00F5" w:rsidRPr="00067989">
              <w:rPr>
                <w:rFonts w:eastAsiaTheme="minorEastAsia" w:cs="Times New Roman"/>
                <w:color w:val="000000" w:themeColor="text1"/>
                <w:sz w:val="22"/>
                <w:szCs w:val="22"/>
              </w:rPr>
              <w:t xml:space="preserve">powodujących rozrost pracy biurowej </w:t>
            </w:r>
            <w:r w:rsidR="00A24B75" w:rsidRPr="00067989">
              <w:rPr>
                <w:rFonts w:eastAsiaTheme="minorEastAsia" w:cs="Times New Roman"/>
                <w:color w:val="000000" w:themeColor="text1"/>
                <w:sz w:val="22"/>
                <w:szCs w:val="22"/>
              </w:rPr>
              <w:t xml:space="preserve">(drukowanie, kopertowanie </w:t>
            </w:r>
            <w:r w:rsidR="009F003A" w:rsidRPr="00067989">
              <w:rPr>
                <w:rFonts w:eastAsiaTheme="minorEastAsia" w:cs="Times New Roman"/>
                <w:color w:val="000000" w:themeColor="text1"/>
                <w:sz w:val="22"/>
                <w:szCs w:val="22"/>
              </w:rPr>
              <w:t>oraz</w:t>
            </w:r>
            <w:r w:rsidR="00A24B75" w:rsidRPr="00067989">
              <w:rPr>
                <w:rFonts w:eastAsiaTheme="minorEastAsia" w:cs="Times New Roman"/>
                <w:color w:val="000000" w:themeColor="text1"/>
                <w:sz w:val="22"/>
                <w:szCs w:val="22"/>
              </w:rPr>
              <w:t xml:space="preserve"> logistyka nadania przesyłek)</w:t>
            </w:r>
            <w:r w:rsidR="00CC7060" w:rsidRPr="00067989">
              <w:rPr>
                <w:rFonts w:eastAsiaTheme="minorEastAsia" w:cs="Times New Roman"/>
                <w:color w:val="000000" w:themeColor="text1"/>
                <w:sz w:val="22"/>
                <w:szCs w:val="22"/>
              </w:rPr>
              <w:t>. Należy bowiem zauważyć, że</w:t>
            </w:r>
            <w:r w:rsidR="00CC7060" w:rsidRPr="00067989">
              <w:rPr>
                <w:rFonts w:eastAsiaTheme="minorHAnsi" w:cs="Times New Roman"/>
                <w:color w:val="000000" w:themeColor="text1"/>
                <w:sz w:val="22"/>
                <w:szCs w:val="22"/>
                <w:lang w:eastAsia="en-US"/>
              </w:rPr>
              <w:t xml:space="preserve"> </w:t>
            </w:r>
            <w:r w:rsidR="00CC7060" w:rsidRPr="00067989">
              <w:rPr>
                <w:rFonts w:eastAsiaTheme="minorEastAsia" w:cs="Times New Roman"/>
                <w:color w:val="000000" w:themeColor="text1"/>
                <w:sz w:val="22"/>
                <w:szCs w:val="22"/>
              </w:rPr>
              <w:t>powszechną i podstawową formą korespondencji podmiotów publicznych z obywatelami oraz podmiotami niepublicznymi jest wciąż tradycyjny list polecony. Poszczególne urzędy nadal muszą drukować i</w:t>
            </w:r>
            <w:r w:rsidR="008742F0">
              <w:rPr>
                <w:rFonts w:eastAsiaTheme="minorEastAsia" w:cs="Times New Roman"/>
                <w:color w:val="000000" w:themeColor="text1"/>
                <w:sz w:val="22"/>
                <w:szCs w:val="22"/>
              </w:rPr>
              <w:t> </w:t>
            </w:r>
            <w:r w:rsidR="00CC7060" w:rsidRPr="00067989">
              <w:rPr>
                <w:rFonts w:eastAsiaTheme="minorEastAsia" w:cs="Times New Roman"/>
                <w:color w:val="000000" w:themeColor="text1"/>
                <w:sz w:val="22"/>
                <w:szCs w:val="22"/>
              </w:rPr>
              <w:t>przesyłać korespondencję pocztą tradycyjną, co</w:t>
            </w:r>
            <w:r w:rsidR="00AB04E9">
              <w:rPr>
                <w:rFonts w:eastAsiaTheme="minorEastAsia" w:cs="Times New Roman"/>
                <w:color w:val="000000" w:themeColor="text1"/>
                <w:sz w:val="22"/>
                <w:szCs w:val="22"/>
              </w:rPr>
              <w:t xml:space="preserve"> </w:t>
            </w:r>
            <w:r w:rsidR="00CC7060" w:rsidRPr="00067989">
              <w:rPr>
                <w:rFonts w:eastAsiaTheme="minorEastAsia" w:cs="Times New Roman"/>
                <w:color w:val="000000" w:themeColor="text1"/>
                <w:sz w:val="22"/>
                <w:szCs w:val="22"/>
              </w:rPr>
              <w:t>jest postrzegane przez obywateli i przedsiębiorców jako uciążliwe i</w:t>
            </w:r>
            <w:r w:rsidR="008742F0">
              <w:rPr>
                <w:rFonts w:eastAsiaTheme="minorEastAsia" w:cs="Times New Roman"/>
                <w:color w:val="000000" w:themeColor="text1"/>
                <w:sz w:val="22"/>
                <w:szCs w:val="22"/>
              </w:rPr>
              <w:t> </w:t>
            </w:r>
            <w:r w:rsidR="00CC7060" w:rsidRPr="00067989">
              <w:rPr>
                <w:rFonts w:eastAsiaTheme="minorEastAsia" w:cs="Times New Roman"/>
                <w:color w:val="000000" w:themeColor="text1"/>
                <w:sz w:val="22"/>
                <w:szCs w:val="22"/>
              </w:rPr>
              <w:t>wiąże się bardzo często z</w:t>
            </w:r>
            <w:r w:rsidR="00AB04E9">
              <w:rPr>
                <w:rFonts w:eastAsiaTheme="minorEastAsia" w:cs="Times New Roman"/>
                <w:color w:val="000000" w:themeColor="text1"/>
                <w:sz w:val="22"/>
                <w:szCs w:val="22"/>
              </w:rPr>
              <w:t xml:space="preserve"> </w:t>
            </w:r>
            <w:r w:rsidR="00CC7060" w:rsidRPr="00067989">
              <w:rPr>
                <w:rFonts w:eastAsiaTheme="minorEastAsia" w:cs="Times New Roman"/>
                <w:color w:val="000000" w:themeColor="text1"/>
                <w:sz w:val="22"/>
                <w:szCs w:val="22"/>
              </w:rPr>
              <w:t xml:space="preserve">koniecznością wizyty w urzędzie pocztowym. Czas spędzony w kolejkach do okienka pocztowego </w:t>
            </w:r>
            <w:r w:rsidR="00AF238E" w:rsidRPr="00067989">
              <w:rPr>
                <w:rFonts w:eastAsiaTheme="minorEastAsia" w:cs="Times New Roman"/>
                <w:color w:val="000000" w:themeColor="text1"/>
                <w:sz w:val="22"/>
                <w:szCs w:val="22"/>
              </w:rPr>
              <w:t>jest czasem straconym z punktu widzenia przedsiębiorcy czy obywatela.</w:t>
            </w:r>
          </w:p>
          <w:p w14:paraId="72996F71" w14:textId="66DD2E63" w:rsidR="007E5A8F" w:rsidRPr="00067989" w:rsidRDefault="00CC7060" w:rsidP="00067989">
            <w:pPr>
              <w:pStyle w:val="NormalnyWeb"/>
              <w:shd w:val="clear" w:color="auto" w:fill="FFFFFF" w:themeFill="background1"/>
              <w:spacing w:before="60" w:beforeAutospacing="0" w:after="60" w:afterAutospacing="0"/>
              <w:jc w:val="both"/>
              <w:rPr>
                <w:rFonts w:eastAsiaTheme="minorEastAsia" w:cs="Times New Roman"/>
                <w:color w:val="000000" w:themeColor="text1"/>
                <w:sz w:val="22"/>
                <w:szCs w:val="22"/>
              </w:rPr>
            </w:pPr>
            <w:r w:rsidRPr="00067989">
              <w:rPr>
                <w:rFonts w:eastAsiaTheme="minorEastAsia" w:cs="Times New Roman"/>
                <w:color w:val="000000" w:themeColor="text1"/>
                <w:sz w:val="22"/>
                <w:szCs w:val="22"/>
              </w:rPr>
              <w:t>Jednocześnie przygotowanie korespondencji papierowej przez podmioty</w:t>
            </w:r>
            <w:r w:rsidR="00AB04E9">
              <w:rPr>
                <w:rFonts w:eastAsiaTheme="minorEastAsia" w:cs="Times New Roman"/>
                <w:color w:val="000000" w:themeColor="text1"/>
                <w:sz w:val="22"/>
                <w:szCs w:val="22"/>
              </w:rPr>
              <w:t xml:space="preserve"> </w:t>
            </w:r>
            <w:r w:rsidRPr="00067989">
              <w:rPr>
                <w:rFonts w:eastAsiaTheme="minorEastAsia" w:cs="Times New Roman"/>
                <w:color w:val="000000" w:themeColor="text1"/>
                <w:sz w:val="22"/>
                <w:szCs w:val="22"/>
              </w:rPr>
              <w:t xml:space="preserve">publiczne oznacza konieczność poniesienia dużych nakładów pracy oraz nakładów finansowych związanych z obsługą tego procesu. Z danych wyznaczonego operatora pocztowego (oszacowanych przez niego na podstawie zawartych umów z podmiotami publicznymi, dotyczących nadań przesyłek rejestrowanych z potwierdzeniem odbioru w 2017 r.) wynika, </w:t>
            </w:r>
            <w:r w:rsidR="007B7D01" w:rsidRPr="00067989">
              <w:rPr>
                <w:rFonts w:eastAsiaTheme="minorEastAsia" w:cs="Times New Roman"/>
                <w:color w:val="000000" w:themeColor="text1"/>
                <w:sz w:val="22"/>
                <w:szCs w:val="22"/>
              </w:rPr>
              <w:t xml:space="preserve">że </w:t>
            </w:r>
            <w:r w:rsidRPr="00067989">
              <w:rPr>
                <w:rFonts w:eastAsiaTheme="minorEastAsia" w:cs="Times New Roman"/>
                <w:color w:val="000000" w:themeColor="text1"/>
                <w:sz w:val="22"/>
                <w:szCs w:val="22"/>
              </w:rPr>
              <w:t>podmioty publiczne i</w:t>
            </w:r>
            <w:r w:rsidR="008742F0">
              <w:rPr>
                <w:rFonts w:eastAsiaTheme="minorEastAsia" w:cs="Times New Roman"/>
                <w:color w:val="000000" w:themeColor="text1"/>
                <w:sz w:val="22"/>
                <w:szCs w:val="22"/>
              </w:rPr>
              <w:t> </w:t>
            </w:r>
            <w:r w:rsidRPr="00067989">
              <w:rPr>
                <w:rFonts w:eastAsiaTheme="minorEastAsia" w:cs="Times New Roman"/>
                <w:color w:val="000000" w:themeColor="text1"/>
                <w:sz w:val="22"/>
                <w:szCs w:val="22"/>
              </w:rPr>
              <w:t>sądy w 2017 r. poniosły z tego tytułu koszty w wysokości ponad 500 mln zł.</w:t>
            </w:r>
            <w:r w:rsidR="006409E6" w:rsidRPr="00067989">
              <w:rPr>
                <w:rFonts w:eastAsiaTheme="minorEastAsia" w:cs="Times New Roman"/>
                <w:color w:val="000000" w:themeColor="text1"/>
                <w:sz w:val="22"/>
                <w:szCs w:val="22"/>
              </w:rPr>
              <w:t xml:space="preserve"> </w:t>
            </w:r>
            <w:r w:rsidR="006409E6" w:rsidRPr="00067989">
              <w:rPr>
                <w:rFonts w:cs="Times New Roman"/>
                <w:color w:val="000000" w:themeColor="text1"/>
                <w:sz w:val="22"/>
                <w:szCs w:val="22"/>
              </w:rPr>
              <w:t>Wprowadzenie</w:t>
            </w:r>
            <w:r w:rsidR="007E5A8F" w:rsidRPr="00067989">
              <w:rPr>
                <w:rFonts w:cs="Times New Roman"/>
                <w:color w:val="000000" w:themeColor="text1"/>
                <w:sz w:val="22"/>
                <w:szCs w:val="22"/>
              </w:rPr>
              <w:t xml:space="preserve"> publicznej usługi hybrydowej polegającej na </w:t>
            </w:r>
            <w:r w:rsidR="00105320" w:rsidRPr="00067989">
              <w:rPr>
                <w:rFonts w:cs="Times New Roman"/>
                <w:color w:val="000000" w:themeColor="text1"/>
                <w:sz w:val="22"/>
                <w:szCs w:val="22"/>
              </w:rPr>
              <w:t>przekształceniu korespondencji nadanej w formie elektronicznej na formę papierową i</w:t>
            </w:r>
            <w:r w:rsidR="008742F0">
              <w:rPr>
                <w:rFonts w:cs="Times New Roman"/>
                <w:color w:val="000000" w:themeColor="text1"/>
                <w:sz w:val="22"/>
                <w:szCs w:val="22"/>
              </w:rPr>
              <w:t> </w:t>
            </w:r>
            <w:r w:rsidR="00105320" w:rsidRPr="00067989">
              <w:rPr>
                <w:rFonts w:cs="Times New Roman"/>
                <w:color w:val="000000" w:themeColor="text1"/>
                <w:sz w:val="22"/>
                <w:szCs w:val="22"/>
              </w:rPr>
              <w:t xml:space="preserve">doręczeniu jej w takiej postaci </w:t>
            </w:r>
            <w:r w:rsidR="007E5A8F" w:rsidRPr="00067989">
              <w:rPr>
                <w:rFonts w:cs="Times New Roman"/>
                <w:color w:val="000000" w:themeColor="text1"/>
                <w:sz w:val="22"/>
                <w:szCs w:val="22"/>
              </w:rPr>
              <w:t>ma na celu obniżenie kosztów stałych podmiotów publicznych generowanych w</w:t>
            </w:r>
            <w:r w:rsidR="008742F0">
              <w:rPr>
                <w:rFonts w:cs="Times New Roman"/>
                <w:color w:val="000000" w:themeColor="text1"/>
                <w:sz w:val="22"/>
                <w:szCs w:val="22"/>
              </w:rPr>
              <w:t> </w:t>
            </w:r>
            <w:r w:rsidR="007E5A8F" w:rsidRPr="00067989">
              <w:rPr>
                <w:rFonts w:cs="Times New Roman"/>
                <w:color w:val="000000" w:themeColor="text1"/>
                <w:sz w:val="22"/>
                <w:szCs w:val="22"/>
              </w:rPr>
              <w:t>procesie obsługi korespondencji, jednocześnie przyspieszając proces załatwiania spraw.</w:t>
            </w:r>
          </w:p>
          <w:p w14:paraId="03553A8A" w14:textId="52891768" w:rsidR="009910B4" w:rsidRPr="00067989" w:rsidRDefault="009910B4" w:rsidP="000E2DF4">
            <w:pPr>
              <w:pStyle w:val="NormalnyWeb"/>
              <w:shd w:val="clear" w:color="auto" w:fill="FFFFFF" w:themeFill="background1"/>
              <w:spacing w:before="60" w:beforeAutospacing="0" w:after="60" w:afterAutospacing="0"/>
              <w:jc w:val="both"/>
              <w:rPr>
                <w:rFonts w:eastAsiaTheme="minorEastAsia" w:cs="Times New Roman"/>
                <w:color w:val="000000" w:themeColor="text1"/>
                <w:sz w:val="22"/>
                <w:szCs w:val="22"/>
              </w:rPr>
            </w:pPr>
            <w:r w:rsidRPr="00067989">
              <w:rPr>
                <w:rFonts w:eastAsiaTheme="minorEastAsia" w:cs="Times New Roman"/>
                <w:color w:val="000000" w:themeColor="text1"/>
                <w:sz w:val="22"/>
                <w:szCs w:val="22"/>
              </w:rPr>
              <w:t>Zauważalny brak interoperacyjności między usługami cyfrowymi a tradycyjnymi powoduje pogłębienie zjawisk tzw. „wykluczenia cyfrowego” bazującego na koncepcji „wykluczenia społecznego” rozumianego jako brak dostępu do określonych dóbr niezbędnych do normalnego funkcjonowania w społeczeństwie. Osoby z różnych względów znajdujące się na marginesie transformacji cyfrowej nie posiadają naturaln</w:t>
            </w:r>
            <w:r w:rsidR="007067EA" w:rsidRPr="00067989">
              <w:rPr>
                <w:rFonts w:eastAsiaTheme="minorEastAsia" w:cs="Times New Roman"/>
                <w:color w:val="000000" w:themeColor="text1"/>
                <w:sz w:val="22"/>
                <w:szCs w:val="22"/>
              </w:rPr>
              <w:t>ych</w:t>
            </w:r>
            <w:r w:rsidRPr="00067989">
              <w:rPr>
                <w:rFonts w:eastAsiaTheme="minorEastAsia" w:cs="Times New Roman"/>
                <w:color w:val="000000" w:themeColor="text1"/>
                <w:sz w:val="22"/>
                <w:szCs w:val="22"/>
              </w:rPr>
              <w:t xml:space="preserve"> pomost</w:t>
            </w:r>
            <w:r w:rsidR="007067EA" w:rsidRPr="00067989">
              <w:rPr>
                <w:rFonts w:eastAsiaTheme="minorEastAsia" w:cs="Times New Roman"/>
                <w:color w:val="000000" w:themeColor="text1"/>
                <w:sz w:val="22"/>
                <w:szCs w:val="22"/>
              </w:rPr>
              <w:t>ów</w:t>
            </w:r>
            <w:r w:rsidRPr="00067989">
              <w:rPr>
                <w:rFonts w:eastAsiaTheme="minorEastAsia" w:cs="Times New Roman"/>
                <w:color w:val="000000" w:themeColor="text1"/>
                <w:sz w:val="22"/>
                <w:szCs w:val="22"/>
              </w:rPr>
              <w:t xml:space="preserve"> zapewniając</w:t>
            </w:r>
            <w:r w:rsidR="007067EA" w:rsidRPr="00067989">
              <w:rPr>
                <w:rFonts w:eastAsiaTheme="minorEastAsia" w:cs="Times New Roman"/>
                <w:color w:val="000000" w:themeColor="text1"/>
                <w:sz w:val="22"/>
                <w:szCs w:val="22"/>
              </w:rPr>
              <w:t>ych</w:t>
            </w:r>
            <w:r w:rsidRPr="00067989">
              <w:rPr>
                <w:rFonts w:eastAsiaTheme="minorEastAsia" w:cs="Times New Roman"/>
                <w:color w:val="000000" w:themeColor="text1"/>
                <w:sz w:val="22"/>
                <w:szCs w:val="22"/>
              </w:rPr>
              <w:t xml:space="preserve"> </w:t>
            </w:r>
            <w:r w:rsidR="007067EA" w:rsidRPr="00067989">
              <w:rPr>
                <w:rFonts w:eastAsiaTheme="minorEastAsia" w:cs="Times New Roman"/>
                <w:color w:val="000000" w:themeColor="text1"/>
                <w:sz w:val="22"/>
                <w:szCs w:val="22"/>
              </w:rPr>
              <w:t xml:space="preserve">im </w:t>
            </w:r>
            <w:r w:rsidRPr="00067989">
              <w:rPr>
                <w:rFonts w:eastAsiaTheme="minorEastAsia" w:cs="Times New Roman"/>
                <w:color w:val="000000" w:themeColor="text1"/>
                <w:sz w:val="22"/>
                <w:szCs w:val="22"/>
              </w:rPr>
              <w:t>komunikację z</w:t>
            </w:r>
            <w:r w:rsidR="007067EA" w:rsidRPr="00067989">
              <w:rPr>
                <w:rFonts w:eastAsiaTheme="minorEastAsia" w:cs="Times New Roman"/>
                <w:color w:val="000000" w:themeColor="text1"/>
                <w:sz w:val="22"/>
                <w:szCs w:val="22"/>
              </w:rPr>
              <w:t>e światem usług cyfrowych co jeszcze bardziej pogłębia bariery wejścia do świata cyfrowego. W</w:t>
            </w:r>
            <w:r w:rsidR="008742F0">
              <w:rPr>
                <w:rFonts w:eastAsiaTheme="minorEastAsia" w:cs="Times New Roman"/>
                <w:color w:val="000000" w:themeColor="text1"/>
                <w:sz w:val="22"/>
                <w:szCs w:val="22"/>
              </w:rPr>
              <w:t> </w:t>
            </w:r>
            <w:r w:rsidR="007067EA" w:rsidRPr="00067989">
              <w:rPr>
                <w:rFonts w:eastAsiaTheme="minorEastAsia" w:cs="Times New Roman"/>
                <w:color w:val="000000" w:themeColor="text1"/>
                <w:sz w:val="22"/>
                <w:szCs w:val="22"/>
              </w:rPr>
              <w:t>2015</w:t>
            </w:r>
            <w:r w:rsidR="008742F0">
              <w:rPr>
                <w:rFonts w:eastAsiaTheme="minorEastAsia" w:cs="Times New Roman"/>
                <w:color w:val="000000" w:themeColor="text1"/>
                <w:sz w:val="22"/>
                <w:szCs w:val="22"/>
              </w:rPr>
              <w:t> </w:t>
            </w:r>
            <w:r w:rsidR="007067EA" w:rsidRPr="00067989">
              <w:rPr>
                <w:rFonts w:eastAsiaTheme="minorEastAsia" w:cs="Times New Roman"/>
                <w:color w:val="000000" w:themeColor="text1"/>
                <w:sz w:val="22"/>
                <w:szCs w:val="22"/>
              </w:rPr>
              <w:t>r</w:t>
            </w:r>
            <w:r w:rsidR="007B7D01" w:rsidRPr="00067989">
              <w:rPr>
                <w:rFonts w:eastAsiaTheme="minorEastAsia" w:cs="Times New Roman"/>
                <w:color w:val="000000" w:themeColor="text1"/>
                <w:sz w:val="22"/>
                <w:szCs w:val="22"/>
              </w:rPr>
              <w:t>.</w:t>
            </w:r>
            <w:r w:rsidR="007067EA" w:rsidRPr="00067989">
              <w:rPr>
                <w:rFonts w:eastAsiaTheme="minorEastAsia" w:cs="Times New Roman"/>
                <w:color w:val="000000" w:themeColor="text1"/>
                <w:sz w:val="22"/>
                <w:szCs w:val="22"/>
              </w:rPr>
              <w:t xml:space="preserve"> ponad jedna trzecia polskiego społeczeństwa wciąż była wykluczona cyfrowo</w:t>
            </w:r>
            <w:r w:rsidR="007067EA" w:rsidRPr="00067989">
              <w:rPr>
                <w:rStyle w:val="Odwoanieprzypisudolnego"/>
                <w:rFonts w:eastAsiaTheme="minorEastAsia" w:cs="Times New Roman"/>
                <w:color w:val="000000" w:themeColor="text1"/>
                <w:sz w:val="22"/>
                <w:szCs w:val="22"/>
              </w:rPr>
              <w:footnoteReference w:id="7"/>
            </w:r>
            <w:r w:rsidR="00067989" w:rsidRPr="008A3FA9">
              <w:rPr>
                <w:rFonts w:eastAsiaTheme="minorEastAsia" w:cs="Times New Roman"/>
                <w:color w:val="000000" w:themeColor="text1"/>
                <w:sz w:val="22"/>
                <w:szCs w:val="22"/>
                <w:vertAlign w:val="superscript"/>
              </w:rPr>
              <w:t>)</w:t>
            </w:r>
            <w:r w:rsidR="007067EA" w:rsidRPr="00067989">
              <w:rPr>
                <w:rFonts w:eastAsiaTheme="minorEastAsia" w:cs="Times New Roman"/>
                <w:color w:val="000000" w:themeColor="text1"/>
                <w:sz w:val="22"/>
                <w:szCs w:val="22"/>
              </w:rPr>
              <w:t>.</w:t>
            </w:r>
          </w:p>
          <w:p w14:paraId="77B3769A" w14:textId="67257EB2" w:rsidR="00C42AC8" w:rsidRPr="00067989" w:rsidRDefault="007067EA" w:rsidP="000E2DF4">
            <w:pPr>
              <w:pStyle w:val="NormalnyWeb"/>
              <w:shd w:val="clear" w:color="auto" w:fill="FFFFFF" w:themeFill="background1"/>
              <w:spacing w:before="60" w:beforeAutospacing="0" w:after="60" w:afterAutospacing="0"/>
              <w:jc w:val="both"/>
              <w:rPr>
                <w:rFonts w:cs="Times New Roman"/>
                <w:color w:val="000000" w:themeColor="text1"/>
                <w:sz w:val="22"/>
                <w:szCs w:val="22"/>
              </w:rPr>
            </w:pPr>
            <w:r w:rsidRPr="00067989">
              <w:rPr>
                <w:rFonts w:eastAsiaTheme="minorEastAsia" w:cs="Times New Roman"/>
                <w:color w:val="000000" w:themeColor="text1"/>
                <w:sz w:val="22"/>
                <w:szCs w:val="22"/>
              </w:rPr>
              <w:t>Niewątpliwie zmiany zachodzące w ostatnich latach neutralizują czynniki technologiczne (brak dostępu do sprzętu i</w:t>
            </w:r>
            <w:r w:rsidR="008742F0">
              <w:rPr>
                <w:rFonts w:eastAsiaTheme="minorEastAsia" w:cs="Times New Roman"/>
                <w:color w:val="000000" w:themeColor="text1"/>
                <w:sz w:val="22"/>
                <w:szCs w:val="22"/>
              </w:rPr>
              <w:t> </w:t>
            </w:r>
            <w:r w:rsidRPr="00067989">
              <w:rPr>
                <w:rFonts w:eastAsiaTheme="minorEastAsia" w:cs="Times New Roman"/>
                <w:color w:val="000000" w:themeColor="text1"/>
                <w:sz w:val="22"/>
                <w:szCs w:val="22"/>
              </w:rPr>
              <w:t>infrastruktury) wykluczenia cyfrowego ale wciąż brakuje skutecznych czynników motywacyjnych przełamujących bariery psychologiczne (brak kompetencji oraz systemu zachęt do korzystania z usług cyfrowych)</w:t>
            </w:r>
            <w:r w:rsidR="007E5A8F" w:rsidRPr="00067989">
              <w:rPr>
                <w:rFonts w:eastAsiaTheme="minorEastAsia" w:cs="Times New Roman"/>
                <w:color w:val="000000" w:themeColor="text1"/>
                <w:sz w:val="22"/>
                <w:szCs w:val="22"/>
              </w:rPr>
              <w:t xml:space="preserve">. </w:t>
            </w:r>
            <w:r w:rsidR="007E5A8F" w:rsidRPr="00067989">
              <w:rPr>
                <w:rFonts w:cs="Times New Roman"/>
                <w:color w:val="000000" w:themeColor="text1"/>
                <w:sz w:val="22"/>
                <w:szCs w:val="22"/>
              </w:rPr>
              <w:t xml:space="preserve">Z badań przeprowadzonych przez PBS na zlecenie Ministerstwa Cyfryzacji w 2016 r. wynika, że załatwienie sprawy elektronicznie wciąż jest mniej popularne niż załatwienie sprawy poprzez osobistą wizytę w urzędzie, bowiem aż </w:t>
            </w:r>
            <w:r w:rsidR="007E5A8F" w:rsidRPr="00067989">
              <w:rPr>
                <w:rFonts w:cs="Times New Roman"/>
                <w:color w:val="000000" w:themeColor="text1"/>
                <w:sz w:val="22"/>
                <w:szCs w:val="22"/>
              </w:rPr>
              <w:lastRenderedPageBreak/>
              <w:t>57% ankietowanych wskazało preferencję osobistego załatwienia sprawy, 32% (blisko 1/3 społeczeństwa) wskazało Internet jako drugi w kolejności sposób kontaktu z podmiotami administracji</w:t>
            </w:r>
            <w:r w:rsidR="007E5A8F" w:rsidRPr="00067989">
              <w:rPr>
                <w:rStyle w:val="Odwoanieprzypisudolnego"/>
                <w:rFonts w:cs="Times New Roman"/>
                <w:color w:val="000000" w:themeColor="text1"/>
                <w:sz w:val="22"/>
                <w:szCs w:val="22"/>
              </w:rPr>
              <w:footnoteReference w:id="8"/>
            </w:r>
            <w:r w:rsidR="00067989" w:rsidRPr="008A3FA9">
              <w:rPr>
                <w:rFonts w:cs="Times New Roman"/>
                <w:color w:val="000000" w:themeColor="text1"/>
                <w:sz w:val="22"/>
                <w:szCs w:val="22"/>
                <w:vertAlign w:val="superscript"/>
              </w:rPr>
              <w:t>)</w:t>
            </w:r>
            <w:r w:rsidR="007E5A8F" w:rsidRPr="00067989">
              <w:rPr>
                <w:rFonts w:cs="Times New Roman"/>
                <w:color w:val="000000" w:themeColor="text1"/>
                <w:sz w:val="22"/>
                <w:szCs w:val="22"/>
              </w:rPr>
              <w:t>. Strategia na rzecz Odpowiedzialnego Rozwoju do roku 2020 (z</w:t>
            </w:r>
            <w:r w:rsidR="00AB04E9">
              <w:rPr>
                <w:rFonts w:cs="Times New Roman"/>
                <w:color w:val="000000" w:themeColor="text1"/>
                <w:sz w:val="22"/>
                <w:szCs w:val="22"/>
              </w:rPr>
              <w:t xml:space="preserve"> </w:t>
            </w:r>
            <w:r w:rsidR="007E5A8F" w:rsidRPr="00067989">
              <w:rPr>
                <w:rFonts w:cs="Times New Roman"/>
                <w:color w:val="000000" w:themeColor="text1"/>
                <w:sz w:val="22"/>
                <w:szCs w:val="22"/>
              </w:rPr>
              <w:t>perspektywą do 2030 r.) wskazuje, że odsetek osób korzystających z Internetu w</w:t>
            </w:r>
            <w:r w:rsidR="008742F0">
              <w:rPr>
                <w:rFonts w:cs="Times New Roman"/>
                <w:color w:val="000000" w:themeColor="text1"/>
                <w:sz w:val="22"/>
                <w:szCs w:val="22"/>
              </w:rPr>
              <w:t> </w:t>
            </w:r>
            <w:r w:rsidR="007E5A8F" w:rsidRPr="00067989">
              <w:rPr>
                <w:rFonts w:cs="Times New Roman"/>
                <w:color w:val="000000" w:themeColor="text1"/>
                <w:sz w:val="22"/>
                <w:szCs w:val="22"/>
              </w:rPr>
              <w:t>kontaktach z</w:t>
            </w:r>
            <w:r w:rsidR="00AB04E9">
              <w:rPr>
                <w:rFonts w:cs="Times New Roman"/>
                <w:color w:val="000000" w:themeColor="text1"/>
                <w:sz w:val="22"/>
                <w:szCs w:val="22"/>
              </w:rPr>
              <w:t xml:space="preserve"> </w:t>
            </w:r>
            <w:r w:rsidR="007E5A8F" w:rsidRPr="00067989">
              <w:rPr>
                <w:rFonts w:cs="Times New Roman"/>
                <w:color w:val="000000" w:themeColor="text1"/>
                <w:sz w:val="22"/>
                <w:szCs w:val="22"/>
              </w:rPr>
              <w:t>administracją publiczną do przekazywania wypełnionych formularzy wyniesie 30 % w 2020r. i</w:t>
            </w:r>
            <w:r w:rsidR="00AB04E9">
              <w:rPr>
                <w:rFonts w:cs="Times New Roman"/>
                <w:color w:val="000000" w:themeColor="text1"/>
                <w:sz w:val="22"/>
                <w:szCs w:val="22"/>
              </w:rPr>
              <w:t xml:space="preserve"> </w:t>
            </w:r>
            <w:r w:rsidR="007E5A8F" w:rsidRPr="00067989">
              <w:rPr>
                <w:rFonts w:cs="Times New Roman"/>
                <w:color w:val="000000" w:themeColor="text1"/>
                <w:sz w:val="22"/>
                <w:szCs w:val="22"/>
              </w:rPr>
              <w:t>40% w 2030 r.</w:t>
            </w:r>
            <w:r w:rsidR="00102950" w:rsidRPr="00067989">
              <w:rPr>
                <w:rFonts w:cs="Times New Roman"/>
                <w:color w:val="000000" w:themeColor="text1"/>
                <w:sz w:val="22"/>
                <w:szCs w:val="22"/>
              </w:rPr>
              <w:t xml:space="preserve"> </w:t>
            </w:r>
            <w:r w:rsidR="007E5A8F" w:rsidRPr="00067989">
              <w:rPr>
                <w:rFonts w:cs="Times New Roman"/>
                <w:color w:val="000000" w:themeColor="text1"/>
                <w:sz w:val="22"/>
                <w:szCs w:val="22"/>
              </w:rPr>
              <w:t>Wg</w:t>
            </w:r>
            <w:r w:rsidR="00AB04E9">
              <w:rPr>
                <w:rFonts w:cs="Times New Roman"/>
                <w:color w:val="000000" w:themeColor="text1"/>
                <w:sz w:val="22"/>
                <w:szCs w:val="22"/>
              </w:rPr>
              <w:t xml:space="preserve"> </w:t>
            </w:r>
            <w:r w:rsidR="007E5A8F" w:rsidRPr="00067989">
              <w:rPr>
                <w:rFonts w:cs="Times New Roman"/>
                <w:color w:val="000000" w:themeColor="text1"/>
                <w:sz w:val="22"/>
                <w:szCs w:val="22"/>
              </w:rPr>
              <w:t>raportu „Społeczeństwo informacyjne w liczbach w 2017 roku” 22 % gospodarstw domowych w</w:t>
            </w:r>
            <w:r w:rsidR="008742F0">
              <w:rPr>
                <w:rFonts w:cs="Times New Roman"/>
                <w:color w:val="000000" w:themeColor="text1"/>
                <w:sz w:val="22"/>
                <w:szCs w:val="22"/>
              </w:rPr>
              <w:t> </w:t>
            </w:r>
            <w:r w:rsidR="007E5A8F" w:rsidRPr="00067989">
              <w:rPr>
                <w:rFonts w:cs="Times New Roman"/>
                <w:color w:val="000000" w:themeColor="text1"/>
                <w:sz w:val="22"/>
                <w:szCs w:val="22"/>
              </w:rPr>
              <w:t>Polsce (ponad 3 mln, czyli ponad 8 mln obywateli) w dalszym ciągu nie korzysta z</w:t>
            </w:r>
            <w:r w:rsidR="00AB04E9">
              <w:rPr>
                <w:rFonts w:cs="Times New Roman"/>
                <w:color w:val="000000" w:themeColor="text1"/>
                <w:sz w:val="22"/>
                <w:szCs w:val="22"/>
              </w:rPr>
              <w:t xml:space="preserve"> </w:t>
            </w:r>
            <w:r w:rsidR="007E5A8F" w:rsidRPr="00067989">
              <w:rPr>
                <w:rFonts w:cs="Times New Roman"/>
                <w:color w:val="000000" w:themeColor="text1"/>
                <w:sz w:val="22"/>
                <w:szCs w:val="22"/>
              </w:rPr>
              <w:t xml:space="preserve">technologii cyfrowych. </w:t>
            </w:r>
          </w:p>
          <w:p w14:paraId="3AD9F42C" w14:textId="77777777" w:rsidR="007E5A8F" w:rsidRPr="000E2DF4" w:rsidRDefault="007E5A8F" w:rsidP="000E2DF4">
            <w:pPr>
              <w:pStyle w:val="NormalnyWeb"/>
              <w:shd w:val="clear" w:color="auto" w:fill="FFFFFF" w:themeFill="background1"/>
              <w:spacing w:before="60" w:beforeAutospacing="0" w:after="60" w:afterAutospacing="0"/>
              <w:jc w:val="both"/>
              <w:rPr>
                <w:rFonts w:eastAsiaTheme="minorEastAsia" w:cs="Times New Roman"/>
                <w:color w:val="000000" w:themeColor="text1"/>
                <w:sz w:val="22"/>
                <w:szCs w:val="22"/>
              </w:rPr>
            </w:pPr>
            <w:r w:rsidRPr="00067989">
              <w:rPr>
                <w:rFonts w:cs="Times New Roman"/>
                <w:color w:val="000000" w:themeColor="text1"/>
                <w:sz w:val="22"/>
                <w:szCs w:val="22"/>
              </w:rPr>
              <w:t>Na przestrzeni ostatniego dziesięciolecia współczynnik ten zmniejszył się o 37 punktów procentowych, jednak nadal konieczne jest zapewnienie możliwości kontaktu z</w:t>
            </w:r>
            <w:r w:rsidR="00AB04E9">
              <w:rPr>
                <w:rFonts w:cs="Times New Roman"/>
                <w:color w:val="000000" w:themeColor="text1"/>
                <w:sz w:val="22"/>
                <w:szCs w:val="22"/>
              </w:rPr>
              <w:t xml:space="preserve"> </w:t>
            </w:r>
            <w:r w:rsidRPr="00067989">
              <w:rPr>
                <w:rFonts w:cs="Times New Roman"/>
                <w:color w:val="000000" w:themeColor="text1"/>
                <w:sz w:val="22"/>
                <w:szCs w:val="22"/>
              </w:rPr>
              <w:t xml:space="preserve">podmiotami publicznymi osobom </w:t>
            </w:r>
            <w:r w:rsidRPr="00067989">
              <w:rPr>
                <w:rFonts w:cs="Times New Roman"/>
                <w:iCs/>
                <w:color w:val="000000" w:themeColor="text1"/>
                <w:sz w:val="22"/>
                <w:szCs w:val="22"/>
              </w:rPr>
              <w:t>wykluczonym cyfrowo lub osobom, które nie są jeszcze gotowe na kontakt elektroniczny z różnych innych przyczyn.</w:t>
            </w:r>
          </w:p>
          <w:p w14:paraId="56792110" w14:textId="77777777" w:rsidR="007E5A8F" w:rsidRPr="000E2DF4" w:rsidRDefault="007E5A8F" w:rsidP="000E2DF4">
            <w:pPr>
              <w:pStyle w:val="NormalnyWeb"/>
              <w:shd w:val="clear" w:color="auto" w:fill="FFFFFF" w:themeFill="background1"/>
              <w:spacing w:before="60" w:beforeAutospacing="0" w:after="60" w:afterAutospacing="0"/>
              <w:jc w:val="both"/>
              <w:rPr>
                <w:rFonts w:cs="Times New Roman"/>
                <w:color w:val="000000" w:themeColor="text1"/>
                <w:sz w:val="22"/>
                <w:szCs w:val="22"/>
              </w:rPr>
            </w:pPr>
            <w:r w:rsidRPr="000E2DF4">
              <w:rPr>
                <w:rFonts w:cs="Times New Roman"/>
                <w:color w:val="000000" w:themeColor="text1"/>
                <w:sz w:val="22"/>
                <w:szCs w:val="22"/>
              </w:rPr>
              <w:t>Wyjściem naprzeciw potrzebom obywateli niekorzystających z technologii cyfrowych jest wprowadzenie tzw.</w:t>
            </w:r>
            <w:r w:rsidR="00AB04E9">
              <w:rPr>
                <w:rFonts w:cs="Times New Roman"/>
                <w:color w:val="000000" w:themeColor="text1"/>
                <w:sz w:val="22"/>
                <w:szCs w:val="22"/>
              </w:rPr>
              <w:t xml:space="preserve"> </w:t>
            </w:r>
            <w:r w:rsidRPr="000E2DF4">
              <w:rPr>
                <w:rFonts w:cs="Times New Roman"/>
                <w:color w:val="000000" w:themeColor="text1"/>
                <w:sz w:val="22"/>
                <w:szCs w:val="22"/>
              </w:rPr>
              <w:t xml:space="preserve">publicznej usługi hybrydowej, która umożliwi częściową cyfryzację procesu nadania/odbioru korespondencji po stronie podmiotów publicznych i przedsiębiorców, pozostawiając obywatelom wybór formy nadania/doręczenia (papierowa lub elektroniczna). </w:t>
            </w:r>
          </w:p>
          <w:p w14:paraId="7FF63DEC" w14:textId="323C7DE0" w:rsidR="00C45AF1" w:rsidRPr="00067989" w:rsidRDefault="007E5A8F" w:rsidP="008742F0">
            <w:pPr>
              <w:spacing w:before="60" w:after="60"/>
              <w:jc w:val="both"/>
              <w:rPr>
                <w:rFonts w:ascii="Times New Roman" w:hAnsi="Times New Roman" w:cs="Times New Roman"/>
                <w:color w:val="000000" w:themeColor="text1"/>
              </w:rPr>
            </w:pPr>
            <w:r w:rsidRPr="000E2DF4">
              <w:rPr>
                <w:rFonts w:ascii="Times New Roman" w:hAnsi="Times New Roman" w:cs="Times New Roman"/>
                <w:color w:val="000000" w:themeColor="text1"/>
              </w:rPr>
              <w:t>Usługa ta polega na</w:t>
            </w:r>
            <w:r w:rsidR="00AB04E9">
              <w:rPr>
                <w:rFonts w:ascii="Times New Roman" w:hAnsi="Times New Roman" w:cs="Times New Roman"/>
                <w:color w:val="000000" w:themeColor="text1"/>
              </w:rPr>
              <w:t xml:space="preserve"> </w:t>
            </w:r>
            <w:r w:rsidRPr="000E2DF4">
              <w:rPr>
                <w:rFonts w:ascii="Times New Roman" w:hAnsi="Times New Roman" w:cs="Times New Roman"/>
                <w:color w:val="000000" w:themeColor="text1"/>
              </w:rPr>
              <w:t xml:space="preserve">przetworzeniu korespondencji nadanej elektronicznie do postaci papierowej </w:t>
            </w:r>
            <w:r w:rsidRPr="000E2DF4">
              <w:rPr>
                <w:rFonts w:ascii="Times New Roman" w:hAnsi="Times New Roman" w:cs="Times New Roman"/>
                <w:iCs/>
                <w:color w:val="000000" w:themeColor="text1"/>
              </w:rPr>
              <w:t>(wydruk o</w:t>
            </w:r>
            <w:r w:rsidR="008742F0">
              <w:rPr>
                <w:rFonts w:ascii="Times New Roman" w:hAnsi="Times New Roman" w:cs="Times New Roman"/>
                <w:iCs/>
                <w:color w:val="000000" w:themeColor="text1"/>
              </w:rPr>
              <w:t> </w:t>
            </w:r>
            <w:r w:rsidRPr="000E2DF4">
              <w:rPr>
                <w:rFonts w:ascii="Times New Roman" w:hAnsi="Times New Roman" w:cs="Times New Roman"/>
                <w:iCs/>
                <w:color w:val="000000" w:themeColor="text1"/>
              </w:rPr>
              <w:t xml:space="preserve">określonych standardach) </w:t>
            </w:r>
            <w:r w:rsidRPr="000E2DF4">
              <w:rPr>
                <w:rFonts w:ascii="Times New Roman" w:hAnsi="Times New Roman" w:cs="Times New Roman"/>
                <w:color w:val="000000" w:themeColor="text1"/>
              </w:rPr>
              <w:t>oraz jej doręczeniu w takiej postaci</w:t>
            </w:r>
            <w:r w:rsidRPr="000E2DF4">
              <w:rPr>
                <w:rFonts w:ascii="Times New Roman" w:hAnsi="Times New Roman" w:cs="Times New Roman"/>
                <w:iCs/>
                <w:color w:val="000000" w:themeColor="text1"/>
              </w:rPr>
              <w:t>.</w:t>
            </w:r>
            <w:r w:rsidR="00105320" w:rsidRPr="000E2DF4">
              <w:rPr>
                <w:rFonts w:ascii="Times New Roman" w:hAnsi="Times New Roman" w:cs="Times New Roman"/>
                <w:iCs/>
                <w:color w:val="000000" w:themeColor="text1"/>
              </w:rPr>
              <w:t xml:space="preserve"> </w:t>
            </w:r>
            <w:r w:rsidRPr="000E2DF4">
              <w:rPr>
                <w:rFonts w:ascii="Times New Roman" w:hAnsi="Times New Roman" w:cs="Times New Roman"/>
                <w:iCs/>
                <w:color w:val="000000" w:themeColor="text1"/>
              </w:rPr>
              <w:t>Osoby wykluczone cyfrowo lub niewyrażające woli skorzystania z elektronicznej formy doręczenia będą miały dzięki niej możliwość odbierania i nadawania korespondencji w postaci przesyłek listowych.</w:t>
            </w:r>
            <w:r w:rsidR="00105320" w:rsidRPr="000E2DF4">
              <w:rPr>
                <w:rFonts w:ascii="Times New Roman" w:hAnsi="Times New Roman" w:cs="Times New Roman"/>
                <w:iCs/>
                <w:color w:val="000000" w:themeColor="text1"/>
              </w:rPr>
              <w:t xml:space="preserve"> Zatem </w:t>
            </w:r>
            <w:r w:rsidR="00105320" w:rsidRPr="000E2DF4">
              <w:rPr>
                <w:rFonts w:ascii="Times New Roman" w:hAnsi="Times New Roman" w:cs="Times New Roman"/>
                <w:color w:val="000000" w:themeColor="text1"/>
              </w:rPr>
              <w:t>w</w:t>
            </w:r>
            <w:r w:rsidRPr="00E42D6D">
              <w:rPr>
                <w:rFonts w:ascii="Times New Roman" w:hAnsi="Times New Roman" w:cs="Times New Roman"/>
                <w:color w:val="000000" w:themeColor="text1"/>
              </w:rPr>
              <w:t>prowadzenie publicznej usługi hybrydowej pozw</w:t>
            </w:r>
            <w:r w:rsidRPr="00080920">
              <w:rPr>
                <w:rFonts w:ascii="Times New Roman" w:hAnsi="Times New Roman" w:cs="Times New Roman"/>
                <w:color w:val="000000" w:themeColor="text1"/>
              </w:rPr>
              <w:t>oli na aktywację osób cyfrowo wykluczonych</w:t>
            </w:r>
            <w:r w:rsidR="007B7D01" w:rsidRPr="00067989">
              <w:rPr>
                <w:rFonts w:ascii="Times New Roman" w:hAnsi="Times New Roman" w:cs="Times New Roman"/>
                <w:color w:val="000000" w:themeColor="text1"/>
              </w:rPr>
              <w:t>,</w:t>
            </w:r>
            <w:r w:rsidRPr="00067989">
              <w:rPr>
                <w:rFonts w:ascii="Times New Roman" w:hAnsi="Times New Roman" w:cs="Times New Roman"/>
                <w:color w:val="000000" w:themeColor="text1"/>
              </w:rPr>
              <w:t xml:space="preserve"> a także stworzy pomost komunikacyjny między usługą tradycyjnych doręczeń a usługą doręczeń elektronicznych.</w:t>
            </w:r>
          </w:p>
        </w:tc>
      </w:tr>
      <w:tr w:rsidR="005C3FCE" w:rsidRPr="00067989" w14:paraId="3F18162E" w14:textId="77777777" w:rsidTr="008A3FA9">
        <w:trPr>
          <w:gridAfter w:val="1"/>
          <w:wAfter w:w="61" w:type="dxa"/>
          <w:trHeight w:val="142"/>
          <w:jc w:val="center"/>
        </w:trPr>
        <w:tc>
          <w:tcPr>
            <w:tcW w:w="10566" w:type="dxa"/>
            <w:gridSpan w:val="28"/>
            <w:shd w:val="clear" w:color="auto" w:fill="99CCFF"/>
            <w:vAlign w:val="center"/>
          </w:tcPr>
          <w:p w14:paraId="6F377F35" w14:textId="77777777" w:rsidR="006A701A" w:rsidRPr="00067989" w:rsidRDefault="0013216E" w:rsidP="00067989">
            <w:pPr>
              <w:numPr>
                <w:ilvl w:val="0"/>
                <w:numId w:val="1"/>
              </w:numPr>
              <w:spacing w:before="60" w:after="60"/>
              <w:ind w:left="318" w:hanging="284"/>
              <w:jc w:val="both"/>
              <w:rPr>
                <w:rFonts w:ascii="Times New Roman" w:hAnsi="Times New Roman" w:cs="Times New Roman"/>
                <w:b/>
                <w:color w:val="000000" w:themeColor="text1"/>
              </w:rPr>
            </w:pPr>
            <w:r w:rsidRPr="00067989">
              <w:rPr>
                <w:rFonts w:ascii="Times New Roman" w:hAnsi="Times New Roman" w:cs="Times New Roman"/>
                <w:b/>
                <w:color w:val="000000" w:themeColor="text1"/>
                <w:spacing w:val="-2"/>
              </w:rPr>
              <w:lastRenderedPageBreak/>
              <w:t>Rekomendowane rozwiązanie, w tym planowane narzędzia interwencji, i oczekiwany efekt</w:t>
            </w:r>
          </w:p>
        </w:tc>
      </w:tr>
      <w:tr w:rsidR="005C3FCE" w:rsidRPr="00067989" w14:paraId="7AEA7341" w14:textId="77777777" w:rsidTr="008A3FA9">
        <w:trPr>
          <w:gridAfter w:val="1"/>
          <w:wAfter w:w="61" w:type="dxa"/>
          <w:trHeight w:val="142"/>
          <w:jc w:val="center"/>
        </w:trPr>
        <w:tc>
          <w:tcPr>
            <w:tcW w:w="10566" w:type="dxa"/>
            <w:gridSpan w:val="28"/>
            <w:shd w:val="clear" w:color="auto" w:fill="auto"/>
          </w:tcPr>
          <w:p w14:paraId="1A17BB5B" w14:textId="77777777" w:rsidR="001226E2" w:rsidRPr="00067989" w:rsidRDefault="001226E2" w:rsidP="008A3FA9">
            <w:p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 xml:space="preserve">Kluczowe dla projektu </w:t>
            </w:r>
            <w:r w:rsidR="00943AB8" w:rsidRPr="00067989">
              <w:rPr>
                <w:rFonts w:ascii="Times New Roman" w:hAnsi="Times New Roman" w:cs="Times New Roman"/>
                <w:color w:val="000000" w:themeColor="text1"/>
              </w:rPr>
              <w:t xml:space="preserve">ustawy </w:t>
            </w:r>
            <w:r w:rsidR="003544B3" w:rsidRPr="00067989">
              <w:rPr>
                <w:rFonts w:ascii="Times New Roman" w:hAnsi="Times New Roman" w:cs="Times New Roman"/>
                <w:color w:val="000000" w:themeColor="text1"/>
              </w:rPr>
              <w:t xml:space="preserve">o </w:t>
            </w:r>
            <w:r w:rsidR="006E44CA" w:rsidRPr="00067989">
              <w:rPr>
                <w:rFonts w:ascii="Times New Roman" w:hAnsi="Times New Roman" w:cs="Times New Roman"/>
                <w:color w:val="000000" w:themeColor="text1"/>
              </w:rPr>
              <w:t>doręczeniach elektronicznych</w:t>
            </w:r>
            <w:r w:rsidR="003544B3" w:rsidRPr="0006798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 xml:space="preserve">jest zdefiniowanie zasad korzystania z </w:t>
            </w:r>
            <w:r w:rsidR="00E43F3F" w:rsidRPr="00067989">
              <w:rPr>
                <w:rFonts w:ascii="Times New Roman" w:hAnsi="Times New Roman" w:cs="Times New Roman"/>
                <w:color w:val="000000" w:themeColor="text1"/>
              </w:rPr>
              <w:t xml:space="preserve">publicznej </w:t>
            </w:r>
            <w:r w:rsidRPr="00067989">
              <w:rPr>
                <w:rFonts w:ascii="Times New Roman" w:hAnsi="Times New Roman" w:cs="Times New Roman"/>
                <w:color w:val="000000" w:themeColor="text1"/>
              </w:rPr>
              <w:t>usługi rejestrowanego doręczenia</w:t>
            </w:r>
            <w:r w:rsidR="00126D9B" w:rsidRPr="00067989">
              <w:rPr>
                <w:rFonts w:ascii="Times New Roman" w:hAnsi="Times New Roman" w:cs="Times New Roman"/>
                <w:color w:val="000000" w:themeColor="text1"/>
              </w:rPr>
              <w:t xml:space="preserve"> elektronicznego</w:t>
            </w:r>
            <w:r w:rsidRPr="00067989">
              <w:rPr>
                <w:rFonts w:ascii="Times New Roman" w:hAnsi="Times New Roman" w:cs="Times New Roman"/>
                <w:color w:val="000000" w:themeColor="text1"/>
              </w:rPr>
              <w:t xml:space="preserve"> </w:t>
            </w:r>
            <w:r w:rsidR="00700B97" w:rsidRPr="00067989">
              <w:rPr>
                <w:rFonts w:ascii="Times New Roman" w:hAnsi="Times New Roman" w:cs="Times New Roman"/>
                <w:color w:val="000000" w:themeColor="text1"/>
              </w:rPr>
              <w:t xml:space="preserve">i </w:t>
            </w:r>
            <w:r w:rsidR="00B864D2" w:rsidRPr="00067989">
              <w:rPr>
                <w:rFonts w:ascii="Times New Roman" w:hAnsi="Times New Roman" w:cs="Times New Roman"/>
                <w:color w:val="000000" w:themeColor="text1"/>
              </w:rPr>
              <w:t>publicznej</w:t>
            </w:r>
            <w:r w:rsidR="003D11C5" w:rsidRPr="00067989">
              <w:rPr>
                <w:rFonts w:ascii="Times New Roman" w:hAnsi="Times New Roman" w:cs="Times New Roman"/>
                <w:color w:val="000000" w:themeColor="text1"/>
              </w:rPr>
              <w:t xml:space="preserve"> usługi hybrydowej</w:t>
            </w:r>
            <w:r w:rsidR="00700B97" w:rsidRPr="0006798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 xml:space="preserve">wraz z umocowaniem </w:t>
            </w:r>
            <w:r w:rsidR="00E758A0" w:rsidRPr="00067989">
              <w:rPr>
                <w:rFonts w:ascii="Times New Roman" w:hAnsi="Times New Roman" w:cs="Times New Roman"/>
                <w:color w:val="000000" w:themeColor="text1"/>
              </w:rPr>
              <w:t xml:space="preserve">ich </w:t>
            </w:r>
            <w:r w:rsidRPr="00067989">
              <w:rPr>
                <w:rFonts w:ascii="Times New Roman" w:hAnsi="Times New Roman" w:cs="Times New Roman"/>
                <w:color w:val="000000" w:themeColor="text1"/>
              </w:rPr>
              <w:t>w przepisach prawa</w:t>
            </w:r>
            <w:r w:rsidR="00B864D2" w:rsidRPr="00067989">
              <w:rPr>
                <w:rFonts w:ascii="Times New Roman" w:hAnsi="Times New Roman" w:cs="Times New Roman"/>
                <w:color w:val="000000" w:themeColor="text1"/>
              </w:rPr>
              <w:t>,</w:t>
            </w:r>
            <w:r w:rsidRPr="00067989">
              <w:rPr>
                <w:rFonts w:ascii="Times New Roman" w:hAnsi="Times New Roman" w:cs="Times New Roman"/>
                <w:color w:val="000000" w:themeColor="text1"/>
              </w:rPr>
              <w:t xml:space="preserve"> tak by móc wykorzyst</w:t>
            </w:r>
            <w:r w:rsidR="00B864D2" w:rsidRPr="00067989">
              <w:rPr>
                <w:rFonts w:ascii="Times New Roman" w:hAnsi="Times New Roman" w:cs="Times New Roman"/>
                <w:color w:val="000000" w:themeColor="text1"/>
              </w:rPr>
              <w:t>yw</w:t>
            </w:r>
            <w:r w:rsidRPr="00067989">
              <w:rPr>
                <w:rFonts w:ascii="Times New Roman" w:hAnsi="Times New Roman" w:cs="Times New Roman"/>
                <w:color w:val="000000" w:themeColor="text1"/>
              </w:rPr>
              <w:t xml:space="preserve">ać </w:t>
            </w:r>
            <w:r w:rsidR="00E758A0" w:rsidRPr="00067989">
              <w:rPr>
                <w:rFonts w:ascii="Times New Roman" w:hAnsi="Times New Roman" w:cs="Times New Roman"/>
                <w:color w:val="000000" w:themeColor="text1"/>
              </w:rPr>
              <w:t xml:space="preserve">je </w:t>
            </w:r>
            <w:r w:rsidRPr="00067989">
              <w:rPr>
                <w:rFonts w:ascii="Times New Roman" w:hAnsi="Times New Roman" w:cs="Times New Roman"/>
                <w:color w:val="000000" w:themeColor="text1"/>
              </w:rPr>
              <w:t>w</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 xml:space="preserve">komunikacji pomiędzy stronami jako metodę prawnie </w:t>
            </w:r>
            <w:r w:rsidR="00885003" w:rsidRPr="00067989">
              <w:rPr>
                <w:rFonts w:ascii="Times New Roman" w:hAnsi="Times New Roman" w:cs="Times New Roman"/>
                <w:color w:val="000000" w:themeColor="text1"/>
              </w:rPr>
              <w:t xml:space="preserve">skuteczną </w:t>
            </w:r>
            <w:r w:rsidRPr="00067989">
              <w:rPr>
                <w:rFonts w:ascii="Times New Roman" w:hAnsi="Times New Roman" w:cs="Times New Roman"/>
                <w:color w:val="000000" w:themeColor="text1"/>
              </w:rPr>
              <w:t xml:space="preserve">na równi z wysłaniem tradycyjnego listu poleconego </w:t>
            </w:r>
            <w:r w:rsidR="00346DF4" w:rsidRPr="00067989">
              <w:rPr>
                <w:rFonts w:ascii="Times New Roman" w:hAnsi="Times New Roman" w:cs="Times New Roman"/>
                <w:color w:val="000000" w:themeColor="text1"/>
              </w:rPr>
              <w:t>za</w:t>
            </w:r>
            <w:r w:rsidR="00AB04E9">
              <w:rPr>
                <w:rFonts w:ascii="Times New Roman" w:hAnsi="Times New Roman" w:cs="Times New Roman"/>
                <w:color w:val="000000" w:themeColor="text1"/>
              </w:rPr>
              <w:t xml:space="preserve"> </w:t>
            </w:r>
            <w:r w:rsidR="00346DF4" w:rsidRPr="00067989">
              <w:rPr>
                <w:rFonts w:ascii="Times New Roman" w:hAnsi="Times New Roman" w:cs="Times New Roman"/>
                <w:color w:val="000000" w:themeColor="text1"/>
              </w:rPr>
              <w:t xml:space="preserve">potwierdzeniem odbioru </w:t>
            </w:r>
            <w:r w:rsidRPr="00067989">
              <w:rPr>
                <w:rFonts w:ascii="Times New Roman" w:hAnsi="Times New Roman" w:cs="Times New Roman"/>
                <w:color w:val="000000" w:themeColor="text1"/>
              </w:rPr>
              <w:t>lub doręczeni</w:t>
            </w:r>
            <w:r w:rsidR="00885003" w:rsidRPr="00067989">
              <w:rPr>
                <w:rFonts w:ascii="Times New Roman" w:hAnsi="Times New Roman" w:cs="Times New Roman"/>
                <w:color w:val="000000" w:themeColor="text1"/>
              </w:rPr>
              <w:t>em</w:t>
            </w:r>
            <w:r w:rsidRPr="00067989">
              <w:rPr>
                <w:rFonts w:ascii="Times New Roman" w:hAnsi="Times New Roman" w:cs="Times New Roman"/>
                <w:color w:val="000000" w:themeColor="text1"/>
              </w:rPr>
              <w:t xml:space="preserve"> osobist</w:t>
            </w:r>
            <w:r w:rsidR="00885003" w:rsidRPr="00067989">
              <w:rPr>
                <w:rFonts w:ascii="Times New Roman" w:hAnsi="Times New Roman" w:cs="Times New Roman"/>
                <w:color w:val="000000" w:themeColor="text1"/>
              </w:rPr>
              <w:t>ym</w:t>
            </w:r>
            <w:r w:rsidRPr="00067989">
              <w:rPr>
                <w:rFonts w:ascii="Times New Roman" w:hAnsi="Times New Roman" w:cs="Times New Roman"/>
                <w:color w:val="000000" w:themeColor="text1"/>
              </w:rPr>
              <w:t>.</w:t>
            </w:r>
          </w:p>
          <w:p w14:paraId="1B7B40F7" w14:textId="77777777" w:rsidR="00346DF4" w:rsidRPr="00067989" w:rsidRDefault="00943AB8" w:rsidP="008A3FA9">
            <w:p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Propo</w:t>
            </w:r>
            <w:r w:rsidR="003C42BE" w:rsidRPr="00067989">
              <w:rPr>
                <w:rFonts w:ascii="Times New Roman" w:hAnsi="Times New Roman" w:cs="Times New Roman"/>
                <w:color w:val="000000" w:themeColor="text1"/>
              </w:rPr>
              <w:t>nowane</w:t>
            </w:r>
            <w:r w:rsidRPr="000E2DF4">
              <w:rPr>
                <w:rFonts w:ascii="Times New Roman" w:hAnsi="Times New Roman" w:cs="Times New Roman"/>
                <w:color w:val="000000" w:themeColor="text1"/>
              </w:rPr>
              <w:t xml:space="preserve"> przepis</w:t>
            </w:r>
            <w:r w:rsidR="003C42BE" w:rsidRPr="000E2DF4">
              <w:rPr>
                <w:rFonts w:ascii="Times New Roman" w:hAnsi="Times New Roman" w:cs="Times New Roman"/>
                <w:color w:val="000000" w:themeColor="text1"/>
              </w:rPr>
              <w:t>y</w:t>
            </w:r>
            <w:r w:rsidRPr="000E2DF4">
              <w:rPr>
                <w:rFonts w:ascii="Times New Roman" w:hAnsi="Times New Roman" w:cs="Times New Roman"/>
                <w:color w:val="000000" w:themeColor="text1"/>
              </w:rPr>
              <w:t xml:space="preserve"> ustawy </w:t>
            </w:r>
            <w:r w:rsidR="003544B3" w:rsidRPr="000E2DF4">
              <w:rPr>
                <w:rFonts w:ascii="Times New Roman" w:hAnsi="Times New Roman" w:cs="Times New Roman"/>
                <w:color w:val="000000" w:themeColor="text1"/>
              </w:rPr>
              <w:t>s</w:t>
            </w:r>
            <w:r w:rsidR="00225827" w:rsidRPr="000E2DF4">
              <w:rPr>
                <w:rFonts w:ascii="Times New Roman" w:hAnsi="Times New Roman" w:cs="Times New Roman"/>
                <w:color w:val="000000" w:themeColor="text1"/>
              </w:rPr>
              <w:t>tworzą ramy prawne</w:t>
            </w:r>
            <w:r w:rsidR="00104843" w:rsidRPr="000E2DF4">
              <w:rPr>
                <w:rFonts w:ascii="Times New Roman" w:hAnsi="Times New Roman" w:cs="Times New Roman"/>
                <w:color w:val="000000" w:themeColor="text1"/>
              </w:rPr>
              <w:t xml:space="preserve"> </w:t>
            </w:r>
            <w:r w:rsidRPr="000E2DF4">
              <w:rPr>
                <w:rFonts w:ascii="Times New Roman" w:hAnsi="Times New Roman" w:cs="Times New Roman"/>
                <w:color w:val="000000" w:themeColor="text1"/>
              </w:rPr>
              <w:t>do</w:t>
            </w:r>
            <w:r w:rsidR="001707A1" w:rsidRPr="000E2DF4">
              <w:rPr>
                <w:rFonts w:ascii="Times New Roman" w:hAnsi="Times New Roman" w:cs="Times New Roman"/>
                <w:color w:val="000000" w:themeColor="text1"/>
              </w:rPr>
              <w:t xml:space="preserve"> </w:t>
            </w:r>
            <w:r w:rsidRPr="000E2DF4">
              <w:rPr>
                <w:rFonts w:ascii="Times New Roman" w:hAnsi="Times New Roman" w:cs="Times New Roman"/>
                <w:color w:val="000000" w:themeColor="text1"/>
              </w:rPr>
              <w:t xml:space="preserve">opracowania </w:t>
            </w:r>
            <w:r w:rsidR="001707A1" w:rsidRPr="000E2DF4">
              <w:rPr>
                <w:rFonts w:ascii="Times New Roman" w:hAnsi="Times New Roman" w:cs="Times New Roman"/>
                <w:color w:val="000000" w:themeColor="text1"/>
              </w:rPr>
              <w:t xml:space="preserve">i </w:t>
            </w:r>
            <w:r w:rsidRPr="000E2DF4">
              <w:rPr>
                <w:rFonts w:ascii="Times New Roman" w:hAnsi="Times New Roman" w:cs="Times New Roman"/>
                <w:color w:val="000000" w:themeColor="text1"/>
              </w:rPr>
              <w:t xml:space="preserve">wdrożenia </w:t>
            </w:r>
            <w:r w:rsidR="001707A1" w:rsidRPr="000E2DF4">
              <w:rPr>
                <w:rFonts w:ascii="Times New Roman" w:hAnsi="Times New Roman" w:cs="Times New Roman"/>
                <w:color w:val="000000" w:themeColor="text1"/>
              </w:rPr>
              <w:t>przez Ministerstwo Cyfryza</w:t>
            </w:r>
            <w:r w:rsidR="001707A1" w:rsidRPr="00E42D6D">
              <w:rPr>
                <w:rFonts w:ascii="Times New Roman" w:hAnsi="Times New Roman" w:cs="Times New Roman"/>
                <w:color w:val="000000" w:themeColor="text1"/>
              </w:rPr>
              <w:t xml:space="preserve">cji </w:t>
            </w:r>
            <w:r w:rsidR="00CF5A5F" w:rsidRPr="00080920">
              <w:rPr>
                <w:rFonts w:ascii="Times New Roman" w:hAnsi="Times New Roman" w:cs="Times New Roman"/>
                <w:color w:val="000000" w:themeColor="text1"/>
              </w:rPr>
              <w:t>s</w:t>
            </w:r>
            <w:r w:rsidR="00346DF4" w:rsidRPr="00067989">
              <w:rPr>
                <w:rFonts w:ascii="Times New Roman" w:hAnsi="Times New Roman" w:cs="Times New Roman"/>
                <w:color w:val="000000" w:themeColor="text1"/>
              </w:rPr>
              <w:t xml:space="preserve">tandardu usługi rejestrowanego doręczenia elektronicznego </w:t>
            </w:r>
            <w:r w:rsidR="00B864D2" w:rsidRPr="00067989">
              <w:rPr>
                <w:rFonts w:ascii="Times New Roman" w:hAnsi="Times New Roman" w:cs="Times New Roman"/>
                <w:color w:val="000000" w:themeColor="text1"/>
              </w:rPr>
              <w:t>oraz</w:t>
            </w:r>
            <w:r w:rsidR="001707A1" w:rsidRPr="00067989">
              <w:rPr>
                <w:rFonts w:ascii="Times New Roman" w:hAnsi="Times New Roman" w:cs="Times New Roman"/>
                <w:color w:val="000000" w:themeColor="text1"/>
              </w:rPr>
              <w:t xml:space="preserve"> narzędzi umożliwiając</w:t>
            </w:r>
            <w:r w:rsidR="00CF5A5F" w:rsidRPr="00067989">
              <w:rPr>
                <w:rFonts w:ascii="Times New Roman" w:hAnsi="Times New Roman" w:cs="Times New Roman"/>
                <w:color w:val="000000" w:themeColor="text1"/>
              </w:rPr>
              <w:t>ych</w:t>
            </w:r>
            <w:r w:rsidR="001707A1" w:rsidRPr="00067989">
              <w:rPr>
                <w:rFonts w:ascii="Times New Roman" w:hAnsi="Times New Roman" w:cs="Times New Roman"/>
                <w:color w:val="000000" w:themeColor="text1"/>
              </w:rPr>
              <w:t xml:space="preserve"> obywatelom, przedsiębiorcom </w:t>
            </w:r>
            <w:r w:rsidR="00B864D2" w:rsidRPr="00067989">
              <w:rPr>
                <w:rFonts w:ascii="Times New Roman" w:hAnsi="Times New Roman" w:cs="Times New Roman"/>
                <w:color w:val="000000" w:themeColor="text1"/>
              </w:rPr>
              <w:t>i</w:t>
            </w:r>
            <w:r w:rsidR="001707A1" w:rsidRPr="00067989">
              <w:rPr>
                <w:rFonts w:ascii="Times New Roman" w:hAnsi="Times New Roman" w:cs="Times New Roman"/>
                <w:color w:val="000000" w:themeColor="text1"/>
              </w:rPr>
              <w:t xml:space="preserve"> podmiotom sektora publicznego skuteczne i przyjazne doręczenia dokumentów w</w:t>
            </w:r>
            <w:r w:rsidR="00AB04E9">
              <w:rPr>
                <w:rFonts w:ascii="Times New Roman" w:hAnsi="Times New Roman" w:cs="Times New Roman"/>
                <w:color w:val="000000" w:themeColor="text1"/>
              </w:rPr>
              <w:t xml:space="preserve"> </w:t>
            </w:r>
            <w:r w:rsidR="001707A1" w:rsidRPr="00067989">
              <w:rPr>
                <w:rFonts w:ascii="Times New Roman" w:hAnsi="Times New Roman" w:cs="Times New Roman"/>
                <w:color w:val="000000" w:themeColor="text1"/>
              </w:rPr>
              <w:t>postaci elektronicznej</w:t>
            </w:r>
            <w:r w:rsidR="00E758A0" w:rsidRPr="00067989">
              <w:rPr>
                <w:rFonts w:ascii="Times New Roman" w:hAnsi="Times New Roman" w:cs="Times New Roman"/>
                <w:color w:val="000000" w:themeColor="text1"/>
              </w:rPr>
              <w:t xml:space="preserve"> i w postaci przesyłki hybrydowej</w:t>
            </w:r>
            <w:r w:rsidR="00CF5A5F" w:rsidRPr="00067989">
              <w:rPr>
                <w:rFonts w:ascii="Times New Roman" w:hAnsi="Times New Roman" w:cs="Times New Roman"/>
                <w:color w:val="000000" w:themeColor="text1"/>
              </w:rPr>
              <w:t>.</w:t>
            </w:r>
            <w:r w:rsidR="003544B3" w:rsidRPr="00067989">
              <w:rPr>
                <w:rFonts w:ascii="Times New Roman" w:hAnsi="Times New Roman" w:cs="Times New Roman"/>
                <w:color w:val="000000" w:themeColor="text1"/>
              </w:rPr>
              <w:t xml:space="preserve"> </w:t>
            </w:r>
          </w:p>
          <w:p w14:paraId="62781254" w14:textId="77777777" w:rsidR="00F76A4C" w:rsidRPr="00067989" w:rsidRDefault="00CF5A5F" w:rsidP="008A3FA9">
            <w:pPr>
              <w:spacing w:before="60" w:after="60"/>
              <w:jc w:val="both"/>
              <w:rPr>
                <w:rFonts w:ascii="Times New Roman" w:hAnsi="Times New Roman" w:cs="Times New Roman"/>
                <w:iCs/>
                <w:color w:val="000000" w:themeColor="text1"/>
              </w:rPr>
            </w:pPr>
            <w:r w:rsidRPr="00067989">
              <w:rPr>
                <w:rFonts w:ascii="Times New Roman" w:hAnsi="Times New Roman" w:cs="Times New Roman"/>
                <w:color w:val="000000" w:themeColor="text1"/>
              </w:rPr>
              <w:t>R</w:t>
            </w:r>
            <w:r w:rsidR="00630DB2" w:rsidRPr="00067989">
              <w:rPr>
                <w:rFonts w:ascii="Times New Roman" w:hAnsi="Times New Roman" w:cs="Times New Roman"/>
                <w:color w:val="000000" w:themeColor="text1"/>
              </w:rPr>
              <w:t xml:space="preserve">ozwiązanie </w:t>
            </w:r>
            <w:r w:rsidR="00943AB8" w:rsidRPr="00067989">
              <w:rPr>
                <w:rFonts w:ascii="Times New Roman" w:hAnsi="Times New Roman" w:cs="Times New Roman"/>
                <w:color w:val="000000" w:themeColor="text1"/>
              </w:rPr>
              <w:t xml:space="preserve">techniczne wraz z wypracowanym </w:t>
            </w:r>
            <w:r w:rsidR="00346DF4" w:rsidRPr="00067989">
              <w:rPr>
                <w:rFonts w:ascii="Times New Roman" w:hAnsi="Times New Roman" w:cs="Times New Roman"/>
                <w:color w:val="000000" w:themeColor="text1"/>
              </w:rPr>
              <w:t xml:space="preserve">standardem </w:t>
            </w:r>
            <w:r w:rsidR="001A069B" w:rsidRPr="00067989">
              <w:rPr>
                <w:rFonts w:ascii="Times New Roman" w:hAnsi="Times New Roman" w:cs="Times New Roman"/>
                <w:color w:val="000000" w:themeColor="text1"/>
              </w:rPr>
              <w:t>będzie</w:t>
            </w:r>
            <w:r w:rsidR="001707A1" w:rsidRPr="00067989">
              <w:rPr>
                <w:rFonts w:ascii="Times New Roman" w:hAnsi="Times New Roman" w:cs="Times New Roman"/>
                <w:color w:val="000000" w:themeColor="text1"/>
              </w:rPr>
              <w:t xml:space="preserve"> </w:t>
            </w:r>
            <w:r w:rsidR="00AC7D54" w:rsidRPr="00067989">
              <w:rPr>
                <w:rFonts w:ascii="Times New Roman" w:hAnsi="Times New Roman" w:cs="Times New Roman"/>
                <w:color w:val="000000" w:themeColor="text1"/>
              </w:rPr>
              <w:t>budowane z</w:t>
            </w:r>
            <w:r w:rsidR="00AB04E9">
              <w:rPr>
                <w:rFonts w:ascii="Times New Roman" w:hAnsi="Times New Roman" w:cs="Times New Roman"/>
                <w:color w:val="000000" w:themeColor="text1"/>
              </w:rPr>
              <w:t xml:space="preserve"> </w:t>
            </w:r>
            <w:r w:rsidR="00AC7D54" w:rsidRPr="00067989">
              <w:rPr>
                <w:rFonts w:ascii="Times New Roman" w:hAnsi="Times New Roman" w:cs="Times New Roman"/>
                <w:color w:val="000000" w:themeColor="text1"/>
              </w:rPr>
              <w:t xml:space="preserve">wykorzystaniem powstałych specyfikacji, norm i wytycznych dla </w:t>
            </w:r>
            <w:r w:rsidR="001707A1" w:rsidRPr="00067989">
              <w:rPr>
                <w:rFonts w:ascii="Times New Roman" w:hAnsi="Times New Roman" w:cs="Times New Roman"/>
                <w:color w:val="000000" w:themeColor="text1"/>
              </w:rPr>
              <w:t>usługi rejestrowanego doręczenia elektronicznego</w:t>
            </w:r>
            <w:r w:rsidR="00630DB2" w:rsidRPr="00067989">
              <w:rPr>
                <w:rFonts w:ascii="Times New Roman" w:hAnsi="Times New Roman" w:cs="Times New Roman"/>
                <w:color w:val="000000" w:themeColor="text1"/>
              </w:rPr>
              <w:t>,</w:t>
            </w:r>
            <w:r w:rsidR="001707A1" w:rsidRPr="00067989">
              <w:rPr>
                <w:rFonts w:ascii="Times New Roman" w:hAnsi="Times New Roman" w:cs="Times New Roman"/>
                <w:color w:val="000000" w:themeColor="text1"/>
              </w:rPr>
              <w:t xml:space="preserve"> </w:t>
            </w:r>
            <w:r w:rsidR="00AC7D54" w:rsidRPr="00067989">
              <w:rPr>
                <w:rFonts w:ascii="Times New Roman" w:hAnsi="Times New Roman" w:cs="Times New Roman"/>
                <w:color w:val="000000" w:themeColor="text1"/>
              </w:rPr>
              <w:t xml:space="preserve">określonej </w:t>
            </w:r>
            <w:r w:rsidR="001707A1" w:rsidRPr="00067989">
              <w:rPr>
                <w:rFonts w:ascii="Times New Roman" w:hAnsi="Times New Roman" w:cs="Times New Roman"/>
                <w:color w:val="000000" w:themeColor="text1"/>
              </w:rPr>
              <w:t>w</w:t>
            </w:r>
            <w:r w:rsidR="00AB04E9">
              <w:rPr>
                <w:rFonts w:ascii="Times New Roman" w:hAnsi="Times New Roman" w:cs="Times New Roman"/>
                <w:color w:val="000000" w:themeColor="text1"/>
              </w:rPr>
              <w:t xml:space="preserve"> </w:t>
            </w:r>
            <w:r w:rsidR="00874C60" w:rsidRPr="00067989">
              <w:rPr>
                <w:rFonts w:ascii="Times New Roman" w:hAnsi="Times New Roman" w:cs="Times New Roman"/>
                <w:color w:val="000000" w:themeColor="text1"/>
              </w:rPr>
              <w:t>rozporządzeni</w:t>
            </w:r>
            <w:r w:rsidR="00C237E2" w:rsidRPr="00067989">
              <w:rPr>
                <w:rFonts w:ascii="Times New Roman" w:hAnsi="Times New Roman" w:cs="Times New Roman"/>
                <w:color w:val="000000" w:themeColor="text1"/>
              </w:rPr>
              <w:t>u</w:t>
            </w:r>
            <w:r w:rsidR="00874C60" w:rsidRPr="00067989">
              <w:rPr>
                <w:rFonts w:ascii="Times New Roman" w:hAnsi="Times New Roman" w:cs="Times New Roman"/>
                <w:color w:val="000000" w:themeColor="text1"/>
              </w:rPr>
              <w:t xml:space="preserve"> </w:t>
            </w:r>
            <w:r w:rsidR="0090186A" w:rsidRPr="00067989">
              <w:rPr>
                <w:rFonts w:ascii="Times New Roman" w:hAnsi="Times New Roman" w:cs="Times New Roman"/>
                <w:color w:val="000000" w:themeColor="text1"/>
              </w:rPr>
              <w:t>eIDAS</w:t>
            </w:r>
            <w:r w:rsidR="001707A1" w:rsidRPr="00067989">
              <w:rPr>
                <w:rFonts w:ascii="Times New Roman" w:hAnsi="Times New Roman" w:cs="Times New Roman"/>
                <w:color w:val="000000" w:themeColor="text1"/>
              </w:rPr>
              <w:t>.</w:t>
            </w:r>
            <w:r w:rsidR="00544E2B" w:rsidRPr="00067989">
              <w:rPr>
                <w:rFonts w:ascii="Times New Roman" w:hAnsi="Times New Roman" w:cs="Times New Roman"/>
                <w:color w:val="000000" w:themeColor="text1"/>
              </w:rPr>
              <w:t xml:space="preserve"> </w:t>
            </w:r>
            <w:r w:rsidR="006C5310" w:rsidRPr="00067989">
              <w:rPr>
                <w:rFonts w:ascii="Times New Roman" w:hAnsi="Times New Roman" w:cs="Times New Roman"/>
                <w:color w:val="000000" w:themeColor="text1"/>
              </w:rPr>
              <w:t>Równie istotne będzie zapewnienie obowiązku wynikającego z projektowanej regulacji jaki ciążyć będzie na Ministrze właściwym d</w:t>
            </w:r>
            <w:r w:rsidR="007B7D01" w:rsidRPr="00067989">
              <w:rPr>
                <w:rFonts w:ascii="Times New Roman" w:hAnsi="Times New Roman" w:cs="Times New Roman"/>
                <w:color w:val="000000" w:themeColor="text1"/>
              </w:rPr>
              <w:t xml:space="preserve">o </w:t>
            </w:r>
            <w:r w:rsidR="006C5310" w:rsidRPr="00067989">
              <w:rPr>
                <w:rFonts w:ascii="Times New Roman" w:hAnsi="Times New Roman" w:cs="Times New Roman"/>
                <w:color w:val="000000" w:themeColor="text1"/>
              </w:rPr>
              <w:t>s</w:t>
            </w:r>
            <w:r w:rsidR="007B7D01" w:rsidRPr="00067989">
              <w:rPr>
                <w:rFonts w:ascii="Times New Roman" w:hAnsi="Times New Roman" w:cs="Times New Roman"/>
                <w:color w:val="000000" w:themeColor="text1"/>
              </w:rPr>
              <w:t>praw</w:t>
            </w:r>
            <w:r w:rsidR="006C5310" w:rsidRPr="00067989">
              <w:rPr>
                <w:rFonts w:ascii="Times New Roman" w:hAnsi="Times New Roman" w:cs="Times New Roman"/>
                <w:color w:val="000000" w:themeColor="text1"/>
              </w:rPr>
              <w:t xml:space="preserve"> informatyzacji dotyczącym zapewnienia interoperacyjności rozwiązań w </w:t>
            </w:r>
            <w:r w:rsidR="00AB04E9">
              <w:rPr>
                <w:rFonts w:ascii="Times New Roman" w:hAnsi="Times New Roman" w:cs="Times New Roman"/>
                <w:color w:val="000000" w:themeColor="text1"/>
              </w:rPr>
              <w:t xml:space="preserve"> </w:t>
            </w:r>
            <w:r w:rsidR="006C5310" w:rsidRPr="00067989">
              <w:rPr>
                <w:rFonts w:ascii="Times New Roman" w:hAnsi="Times New Roman" w:cs="Times New Roman"/>
                <w:color w:val="000000" w:themeColor="text1"/>
              </w:rPr>
              <w:t xml:space="preserve">ruchu transgranicznym. </w:t>
            </w:r>
            <w:r w:rsidR="00F76A4C" w:rsidRPr="00067989">
              <w:rPr>
                <w:rFonts w:ascii="Times New Roman" w:hAnsi="Times New Roman" w:cs="Times New Roman"/>
                <w:iCs/>
                <w:color w:val="000000" w:themeColor="text1"/>
              </w:rPr>
              <w:t>Projektowane rozwiązanie zakłada zintegrowanie powyższych usług</w:t>
            </w:r>
            <w:r w:rsidRPr="00067989">
              <w:rPr>
                <w:rFonts w:ascii="Times New Roman" w:hAnsi="Times New Roman" w:cs="Times New Roman"/>
                <w:iCs/>
                <w:color w:val="000000" w:themeColor="text1"/>
              </w:rPr>
              <w:t xml:space="preserve"> </w:t>
            </w:r>
            <w:r w:rsidR="00EA0361" w:rsidRPr="00067989">
              <w:rPr>
                <w:rFonts w:ascii="Times New Roman" w:hAnsi="Times New Roman" w:cs="Times New Roman"/>
                <w:iCs/>
                <w:color w:val="000000" w:themeColor="text1"/>
              </w:rPr>
              <w:t>tak</w:t>
            </w:r>
            <w:r w:rsidR="00A83D03" w:rsidRPr="00067989">
              <w:rPr>
                <w:rFonts w:ascii="Times New Roman" w:hAnsi="Times New Roman" w:cs="Times New Roman"/>
                <w:iCs/>
                <w:color w:val="000000" w:themeColor="text1"/>
              </w:rPr>
              <w:t>,</w:t>
            </w:r>
            <w:r w:rsidR="00F76A4C" w:rsidRPr="00067989">
              <w:rPr>
                <w:rFonts w:ascii="Times New Roman" w:hAnsi="Times New Roman" w:cs="Times New Roman"/>
                <w:iCs/>
                <w:color w:val="000000" w:themeColor="text1"/>
              </w:rPr>
              <w:t xml:space="preserve"> </w:t>
            </w:r>
            <w:r w:rsidRPr="00067989">
              <w:rPr>
                <w:rFonts w:ascii="Times New Roman" w:hAnsi="Times New Roman" w:cs="Times New Roman"/>
                <w:iCs/>
                <w:color w:val="000000" w:themeColor="text1"/>
              </w:rPr>
              <w:t>aby możliwa była realizacja następujących założeń</w:t>
            </w:r>
            <w:r w:rsidR="00F76A4C" w:rsidRPr="00067989">
              <w:rPr>
                <w:rFonts w:ascii="Times New Roman" w:hAnsi="Times New Roman" w:cs="Times New Roman"/>
                <w:iCs/>
                <w:color w:val="000000" w:themeColor="text1"/>
              </w:rPr>
              <w:t>:</w:t>
            </w:r>
          </w:p>
          <w:p w14:paraId="33640F1C" w14:textId="77777777" w:rsidR="00F76A4C" w:rsidRPr="00067989" w:rsidRDefault="00F76A4C" w:rsidP="008A3FA9">
            <w:pPr>
              <w:pStyle w:val="Akapitzlist"/>
              <w:numPr>
                <w:ilvl w:val="0"/>
                <w:numId w:val="9"/>
              </w:numPr>
              <w:spacing w:before="60" w:after="60"/>
              <w:jc w:val="both"/>
              <w:rPr>
                <w:rFonts w:ascii="Times New Roman" w:hAnsi="Times New Roman" w:cs="Times New Roman"/>
                <w:iCs/>
                <w:color w:val="000000" w:themeColor="text1"/>
              </w:rPr>
            </w:pPr>
            <w:r w:rsidRPr="00067989">
              <w:rPr>
                <w:rFonts w:ascii="Times New Roman" w:hAnsi="Times New Roman" w:cs="Times New Roman"/>
                <w:iCs/>
                <w:color w:val="000000" w:themeColor="text1"/>
              </w:rPr>
              <w:t xml:space="preserve">korespondencja </w:t>
            </w:r>
            <w:r w:rsidR="00761127" w:rsidRPr="00067989">
              <w:rPr>
                <w:rFonts w:ascii="Times New Roman" w:hAnsi="Times New Roman" w:cs="Times New Roman"/>
                <w:iCs/>
                <w:color w:val="000000" w:themeColor="text1"/>
              </w:rPr>
              <w:t xml:space="preserve">co do zasady </w:t>
            </w:r>
            <w:r w:rsidR="00C7193B" w:rsidRPr="00067989">
              <w:rPr>
                <w:rFonts w:ascii="Times New Roman" w:hAnsi="Times New Roman" w:cs="Times New Roman"/>
                <w:iCs/>
                <w:color w:val="000000" w:themeColor="text1"/>
              </w:rPr>
              <w:t xml:space="preserve">będzie </w:t>
            </w:r>
            <w:r w:rsidRPr="00067989">
              <w:rPr>
                <w:rFonts w:ascii="Times New Roman" w:hAnsi="Times New Roman" w:cs="Times New Roman"/>
                <w:iCs/>
                <w:color w:val="000000" w:themeColor="text1"/>
              </w:rPr>
              <w:t xml:space="preserve">nadawana i odbierana przez podmiot publiczny wyłącznie </w:t>
            </w:r>
            <w:r w:rsidR="00C7193B" w:rsidRPr="00067989">
              <w:rPr>
                <w:rFonts w:ascii="Times New Roman" w:hAnsi="Times New Roman" w:cs="Times New Roman"/>
                <w:iCs/>
                <w:color w:val="000000" w:themeColor="text1"/>
              </w:rPr>
              <w:t>w</w:t>
            </w:r>
            <w:r w:rsidR="00AB04E9">
              <w:rPr>
                <w:rFonts w:ascii="Times New Roman" w:hAnsi="Times New Roman" w:cs="Times New Roman"/>
                <w:iCs/>
                <w:color w:val="000000" w:themeColor="text1"/>
              </w:rPr>
              <w:t xml:space="preserve"> </w:t>
            </w:r>
            <w:r w:rsidR="00C7193B" w:rsidRPr="00067989">
              <w:rPr>
                <w:rFonts w:ascii="Times New Roman" w:hAnsi="Times New Roman" w:cs="Times New Roman"/>
                <w:iCs/>
                <w:color w:val="000000" w:themeColor="text1"/>
              </w:rPr>
              <w:t xml:space="preserve">postaci </w:t>
            </w:r>
            <w:r w:rsidRPr="00067989">
              <w:rPr>
                <w:rFonts w:ascii="Times New Roman" w:hAnsi="Times New Roman" w:cs="Times New Roman"/>
                <w:iCs/>
                <w:color w:val="000000" w:themeColor="text1"/>
              </w:rPr>
              <w:t>elektroniczn</w:t>
            </w:r>
            <w:r w:rsidR="00C7193B" w:rsidRPr="00067989">
              <w:rPr>
                <w:rFonts w:ascii="Times New Roman" w:hAnsi="Times New Roman" w:cs="Times New Roman"/>
                <w:iCs/>
                <w:color w:val="000000" w:themeColor="text1"/>
              </w:rPr>
              <w:t>ej</w:t>
            </w:r>
            <w:r w:rsidR="00761127" w:rsidRPr="00067989">
              <w:rPr>
                <w:rStyle w:val="Odwoanieprzypisudolnego"/>
                <w:rFonts w:ascii="Times New Roman" w:hAnsi="Times New Roman" w:cs="Times New Roman"/>
                <w:iCs/>
                <w:color w:val="000000" w:themeColor="text1"/>
              </w:rPr>
              <w:footnoteReference w:id="9"/>
            </w:r>
            <w:r w:rsidR="00067989" w:rsidRPr="008A3FA9">
              <w:rPr>
                <w:rFonts w:ascii="Times New Roman" w:hAnsi="Times New Roman" w:cs="Times New Roman"/>
                <w:iCs/>
                <w:color w:val="000000" w:themeColor="text1"/>
                <w:vertAlign w:val="superscript"/>
              </w:rPr>
              <w:t>)</w:t>
            </w:r>
            <w:r w:rsidR="00073EFA" w:rsidRPr="00067989">
              <w:rPr>
                <w:rFonts w:ascii="Times New Roman" w:hAnsi="Times New Roman" w:cs="Times New Roman"/>
                <w:iCs/>
                <w:color w:val="000000" w:themeColor="text1"/>
              </w:rPr>
              <w:t xml:space="preserve"> co oznacza</w:t>
            </w:r>
            <w:r w:rsidR="004D1808" w:rsidRPr="00067989">
              <w:rPr>
                <w:rFonts w:ascii="Times New Roman" w:hAnsi="Times New Roman" w:cs="Times New Roman"/>
                <w:iCs/>
                <w:color w:val="000000" w:themeColor="text1"/>
              </w:rPr>
              <w:t xml:space="preserve"> między innymi,</w:t>
            </w:r>
            <w:r w:rsidR="00073EFA" w:rsidRPr="00067989">
              <w:rPr>
                <w:rFonts w:ascii="Times New Roman" w:hAnsi="Times New Roman" w:cs="Times New Roman"/>
                <w:iCs/>
                <w:color w:val="000000" w:themeColor="text1"/>
              </w:rPr>
              <w:t xml:space="preserve"> że podmiot publiczny będzie zobligowany do posiadania adresu do doręczeń elektronicznych</w:t>
            </w:r>
            <w:r w:rsidRPr="00067989">
              <w:rPr>
                <w:rFonts w:ascii="Times New Roman" w:hAnsi="Times New Roman" w:cs="Times New Roman"/>
                <w:iCs/>
                <w:color w:val="000000" w:themeColor="text1"/>
              </w:rPr>
              <w:t xml:space="preserve">, </w:t>
            </w:r>
          </w:p>
          <w:p w14:paraId="20A482E9" w14:textId="77777777" w:rsidR="00201EA5" w:rsidRPr="00067989" w:rsidRDefault="00446C23" w:rsidP="008A3FA9">
            <w:pPr>
              <w:pStyle w:val="Akapitzlist"/>
              <w:numPr>
                <w:ilvl w:val="0"/>
                <w:numId w:val="9"/>
              </w:numPr>
              <w:spacing w:before="60" w:after="60"/>
              <w:jc w:val="both"/>
              <w:rPr>
                <w:rFonts w:ascii="Times New Roman" w:hAnsi="Times New Roman" w:cs="Times New Roman"/>
                <w:iCs/>
                <w:color w:val="000000" w:themeColor="text1"/>
              </w:rPr>
            </w:pPr>
            <w:r w:rsidRPr="00067989">
              <w:rPr>
                <w:rFonts w:ascii="Times New Roman" w:hAnsi="Times New Roman" w:cs="Times New Roman"/>
                <w:iCs/>
                <w:color w:val="000000" w:themeColor="text1"/>
              </w:rPr>
              <w:t>d</w:t>
            </w:r>
            <w:r w:rsidR="00073EFA" w:rsidRPr="00067989">
              <w:rPr>
                <w:rFonts w:ascii="Times New Roman" w:hAnsi="Times New Roman" w:cs="Times New Roman"/>
                <w:iCs/>
                <w:color w:val="000000" w:themeColor="text1"/>
              </w:rPr>
              <w:t>la celów</w:t>
            </w:r>
            <w:r w:rsidRPr="00067989">
              <w:rPr>
                <w:rFonts w:ascii="Times New Roman" w:hAnsi="Times New Roman" w:cs="Times New Roman"/>
                <w:iCs/>
                <w:color w:val="000000" w:themeColor="text1"/>
              </w:rPr>
              <w:t xml:space="preserve"> </w:t>
            </w:r>
            <w:r w:rsidR="00201EA5" w:rsidRPr="00067989">
              <w:rPr>
                <w:rFonts w:ascii="Times New Roman" w:hAnsi="Times New Roman" w:cs="Times New Roman"/>
                <w:iCs/>
                <w:color w:val="000000" w:themeColor="text1"/>
              </w:rPr>
              <w:t xml:space="preserve">przechowywania </w:t>
            </w:r>
            <w:r w:rsidR="00906393" w:rsidRPr="00067989">
              <w:rPr>
                <w:rFonts w:ascii="Times New Roman" w:hAnsi="Times New Roman" w:cs="Times New Roman"/>
                <w:iCs/>
                <w:color w:val="000000" w:themeColor="text1"/>
              </w:rPr>
              <w:t xml:space="preserve">przez podmioty </w:t>
            </w:r>
            <w:r w:rsidRPr="00067989">
              <w:rPr>
                <w:rFonts w:ascii="Times New Roman" w:hAnsi="Times New Roman" w:cs="Times New Roman"/>
                <w:iCs/>
                <w:color w:val="000000" w:themeColor="text1"/>
              </w:rPr>
              <w:t xml:space="preserve">korespondencji elektronicznej </w:t>
            </w:r>
            <w:r w:rsidR="00073EFA" w:rsidRPr="00067989">
              <w:rPr>
                <w:rFonts w:ascii="Times New Roman" w:hAnsi="Times New Roman" w:cs="Times New Roman"/>
                <w:iCs/>
                <w:color w:val="000000" w:themeColor="text1"/>
              </w:rPr>
              <w:t xml:space="preserve">(w tym dowodów doręczeń) </w:t>
            </w:r>
            <w:r w:rsidR="00201EA5" w:rsidRPr="00067989">
              <w:rPr>
                <w:rFonts w:ascii="Times New Roman" w:hAnsi="Times New Roman" w:cs="Times New Roman"/>
                <w:iCs/>
                <w:color w:val="000000" w:themeColor="text1"/>
              </w:rPr>
              <w:t xml:space="preserve">utrzymywane </w:t>
            </w:r>
            <w:r w:rsidRPr="00067989">
              <w:rPr>
                <w:rFonts w:ascii="Times New Roman" w:hAnsi="Times New Roman" w:cs="Times New Roman"/>
                <w:iCs/>
                <w:color w:val="000000" w:themeColor="text1"/>
              </w:rPr>
              <w:t xml:space="preserve">będą </w:t>
            </w:r>
            <w:r w:rsidR="00201EA5" w:rsidRPr="00067989">
              <w:rPr>
                <w:rFonts w:ascii="Times New Roman" w:hAnsi="Times New Roman" w:cs="Times New Roman"/>
                <w:iCs/>
                <w:color w:val="000000" w:themeColor="text1"/>
              </w:rPr>
              <w:t>przez operatora wyznaczonego</w:t>
            </w:r>
            <w:r w:rsidR="0062410E" w:rsidRPr="00067989">
              <w:rPr>
                <w:rFonts w:ascii="Times New Roman" w:hAnsi="Times New Roman" w:cs="Times New Roman"/>
                <w:iCs/>
                <w:color w:val="000000" w:themeColor="text1"/>
              </w:rPr>
              <w:t xml:space="preserve"> </w:t>
            </w:r>
            <w:r w:rsidR="004D1808" w:rsidRPr="00067989">
              <w:rPr>
                <w:rFonts w:ascii="Times New Roman" w:hAnsi="Times New Roman" w:cs="Times New Roman"/>
                <w:iCs/>
                <w:color w:val="000000" w:themeColor="text1"/>
              </w:rPr>
              <w:t>skrzynki doręczeń</w:t>
            </w:r>
            <w:r w:rsidR="005C4155" w:rsidRPr="00067989">
              <w:rPr>
                <w:rFonts w:ascii="Times New Roman" w:hAnsi="Times New Roman" w:cs="Times New Roman"/>
                <w:iCs/>
                <w:color w:val="000000" w:themeColor="text1"/>
              </w:rPr>
              <w:t>,</w:t>
            </w:r>
          </w:p>
          <w:p w14:paraId="623EE109" w14:textId="77777777" w:rsidR="00CA4350" w:rsidRPr="00067989" w:rsidRDefault="00E24720" w:rsidP="008A3FA9">
            <w:pPr>
              <w:pStyle w:val="Akapitzlist"/>
              <w:numPr>
                <w:ilvl w:val="0"/>
                <w:numId w:val="9"/>
              </w:numPr>
              <w:spacing w:before="60" w:after="60"/>
              <w:jc w:val="both"/>
              <w:rPr>
                <w:rFonts w:ascii="Times New Roman" w:hAnsi="Times New Roman" w:cs="Times New Roman"/>
                <w:iCs/>
                <w:color w:val="000000" w:themeColor="text1"/>
              </w:rPr>
            </w:pPr>
            <w:r w:rsidRPr="00067989">
              <w:rPr>
                <w:rFonts w:ascii="Times New Roman" w:hAnsi="Times New Roman" w:cs="Times New Roman"/>
                <w:iCs/>
                <w:color w:val="000000" w:themeColor="text1"/>
              </w:rPr>
              <w:t>co do zasady podmiot występujący w danej roli posiada jeden adres do doręczeń wpisany do bazy adresów elektronicznych</w:t>
            </w:r>
            <w:r w:rsidR="007B7D01" w:rsidRPr="00067989">
              <w:rPr>
                <w:rFonts w:ascii="Times New Roman" w:hAnsi="Times New Roman" w:cs="Times New Roman"/>
                <w:iCs/>
                <w:color w:val="000000" w:themeColor="text1"/>
              </w:rPr>
              <w:t>,</w:t>
            </w:r>
            <w:r w:rsidRPr="00067989">
              <w:rPr>
                <w:rFonts w:ascii="Times New Roman" w:hAnsi="Times New Roman" w:cs="Times New Roman"/>
                <w:iCs/>
                <w:color w:val="000000" w:themeColor="text1"/>
              </w:rPr>
              <w:t xml:space="preserve"> ale przewiduje się wystąpienie wyjątków od takiej reguły jeśli będzie to uzasadnione strukturą organizacyjną takiego </w:t>
            </w:r>
            <w:r w:rsidR="005F2BFB" w:rsidRPr="00067989">
              <w:rPr>
                <w:rFonts w:ascii="Times New Roman" w:hAnsi="Times New Roman" w:cs="Times New Roman"/>
                <w:iCs/>
                <w:color w:val="000000" w:themeColor="text1"/>
              </w:rPr>
              <w:t>podmiotu,</w:t>
            </w:r>
          </w:p>
          <w:p w14:paraId="214BFF8C" w14:textId="455137BB" w:rsidR="000424A2" w:rsidRPr="00067989" w:rsidRDefault="00073EFA" w:rsidP="008A3FA9">
            <w:pPr>
              <w:pStyle w:val="Akapitzlist"/>
              <w:numPr>
                <w:ilvl w:val="0"/>
                <w:numId w:val="9"/>
              </w:numPr>
              <w:spacing w:before="60" w:after="60"/>
              <w:jc w:val="both"/>
              <w:rPr>
                <w:rFonts w:ascii="Times New Roman" w:hAnsi="Times New Roman" w:cs="Times New Roman"/>
                <w:iCs/>
                <w:color w:val="000000" w:themeColor="text1"/>
              </w:rPr>
            </w:pPr>
            <w:r w:rsidRPr="00067989">
              <w:rPr>
                <w:rFonts w:ascii="Times New Roman" w:hAnsi="Times New Roman" w:cs="Times New Roman"/>
                <w:iCs/>
                <w:color w:val="000000" w:themeColor="text1"/>
              </w:rPr>
              <w:t xml:space="preserve">przedsiębiorcy </w:t>
            </w:r>
            <w:r w:rsidR="00906393" w:rsidRPr="00067989">
              <w:rPr>
                <w:rFonts w:ascii="Times New Roman" w:hAnsi="Times New Roman" w:cs="Times New Roman"/>
                <w:iCs/>
                <w:color w:val="000000" w:themeColor="text1"/>
              </w:rPr>
              <w:t xml:space="preserve">– zarówno osoby fizyczne </w:t>
            </w:r>
            <w:r w:rsidRPr="000E2DF4">
              <w:rPr>
                <w:rFonts w:ascii="Times New Roman" w:hAnsi="Times New Roman" w:cs="Times New Roman"/>
                <w:iCs/>
                <w:color w:val="000000" w:themeColor="text1"/>
              </w:rPr>
              <w:t>prowadząc</w:t>
            </w:r>
            <w:r w:rsidR="00906393" w:rsidRPr="000E2DF4">
              <w:rPr>
                <w:rFonts w:ascii="Times New Roman" w:hAnsi="Times New Roman" w:cs="Times New Roman"/>
                <w:iCs/>
                <w:color w:val="000000" w:themeColor="text1"/>
              </w:rPr>
              <w:t>e</w:t>
            </w:r>
            <w:r w:rsidRPr="000E2DF4">
              <w:rPr>
                <w:rFonts w:ascii="Times New Roman" w:hAnsi="Times New Roman" w:cs="Times New Roman"/>
                <w:iCs/>
                <w:color w:val="000000" w:themeColor="text1"/>
              </w:rPr>
              <w:t xml:space="preserve"> działalność gospodarczą wpisan</w:t>
            </w:r>
            <w:r w:rsidR="007B7D01" w:rsidRPr="000E2DF4">
              <w:rPr>
                <w:rFonts w:ascii="Times New Roman" w:hAnsi="Times New Roman" w:cs="Times New Roman"/>
                <w:iCs/>
                <w:color w:val="000000" w:themeColor="text1"/>
              </w:rPr>
              <w:t>e</w:t>
            </w:r>
            <w:r w:rsidRPr="000E2DF4">
              <w:rPr>
                <w:rFonts w:ascii="Times New Roman" w:hAnsi="Times New Roman" w:cs="Times New Roman"/>
                <w:iCs/>
                <w:color w:val="000000" w:themeColor="text1"/>
              </w:rPr>
              <w:t xml:space="preserve"> do </w:t>
            </w:r>
            <w:r w:rsidR="00C237E2" w:rsidRPr="000E2DF4">
              <w:rPr>
                <w:rFonts w:ascii="Times New Roman" w:hAnsi="Times New Roman" w:cs="Times New Roman"/>
                <w:iCs/>
                <w:color w:val="000000" w:themeColor="text1"/>
              </w:rPr>
              <w:t>Centralnej Ewidencji i Informacji o Działalności Gospodarczej</w:t>
            </w:r>
            <w:r w:rsidR="003A5C81">
              <w:rPr>
                <w:rFonts w:ascii="Times New Roman" w:hAnsi="Times New Roman" w:cs="Times New Roman"/>
                <w:iCs/>
                <w:color w:val="000000" w:themeColor="text1"/>
              </w:rPr>
              <w:t>,</w:t>
            </w:r>
            <w:r w:rsidR="00C237E2" w:rsidRPr="000E2DF4">
              <w:rPr>
                <w:rFonts w:ascii="Times New Roman" w:hAnsi="Times New Roman" w:cs="Times New Roman"/>
                <w:iCs/>
                <w:color w:val="000000" w:themeColor="text1"/>
              </w:rPr>
              <w:t xml:space="preserve"> </w:t>
            </w:r>
            <w:r w:rsidRPr="000E2DF4">
              <w:rPr>
                <w:rFonts w:ascii="Times New Roman" w:hAnsi="Times New Roman" w:cs="Times New Roman"/>
                <w:iCs/>
                <w:color w:val="000000" w:themeColor="text1"/>
              </w:rPr>
              <w:t xml:space="preserve">jak również podmioty wpisane do </w:t>
            </w:r>
            <w:r w:rsidR="00C237E2" w:rsidRPr="000E2DF4">
              <w:rPr>
                <w:rFonts w:ascii="Times New Roman" w:hAnsi="Times New Roman" w:cs="Times New Roman"/>
                <w:iCs/>
                <w:color w:val="000000" w:themeColor="text1"/>
              </w:rPr>
              <w:t>Krajowego Rejestru Sądowego</w:t>
            </w:r>
            <w:r w:rsidRPr="00067989">
              <w:rPr>
                <w:rFonts w:ascii="Times New Roman" w:hAnsi="Times New Roman" w:cs="Times New Roman"/>
                <w:iCs/>
                <w:color w:val="000000" w:themeColor="text1"/>
                <w:vertAlign w:val="superscript"/>
              </w:rPr>
              <w:footnoteReference w:id="10"/>
            </w:r>
            <w:r w:rsidR="00067989" w:rsidRPr="008A3FA9">
              <w:rPr>
                <w:rFonts w:ascii="Times New Roman" w:hAnsi="Times New Roman" w:cs="Times New Roman"/>
                <w:iCs/>
                <w:color w:val="000000" w:themeColor="text1"/>
                <w:vertAlign w:val="superscript"/>
              </w:rPr>
              <w:t>)</w:t>
            </w:r>
            <w:r w:rsidR="00906393" w:rsidRPr="00067989">
              <w:rPr>
                <w:rFonts w:ascii="Times New Roman" w:hAnsi="Times New Roman" w:cs="Times New Roman"/>
                <w:iCs/>
                <w:color w:val="000000" w:themeColor="text1"/>
              </w:rPr>
              <w:t>,</w:t>
            </w:r>
            <w:r w:rsidRPr="00067989">
              <w:rPr>
                <w:rFonts w:ascii="Times New Roman" w:hAnsi="Times New Roman" w:cs="Times New Roman"/>
                <w:iCs/>
                <w:color w:val="000000" w:themeColor="text1"/>
              </w:rPr>
              <w:t xml:space="preserve"> będą zobowiązani do posiadania adresu do doręczeń elektronicznych</w:t>
            </w:r>
            <w:r w:rsidR="005F2BFB" w:rsidRPr="00067989">
              <w:rPr>
                <w:rFonts w:ascii="Times New Roman" w:hAnsi="Times New Roman" w:cs="Times New Roman"/>
                <w:iCs/>
                <w:color w:val="000000" w:themeColor="text1"/>
              </w:rPr>
              <w:t>,</w:t>
            </w:r>
          </w:p>
          <w:p w14:paraId="7B975933" w14:textId="77777777" w:rsidR="00073EFA" w:rsidRPr="00067989" w:rsidRDefault="000424A2" w:rsidP="008A3FA9">
            <w:pPr>
              <w:pStyle w:val="Akapitzlist"/>
              <w:numPr>
                <w:ilvl w:val="0"/>
                <w:numId w:val="9"/>
              </w:numPr>
              <w:spacing w:before="60" w:after="60"/>
              <w:jc w:val="both"/>
              <w:rPr>
                <w:rFonts w:ascii="Times New Roman" w:hAnsi="Times New Roman" w:cs="Times New Roman"/>
                <w:iCs/>
                <w:color w:val="000000" w:themeColor="text1"/>
              </w:rPr>
            </w:pPr>
            <w:r w:rsidRPr="00067989">
              <w:rPr>
                <w:rFonts w:ascii="Times New Roman" w:hAnsi="Times New Roman" w:cs="Times New Roman"/>
                <w:iCs/>
                <w:color w:val="000000" w:themeColor="text1"/>
              </w:rPr>
              <w:t xml:space="preserve">adwokat, radca prawny, doradca podatkowy, doradca restrukturyzacyjny, </w:t>
            </w:r>
            <w:r w:rsidR="00016BE0" w:rsidRPr="00067989">
              <w:rPr>
                <w:rFonts w:ascii="Times New Roman" w:hAnsi="Times New Roman" w:cs="Times New Roman"/>
                <w:iCs/>
                <w:color w:val="000000" w:themeColor="text1"/>
              </w:rPr>
              <w:t xml:space="preserve">notariusz, </w:t>
            </w:r>
            <w:r w:rsidRPr="00067989">
              <w:rPr>
                <w:rFonts w:ascii="Times New Roman" w:hAnsi="Times New Roman" w:cs="Times New Roman"/>
                <w:iCs/>
                <w:color w:val="000000" w:themeColor="text1"/>
              </w:rPr>
              <w:t>rzecznik patentowy, radca Prokuratorii Generalnej</w:t>
            </w:r>
            <w:r w:rsidRPr="00067989">
              <w:rPr>
                <w:rFonts w:ascii="Times New Roman" w:hAnsi="Times New Roman" w:cs="Times New Roman"/>
              </w:rPr>
              <w:t xml:space="preserve"> </w:t>
            </w:r>
            <w:r w:rsidRPr="00067989">
              <w:rPr>
                <w:rFonts w:ascii="Times New Roman" w:hAnsi="Times New Roman" w:cs="Times New Roman"/>
                <w:iCs/>
                <w:color w:val="000000" w:themeColor="text1"/>
              </w:rPr>
              <w:t>Rzeczypospolitej Polskiej będą zobowiązani do posiadania adresu do doręczeń elektronicznych</w:t>
            </w:r>
            <w:r w:rsidR="005F2BFB" w:rsidRPr="00067989">
              <w:rPr>
                <w:rFonts w:ascii="Times New Roman" w:hAnsi="Times New Roman" w:cs="Times New Roman"/>
                <w:iCs/>
                <w:color w:val="000000" w:themeColor="text1"/>
              </w:rPr>
              <w:t xml:space="preserve"> (o ile wykonują zawód),</w:t>
            </w:r>
          </w:p>
          <w:p w14:paraId="7845F455" w14:textId="3B5E1E7A" w:rsidR="005F2BFB" w:rsidRPr="00067989" w:rsidRDefault="00967331" w:rsidP="008A3FA9">
            <w:pPr>
              <w:pStyle w:val="Akapitzlist"/>
              <w:numPr>
                <w:ilvl w:val="0"/>
                <w:numId w:val="9"/>
              </w:numPr>
              <w:spacing w:before="60" w:after="60"/>
              <w:jc w:val="both"/>
              <w:rPr>
                <w:rFonts w:ascii="Times New Roman" w:hAnsi="Times New Roman" w:cs="Times New Roman"/>
                <w:iCs/>
                <w:color w:val="000000" w:themeColor="text1"/>
              </w:rPr>
            </w:pPr>
            <w:r w:rsidRPr="00067989">
              <w:rPr>
                <w:rFonts w:ascii="Times New Roman" w:hAnsi="Times New Roman" w:cs="Times New Roman"/>
                <w:iCs/>
                <w:color w:val="000000" w:themeColor="text1"/>
              </w:rPr>
              <w:t>w</w:t>
            </w:r>
            <w:r w:rsidR="005F2BFB" w:rsidRPr="00067989">
              <w:rPr>
                <w:rFonts w:ascii="Times New Roman" w:hAnsi="Times New Roman" w:cs="Times New Roman"/>
                <w:iCs/>
                <w:color w:val="000000" w:themeColor="text1"/>
              </w:rPr>
              <w:t xml:space="preserve"> przypadku osób fizycznych będących przedsiębiorcami wpisanymi do Centralnej Ewidencji i</w:t>
            </w:r>
            <w:r w:rsidR="00AB04E9">
              <w:rPr>
                <w:rFonts w:ascii="Times New Roman" w:hAnsi="Times New Roman" w:cs="Times New Roman"/>
                <w:iCs/>
                <w:color w:val="000000" w:themeColor="text1"/>
              </w:rPr>
              <w:t xml:space="preserve"> </w:t>
            </w:r>
            <w:r w:rsidR="005F2BFB" w:rsidRPr="00067989">
              <w:rPr>
                <w:rFonts w:ascii="Times New Roman" w:hAnsi="Times New Roman" w:cs="Times New Roman"/>
                <w:iCs/>
                <w:color w:val="000000" w:themeColor="text1"/>
              </w:rPr>
              <w:t>Informacji o</w:t>
            </w:r>
            <w:r w:rsidR="008742F0">
              <w:rPr>
                <w:rFonts w:ascii="Times New Roman" w:hAnsi="Times New Roman" w:cs="Times New Roman"/>
                <w:iCs/>
                <w:color w:val="000000" w:themeColor="text1"/>
              </w:rPr>
              <w:t> </w:t>
            </w:r>
            <w:r w:rsidR="005F2BFB" w:rsidRPr="00067989">
              <w:rPr>
                <w:rFonts w:ascii="Times New Roman" w:hAnsi="Times New Roman" w:cs="Times New Roman"/>
                <w:iCs/>
                <w:color w:val="000000" w:themeColor="text1"/>
              </w:rPr>
              <w:t>Działalności Gospodarczej oraz adwokatów, radców prawnych, doradców podatkowych, doradców restrukturyzacyjnych, notariuszy, rzeczników patentowych i</w:t>
            </w:r>
            <w:r w:rsidR="00AB04E9">
              <w:rPr>
                <w:rFonts w:ascii="Times New Roman" w:hAnsi="Times New Roman" w:cs="Times New Roman"/>
                <w:iCs/>
                <w:color w:val="000000" w:themeColor="text1"/>
              </w:rPr>
              <w:t xml:space="preserve"> </w:t>
            </w:r>
            <w:r w:rsidR="005F2BFB" w:rsidRPr="00067989">
              <w:rPr>
                <w:rFonts w:ascii="Times New Roman" w:hAnsi="Times New Roman" w:cs="Times New Roman"/>
                <w:iCs/>
                <w:color w:val="000000" w:themeColor="text1"/>
              </w:rPr>
              <w:t xml:space="preserve">radców Prokuratorii Generalnej Rzeczypospolitej </w:t>
            </w:r>
            <w:r w:rsidR="005F2BFB" w:rsidRPr="00067989">
              <w:rPr>
                <w:rFonts w:ascii="Times New Roman" w:hAnsi="Times New Roman" w:cs="Times New Roman"/>
                <w:iCs/>
                <w:color w:val="000000" w:themeColor="text1"/>
              </w:rPr>
              <w:lastRenderedPageBreak/>
              <w:t>Polskiej do bazy adresów elektronicznych wpisuje się dodatkowe adresy do doręczeń elektronicznych po jednym wykorzystywanym na potrzeby prowadzenia działalności gospodarczej albo działalności zawodowej,</w:t>
            </w:r>
          </w:p>
          <w:p w14:paraId="2EBB55FE" w14:textId="7E320E09" w:rsidR="00073EFA" w:rsidRPr="00284114" w:rsidRDefault="00906393" w:rsidP="008A3FA9">
            <w:pPr>
              <w:pStyle w:val="Akapitzlist"/>
              <w:numPr>
                <w:ilvl w:val="0"/>
                <w:numId w:val="9"/>
              </w:numPr>
              <w:spacing w:before="60" w:after="60"/>
              <w:jc w:val="both"/>
              <w:rPr>
                <w:rFonts w:ascii="Times New Roman" w:hAnsi="Times New Roman" w:cs="Times New Roman"/>
                <w:iCs/>
                <w:color w:val="000000" w:themeColor="text1"/>
              </w:rPr>
            </w:pPr>
            <w:r w:rsidRPr="00067989">
              <w:rPr>
                <w:rFonts w:ascii="Times New Roman" w:hAnsi="Times New Roman" w:cs="Times New Roman"/>
                <w:iCs/>
                <w:color w:val="000000" w:themeColor="text1"/>
              </w:rPr>
              <w:t>w przypadku ww. podmiotów niepublicznych będzie istniał okres</w:t>
            </w:r>
            <w:r w:rsidR="00AB04E9">
              <w:rPr>
                <w:rFonts w:ascii="Times New Roman" w:hAnsi="Times New Roman" w:cs="Times New Roman"/>
                <w:iCs/>
                <w:color w:val="000000" w:themeColor="text1"/>
              </w:rPr>
              <w:t xml:space="preserve"> </w:t>
            </w:r>
            <w:r w:rsidRPr="00067989">
              <w:rPr>
                <w:rFonts w:ascii="Times New Roman" w:hAnsi="Times New Roman" w:cs="Times New Roman"/>
                <w:iCs/>
                <w:color w:val="000000" w:themeColor="text1"/>
              </w:rPr>
              <w:t>podczas którego podmioty te będą mogły dokonać wyboru dostawcy usługi rejestrowanego doręczenia elektronicznego (operator wyznaczony lub kwalifikowani dostawcy usług)</w:t>
            </w:r>
            <w:r w:rsidR="005C4155" w:rsidRPr="00067989">
              <w:rPr>
                <w:rFonts w:ascii="Times New Roman" w:hAnsi="Times New Roman" w:cs="Times New Roman"/>
                <w:iCs/>
                <w:color w:val="000000" w:themeColor="text1"/>
              </w:rPr>
              <w:t>,</w:t>
            </w:r>
          </w:p>
          <w:p w14:paraId="63DEC784" w14:textId="77777777" w:rsidR="0062410E" w:rsidRPr="000E2DF4" w:rsidRDefault="00B67F68" w:rsidP="008A3FA9">
            <w:pPr>
              <w:pStyle w:val="Akapitzlist"/>
              <w:numPr>
                <w:ilvl w:val="0"/>
                <w:numId w:val="9"/>
              </w:numPr>
              <w:spacing w:before="60" w:after="60"/>
              <w:jc w:val="both"/>
              <w:rPr>
                <w:rFonts w:ascii="Times New Roman" w:hAnsi="Times New Roman" w:cs="Times New Roman"/>
                <w:iCs/>
                <w:color w:val="000000" w:themeColor="text1"/>
              </w:rPr>
            </w:pPr>
            <w:r w:rsidRPr="000E2DF4">
              <w:rPr>
                <w:rFonts w:ascii="Times New Roman" w:hAnsi="Times New Roman" w:cs="Times New Roman"/>
                <w:iCs/>
                <w:color w:val="000000" w:themeColor="text1"/>
              </w:rPr>
              <w:t>utworzona zostanie Baza Adresów Elektronicznych (BAE),</w:t>
            </w:r>
            <w:r w:rsidRPr="000E2DF4">
              <w:rPr>
                <w:rFonts w:ascii="Times New Roman" w:eastAsiaTheme="minorEastAsia" w:hAnsi="Times New Roman" w:cs="Times New Roman"/>
                <w:color w:val="000000" w:themeColor="text1"/>
                <w:lang w:eastAsia="pl-PL"/>
              </w:rPr>
              <w:t xml:space="preserve"> </w:t>
            </w:r>
            <w:r w:rsidRPr="000E2DF4">
              <w:rPr>
                <w:rFonts w:ascii="Times New Roman" w:hAnsi="Times New Roman" w:cs="Times New Roman"/>
                <w:iCs/>
                <w:color w:val="000000" w:themeColor="text1"/>
              </w:rPr>
              <w:t xml:space="preserve">prowadzona przez ministra właściwego do spraw informatyzacji zawierająca adresy do doręczeń elektronicznych </w:t>
            </w:r>
            <w:r w:rsidR="0062410E" w:rsidRPr="000E2DF4">
              <w:rPr>
                <w:rFonts w:ascii="Times New Roman" w:hAnsi="Times New Roman" w:cs="Times New Roman"/>
                <w:iCs/>
                <w:color w:val="000000" w:themeColor="text1"/>
              </w:rPr>
              <w:t xml:space="preserve">związane z dostarczaniem korespondencji przez operatora wyznaczonego </w:t>
            </w:r>
            <w:r w:rsidRPr="000E2DF4">
              <w:rPr>
                <w:rFonts w:ascii="Times New Roman" w:hAnsi="Times New Roman" w:cs="Times New Roman"/>
                <w:iCs/>
                <w:color w:val="000000" w:themeColor="text1"/>
              </w:rPr>
              <w:t>oraz kwalifikowane adresy do doręczeń</w:t>
            </w:r>
            <w:r w:rsidR="00D533FB" w:rsidRPr="000E2DF4">
              <w:rPr>
                <w:rFonts w:ascii="Times New Roman" w:hAnsi="Times New Roman" w:cs="Times New Roman"/>
                <w:iCs/>
                <w:color w:val="000000" w:themeColor="text1"/>
              </w:rPr>
              <w:t>. D</w:t>
            </w:r>
            <w:r w:rsidR="0062410E" w:rsidRPr="000E2DF4">
              <w:rPr>
                <w:rFonts w:ascii="Times New Roman" w:hAnsi="Times New Roman" w:cs="Times New Roman"/>
                <w:iCs/>
                <w:color w:val="000000" w:themeColor="text1"/>
              </w:rPr>
              <w:t>o BAE dostęp posiadają wyłącznie podmioty publiczne w celu wyszukania odpowiedniego adresu do doręczeń</w:t>
            </w:r>
            <w:r w:rsidR="007C2CE4" w:rsidRPr="000E2DF4">
              <w:rPr>
                <w:rFonts w:ascii="Times New Roman" w:hAnsi="Times New Roman" w:cs="Times New Roman"/>
                <w:iCs/>
                <w:color w:val="000000" w:themeColor="text1"/>
              </w:rPr>
              <w:t xml:space="preserve"> elektronicznych</w:t>
            </w:r>
            <w:r w:rsidR="0062410E" w:rsidRPr="000E2DF4">
              <w:rPr>
                <w:rFonts w:ascii="Times New Roman" w:hAnsi="Times New Roman" w:cs="Times New Roman"/>
                <w:iCs/>
                <w:color w:val="000000" w:themeColor="text1"/>
              </w:rPr>
              <w:t>,</w:t>
            </w:r>
          </w:p>
          <w:p w14:paraId="7498EF69" w14:textId="27867E55" w:rsidR="0062410E" w:rsidRPr="00067989" w:rsidRDefault="0062410E" w:rsidP="008A3FA9">
            <w:pPr>
              <w:pStyle w:val="Akapitzlist"/>
              <w:numPr>
                <w:ilvl w:val="0"/>
                <w:numId w:val="9"/>
              </w:numPr>
              <w:spacing w:before="60" w:after="60"/>
              <w:jc w:val="both"/>
              <w:rPr>
                <w:rFonts w:ascii="Times New Roman" w:hAnsi="Times New Roman" w:cs="Times New Roman"/>
                <w:iCs/>
                <w:color w:val="000000" w:themeColor="text1"/>
              </w:rPr>
            </w:pPr>
            <w:r w:rsidRPr="00E42D6D">
              <w:rPr>
                <w:rFonts w:ascii="Times New Roman" w:hAnsi="Times New Roman" w:cs="Times New Roman"/>
                <w:iCs/>
                <w:color w:val="000000" w:themeColor="text1"/>
              </w:rPr>
              <w:t xml:space="preserve">za wystawianie stosownych dowodów doręczeń </w:t>
            </w:r>
            <w:r w:rsidR="00D533FB" w:rsidRPr="00080920">
              <w:rPr>
                <w:rFonts w:ascii="Times New Roman" w:hAnsi="Times New Roman" w:cs="Times New Roman"/>
                <w:iCs/>
                <w:color w:val="000000" w:themeColor="text1"/>
              </w:rPr>
              <w:t xml:space="preserve">(zgodnie z </w:t>
            </w:r>
            <w:r w:rsidR="00C237E2" w:rsidRPr="00067989">
              <w:rPr>
                <w:rFonts w:ascii="Times New Roman" w:hAnsi="Times New Roman" w:cs="Times New Roman"/>
                <w:iCs/>
                <w:color w:val="000000" w:themeColor="text1"/>
              </w:rPr>
              <w:t xml:space="preserve">rozporządzeniem </w:t>
            </w:r>
            <w:r w:rsidR="00D533FB" w:rsidRPr="00067989">
              <w:rPr>
                <w:rFonts w:ascii="Times New Roman" w:hAnsi="Times New Roman" w:cs="Times New Roman"/>
                <w:iCs/>
                <w:color w:val="000000" w:themeColor="text1"/>
              </w:rPr>
              <w:t>eIDAS dowodów nadania i</w:t>
            </w:r>
            <w:r w:rsidR="008742F0">
              <w:rPr>
                <w:rFonts w:ascii="Times New Roman" w:hAnsi="Times New Roman" w:cs="Times New Roman"/>
                <w:iCs/>
                <w:color w:val="000000" w:themeColor="text1"/>
              </w:rPr>
              <w:t> </w:t>
            </w:r>
            <w:r w:rsidR="00D533FB" w:rsidRPr="00067989">
              <w:rPr>
                <w:rFonts w:ascii="Times New Roman" w:hAnsi="Times New Roman" w:cs="Times New Roman"/>
                <w:iCs/>
                <w:color w:val="000000" w:themeColor="text1"/>
              </w:rPr>
              <w:t xml:space="preserve">odebrania) </w:t>
            </w:r>
            <w:r w:rsidRPr="00067989">
              <w:rPr>
                <w:rFonts w:ascii="Times New Roman" w:hAnsi="Times New Roman" w:cs="Times New Roman"/>
                <w:iCs/>
                <w:color w:val="000000" w:themeColor="text1"/>
              </w:rPr>
              <w:t>odpowiedzialn</w:t>
            </w:r>
            <w:r w:rsidR="007C2CE4" w:rsidRPr="00067989">
              <w:rPr>
                <w:rFonts w:ascii="Times New Roman" w:hAnsi="Times New Roman" w:cs="Times New Roman"/>
                <w:iCs/>
                <w:color w:val="000000" w:themeColor="text1"/>
              </w:rPr>
              <w:t>i</w:t>
            </w:r>
            <w:r w:rsidRPr="00067989">
              <w:rPr>
                <w:rFonts w:ascii="Times New Roman" w:hAnsi="Times New Roman" w:cs="Times New Roman"/>
                <w:iCs/>
                <w:color w:val="000000" w:themeColor="text1"/>
              </w:rPr>
              <w:t xml:space="preserve"> będ</w:t>
            </w:r>
            <w:r w:rsidR="007C2CE4" w:rsidRPr="00067989">
              <w:rPr>
                <w:rFonts w:ascii="Times New Roman" w:hAnsi="Times New Roman" w:cs="Times New Roman"/>
                <w:iCs/>
                <w:color w:val="000000" w:themeColor="text1"/>
              </w:rPr>
              <w:t>ą</w:t>
            </w:r>
            <w:r w:rsidRPr="00067989">
              <w:rPr>
                <w:rFonts w:ascii="Times New Roman" w:hAnsi="Times New Roman" w:cs="Times New Roman"/>
                <w:iCs/>
                <w:color w:val="000000" w:themeColor="text1"/>
              </w:rPr>
              <w:t xml:space="preserve"> dostawcy usługi doręczenia elektronicznego (operator wyznaczony </w:t>
            </w:r>
            <w:r w:rsidR="00EA1F98" w:rsidRPr="00067989">
              <w:rPr>
                <w:rFonts w:ascii="Times New Roman" w:hAnsi="Times New Roman" w:cs="Times New Roman"/>
                <w:iCs/>
                <w:color w:val="000000" w:themeColor="text1"/>
              </w:rPr>
              <w:t>oraz</w:t>
            </w:r>
            <w:r w:rsidRPr="00067989">
              <w:rPr>
                <w:rFonts w:ascii="Times New Roman" w:hAnsi="Times New Roman" w:cs="Times New Roman"/>
                <w:iCs/>
                <w:color w:val="000000" w:themeColor="text1"/>
              </w:rPr>
              <w:t xml:space="preserve"> kwalifikowani dostawcy usług),</w:t>
            </w:r>
          </w:p>
          <w:p w14:paraId="2A2594E5" w14:textId="6946B0E1" w:rsidR="00446C23" w:rsidRPr="00067989" w:rsidRDefault="00D533FB" w:rsidP="008A3FA9">
            <w:pPr>
              <w:pStyle w:val="Akapitzlist"/>
              <w:numPr>
                <w:ilvl w:val="0"/>
                <w:numId w:val="9"/>
              </w:numPr>
              <w:spacing w:before="60" w:after="60"/>
              <w:jc w:val="both"/>
              <w:rPr>
                <w:rFonts w:ascii="Times New Roman" w:hAnsi="Times New Roman" w:cs="Times New Roman"/>
                <w:iCs/>
                <w:color w:val="000000" w:themeColor="text1"/>
              </w:rPr>
            </w:pPr>
            <w:r w:rsidRPr="00067989">
              <w:rPr>
                <w:rFonts w:ascii="Times New Roman" w:hAnsi="Times New Roman" w:cs="Times New Roman"/>
                <w:iCs/>
                <w:color w:val="000000" w:themeColor="text1"/>
              </w:rPr>
              <w:t>osoby fizyczne (nieprowadzące działalności</w:t>
            </w:r>
            <w:r w:rsidR="00092005" w:rsidRPr="00067989">
              <w:rPr>
                <w:rFonts w:ascii="Times New Roman" w:hAnsi="Times New Roman" w:cs="Times New Roman"/>
                <w:iCs/>
                <w:color w:val="000000" w:themeColor="text1"/>
              </w:rPr>
              <w:t xml:space="preserve"> gospodarczej)</w:t>
            </w:r>
            <w:r w:rsidRPr="00067989">
              <w:rPr>
                <w:rFonts w:ascii="Times New Roman" w:hAnsi="Times New Roman" w:cs="Times New Roman"/>
                <w:iCs/>
                <w:color w:val="000000" w:themeColor="text1"/>
              </w:rPr>
              <w:t xml:space="preserve"> będą mogły</w:t>
            </w:r>
            <w:r w:rsidR="00092005" w:rsidRPr="00067989">
              <w:rPr>
                <w:rFonts w:ascii="Times New Roman" w:hAnsi="Times New Roman" w:cs="Times New Roman"/>
                <w:iCs/>
                <w:color w:val="000000" w:themeColor="text1"/>
              </w:rPr>
              <w:t xml:space="preserve"> w dowolnym momencie</w:t>
            </w:r>
            <w:r w:rsidRPr="00067989">
              <w:rPr>
                <w:rFonts w:ascii="Times New Roman" w:hAnsi="Times New Roman" w:cs="Times New Roman"/>
                <w:iCs/>
                <w:color w:val="000000" w:themeColor="text1"/>
              </w:rPr>
              <w:t xml:space="preserve"> uzyskać adres do doręczeń </w:t>
            </w:r>
            <w:r w:rsidR="00092005" w:rsidRPr="00067989">
              <w:rPr>
                <w:rFonts w:ascii="Times New Roman" w:hAnsi="Times New Roman" w:cs="Times New Roman"/>
                <w:iCs/>
                <w:color w:val="000000" w:themeColor="text1"/>
              </w:rPr>
              <w:t xml:space="preserve">elektronicznych, </w:t>
            </w:r>
            <w:r w:rsidRPr="00067989">
              <w:rPr>
                <w:rFonts w:ascii="Times New Roman" w:hAnsi="Times New Roman" w:cs="Times New Roman"/>
                <w:iCs/>
                <w:color w:val="000000" w:themeColor="text1"/>
              </w:rPr>
              <w:t>wskazując</w:t>
            </w:r>
            <w:r w:rsidR="00092005" w:rsidRPr="00067989">
              <w:rPr>
                <w:rFonts w:ascii="Times New Roman" w:hAnsi="Times New Roman" w:cs="Times New Roman"/>
                <w:iCs/>
                <w:color w:val="000000" w:themeColor="text1"/>
              </w:rPr>
              <w:t xml:space="preserve"> dowolnego dostawcę</w:t>
            </w:r>
            <w:r w:rsidRPr="00067989">
              <w:rPr>
                <w:rFonts w:ascii="Times New Roman" w:hAnsi="Times New Roman" w:cs="Times New Roman"/>
                <w:iCs/>
                <w:color w:val="000000" w:themeColor="text1"/>
              </w:rPr>
              <w:t xml:space="preserve"> usług </w:t>
            </w:r>
            <w:r w:rsidR="00092005" w:rsidRPr="00067989">
              <w:rPr>
                <w:rFonts w:ascii="Times New Roman" w:hAnsi="Times New Roman" w:cs="Times New Roman"/>
                <w:iCs/>
                <w:color w:val="000000" w:themeColor="text1"/>
              </w:rPr>
              <w:t xml:space="preserve">rejestrowanego </w:t>
            </w:r>
            <w:r w:rsidRPr="00067989">
              <w:rPr>
                <w:rFonts w:ascii="Times New Roman" w:hAnsi="Times New Roman" w:cs="Times New Roman"/>
                <w:iCs/>
                <w:color w:val="000000" w:themeColor="text1"/>
              </w:rPr>
              <w:t>doręczenia elektronicznego</w:t>
            </w:r>
            <w:r w:rsidR="00092005" w:rsidRPr="00067989">
              <w:rPr>
                <w:rFonts w:ascii="Times New Roman" w:hAnsi="Times New Roman" w:cs="Times New Roman"/>
                <w:iCs/>
                <w:color w:val="000000" w:themeColor="text1"/>
              </w:rPr>
              <w:t>,</w:t>
            </w:r>
            <w:r w:rsidRPr="00067989">
              <w:rPr>
                <w:rFonts w:ascii="Times New Roman" w:hAnsi="Times New Roman" w:cs="Times New Roman"/>
                <w:iCs/>
                <w:color w:val="000000" w:themeColor="text1"/>
              </w:rPr>
              <w:t xml:space="preserve"> przy czym w przypadku wyboru operatora wyznaczonego będą zobligowani do ujawnienia adresu do doręczeń w BAE</w:t>
            </w:r>
            <w:r w:rsidR="00C237E2" w:rsidRPr="00067989">
              <w:rPr>
                <w:rFonts w:ascii="Times New Roman" w:hAnsi="Times New Roman" w:cs="Times New Roman"/>
                <w:iCs/>
                <w:color w:val="000000" w:themeColor="text1"/>
              </w:rPr>
              <w:t>,</w:t>
            </w:r>
            <w:r w:rsidR="00092005" w:rsidRPr="00067989">
              <w:rPr>
                <w:rFonts w:ascii="Times New Roman" w:hAnsi="Times New Roman" w:cs="Times New Roman"/>
                <w:iCs/>
                <w:color w:val="000000" w:themeColor="text1"/>
              </w:rPr>
              <w:t xml:space="preserve"> a w przypadku wyboru kwalifikowanego dostawcy usług będą mogli zdecydować, czy chcą ujawnić swój adres do doręczeń elektroniczn</w:t>
            </w:r>
            <w:r w:rsidR="00AD151A" w:rsidRPr="00067989">
              <w:rPr>
                <w:rFonts w:ascii="Times New Roman" w:hAnsi="Times New Roman" w:cs="Times New Roman"/>
                <w:iCs/>
                <w:color w:val="000000" w:themeColor="text1"/>
              </w:rPr>
              <w:t>ych przez wpis do</w:t>
            </w:r>
            <w:r w:rsidR="005F2BFB" w:rsidRPr="00067989">
              <w:rPr>
                <w:rFonts w:ascii="Times New Roman" w:hAnsi="Times New Roman" w:cs="Times New Roman"/>
                <w:iCs/>
                <w:color w:val="000000" w:themeColor="text1"/>
              </w:rPr>
              <w:t xml:space="preserve"> BAE czy też pozostać w BAE nie</w:t>
            </w:r>
            <w:r w:rsidR="00AD151A" w:rsidRPr="00067989">
              <w:rPr>
                <w:rFonts w:ascii="Times New Roman" w:hAnsi="Times New Roman" w:cs="Times New Roman"/>
                <w:iCs/>
                <w:color w:val="000000" w:themeColor="text1"/>
              </w:rPr>
              <w:t>widoczni,</w:t>
            </w:r>
          </w:p>
          <w:p w14:paraId="7ECDD181" w14:textId="06288DAB" w:rsidR="00C05C2E" w:rsidRPr="00067989" w:rsidRDefault="00F76A4C" w:rsidP="008A3FA9">
            <w:pPr>
              <w:pStyle w:val="Akapitzlist"/>
              <w:numPr>
                <w:ilvl w:val="0"/>
                <w:numId w:val="9"/>
              </w:numPr>
              <w:spacing w:before="60" w:after="60"/>
              <w:jc w:val="both"/>
              <w:rPr>
                <w:rFonts w:ascii="Times New Roman" w:hAnsi="Times New Roman" w:cs="Times New Roman"/>
                <w:iCs/>
                <w:color w:val="000000" w:themeColor="text1"/>
              </w:rPr>
            </w:pPr>
            <w:r w:rsidRPr="00067989">
              <w:rPr>
                <w:rFonts w:ascii="Times New Roman" w:hAnsi="Times New Roman" w:cs="Times New Roman"/>
                <w:iCs/>
                <w:color w:val="000000" w:themeColor="text1"/>
              </w:rPr>
              <w:t xml:space="preserve">korespondencja </w:t>
            </w:r>
            <w:r w:rsidR="00092005" w:rsidRPr="00067989">
              <w:rPr>
                <w:rFonts w:ascii="Times New Roman" w:hAnsi="Times New Roman" w:cs="Times New Roman"/>
                <w:iCs/>
                <w:color w:val="000000" w:themeColor="text1"/>
              </w:rPr>
              <w:t>adresowana</w:t>
            </w:r>
            <w:r w:rsidRPr="00067989">
              <w:rPr>
                <w:rFonts w:ascii="Times New Roman" w:hAnsi="Times New Roman" w:cs="Times New Roman"/>
                <w:iCs/>
                <w:color w:val="000000" w:themeColor="text1"/>
              </w:rPr>
              <w:t xml:space="preserve"> przez podmiot publiczny do podmiotu niepublicznego </w:t>
            </w:r>
            <w:r w:rsidR="00375E40" w:rsidRPr="00067989">
              <w:rPr>
                <w:rFonts w:ascii="Times New Roman" w:hAnsi="Times New Roman" w:cs="Times New Roman"/>
                <w:iCs/>
                <w:color w:val="000000" w:themeColor="text1"/>
              </w:rPr>
              <w:t>(</w:t>
            </w:r>
            <w:r w:rsidR="007C2CE4" w:rsidRPr="00067989">
              <w:rPr>
                <w:rFonts w:ascii="Times New Roman" w:hAnsi="Times New Roman" w:cs="Times New Roman"/>
                <w:iCs/>
                <w:color w:val="000000" w:themeColor="text1"/>
              </w:rPr>
              <w:t>w rozumieniu osób fizycznych nieprowadzących działalności gospodarczej</w:t>
            </w:r>
            <w:r w:rsidR="00375E40" w:rsidRPr="00067989">
              <w:rPr>
                <w:rFonts w:ascii="Times New Roman" w:hAnsi="Times New Roman" w:cs="Times New Roman"/>
                <w:iCs/>
                <w:color w:val="000000" w:themeColor="text1"/>
              </w:rPr>
              <w:t>)</w:t>
            </w:r>
            <w:r w:rsidR="007C2CE4" w:rsidRPr="00067989">
              <w:rPr>
                <w:rFonts w:ascii="Times New Roman" w:hAnsi="Times New Roman" w:cs="Times New Roman"/>
                <w:iCs/>
                <w:color w:val="000000" w:themeColor="text1"/>
              </w:rPr>
              <w:t xml:space="preserve"> </w:t>
            </w:r>
            <w:r w:rsidRPr="00067989">
              <w:rPr>
                <w:rFonts w:ascii="Times New Roman" w:hAnsi="Times New Roman" w:cs="Times New Roman"/>
                <w:iCs/>
                <w:color w:val="000000" w:themeColor="text1"/>
              </w:rPr>
              <w:t xml:space="preserve">będzie doręczana w postaci elektronicznej </w:t>
            </w:r>
            <w:r w:rsidR="00C05C2E" w:rsidRPr="00067989">
              <w:rPr>
                <w:rFonts w:ascii="Times New Roman" w:hAnsi="Times New Roman" w:cs="Times New Roman"/>
                <w:iCs/>
                <w:color w:val="000000" w:themeColor="text1"/>
              </w:rPr>
              <w:t xml:space="preserve">wyłącznie do </w:t>
            </w:r>
            <w:r w:rsidR="007C2CE4" w:rsidRPr="00067989">
              <w:rPr>
                <w:rFonts w:ascii="Times New Roman" w:hAnsi="Times New Roman" w:cs="Times New Roman"/>
                <w:iCs/>
                <w:color w:val="000000" w:themeColor="text1"/>
              </w:rPr>
              <w:t>adresatów</w:t>
            </w:r>
            <w:r w:rsidR="00C05C2E" w:rsidRPr="00067989">
              <w:rPr>
                <w:rFonts w:ascii="Times New Roman" w:hAnsi="Times New Roman" w:cs="Times New Roman"/>
                <w:iCs/>
                <w:color w:val="000000" w:themeColor="text1"/>
              </w:rPr>
              <w:t>,</w:t>
            </w:r>
            <w:r w:rsidR="007C2CE4" w:rsidRPr="00067989">
              <w:rPr>
                <w:rFonts w:ascii="Times New Roman" w:hAnsi="Times New Roman" w:cs="Times New Roman"/>
                <w:iCs/>
                <w:color w:val="000000" w:themeColor="text1"/>
              </w:rPr>
              <w:t xml:space="preserve"> którzy posiadają adres</w:t>
            </w:r>
            <w:r w:rsidR="00C05C2E" w:rsidRPr="00067989">
              <w:rPr>
                <w:rFonts w:ascii="Times New Roman" w:hAnsi="Times New Roman" w:cs="Times New Roman"/>
                <w:iCs/>
                <w:color w:val="000000" w:themeColor="text1"/>
              </w:rPr>
              <w:t xml:space="preserve"> do doręczeń elektronicznych</w:t>
            </w:r>
            <w:r w:rsidR="007C2CE4" w:rsidRPr="00067989">
              <w:rPr>
                <w:rFonts w:ascii="Times New Roman" w:hAnsi="Times New Roman" w:cs="Times New Roman"/>
                <w:iCs/>
                <w:color w:val="000000" w:themeColor="text1"/>
              </w:rPr>
              <w:t xml:space="preserve"> </w:t>
            </w:r>
            <w:r w:rsidR="00842608" w:rsidRPr="00067989">
              <w:rPr>
                <w:rFonts w:ascii="Times New Roman" w:hAnsi="Times New Roman" w:cs="Times New Roman"/>
                <w:iCs/>
                <w:color w:val="000000" w:themeColor="text1"/>
              </w:rPr>
              <w:t>ujawniony w</w:t>
            </w:r>
            <w:r w:rsidR="007C2CE4" w:rsidRPr="00067989">
              <w:rPr>
                <w:rFonts w:ascii="Times New Roman" w:hAnsi="Times New Roman" w:cs="Times New Roman"/>
                <w:iCs/>
                <w:color w:val="000000" w:themeColor="text1"/>
              </w:rPr>
              <w:t xml:space="preserve"> </w:t>
            </w:r>
            <w:r w:rsidR="002A5B1E" w:rsidRPr="00067989">
              <w:rPr>
                <w:rFonts w:ascii="Times New Roman" w:hAnsi="Times New Roman" w:cs="Times New Roman"/>
                <w:iCs/>
                <w:color w:val="000000" w:themeColor="text1"/>
              </w:rPr>
              <w:t>BAE</w:t>
            </w:r>
            <w:r w:rsidR="005F2BFB" w:rsidRPr="00067989">
              <w:rPr>
                <w:rFonts w:ascii="Times New Roman" w:hAnsi="Times New Roman" w:cs="Times New Roman"/>
                <w:iCs/>
                <w:color w:val="000000" w:themeColor="text1"/>
              </w:rPr>
              <w:t>. Wyjątek od tej reguły stanowić będą sytuacje w których podmiot publiczny odpowiada na korespondencję otrzymaną uprzednio z</w:t>
            </w:r>
            <w:r w:rsidR="008742F0">
              <w:rPr>
                <w:rFonts w:ascii="Times New Roman" w:hAnsi="Times New Roman" w:cs="Times New Roman"/>
                <w:iCs/>
                <w:color w:val="000000" w:themeColor="text1"/>
              </w:rPr>
              <w:t> </w:t>
            </w:r>
            <w:r w:rsidR="005F2BFB" w:rsidRPr="00067989">
              <w:rPr>
                <w:rFonts w:ascii="Times New Roman" w:hAnsi="Times New Roman" w:cs="Times New Roman"/>
                <w:iCs/>
                <w:color w:val="000000" w:themeColor="text1"/>
              </w:rPr>
              <w:t>adresu do doręczeń który utrzymuje kwalifikowany dostawca usług</w:t>
            </w:r>
            <w:r w:rsidR="002A5B1E" w:rsidRPr="00067989">
              <w:rPr>
                <w:rFonts w:ascii="Times New Roman" w:hAnsi="Times New Roman" w:cs="Times New Roman"/>
                <w:iCs/>
                <w:color w:val="000000" w:themeColor="text1"/>
              </w:rPr>
              <w:t>,</w:t>
            </w:r>
          </w:p>
          <w:p w14:paraId="38EB4A89" w14:textId="1AB7BDB4" w:rsidR="0099762D" w:rsidRPr="00067989" w:rsidRDefault="00C05C2E" w:rsidP="008A3FA9">
            <w:pPr>
              <w:pStyle w:val="Akapitzlist"/>
              <w:numPr>
                <w:ilvl w:val="0"/>
                <w:numId w:val="9"/>
              </w:numPr>
              <w:spacing w:before="60" w:after="60"/>
              <w:jc w:val="both"/>
              <w:rPr>
                <w:rFonts w:ascii="Times New Roman" w:hAnsi="Times New Roman" w:cs="Times New Roman"/>
                <w:iCs/>
                <w:color w:val="000000" w:themeColor="text1"/>
              </w:rPr>
            </w:pPr>
            <w:r w:rsidRPr="00067989">
              <w:rPr>
                <w:rFonts w:ascii="Times New Roman" w:hAnsi="Times New Roman" w:cs="Times New Roman"/>
                <w:iCs/>
                <w:color w:val="000000" w:themeColor="text1"/>
              </w:rPr>
              <w:t xml:space="preserve">korespondencja </w:t>
            </w:r>
            <w:r w:rsidR="00407CE1" w:rsidRPr="00067989">
              <w:rPr>
                <w:rFonts w:ascii="Times New Roman" w:hAnsi="Times New Roman" w:cs="Times New Roman"/>
                <w:iCs/>
                <w:color w:val="000000" w:themeColor="text1"/>
              </w:rPr>
              <w:t>adresowana</w:t>
            </w:r>
            <w:r w:rsidRPr="00067989">
              <w:rPr>
                <w:rFonts w:ascii="Times New Roman" w:hAnsi="Times New Roman" w:cs="Times New Roman"/>
                <w:iCs/>
                <w:color w:val="000000" w:themeColor="text1"/>
              </w:rPr>
              <w:t xml:space="preserve"> przez podmiot publiczny do podmiotu niepublicznego </w:t>
            </w:r>
            <w:r w:rsidR="00375E40" w:rsidRPr="00067989">
              <w:rPr>
                <w:rFonts w:ascii="Times New Roman" w:hAnsi="Times New Roman" w:cs="Times New Roman"/>
                <w:iCs/>
                <w:color w:val="000000" w:themeColor="text1"/>
              </w:rPr>
              <w:t>(</w:t>
            </w:r>
            <w:r w:rsidRPr="00067989">
              <w:rPr>
                <w:rFonts w:ascii="Times New Roman" w:hAnsi="Times New Roman" w:cs="Times New Roman"/>
                <w:iCs/>
                <w:color w:val="000000" w:themeColor="text1"/>
              </w:rPr>
              <w:t>w rozumieniu osób fizycznych nieprowadzących działalności gospodarczej</w:t>
            </w:r>
            <w:r w:rsidR="00375E40" w:rsidRPr="00067989">
              <w:rPr>
                <w:rFonts w:ascii="Times New Roman" w:hAnsi="Times New Roman" w:cs="Times New Roman"/>
                <w:iCs/>
                <w:color w:val="000000" w:themeColor="text1"/>
              </w:rPr>
              <w:t>)</w:t>
            </w:r>
            <w:r w:rsidRPr="00067989">
              <w:rPr>
                <w:rFonts w:ascii="Times New Roman" w:hAnsi="Times New Roman" w:cs="Times New Roman"/>
                <w:iCs/>
                <w:color w:val="000000" w:themeColor="text1"/>
              </w:rPr>
              <w:t xml:space="preserve">, który nie </w:t>
            </w:r>
            <w:r w:rsidR="00661E0A" w:rsidRPr="00067989">
              <w:rPr>
                <w:rFonts w:ascii="Times New Roman" w:hAnsi="Times New Roman" w:cs="Times New Roman"/>
                <w:iCs/>
                <w:color w:val="000000" w:themeColor="text1"/>
              </w:rPr>
              <w:t>zdecydowa</w:t>
            </w:r>
            <w:r w:rsidR="00661E0A">
              <w:rPr>
                <w:rFonts w:ascii="Times New Roman" w:hAnsi="Times New Roman" w:cs="Times New Roman"/>
                <w:iCs/>
                <w:color w:val="000000" w:themeColor="text1"/>
              </w:rPr>
              <w:t>ł</w:t>
            </w:r>
            <w:r w:rsidR="00661E0A" w:rsidRPr="00067989">
              <w:rPr>
                <w:rFonts w:ascii="Times New Roman" w:hAnsi="Times New Roman" w:cs="Times New Roman"/>
                <w:iCs/>
                <w:color w:val="000000" w:themeColor="text1"/>
              </w:rPr>
              <w:t xml:space="preserve"> </w:t>
            </w:r>
            <w:r w:rsidRPr="00067989">
              <w:rPr>
                <w:rFonts w:ascii="Times New Roman" w:hAnsi="Times New Roman" w:cs="Times New Roman"/>
                <w:iCs/>
                <w:color w:val="000000" w:themeColor="text1"/>
              </w:rPr>
              <w:t xml:space="preserve">się na ujawnienie adresu do doręczeń elektronicznych poprzez wpis do </w:t>
            </w:r>
            <w:r w:rsidR="002A5B1E" w:rsidRPr="00067989">
              <w:rPr>
                <w:rFonts w:ascii="Times New Roman" w:hAnsi="Times New Roman" w:cs="Times New Roman"/>
                <w:iCs/>
                <w:color w:val="000000" w:themeColor="text1"/>
              </w:rPr>
              <w:t>BAE</w:t>
            </w:r>
            <w:r w:rsidR="00CB2AF9" w:rsidRPr="00067989">
              <w:rPr>
                <w:rFonts w:ascii="Times New Roman" w:hAnsi="Times New Roman" w:cs="Times New Roman"/>
                <w:iCs/>
                <w:color w:val="000000" w:themeColor="text1"/>
              </w:rPr>
              <w:t xml:space="preserve"> lub nie posiada takiego adresu (nie można ich odnaleźć w</w:t>
            </w:r>
            <w:r w:rsidR="008742F0">
              <w:rPr>
                <w:rFonts w:ascii="Times New Roman" w:hAnsi="Times New Roman" w:cs="Times New Roman"/>
                <w:iCs/>
                <w:color w:val="000000" w:themeColor="text1"/>
              </w:rPr>
              <w:t> </w:t>
            </w:r>
            <w:r w:rsidR="00CB2AF9" w:rsidRPr="00067989">
              <w:rPr>
                <w:rFonts w:ascii="Times New Roman" w:hAnsi="Times New Roman" w:cs="Times New Roman"/>
                <w:iCs/>
                <w:color w:val="000000" w:themeColor="text1"/>
              </w:rPr>
              <w:t>BAE)</w:t>
            </w:r>
            <w:r w:rsidR="00375E40" w:rsidRPr="00067989">
              <w:rPr>
                <w:rFonts w:ascii="Times New Roman" w:hAnsi="Times New Roman" w:cs="Times New Roman"/>
                <w:iCs/>
                <w:color w:val="000000" w:themeColor="text1"/>
              </w:rPr>
              <w:t>,</w:t>
            </w:r>
            <w:r w:rsidR="00092005" w:rsidRPr="00067989">
              <w:rPr>
                <w:rFonts w:ascii="Times New Roman" w:hAnsi="Times New Roman" w:cs="Times New Roman"/>
                <w:iCs/>
                <w:color w:val="000000" w:themeColor="text1"/>
              </w:rPr>
              <w:t xml:space="preserve"> nadawana</w:t>
            </w:r>
            <w:r w:rsidR="00407CE1" w:rsidRPr="00067989">
              <w:rPr>
                <w:rFonts w:ascii="Times New Roman" w:hAnsi="Times New Roman" w:cs="Times New Roman"/>
                <w:iCs/>
                <w:color w:val="000000" w:themeColor="text1"/>
              </w:rPr>
              <w:t xml:space="preserve"> będzie co do zasady w formie elektronicznej</w:t>
            </w:r>
            <w:r w:rsidR="002A5B1E" w:rsidRPr="00067989">
              <w:rPr>
                <w:rFonts w:ascii="Times New Roman" w:hAnsi="Times New Roman" w:cs="Times New Roman"/>
                <w:iCs/>
                <w:color w:val="000000" w:themeColor="text1"/>
              </w:rPr>
              <w:t>,</w:t>
            </w:r>
            <w:r w:rsidR="00407CE1" w:rsidRPr="00067989">
              <w:rPr>
                <w:rFonts w:ascii="Times New Roman" w:hAnsi="Times New Roman" w:cs="Times New Roman"/>
                <w:iCs/>
                <w:color w:val="000000" w:themeColor="text1"/>
              </w:rPr>
              <w:t xml:space="preserve"> a</w:t>
            </w:r>
            <w:r w:rsidR="00375E40" w:rsidRPr="00067989">
              <w:rPr>
                <w:rFonts w:ascii="Times New Roman" w:hAnsi="Times New Roman" w:cs="Times New Roman"/>
                <w:iCs/>
                <w:color w:val="000000" w:themeColor="text1"/>
              </w:rPr>
              <w:t xml:space="preserve"> </w:t>
            </w:r>
            <w:r w:rsidR="00407CE1" w:rsidRPr="00067989">
              <w:rPr>
                <w:rFonts w:ascii="Times New Roman" w:hAnsi="Times New Roman" w:cs="Times New Roman"/>
                <w:iCs/>
                <w:color w:val="000000" w:themeColor="text1"/>
              </w:rPr>
              <w:t>następnie</w:t>
            </w:r>
            <w:r w:rsidR="00092005" w:rsidRPr="00067989">
              <w:rPr>
                <w:rFonts w:ascii="Times New Roman" w:hAnsi="Times New Roman" w:cs="Times New Roman"/>
                <w:iCs/>
                <w:color w:val="000000" w:themeColor="text1"/>
              </w:rPr>
              <w:t xml:space="preserve"> przekształcana na formę papierową (wydruk) za pomocą zautomatyzowanej linii wydruków, pakowania i kopertowania </w:t>
            </w:r>
            <w:r w:rsidR="00375E40" w:rsidRPr="00067989">
              <w:rPr>
                <w:rFonts w:ascii="Times New Roman" w:hAnsi="Times New Roman" w:cs="Times New Roman"/>
                <w:iCs/>
                <w:color w:val="000000" w:themeColor="text1"/>
              </w:rPr>
              <w:t>w</w:t>
            </w:r>
            <w:r w:rsidR="00AB04E9">
              <w:rPr>
                <w:rFonts w:ascii="Times New Roman" w:hAnsi="Times New Roman" w:cs="Times New Roman"/>
                <w:iCs/>
                <w:color w:val="000000" w:themeColor="text1"/>
              </w:rPr>
              <w:t xml:space="preserve"> </w:t>
            </w:r>
            <w:r w:rsidR="00375E40" w:rsidRPr="00067989">
              <w:rPr>
                <w:rFonts w:ascii="Times New Roman" w:hAnsi="Times New Roman" w:cs="Times New Roman"/>
                <w:iCs/>
                <w:color w:val="000000" w:themeColor="text1"/>
              </w:rPr>
              <w:t xml:space="preserve">ramach </w:t>
            </w:r>
            <w:r w:rsidR="00092005" w:rsidRPr="00067989">
              <w:rPr>
                <w:rFonts w:ascii="Times New Roman" w:hAnsi="Times New Roman" w:cs="Times New Roman"/>
                <w:iCs/>
                <w:color w:val="000000" w:themeColor="text1"/>
              </w:rPr>
              <w:t>publiczn</w:t>
            </w:r>
            <w:r w:rsidR="00375E40" w:rsidRPr="00067989">
              <w:rPr>
                <w:rFonts w:ascii="Times New Roman" w:hAnsi="Times New Roman" w:cs="Times New Roman"/>
                <w:iCs/>
                <w:color w:val="000000" w:themeColor="text1"/>
              </w:rPr>
              <w:t>ej</w:t>
            </w:r>
            <w:r w:rsidR="00092005" w:rsidRPr="00067989">
              <w:rPr>
                <w:rFonts w:ascii="Times New Roman" w:hAnsi="Times New Roman" w:cs="Times New Roman"/>
                <w:iCs/>
                <w:color w:val="000000" w:themeColor="text1"/>
              </w:rPr>
              <w:t xml:space="preserve"> usług</w:t>
            </w:r>
            <w:r w:rsidR="00375E40" w:rsidRPr="00067989">
              <w:rPr>
                <w:rFonts w:ascii="Times New Roman" w:hAnsi="Times New Roman" w:cs="Times New Roman"/>
                <w:iCs/>
                <w:color w:val="000000" w:themeColor="text1"/>
              </w:rPr>
              <w:t>i</w:t>
            </w:r>
            <w:r w:rsidR="00092005" w:rsidRPr="00067989">
              <w:rPr>
                <w:rFonts w:ascii="Times New Roman" w:hAnsi="Times New Roman" w:cs="Times New Roman"/>
                <w:iCs/>
                <w:color w:val="000000" w:themeColor="text1"/>
              </w:rPr>
              <w:t xml:space="preserve"> hybrydow</w:t>
            </w:r>
            <w:r w:rsidR="00375E40" w:rsidRPr="00067989">
              <w:rPr>
                <w:rFonts w:ascii="Times New Roman" w:hAnsi="Times New Roman" w:cs="Times New Roman"/>
                <w:iCs/>
                <w:color w:val="000000" w:themeColor="text1"/>
              </w:rPr>
              <w:t>ej – usługa ta będzie świadczonej przez operatora wyznaczonego i regulowana w przepisach jako usługa pocztowa</w:t>
            </w:r>
            <w:r w:rsidR="00801A1D" w:rsidRPr="00067989">
              <w:rPr>
                <w:rFonts w:ascii="Times New Roman" w:hAnsi="Times New Roman" w:cs="Times New Roman"/>
                <w:iCs/>
                <w:color w:val="000000" w:themeColor="text1"/>
              </w:rPr>
              <w:t xml:space="preserve"> z zachowaniem odpowiedniego poziomu bezpieczeństwa, tajemnicy korespondencji oraz zasad ochrony danych</w:t>
            </w:r>
            <w:r w:rsidR="00375E40" w:rsidRPr="00067989">
              <w:rPr>
                <w:rFonts w:ascii="Times New Roman" w:hAnsi="Times New Roman" w:cs="Times New Roman"/>
                <w:iCs/>
                <w:color w:val="000000" w:themeColor="text1"/>
              </w:rPr>
              <w:t>,</w:t>
            </w:r>
          </w:p>
          <w:p w14:paraId="3597293C" w14:textId="4E92CD30" w:rsidR="00945B0C" w:rsidRPr="00067989" w:rsidRDefault="00CF5A5F" w:rsidP="008A3FA9">
            <w:pPr>
              <w:pStyle w:val="Akapitzlist"/>
              <w:numPr>
                <w:ilvl w:val="0"/>
                <w:numId w:val="9"/>
              </w:numPr>
              <w:spacing w:before="60" w:after="60"/>
              <w:jc w:val="both"/>
              <w:rPr>
                <w:rFonts w:ascii="Times New Roman" w:hAnsi="Times New Roman" w:cs="Times New Roman"/>
                <w:iCs/>
                <w:color w:val="000000" w:themeColor="text1"/>
              </w:rPr>
            </w:pPr>
            <w:r w:rsidRPr="00067989">
              <w:rPr>
                <w:rFonts w:ascii="Times New Roman" w:hAnsi="Times New Roman" w:cs="Times New Roman"/>
                <w:iCs/>
                <w:color w:val="000000" w:themeColor="text1"/>
              </w:rPr>
              <w:t xml:space="preserve">bez względu na </w:t>
            </w:r>
            <w:r w:rsidR="00F76A4C" w:rsidRPr="00067989">
              <w:rPr>
                <w:rFonts w:ascii="Times New Roman" w:hAnsi="Times New Roman" w:cs="Times New Roman"/>
                <w:iCs/>
                <w:color w:val="000000" w:themeColor="text1"/>
              </w:rPr>
              <w:t xml:space="preserve">wybór sposobu nadania/doręczenia </w:t>
            </w:r>
            <w:r w:rsidR="00351398" w:rsidRPr="00067989">
              <w:rPr>
                <w:rFonts w:ascii="Times New Roman" w:hAnsi="Times New Roman" w:cs="Times New Roman"/>
                <w:iCs/>
                <w:color w:val="000000" w:themeColor="text1"/>
              </w:rPr>
              <w:t>zostanie zachowana tajemnica korespondencji, integralność i</w:t>
            </w:r>
            <w:r w:rsidR="008742F0">
              <w:rPr>
                <w:rFonts w:ascii="Times New Roman" w:hAnsi="Times New Roman" w:cs="Times New Roman"/>
                <w:iCs/>
                <w:color w:val="000000" w:themeColor="text1"/>
              </w:rPr>
              <w:t> </w:t>
            </w:r>
            <w:r w:rsidR="00F76A4C" w:rsidRPr="00067989">
              <w:rPr>
                <w:rFonts w:ascii="Times New Roman" w:hAnsi="Times New Roman" w:cs="Times New Roman"/>
                <w:iCs/>
                <w:color w:val="000000" w:themeColor="text1"/>
              </w:rPr>
              <w:t>pewność doręcz</w:t>
            </w:r>
            <w:r w:rsidR="00351398" w:rsidRPr="00067989">
              <w:rPr>
                <w:rFonts w:ascii="Times New Roman" w:hAnsi="Times New Roman" w:cs="Times New Roman"/>
                <w:iCs/>
                <w:color w:val="000000" w:themeColor="text1"/>
              </w:rPr>
              <w:t>a</w:t>
            </w:r>
            <w:r w:rsidR="00F76A4C" w:rsidRPr="00067989">
              <w:rPr>
                <w:rFonts w:ascii="Times New Roman" w:hAnsi="Times New Roman" w:cs="Times New Roman"/>
                <w:iCs/>
                <w:color w:val="000000" w:themeColor="text1"/>
              </w:rPr>
              <w:t xml:space="preserve">nia </w:t>
            </w:r>
            <w:r w:rsidR="00351398" w:rsidRPr="00067989">
              <w:rPr>
                <w:rFonts w:ascii="Times New Roman" w:hAnsi="Times New Roman" w:cs="Times New Roman"/>
                <w:iCs/>
                <w:color w:val="000000" w:themeColor="text1"/>
              </w:rPr>
              <w:t xml:space="preserve">wysłanej treści </w:t>
            </w:r>
            <w:r w:rsidR="00F76A4C" w:rsidRPr="00067989">
              <w:rPr>
                <w:rFonts w:ascii="Times New Roman" w:hAnsi="Times New Roman" w:cs="Times New Roman"/>
                <w:iCs/>
                <w:color w:val="000000" w:themeColor="text1"/>
              </w:rPr>
              <w:t>oraz</w:t>
            </w:r>
            <w:r w:rsidR="00351398" w:rsidRPr="00067989">
              <w:rPr>
                <w:rFonts w:ascii="Times New Roman" w:hAnsi="Times New Roman" w:cs="Times New Roman"/>
                <w:iCs/>
                <w:color w:val="000000" w:themeColor="text1"/>
              </w:rPr>
              <w:t xml:space="preserve"> powstaną </w:t>
            </w:r>
            <w:r w:rsidR="00F76A4C" w:rsidRPr="00067989">
              <w:rPr>
                <w:rFonts w:ascii="Times New Roman" w:hAnsi="Times New Roman" w:cs="Times New Roman"/>
                <w:iCs/>
                <w:color w:val="000000" w:themeColor="text1"/>
              </w:rPr>
              <w:t>wiarygodn</w:t>
            </w:r>
            <w:r w:rsidR="00351398" w:rsidRPr="00067989">
              <w:rPr>
                <w:rFonts w:ascii="Times New Roman" w:hAnsi="Times New Roman" w:cs="Times New Roman"/>
                <w:iCs/>
                <w:color w:val="000000" w:themeColor="text1"/>
              </w:rPr>
              <w:t>e i akceptowalne prawnie</w:t>
            </w:r>
            <w:r w:rsidR="00F76A4C" w:rsidRPr="00067989">
              <w:rPr>
                <w:rFonts w:ascii="Times New Roman" w:hAnsi="Times New Roman" w:cs="Times New Roman"/>
                <w:iCs/>
                <w:color w:val="000000" w:themeColor="text1"/>
              </w:rPr>
              <w:t xml:space="preserve"> </w:t>
            </w:r>
            <w:r w:rsidR="00CB4AA3" w:rsidRPr="00067989">
              <w:rPr>
                <w:rFonts w:ascii="Times New Roman" w:hAnsi="Times New Roman" w:cs="Times New Roman"/>
                <w:iCs/>
                <w:color w:val="000000" w:themeColor="text1"/>
              </w:rPr>
              <w:t>dowod</w:t>
            </w:r>
            <w:r w:rsidR="00351398" w:rsidRPr="00067989">
              <w:rPr>
                <w:rFonts w:ascii="Times New Roman" w:hAnsi="Times New Roman" w:cs="Times New Roman"/>
                <w:iCs/>
                <w:color w:val="000000" w:themeColor="text1"/>
              </w:rPr>
              <w:t>y</w:t>
            </w:r>
            <w:r w:rsidR="00CB4AA3" w:rsidRPr="00067989">
              <w:rPr>
                <w:rFonts w:ascii="Times New Roman" w:hAnsi="Times New Roman" w:cs="Times New Roman"/>
                <w:iCs/>
                <w:color w:val="000000" w:themeColor="text1"/>
              </w:rPr>
              <w:t xml:space="preserve"> wysłania i</w:t>
            </w:r>
            <w:r w:rsidR="008742F0">
              <w:rPr>
                <w:rFonts w:ascii="Times New Roman" w:hAnsi="Times New Roman" w:cs="Times New Roman"/>
                <w:iCs/>
                <w:color w:val="000000" w:themeColor="text1"/>
              </w:rPr>
              <w:t> </w:t>
            </w:r>
            <w:r w:rsidR="00F47731" w:rsidRPr="00067989">
              <w:rPr>
                <w:rFonts w:ascii="Times New Roman" w:hAnsi="Times New Roman" w:cs="Times New Roman"/>
                <w:iCs/>
                <w:color w:val="000000" w:themeColor="text1"/>
              </w:rPr>
              <w:t>otrzymania</w:t>
            </w:r>
            <w:r w:rsidR="00375E40" w:rsidRPr="00067989">
              <w:rPr>
                <w:rFonts w:ascii="Times New Roman" w:hAnsi="Times New Roman" w:cs="Times New Roman"/>
                <w:iCs/>
                <w:color w:val="000000" w:themeColor="text1"/>
              </w:rPr>
              <w:t xml:space="preserve"> korespondencji</w:t>
            </w:r>
            <w:r w:rsidR="00945B0C" w:rsidRPr="00067989">
              <w:rPr>
                <w:rFonts w:ascii="Times New Roman" w:hAnsi="Times New Roman" w:cs="Times New Roman"/>
                <w:iCs/>
                <w:color w:val="000000" w:themeColor="text1"/>
              </w:rPr>
              <w:t>,</w:t>
            </w:r>
          </w:p>
          <w:p w14:paraId="0315B6DF" w14:textId="77777777" w:rsidR="00F76A4C" w:rsidRPr="00067989" w:rsidRDefault="00945B0C" w:rsidP="008A3FA9">
            <w:pPr>
              <w:pStyle w:val="Akapitzlist"/>
              <w:numPr>
                <w:ilvl w:val="0"/>
                <w:numId w:val="9"/>
              </w:numPr>
              <w:spacing w:before="60" w:after="60"/>
              <w:jc w:val="both"/>
              <w:rPr>
                <w:rFonts w:ascii="Times New Roman" w:hAnsi="Times New Roman" w:cs="Times New Roman"/>
                <w:iCs/>
                <w:color w:val="000000" w:themeColor="text1"/>
              </w:rPr>
            </w:pPr>
            <w:r w:rsidRPr="00067989">
              <w:rPr>
                <w:rFonts w:ascii="Times New Roman" w:hAnsi="Times New Roman" w:cs="Times New Roman"/>
                <w:iCs/>
                <w:color w:val="000000" w:themeColor="text1"/>
              </w:rPr>
              <w:t>podmioty będą mogły wyznaczyć administratorów zarządzających w ich imieniu adresem do doręczeń oraz powiązaną z tym adresem skrzynką</w:t>
            </w:r>
            <w:r w:rsidR="002A5B1E" w:rsidRPr="00067989">
              <w:rPr>
                <w:rFonts w:ascii="Times New Roman" w:hAnsi="Times New Roman" w:cs="Times New Roman"/>
                <w:iCs/>
                <w:color w:val="000000" w:themeColor="text1"/>
              </w:rPr>
              <w:t xml:space="preserve"> doręczeń.</w:t>
            </w:r>
          </w:p>
          <w:p w14:paraId="731534D8" w14:textId="77777777" w:rsidR="00EA0361" w:rsidRPr="00067989" w:rsidRDefault="00EA0361" w:rsidP="008A3FA9">
            <w:pPr>
              <w:spacing w:before="60" w:after="60"/>
              <w:jc w:val="both"/>
              <w:rPr>
                <w:rFonts w:ascii="Times New Roman" w:hAnsi="Times New Roman" w:cs="Times New Roman"/>
                <w:color w:val="000000" w:themeColor="text1"/>
              </w:rPr>
            </w:pPr>
            <w:r w:rsidRPr="00067989">
              <w:rPr>
                <w:rFonts w:ascii="Times New Roman" w:hAnsi="Times New Roman" w:cs="Times New Roman"/>
                <w:iCs/>
                <w:color w:val="000000" w:themeColor="text1"/>
              </w:rPr>
              <w:t>Do świadczenia publicznej usługi rejestrowanego doręczenia elektronicznego (e-Doręczenia) oraz publicznej usługi hybrydowej w kontaktach z podmiotami publicznymi obowiązany będzie operator wyznaczony w</w:t>
            </w:r>
            <w:r w:rsidR="00AB04E9">
              <w:rPr>
                <w:rFonts w:ascii="Times New Roman" w:hAnsi="Times New Roman" w:cs="Times New Roman"/>
                <w:iCs/>
                <w:color w:val="000000" w:themeColor="text1"/>
              </w:rPr>
              <w:t xml:space="preserve"> </w:t>
            </w:r>
            <w:r w:rsidRPr="00067989">
              <w:rPr>
                <w:rFonts w:ascii="Times New Roman" w:hAnsi="Times New Roman" w:cs="Times New Roman"/>
                <w:iCs/>
                <w:color w:val="000000" w:themeColor="text1"/>
              </w:rPr>
              <w:t xml:space="preserve">rozumieniu ustawy z dnia 23 listopada 2012 r. </w:t>
            </w:r>
            <w:r w:rsidR="005F6337">
              <w:rPr>
                <w:rFonts w:ascii="Times New Roman" w:hAnsi="Times New Roman" w:cs="Times New Roman"/>
                <w:iCs/>
                <w:color w:val="000000" w:themeColor="text1"/>
              </w:rPr>
              <w:t>–</w:t>
            </w:r>
            <w:r w:rsidRPr="00067989">
              <w:rPr>
                <w:rFonts w:ascii="Times New Roman" w:hAnsi="Times New Roman" w:cs="Times New Roman"/>
                <w:iCs/>
                <w:color w:val="000000" w:themeColor="text1"/>
              </w:rPr>
              <w:t xml:space="preserve"> Prawo pocztowe</w:t>
            </w:r>
            <w:r w:rsidR="000F45AE" w:rsidRPr="00067989">
              <w:rPr>
                <w:rFonts w:ascii="Times New Roman" w:hAnsi="Times New Roman" w:cs="Times New Roman"/>
                <w:iCs/>
                <w:color w:val="000000" w:themeColor="text1"/>
              </w:rPr>
              <w:t xml:space="preserve"> (Dz. U. z 2018 r. poz. 2188, z późn. zm.)</w:t>
            </w:r>
            <w:r w:rsidR="00922A24" w:rsidRPr="00067989">
              <w:rPr>
                <w:rFonts w:ascii="Times New Roman" w:hAnsi="Times New Roman" w:cs="Times New Roman"/>
                <w:iCs/>
                <w:color w:val="000000" w:themeColor="text1"/>
              </w:rPr>
              <w:t>.</w:t>
            </w:r>
            <w:r w:rsidR="00922A24" w:rsidRPr="00067989">
              <w:rPr>
                <w:rFonts w:ascii="Times New Roman" w:eastAsiaTheme="minorEastAsia" w:hAnsi="Times New Roman" w:cs="Times New Roman"/>
                <w:lang w:eastAsia="pl-PL"/>
              </w:rPr>
              <w:t xml:space="preserve"> </w:t>
            </w:r>
            <w:r w:rsidR="00922A24" w:rsidRPr="00067989">
              <w:rPr>
                <w:rFonts w:ascii="Times New Roman" w:hAnsi="Times New Roman" w:cs="Times New Roman"/>
                <w:iCs/>
                <w:color w:val="000000" w:themeColor="text1"/>
              </w:rPr>
              <w:t xml:space="preserve">Operator wyznaczony uzyskuje dla świadczonej publicznej usługi rejestrowanego doręczenia elektronicznego wpis do rejestru dostawców usług zaufania, o którym mowa w art. 2 pkt 1 ustawy z dnia 5 września 2016 r. o usługach zaufania oraz identyfikacji elektronicznej </w:t>
            </w:r>
            <w:r w:rsidR="000F45AE" w:rsidRPr="00067989">
              <w:rPr>
                <w:rFonts w:ascii="Times New Roman" w:hAnsi="Times New Roman" w:cs="Times New Roman"/>
                <w:iCs/>
                <w:color w:val="000000" w:themeColor="text1"/>
              </w:rPr>
              <w:t xml:space="preserve">(Dz. U. z 2019 r. poz. 162 i 1590), </w:t>
            </w:r>
            <w:r w:rsidR="00922A24" w:rsidRPr="00067989">
              <w:rPr>
                <w:rFonts w:ascii="Times New Roman" w:hAnsi="Times New Roman" w:cs="Times New Roman"/>
                <w:iCs/>
                <w:color w:val="000000" w:themeColor="text1"/>
              </w:rPr>
              <w:t>a realizując tę usługę</w:t>
            </w:r>
            <w:r w:rsidR="005845C5" w:rsidRPr="00067989">
              <w:rPr>
                <w:rFonts w:ascii="Times New Roman" w:hAnsi="Times New Roman" w:cs="Times New Roman"/>
                <w:iCs/>
                <w:color w:val="000000" w:themeColor="text1"/>
              </w:rPr>
              <w:t xml:space="preserve"> </w:t>
            </w:r>
            <w:r w:rsidR="00922DCD" w:rsidRPr="00067989">
              <w:rPr>
                <w:rFonts w:ascii="Times New Roman" w:hAnsi="Times New Roman" w:cs="Times New Roman"/>
                <w:iCs/>
                <w:color w:val="000000" w:themeColor="text1"/>
              </w:rPr>
              <w:t>będzie zapewniać</w:t>
            </w:r>
            <w:r w:rsidR="00F92691" w:rsidRPr="00067989">
              <w:rPr>
                <w:rFonts w:ascii="Times New Roman" w:hAnsi="Times New Roman" w:cs="Times New Roman"/>
                <w:iCs/>
                <w:color w:val="000000" w:themeColor="text1"/>
              </w:rPr>
              <w:t>:</w:t>
            </w:r>
            <w:r w:rsidRPr="00067989">
              <w:rPr>
                <w:rFonts w:ascii="Times New Roman" w:hAnsi="Times New Roman" w:cs="Times New Roman"/>
                <w:iCs/>
                <w:color w:val="000000" w:themeColor="text1"/>
              </w:rPr>
              <w:t xml:space="preserve"> </w:t>
            </w:r>
          </w:p>
          <w:p w14:paraId="0F992647" w14:textId="77777777" w:rsidR="00CB4AA3" w:rsidRPr="00067989" w:rsidRDefault="00CB4AA3" w:rsidP="008A3FA9">
            <w:pPr>
              <w:spacing w:before="60" w:after="60"/>
              <w:ind w:left="363" w:hanging="363"/>
              <w:jc w:val="both"/>
              <w:rPr>
                <w:rFonts w:ascii="Times New Roman" w:hAnsi="Times New Roman" w:cs="Times New Roman"/>
                <w:color w:val="000000" w:themeColor="text1"/>
              </w:rPr>
            </w:pPr>
            <w:r w:rsidRPr="00067989">
              <w:rPr>
                <w:rFonts w:ascii="Times New Roman" w:hAnsi="Times New Roman" w:cs="Times New Roman"/>
                <w:color w:val="000000" w:themeColor="text1"/>
              </w:rPr>
              <w:t>–</w:t>
            </w:r>
            <w:r w:rsidRPr="00067989">
              <w:rPr>
                <w:rFonts w:ascii="Times New Roman" w:hAnsi="Times New Roman" w:cs="Times New Roman"/>
                <w:color w:val="000000" w:themeColor="text1"/>
              </w:rPr>
              <w:tab/>
              <w:t>identyfikację nadawcy</w:t>
            </w:r>
            <w:r w:rsidR="00922A24" w:rsidRPr="00067989">
              <w:rPr>
                <w:rFonts w:ascii="Times New Roman" w:hAnsi="Times New Roman" w:cs="Times New Roman"/>
                <w:color w:val="000000" w:themeColor="text1"/>
              </w:rPr>
              <w:t xml:space="preserve"> przed wysłaniem danych</w:t>
            </w:r>
            <w:r w:rsidR="00375E40" w:rsidRPr="00067989">
              <w:rPr>
                <w:rFonts w:ascii="Times New Roman" w:hAnsi="Times New Roman" w:cs="Times New Roman"/>
                <w:color w:val="000000" w:themeColor="text1"/>
              </w:rPr>
              <w:t>,</w:t>
            </w:r>
          </w:p>
          <w:p w14:paraId="015E3A41" w14:textId="77777777" w:rsidR="00CB4AA3" w:rsidRPr="00067989" w:rsidRDefault="00CB4AA3" w:rsidP="008A3FA9">
            <w:pPr>
              <w:spacing w:before="60" w:after="60"/>
              <w:ind w:left="363" w:hanging="363"/>
              <w:jc w:val="both"/>
              <w:rPr>
                <w:rFonts w:ascii="Times New Roman" w:hAnsi="Times New Roman" w:cs="Times New Roman"/>
                <w:color w:val="000000" w:themeColor="text1"/>
              </w:rPr>
            </w:pPr>
            <w:r w:rsidRPr="00067989">
              <w:rPr>
                <w:rFonts w:ascii="Times New Roman" w:hAnsi="Times New Roman" w:cs="Times New Roman"/>
                <w:color w:val="000000" w:themeColor="text1"/>
              </w:rPr>
              <w:t>–</w:t>
            </w:r>
            <w:r w:rsidRPr="00067989">
              <w:rPr>
                <w:rFonts w:ascii="Times New Roman" w:hAnsi="Times New Roman" w:cs="Times New Roman"/>
                <w:color w:val="000000" w:themeColor="text1"/>
              </w:rPr>
              <w:tab/>
              <w:t>identyfikację adresata przed dostarczeniem danych</w:t>
            </w:r>
            <w:r w:rsidR="00375E40" w:rsidRPr="00067989">
              <w:rPr>
                <w:rFonts w:ascii="Times New Roman" w:hAnsi="Times New Roman" w:cs="Times New Roman"/>
                <w:color w:val="000000" w:themeColor="text1"/>
              </w:rPr>
              <w:t>,</w:t>
            </w:r>
          </w:p>
          <w:p w14:paraId="16ED7588" w14:textId="77777777" w:rsidR="00CB4AA3" w:rsidRPr="00067989" w:rsidRDefault="00CB4AA3" w:rsidP="008A3FA9">
            <w:pPr>
              <w:spacing w:before="60" w:after="60"/>
              <w:ind w:left="363" w:hanging="363"/>
              <w:jc w:val="both"/>
              <w:rPr>
                <w:rFonts w:ascii="Times New Roman" w:hAnsi="Times New Roman" w:cs="Times New Roman"/>
                <w:color w:val="000000" w:themeColor="text1"/>
              </w:rPr>
            </w:pPr>
            <w:r w:rsidRPr="00067989">
              <w:rPr>
                <w:rFonts w:ascii="Times New Roman" w:hAnsi="Times New Roman" w:cs="Times New Roman"/>
                <w:color w:val="000000" w:themeColor="text1"/>
              </w:rPr>
              <w:t>–</w:t>
            </w:r>
            <w:r w:rsidRPr="00067989">
              <w:rPr>
                <w:rFonts w:ascii="Times New Roman" w:hAnsi="Times New Roman" w:cs="Times New Roman"/>
                <w:color w:val="000000" w:themeColor="text1"/>
              </w:rPr>
              <w:tab/>
            </w:r>
            <w:r w:rsidR="00922DCD" w:rsidRPr="00067989">
              <w:rPr>
                <w:rFonts w:ascii="Times New Roman" w:hAnsi="Times New Roman" w:cs="Times New Roman"/>
                <w:color w:val="000000" w:themeColor="text1"/>
              </w:rPr>
              <w:t xml:space="preserve">zabezpieczenie wysłania </w:t>
            </w:r>
            <w:r w:rsidRPr="00067989">
              <w:rPr>
                <w:rFonts w:ascii="Times New Roman" w:hAnsi="Times New Roman" w:cs="Times New Roman"/>
                <w:color w:val="000000" w:themeColor="text1"/>
              </w:rPr>
              <w:t xml:space="preserve">i </w:t>
            </w:r>
            <w:r w:rsidR="00922DCD" w:rsidRPr="00067989">
              <w:rPr>
                <w:rFonts w:ascii="Times New Roman" w:hAnsi="Times New Roman" w:cs="Times New Roman"/>
                <w:color w:val="000000" w:themeColor="text1"/>
              </w:rPr>
              <w:t xml:space="preserve">otrzymania </w:t>
            </w:r>
            <w:r w:rsidRPr="00067989">
              <w:rPr>
                <w:rFonts w:ascii="Times New Roman" w:hAnsi="Times New Roman" w:cs="Times New Roman"/>
                <w:color w:val="000000" w:themeColor="text1"/>
              </w:rPr>
              <w:t>danych zaawansowaną pieczęcią elektroniczną, w taki sposób, by wykluczyć możliwość niewykrywalnej zmiany danych</w:t>
            </w:r>
            <w:r w:rsidR="00375E40" w:rsidRPr="00067989">
              <w:rPr>
                <w:rFonts w:ascii="Times New Roman" w:hAnsi="Times New Roman" w:cs="Times New Roman"/>
                <w:color w:val="000000" w:themeColor="text1"/>
              </w:rPr>
              <w:t>,</w:t>
            </w:r>
          </w:p>
          <w:p w14:paraId="2EC29270" w14:textId="261D78C6" w:rsidR="00CB4AA3" w:rsidRPr="00067989" w:rsidRDefault="00CB4AA3" w:rsidP="008A3FA9">
            <w:pPr>
              <w:spacing w:before="60" w:after="60"/>
              <w:ind w:left="363" w:hanging="363"/>
              <w:jc w:val="both"/>
              <w:rPr>
                <w:rFonts w:ascii="Times New Roman" w:hAnsi="Times New Roman" w:cs="Times New Roman"/>
                <w:color w:val="000000" w:themeColor="text1"/>
              </w:rPr>
            </w:pPr>
            <w:r w:rsidRPr="00067989">
              <w:rPr>
                <w:rFonts w:ascii="Times New Roman" w:hAnsi="Times New Roman" w:cs="Times New Roman"/>
                <w:color w:val="000000" w:themeColor="text1"/>
              </w:rPr>
              <w:t>–</w:t>
            </w:r>
            <w:r w:rsidRPr="00067989">
              <w:rPr>
                <w:rFonts w:ascii="Times New Roman" w:hAnsi="Times New Roman" w:cs="Times New Roman"/>
                <w:color w:val="000000" w:themeColor="text1"/>
              </w:rPr>
              <w:tab/>
            </w:r>
            <w:r w:rsidR="00922DCD" w:rsidRPr="00067989">
              <w:rPr>
                <w:rFonts w:ascii="Times New Roman" w:hAnsi="Times New Roman" w:cs="Times New Roman"/>
                <w:color w:val="000000" w:themeColor="text1"/>
              </w:rPr>
              <w:t xml:space="preserve">wskazanie </w:t>
            </w:r>
            <w:r w:rsidRPr="00067989">
              <w:rPr>
                <w:rFonts w:ascii="Times New Roman" w:hAnsi="Times New Roman" w:cs="Times New Roman"/>
                <w:color w:val="000000" w:themeColor="text1"/>
              </w:rPr>
              <w:t xml:space="preserve">za pomocą kwalifikowanego elektronicznego znacznika czasu </w:t>
            </w:r>
            <w:r w:rsidR="005F6337">
              <w:rPr>
                <w:rFonts w:ascii="Times New Roman" w:hAnsi="Times New Roman" w:cs="Times New Roman"/>
                <w:color w:val="000000" w:themeColor="text1"/>
              </w:rPr>
              <w:t>–</w:t>
            </w:r>
            <w:r w:rsidRPr="00067989">
              <w:rPr>
                <w:rFonts w:ascii="Times New Roman" w:hAnsi="Times New Roman" w:cs="Times New Roman"/>
                <w:color w:val="000000" w:themeColor="text1"/>
              </w:rPr>
              <w:t xml:space="preserve"> dat</w:t>
            </w:r>
            <w:r w:rsidR="00D56905" w:rsidRPr="00067989">
              <w:rPr>
                <w:rFonts w:ascii="Times New Roman" w:hAnsi="Times New Roman" w:cs="Times New Roman"/>
                <w:color w:val="000000" w:themeColor="text1"/>
              </w:rPr>
              <w:t>y</w:t>
            </w:r>
            <w:r w:rsidRPr="00067989">
              <w:rPr>
                <w:rFonts w:ascii="Times New Roman" w:hAnsi="Times New Roman" w:cs="Times New Roman"/>
                <w:color w:val="000000" w:themeColor="text1"/>
              </w:rPr>
              <w:t xml:space="preserve"> i czas</w:t>
            </w:r>
            <w:r w:rsidR="00D56905" w:rsidRPr="00067989">
              <w:rPr>
                <w:rFonts w:ascii="Times New Roman" w:hAnsi="Times New Roman" w:cs="Times New Roman"/>
                <w:color w:val="000000" w:themeColor="text1"/>
              </w:rPr>
              <w:t>u</w:t>
            </w:r>
            <w:r w:rsidRPr="00067989">
              <w:rPr>
                <w:rFonts w:ascii="Times New Roman" w:hAnsi="Times New Roman" w:cs="Times New Roman"/>
                <w:color w:val="000000" w:themeColor="text1"/>
              </w:rPr>
              <w:t xml:space="preserve"> wysłania, otrzymania i</w:t>
            </w:r>
            <w:r w:rsidR="008742F0">
              <w:rPr>
                <w:rFonts w:ascii="Times New Roman" w:hAnsi="Times New Roman" w:cs="Times New Roman"/>
                <w:color w:val="000000" w:themeColor="text1"/>
              </w:rPr>
              <w:t> </w:t>
            </w:r>
            <w:r w:rsidRPr="00067989">
              <w:rPr>
                <w:rFonts w:ascii="Times New Roman" w:hAnsi="Times New Roman" w:cs="Times New Roman"/>
                <w:color w:val="000000" w:themeColor="text1"/>
              </w:rPr>
              <w:t>wszelkiej zmiany danych</w:t>
            </w:r>
            <w:r w:rsidR="00922A24" w:rsidRPr="00067989">
              <w:rPr>
                <w:rFonts w:ascii="Times New Roman" w:hAnsi="Times New Roman" w:cs="Times New Roman"/>
                <w:color w:val="000000" w:themeColor="text1"/>
              </w:rPr>
              <w:t>,</w:t>
            </w:r>
          </w:p>
          <w:p w14:paraId="7978A238" w14:textId="77777777" w:rsidR="00922A24" w:rsidRPr="00067989" w:rsidRDefault="00922A24" w:rsidP="008A3FA9">
            <w:pPr>
              <w:spacing w:before="60" w:after="60"/>
              <w:ind w:left="363" w:hanging="363"/>
              <w:jc w:val="both"/>
              <w:rPr>
                <w:rFonts w:ascii="Times New Roman" w:hAnsi="Times New Roman" w:cs="Times New Roman"/>
                <w:color w:val="000000" w:themeColor="text1"/>
              </w:rPr>
            </w:pPr>
            <w:r w:rsidRPr="00067989">
              <w:rPr>
                <w:rFonts w:ascii="Times New Roman" w:hAnsi="Times New Roman" w:cs="Times New Roman"/>
                <w:color w:val="000000" w:themeColor="text1"/>
              </w:rPr>
              <w:t>–</w:t>
            </w:r>
            <w:r w:rsidRPr="00067989">
              <w:rPr>
                <w:rFonts w:ascii="Times New Roman" w:hAnsi="Times New Roman" w:cs="Times New Roman"/>
                <w:color w:val="000000" w:themeColor="text1"/>
              </w:rPr>
              <w:tab/>
              <w:t>wyraźne wskazanie nadawcy i adresatowi danych każdej zmiany danych niezbędnej do celów wysyłania lub otrzymania danych.</w:t>
            </w:r>
          </w:p>
          <w:p w14:paraId="23F44A80" w14:textId="77777777" w:rsidR="00801A1D" w:rsidRPr="00067989" w:rsidRDefault="00F76A4C" w:rsidP="008A3FA9">
            <w:p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 xml:space="preserve">Realizacja </w:t>
            </w:r>
            <w:r w:rsidR="00210056" w:rsidRPr="00067989">
              <w:rPr>
                <w:rFonts w:ascii="Times New Roman" w:hAnsi="Times New Roman" w:cs="Times New Roman"/>
                <w:color w:val="000000" w:themeColor="text1"/>
              </w:rPr>
              <w:t xml:space="preserve">przez </w:t>
            </w:r>
            <w:r w:rsidR="005E5A43" w:rsidRPr="00067989">
              <w:rPr>
                <w:rFonts w:ascii="Times New Roman" w:hAnsi="Times New Roman" w:cs="Times New Roman"/>
                <w:color w:val="000000" w:themeColor="text1"/>
              </w:rPr>
              <w:t xml:space="preserve">operatora wyznaczonego publicznej </w:t>
            </w:r>
            <w:r w:rsidRPr="00067989">
              <w:rPr>
                <w:rFonts w:ascii="Times New Roman" w:hAnsi="Times New Roman" w:cs="Times New Roman"/>
                <w:color w:val="000000" w:themeColor="text1"/>
              </w:rPr>
              <w:t xml:space="preserve">usługi </w:t>
            </w:r>
            <w:r w:rsidR="00210056" w:rsidRPr="00067989">
              <w:rPr>
                <w:rFonts w:ascii="Times New Roman" w:hAnsi="Times New Roman" w:cs="Times New Roman"/>
                <w:color w:val="000000" w:themeColor="text1"/>
              </w:rPr>
              <w:t xml:space="preserve">hybrydowej </w:t>
            </w:r>
            <w:r w:rsidRPr="00067989">
              <w:rPr>
                <w:rFonts w:ascii="Times New Roman" w:hAnsi="Times New Roman" w:cs="Times New Roman"/>
                <w:color w:val="000000" w:themeColor="text1"/>
              </w:rPr>
              <w:t xml:space="preserve">wymagać będzie organizacji </w:t>
            </w:r>
            <w:r w:rsidR="00AA4CFF" w:rsidRPr="00067989">
              <w:rPr>
                <w:rFonts w:ascii="Times New Roman" w:hAnsi="Times New Roman" w:cs="Times New Roman"/>
                <w:color w:val="000000" w:themeColor="text1"/>
              </w:rPr>
              <w:t>centrów</w:t>
            </w:r>
            <w:r w:rsidR="00375E40" w:rsidRPr="00067989">
              <w:rPr>
                <w:rFonts w:ascii="Times New Roman" w:hAnsi="Times New Roman" w:cs="Times New Roman"/>
                <w:color w:val="000000" w:themeColor="text1"/>
              </w:rPr>
              <w:t xml:space="preserve"> </w:t>
            </w:r>
            <w:r w:rsidR="000929D0" w:rsidRPr="00067989">
              <w:rPr>
                <w:rFonts w:ascii="Times New Roman" w:hAnsi="Times New Roman" w:cs="Times New Roman"/>
                <w:color w:val="000000" w:themeColor="text1"/>
              </w:rPr>
              <w:t>w</w:t>
            </w:r>
            <w:r w:rsidR="00762FA8" w:rsidRPr="00067989">
              <w:rPr>
                <w:rFonts w:ascii="Times New Roman" w:hAnsi="Times New Roman" w:cs="Times New Roman"/>
                <w:color w:val="000000" w:themeColor="text1"/>
              </w:rPr>
              <w:t>ydruku</w:t>
            </w:r>
            <w:r w:rsidR="00375E40" w:rsidRPr="00067989">
              <w:rPr>
                <w:rFonts w:ascii="Times New Roman" w:hAnsi="Times New Roman" w:cs="Times New Roman"/>
                <w:color w:val="000000" w:themeColor="text1"/>
              </w:rPr>
              <w:t xml:space="preserve"> oraz konfekcjonowania korespondencji</w:t>
            </w:r>
            <w:r w:rsidR="00885003" w:rsidRPr="00067989">
              <w:rPr>
                <w:rFonts w:ascii="Times New Roman" w:hAnsi="Times New Roman" w:cs="Times New Roman"/>
                <w:color w:val="000000" w:themeColor="text1"/>
              </w:rPr>
              <w:t>,</w:t>
            </w:r>
            <w:r w:rsidR="00762FA8" w:rsidRPr="00067989">
              <w:rPr>
                <w:rFonts w:ascii="Times New Roman" w:hAnsi="Times New Roman" w:cs="Times New Roman"/>
                <w:color w:val="000000" w:themeColor="text1"/>
              </w:rPr>
              <w:t xml:space="preserve"> zapewniających odpowiednie bezpieczeństwo</w:t>
            </w:r>
            <w:r w:rsidR="00AC1DCD" w:rsidRPr="00067989">
              <w:rPr>
                <w:rFonts w:ascii="Times New Roman" w:hAnsi="Times New Roman" w:cs="Times New Roman"/>
                <w:color w:val="000000" w:themeColor="text1"/>
              </w:rPr>
              <w:t>,</w:t>
            </w:r>
            <w:r w:rsidR="00762FA8" w:rsidRPr="00067989">
              <w:rPr>
                <w:rFonts w:ascii="Times New Roman" w:hAnsi="Times New Roman" w:cs="Times New Roman"/>
                <w:color w:val="000000" w:themeColor="text1"/>
              </w:rPr>
              <w:t xml:space="preserve"> jakość </w:t>
            </w:r>
            <w:r w:rsidR="00EB6BDA" w:rsidRPr="00067989">
              <w:rPr>
                <w:rFonts w:ascii="Times New Roman" w:hAnsi="Times New Roman" w:cs="Times New Roman"/>
                <w:color w:val="000000" w:themeColor="text1"/>
              </w:rPr>
              <w:t>oraz</w:t>
            </w:r>
            <w:r w:rsidR="007707FA" w:rsidRPr="00067989">
              <w:rPr>
                <w:rFonts w:ascii="Times New Roman" w:hAnsi="Times New Roman" w:cs="Times New Roman"/>
                <w:color w:val="000000" w:themeColor="text1"/>
              </w:rPr>
              <w:t xml:space="preserve"> </w:t>
            </w:r>
            <w:r w:rsidR="00762FA8" w:rsidRPr="00067989">
              <w:rPr>
                <w:rFonts w:ascii="Times New Roman" w:hAnsi="Times New Roman" w:cs="Times New Roman"/>
                <w:color w:val="000000" w:themeColor="text1"/>
              </w:rPr>
              <w:t xml:space="preserve">wydajność usług </w:t>
            </w:r>
            <w:r w:rsidR="00375E40" w:rsidRPr="00067989">
              <w:rPr>
                <w:rFonts w:ascii="Times New Roman" w:hAnsi="Times New Roman" w:cs="Times New Roman"/>
                <w:color w:val="000000" w:themeColor="text1"/>
              </w:rPr>
              <w:t>dla</w:t>
            </w:r>
            <w:r w:rsidR="00762FA8" w:rsidRPr="00067989">
              <w:rPr>
                <w:rFonts w:ascii="Times New Roman" w:hAnsi="Times New Roman" w:cs="Times New Roman"/>
                <w:color w:val="000000" w:themeColor="text1"/>
              </w:rPr>
              <w:t xml:space="preserve"> cał</w:t>
            </w:r>
            <w:r w:rsidR="00375E40" w:rsidRPr="00067989">
              <w:rPr>
                <w:rFonts w:ascii="Times New Roman" w:hAnsi="Times New Roman" w:cs="Times New Roman"/>
                <w:color w:val="000000" w:themeColor="text1"/>
              </w:rPr>
              <w:t>ego</w:t>
            </w:r>
            <w:r w:rsidR="00762FA8" w:rsidRPr="00067989">
              <w:rPr>
                <w:rFonts w:ascii="Times New Roman" w:hAnsi="Times New Roman" w:cs="Times New Roman"/>
                <w:color w:val="000000" w:themeColor="text1"/>
              </w:rPr>
              <w:t xml:space="preserve"> kraju</w:t>
            </w:r>
            <w:r w:rsidR="00375E40" w:rsidRPr="00067989">
              <w:rPr>
                <w:rFonts w:ascii="Times New Roman" w:hAnsi="Times New Roman" w:cs="Times New Roman"/>
                <w:color w:val="000000" w:themeColor="text1"/>
              </w:rPr>
              <w:t>. Nie mniej ważne będzie</w:t>
            </w:r>
            <w:r w:rsidR="00885003" w:rsidRPr="00067989">
              <w:rPr>
                <w:rFonts w:ascii="Times New Roman" w:hAnsi="Times New Roman" w:cs="Times New Roman"/>
                <w:color w:val="000000" w:themeColor="text1"/>
              </w:rPr>
              <w:t xml:space="preserve"> </w:t>
            </w:r>
            <w:r w:rsidR="004E559C" w:rsidRPr="00067989">
              <w:rPr>
                <w:rFonts w:ascii="Times New Roman" w:hAnsi="Times New Roman" w:cs="Times New Roman"/>
                <w:color w:val="000000" w:themeColor="text1"/>
              </w:rPr>
              <w:t>spełnie</w:t>
            </w:r>
            <w:r w:rsidR="00EA0361" w:rsidRPr="00067989">
              <w:rPr>
                <w:rFonts w:ascii="Times New Roman" w:hAnsi="Times New Roman" w:cs="Times New Roman"/>
                <w:color w:val="000000" w:themeColor="text1"/>
              </w:rPr>
              <w:t>ni</w:t>
            </w:r>
            <w:r w:rsidR="004E559C" w:rsidRPr="00067989">
              <w:rPr>
                <w:rFonts w:ascii="Times New Roman" w:hAnsi="Times New Roman" w:cs="Times New Roman"/>
                <w:color w:val="000000" w:themeColor="text1"/>
              </w:rPr>
              <w:t>e</w:t>
            </w:r>
            <w:r w:rsidR="00EA0361" w:rsidRPr="00067989">
              <w:rPr>
                <w:rFonts w:ascii="Times New Roman" w:hAnsi="Times New Roman" w:cs="Times New Roman"/>
                <w:color w:val="000000" w:themeColor="text1"/>
              </w:rPr>
              <w:t xml:space="preserve"> </w:t>
            </w:r>
            <w:r w:rsidR="004E559C" w:rsidRPr="00067989">
              <w:rPr>
                <w:rFonts w:ascii="Times New Roman" w:hAnsi="Times New Roman" w:cs="Times New Roman"/>
                <w:color w:val="000000" w:themeColor="text1"/>
              </w:rPr>
              <w:t xml:space="preserve">odpowiednich warunków technicznych </w:t>
            </w:r>
            <w:r w:rsidR="00375E40" w:rsidRPr="00067989">
              <w:rPr>
                <w:rFonts w:ascii="Times New Roman" w:hAnsi="Times New Roman" w:cs="Times New Roman"/>
                <w:color w:val="000000" w:themeColor="text1"/>
              </w:rPr>
              <w:t>oraz</w:t>
            </w:r>
            <w:r w:rsidR="004E559C" w:rsidRPr="00067989">
              <w:rPr>
                <w:rFonts w:ascii="Times New Roman" w:hAnsi="Times New Roman" w:cs="Times New Roman"/>
                <w:color w:val="000000" w:themeColor="text1"/>
              </w:rPr>
              <w:t xml:space="preserve"> organizacyjnych poprzez postawienie do dyspozycji adekwatnych zasobów,</w:t>
            </w:r>
            <w:r w:rsidR="000929D0" w:rsidRPr="00067989">
              <w:rPr>
                <w:rFonts w:ascii="Times New Roman" w:hAnsi="Times New Roman" w:cs="Times New Roman"/>
                <w:color w:val="000000" w:themeColor="text1"/>
              </w:rPr>
              <w:t xml:space="preserve"> których użycie </w:t>
            </w:r>
            <w:r w:rsidR="00885003" w:rsidRPr="00067989">
              <w:rPr>
                <w:rFonts w:ascii="Times New Roman" w:hAnsi="Times New Roman" w:cs="Times New Roman"/>
                <w:color w:val="000000" w:themeColor="text1"/>
              </w:rPr>
              <w:t xml:space="preserve">umożliwi </w:t>
            </w:r>
            <w:r w:rsidR="007707FA" w:rsidRPr="00067989">
              <w:rPr>
                <w:rFonts w:ascii="Times New Roman" w:hAnsi="Times New Roman" w:cs="Times New Roman"/>
                <w:color w:val="000000" w:themeColor="text1"/>
              </w:rPr>
              <w:t>realizację przekształcenia korespondencji elektronicznej w korespondencję papierową.</w:t>
            </w:r>
            <w:r w:rsidR="005C4155" w:rsidRPr="00067989">
              <w:rPr>
                <w:rFonts w:ascii="Times New Roman" w:hAnsi="Times New Roman" w:cs="Times New Roman"/>
                <w:color w:val="000000" w:themeColor="text1"/>
              </w:rPr>
              <w:t xml:space="preserve"> </w:t>
            </w:r>
          </w:p>
          <w:p w14:paraId="6DDACE03" w14:textId="5B69C459" w:rsidR="003544B3" w:rsidRPr="00067989" w:rsidRDefault="004A32C5" w:rsidP="008A3FA9">
            <w:p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 xml:space="preserve">Warunki świadczenia publicznej usługi </w:t>
            </w:r>
            <w:r w:rsidR="005C4155" w:rsidRPr="00067989">
              <w:rPr>
                <w:rFonts w:ascii="Times New Roman" w:hAnsi="Times New Roman" w:cs="Times New Roman"/>
                <w:color w:val="000000" w:themeColor="text1"/>
              </w:rPr>
              <w:t xml:space="preserve">rejestrowanego </w:t>
            </w:r>
            <w:r w:rsidRPr="00067989">
              <w:rPr>
                <w:rFonts w:ascii="Times New Roman" w:hAnsi="Times New Roman" w:cs="Times New Roman"/>
                <w:color w:val="000000" w:themeColor="text1"/>
              </w:rPr>
              <w:t xml:space="preserve">doręczenia elektronicznego </w:t>
            </w:r>
            <w:r w:rsidR="00B22F1A" w:rsidRPr="00067989">
              <w:rPr>
                <w:rFonts w:ascii="Times New Roman" w:hAnsi="Times New Roman" w:cs="Times New Roman"/>
                <w:color w:val="000000" w:themeColor="text1"/>
              </w:rPr>
              <w:t xml:space="preserve">oraz publicznej </w:t>
            </w:r>
            <w:r w:rsidR="00375E40" w:rsidRPr="00067989">
              <w:rPr>
                <w:rFonts w:ascii="Times New Roman" w:hAnsi="Times New Roman" w:cs="Times New Roman"/>
                <w:color w:val="000000" w:themeColor="text1"/>
              </w:rPr>
              <w:t>usługi</w:t>
            </w:r>
            <w:r w:rsidR="00B22F1A" w:rsidRPr="00067989">
              <w:rPr>
                <w:rFonts w:ascii="Times New Roman" w:hAnsi="Times New Roman" w:cs="Times New Roman"/>
                <w:color w:val="000000" w:themeColor="text1"/>
              </w:rPr>
              <w:t xml:space="preserve"> hybrydowej określone zostaną przez operatora wyznaczonego w regulamin</w:t>
            </w:r>
            <w:r w:rsidR="00531489" w:rsidRPr="00067989">
              <w:rPr>
                <w:rFonts w:ascii="Times New Roman" w:hAnsi="Times New Roman" w:cs="Times New Roman"/>
                <w:color w:val="000000" w:themeColor="text1"/>
              </w:rPr>
              <w:t>ie</w:t>
            </w:r>
            <w:r w:rsidR="00B22F1A" w:rsidRPr="00067989">
              <w:rPr>
                <w:rFonts w:ascii="Times New Roman" w:hAnsi="Times New Roman" w:cs="Times New Roman"/>
                <w:color w:val="000000" w:themeColor="text1"/>
              </w:rPr>
              <w:t xml:space="preserve">. </w:t>
            </w:r>
            <w:r w:rsidR="00531489" w:rsidRPr="00067989">
              <w:rPr>
                <w:rFonts w:ascii="Times New Roman" w:hAnsi="Times New Roman" w:cs="Times New Roman"/>
                <w:color w:val="000000" w:themeColor="text1"/>
              </w:rPr>
              <w:t xml:space="preserve">Regulamin będzie określał także </w:t>
            </w:r>
            <w:r w:rsidR="00531489" w:rsidRPr="00067989">
              <w:rPr>
                <w:rFonts w:ascii="Times New Roman" w:hAnsi="Times New Roman" w:cs="Times New Roman"/>
                <w:bCs/>
                <w:color w:val="000000" w:themeColor="text1"/>
              </w:rPr>
              <w:t>sposób postępowania w przypadku niewykonania lub nienależytego wykonania usług przez operatora wyznaczonego zaś jego p</w:t>
            </w:r>
            <w:r w:rsidR="00B22F1A" w:rsidRPr="00067989">
              <w:rPr>
                <w:rFonts w:ascii="Times New Roman" w:hAnsi="Times New Roman" w:cs="Times New Roman"/>
                <w:color w:val="000000" w:themeColor="text1"/>
              </w:rPr>
              <w:t>rojekt przedkładan</w:t>
            </w:r>
            <w:r w:rsidR="00531489" w:rsidRPr="00067989">
              <w:rPr>
                <w:rFonts w:ascii="Times New Roman" w:hAnsi="Times New Roman" w:cs="Times New Roman"/>
                <w:color w:val="000000" w:themeColor="text1"/>
              </w:rPr>
              <w:t>y</w:t>
            </w:r>
            <w:r w:rsidR="00B22F1A" w:rsidRPr="00067989">
              <w:rPr>
                <w:rFonts w:ascii="Times New Roman" w:hAnsi="Times New Roman" w:cs="Times New Roman"/>
                <w:color w:val="000000" w:themeColor="text1"/>
              </w:rPr>
              <w:t xml:space="preserve"> </w:t>
            </w:r>
            <w:r w:rsidR="00684A9F" w:rsidRPr="00067989">
              <w:rPr>
                <w:rFonts w:ascii="Times New Roman" w:hAnsi="Times New Roman" w:cs="Times New Roman"/>
                <w:color w:val="000000" w:themeColor="text1"/>
              </w:rPr>
              <w:t>będ</w:t>
            </w:r>
            <w:r w:rsidR="00531489" w:rsidRPr="00067989">
              <w:rPr>
                <w:rFonts w:ascii="Times New Roman" w:hAnsi="Times New Roman" w:cs="Times New Roman"/>
                <w:color w:val="000000" w:themeColor="text1"/>
              </w:rPr>
              <w:t>zie</w:t>
            </w:r>
            <w:r w:rsidR="00B22F1A" w:rsidRPr="00067989">
              <w:rPr>
                <w:rFonts w:ascii="Times New Roman" w:hAnsi="Times New Roman" w:cs="Times New Roman"/>
                <w:color w:val="000000" w:themeColor="text1"/>
              </w:rPr>
              <w:t xml:space="preserve"> Prezesowi Urzędu Komunikacji Elektronicznej</w:t>
            </w:r>
            <w:r w:rsidR="00531489" w:rsidRPr="00067989">
              <w:rPr>
                <w:rFonts w:ascii="Times New Roman" w:hAnsi="Times New Roman" w:cs="Times New Roman"/>
                <w:color w:val="000000" w:themeColor="text1"/>
              </w:rPr>
              <w:t xml:space="preserve"> co najmniej na 30 dni przed planowanym wprowadzeniem w życie. Zakłada się</w:t>
            </w:r>
            <w:r w:rsidR="008529E5">
              <w:rPr>
                <w:rFonts w:ascii="Times New Roman" w:hAnsi="Times New Roman" w:cs="Times New Roman"/>
                <w:color w:val="000000" w:themeColor="text1"/>
              </w:rPr>
              <w:t>,</w:t>
            </w:r>
            <w:r w:rsidR="00531489" w:rsidRPr="00067989">
              <w:rPr>
                <w:rFonts w:ascii="Times New Roman" w:hAnsi="Times New Roman" w:cs="Times New Roman"/>
                <w:color w:val="000000" w:themeColor="text1"/>
              </w:rPr>
              <w:t xml:space="preserve"> że Prezes UKE będzie mógł </w:t>
            </w:r>
            <w:r w:rsidR="00B22F1A" w:rsidRPr="00067989">
              <w:rPr>
                <w:rFonts w:ascii="Times New Roman" w:hAnsi="Times New Roman" w:cs="Times New Roman"/>
                <w:color w:val="000000" w:themeColor="text1"/>
              </w:rPr>
              <w:t>w</w:t>
            </w:r>
            <w:r w:rsidR="00AB04E9">
              <w:rPr>
                <w:rFonts w:ascii="Times New Roman" w:hAnsi="Times New Roman" w:cs="Times New Roman"/>
                <w:color w:val="000000" w:themeColor="text1"/>
              </w:rPr>
              <w:t xml:space="preserve"> </w:t>
            </w:r>
            <w:r w:rsidR="00B22F1A" w:rsidRPr="00067989">
              <w:rPr>
                <w:rFonts w:ascii="Times New Roman" w:hAnsi="Times New Roman" w:cs="Times New Roman"/>
                <w:color w:val="000000" w:themeColor="text1"/>
              </w:rPr>
              <w:t xml:space="preserve">drodze decyzji wnieść sprzeciw wobec postanowień sprzecznych z przepisami prawa lub naruszających prawa podmiotów korzystających z tych </w:t>
            </w:r>
            <w:r w:rsidR="00B22F1A" w:rsidRPr="00067989">
              <w:rPr>
                <w:rFonts w:ascii="Times New Roman" w:hAnsi="Times New Roman" w:cs="Times New Roman"/>
                <w:color w:val="000000" w:themeColor="text1"/>
              </w:rPr>
              <w:lastRenderedPageBreak/>
              <w:t>usług.</w:t>
            </w:r>
            <w:r w:rsidR="00531489" w:rsidRPr="00067989">
              <w:rPr>
                <w:rFonts w:ascii="Times New Roman" w:hAnsi="Times New Roman" w:cs="Times New Roman"/>
                <w:color w:val="000000" w:themeColor="text1"/>
              </w:rPr>
              <w:t xml:space="preserve"> </w:t>
            </w:r>
            <w:r w:rsidR="00AD151A" w:rsidRPr="00067989">
              <w:rPr>
                <w:rFonts w:ascii="Times New Roman" w:hAnsi="Times New Roman" w:cs="Times New Roman"/>
                <w:color w:val="000000" w:themeColor="text1"/>
              </w:rPr>
              <w:t>Zakłada się że warunki i wymagania dla publicznej usługi hybrydowej będą określone w</w:t>
            </w:r>
            <w:r w:rsidR="00AB04E9">
              <w:rPr>
                <w:rFonts w:ascii="Times New Roman" w:hAnsi="Times New Roman" w:cs="Times New Roman"/>
                <w:color w:val="000000" w:themeColor="text1"/>
              </w:rPr>
              <w:t xml:space="preserve"> </w:t>
            </w:r>
            <w:r w:rsidR="00AD151A" w:rsidRPr="00067989">
              <w:rPr>
                <w:rFonts w:ascii="Times New Roman" w:hAnsi="Times New Roman" w:cs="Times New Roman"/>
                <w:color w:val="000000" w:themeColor="text1"/>
              </w:rPr>
              <w:t xml:space="preserve">rozporządzeniu. </w:t>
            </w:r>
            <w:r w:rsidR="0006210C" w:rsidRPr="00067989">
              <w:rPr>
                <w:rFonts w:ascii="Times New Roman" w:hAnsi="Times New Roman" w:cs="Times New Roman"/>
                <w:color w:val="000000" w:themeColor="text1"/>
              </w:rPr>
              <w:t>Przewiduje się że w projektowanej regulacji zostaną uwzględnione przesłanki wyłączające możliwość elektronizacji doręczeń czy to poprzez publiczną usługę hybrydową czy też poprzez publiczną usługę rejestrowanego doręczenia elektronicznego np.</w:t>
            </w:r>
            <w:r w:rsidR="0006210C" w:rsidRPr="00067989">
              <w:rPr>
                <w:rFonts w:ascii="Times New Roman" w:hAnsi="Times New Roman" w:cs="Times New Roman"/>
              </w:rPr>
              <w:t xml:space="preserve"> </w:t>
            </w:r>
            <w:r w:rsidR="0006210C" w:rsidRPr="00067989">
              <w:rPr>
                <w:rFonts w:ascii="Times New Roman" w:hAnsi="Times New Roman" w:cs="Times New Roman"/>
                <w:color w:val="000000" w:themeColor="text1"/>
              </w:rPr>
              <w:t>brak możliwości sporządzenia i przekazania dokumentu w postaci elektronicznej wynikający z</w:t>
            </w:r>
            <w:r w:rsidR="008742F0">
              <w:rPr>
                <w:rFonts w:ascii="Times New Roman" w:hAnsi="Times New Roman" w:cs="Times New Roman"/>
                <w:color w:val="000000" w:themeColor="text1"/>
              </w:rPr>
              <w:t> </w:t>
            </w:r>
            <w:r w:rsidR="0006210C" w:rsidRPr="00067989">
              <w:rPr>
                <w:rFonts w:ascii="Times New Roman" w:hAnsi="Times New Roman" w:cs="Times New Roman"/>
                <w:color w:val="000000" w:themeColor="text1"/>
              </w:rPr>
              <w:t>przepisów odrębnych lub konieczność doręczenia niepodlegającego przekształceniu dokumentu utrwalonego w</w:t>
            </w:r>
            <w:r w:rsidR="008742F0">
              <w:rPr>
                <w:rFonts w:ascii="Times New Roman" w:hAnsi="Times New Roman" w:cs="Times New Roman"/>
                <w:color w:val="000000" w:themeColor="text1"/>
              </w:rPr>
              <w:t> </w:t>
            </w:r>
            <w:r w:rsidR="0006210C" w:rsidRPr="00067989">
              <w:rPr>
                <w:rFonts w:ascii="Times New Roman" w:hAnsi="Times New Roman" w:cs="Times New Roman"/>
                <w:color w:val="000000" w:themeColor="text1"/>
              </w:rPr>
              <w:t xml:space="preserve">postaci innej niż elektroniczna. Kluczową jednak kwestią poruszaną w toku uzgodnień projektu jest nie tylko wyłączenie przedmiotowe </w:t>
            </w:r>
            <w:r w:rsidR="00307651" w:rsidRPr="00067989">
              <w:rPr>
                <w:rFonts w:ascii="Times New Roman" w:hAnsi="Times New Roman" w:cs="Times New Roman"/>
                <w:color w:val="000000" w:themeColor="text1"/>
              </w:rPr>
              <w:t>(</w:t>
            </w:r>
            <w:r w:rsidR="0006210C" w:rsidRPr="00067989">
              <w:rPr>
                <w:rFonts w:ascii="Times New Roman" w:hAnsi="Times New Roman" w:cs="Times New Roman"/>
                <w:color w:val="000000" w:themeColor="text1"/>
              </w:rPr>
              <w:t>np. z</w:t>
            </w:r>
            <w:r w:rsidR="00AB04E9">
              <w:rPr>
                <w:rFonts w:ascii="Times New Roman" w:hAnsi="Times New Roman" w:cs="Times New Roman"/>
                <w:color w:val="000000" w:themeColor="text1"/>
              </w:rPr>
              <w:t xml:space="preserve"> </w:t>
            </w:r>
            <w:r w:rsidR="0006210C" w:rsidRPr="00067989">
              <w:rPr>
                <w:rFonts w:ascii="Times New Roman" w:hAnsi="Times New Roman" w:cs="Times New Roman"/>
                <w:color w:val="000000" w:themeColor="text1"/>
              </w:rPr>
              <w:t>uwagi na informację niejawną</w:t>
            </w:r>
            <w:r w:rsidR="00307651" w:rsidRPr="00067989">
              <w:rPr>
                <w:rFonts w:ascii="Times New Roman" w:hAnsi="Times New Roman" w:cs="Times New Roman"/>
                <w:color w:val="000000" w:themeColor="text1"/>
              </w:rPr>
              <w:t>)</w:t>
            </w:r>
            <w:r w:rsidR="0006210C" w:rsidRPr="00067989">
              <w:rPr>
                <w:rFonts w:ascii="Times New Roman" w:hAnsi="Times New Roman" w:cs="Times New Roman"/>
                <w:color w:val="000000" w:themeColor="text1"/>
              </w:rPr>
              <w:t>, lecz także wyłączenia podmiotowe (np.</w:t>
            </w:r>
            <w:r w:rsidR="00AB04E9">
              <w:rPr>
                <w:rFonts w:ascii="Times New Roman" w:hAnsi="Times New Roman" w:cs="Times New Roman"/>
                <w:color w:val="000000" w:themeColor="text1"/>
              </w:rPr>
              <w:t xml:space="preserve"> </w:t>
            </w:r>
            <w:r w:rsidR="0006210C" w:rsidRPr="00067989">
              <w:rPr>
                <w:rFonts w:ascii="Times New Roman" w:hAnsi="Times New Roman" w:cs="Times New Roman"/>
                <w:color w:val="000000" w:themeColor="text1"/>
              </w:rPr>
              <w:t>brak konieczności stosowania projektowanych usług do wymiany danych z systemami teleinformatycznymi podmiotów publicznych za pomocą usług sieciowych lub gdy odbiorca wnosi o doręczenie w postaci papierowej). Projektodawca nie planuje tworzenia takiego katalogu wyjątków</w:t>
            </w:r>
            <w:r w:rsidR="008529E5">
              <w:rPr>
                <w:rFonts w:ascii="Times New Roman" w:hAnsi="Times New Roman" w:cs="Times New Roman"/>
                <w:color w:val="000000" w:themeColor="text1"/>
              </w:rPr>
              <w:t>,</w:t>
            </w:r>
            <w:r w:rsidR="0006210C" w:rsidRPr="00067989">
              <w:rPr>
                <w:rFonts w:ascii="Times New Roman" w:hAnsi="Times New Roman" w:cs="Times New Roman"/>
                <w:color w:val="000000" w:themeColor="text1"/>
              </w:rPr>
              <w:t xml:space="preserve"> lecz umocowanie wyłączeń z uwagi na konkretne procesy biznesowe czy procedury np. pozostawienie możliwości dokonywanie doręczeń z wykorzystaniem innych rozwiązań techniczno-organizacyjnych niż adres do doręczeń elektronicznych</w:t>
            </w:r>
            <w:r w:rsidR="003B12BE">
              <w:rPr>
                <w:rFonts w:ascii="Times New Roman" w:hAnsi="Times New Roman" w:cs="Times New Roman"/>
                <w:color w:val="000000" w:themeColor="text1"/>
              </w:rPr>
              <w:t>,</w:t>
            </w:r>
            <w:r w:rsidR="0006210C" w:rsidRPr="00067989">
              <w:rPr>
                <w:rFonts w:ascii="Times New Roman" w:hAnsi="Times New Roman" w:cs="Times New Roman"/>
                <w:color w:val="000000" w:themeColor="text1"/>
              </w:rPr>
              <w:t xml:space="preserve"> jeśli doręczenie odbywa się poprzez konta utworzone w</w:t>
            </w:r>
            <w:r w:rsidR="00AB04E9">
              <w:rPr>
                <w:rFonts w:ascii="Times New Roman" w:hAnsi="Times New Roman" w:cs="Times New Roman"/>
                <w:color w:val="000000" w:themeColor="text1"/>
              </w:rPr>
              <w:t xml:space="preserve"> </w:t>
            </w:r>
            <w:r w:rsidR="0006210C" w:rsidRPr="00067989">
              <w:rPr>
                <w:rFonts w:ascii="Times New Roman" w:hAnsi="Times New Roman" w:cs="Times New Roman"/>
                <w:color w:val="000000" w:themeColor="text1"/>
              </w:rPr>
              <w:t>systemach teleinformatycznych obsługujących postępowania sądowe oraz repozytorium dokumentów finansowych</w:t>
            </w:r>
            <w:r w:rsidR="00A0523F" w:rsidRPr="00067989">
              <w:rPr>
                <w:rFonts w:ascii="Times New Roman" w:hAnsi="Times New Roman" w:cs="Times New Roman"/>
                <w:color w:val="000000" w:themeColor="text1"/>
              </w:rPr>
              <w:t xml:space="preserve">. </w:t>
            </w:r>
            <w:r w:rsidR="00B22F1A" w:rsidRPr="00067989">
              <w:rPr>
                <w:rFonts w:ascii="Times New Roman" w:hAnsi="Times New Roman" w:cs="Times New Roman"/>
                <w:color w:val="000000" w:themeColor="text1"/>
              </w:rPr>
              <w:t>W ustawie uregulowan</w:t>
            </w:r>
            <w:r w:rsidR="00302BAE" w:rsidRPr="00067989">
              <w:rPr>
                <w:rFonts w:ascii="Times New Roman" w:hAnsi="Times New Roman" w:cs="Times New Roman"/>
                <w:color w:val="000000" w:themeColor="text1"/>
              </w:rPr>
              <w:t>a</w:t>
            </w:r>
            <w:r w:rsidR="00B22F1A" w:rsidRPr="00067989">
              <w:rPr>
                <w:rFonts w:ascii="Times New Roman" w:hAnsi="Times New Roman" w:cs="Times New Roman"/>
                <w:color w:val="000000" w:themeColor="text1"/>
              </w:rPr>
              <w:t xml:space="preserve"> </w:t>
            </w:r>
            <w:r w:rsidR="00302BAE" w:rsidRPr="00067989">
              <w:rPr>
                <w:rFonts w:ascii="Times New Roman" w:hAnsi="Times New Roman" w:cs="Times New Roman"/>
                <w:color w:val="000000" w:themeColor="text1"/>
              </w:rPr>
              <w:t>zostaje</w:t>
            </w:r>
            <w:r w:rsidR="00B22F1A" w:rsidRPr="00067989">
              <w:rPr>
                <w:rFonts w:ascii="Times New Roman" w:hAnsi="Times New Roman" w:cs="Times New Roman"/>
                <w:color w:val="000000" w:themeColor="text1"/>
              </w:rPr>
              <w:t xml:space="preserve"> również odpowiedzialnoś</w:t>
            </w:r>
            <w:r w:rsidR="00302BAE" w:rsidRPr="00067989">
              <w:rPr>
                <w:rFonts w:ascii="Times New Roman" w:hAnsi="Times New Roman" w:cs="Times New Roman"/>
                <w:color w:val="000000" w:themeColor="text1"/>
              </w:rPr>
              <w:t>ć</w:t>
            </w:r>
            <w:r w:rsidR="00B22F1A" w:rsidRPr="00067989">
              <w:rPr>
                <w:rFonts w:ascii="Times New Roman" w:hAnsi="Times New Roman" w:cs="Times New Roman"/>
                <w:color w:val="000000" w:themeColor="text1"/>
              </w:rPr>
              <w:t xml:space="preserve"> operatora wyznaczonego z</w:t>
            </w:r>
            <w:r w:rsidR="008742F0">
              <w:rPr>
                <w:rFonts w:ascii="Times New Roman" w:hAnsi="Times New Roman" w:cs="Times New Roman"/>
                <w:color w:val="000000" w:themeColor="text1"/>
              </w:rPr>
              <w:t> </w:t>
            </w:r>
            <w:r w:rsidR="00B22F1A" w:rsidRPr="00067989">
              <w:rPr>
                <w:rFonts w:ascii="Times New Roman" w:hAnsi="Times New Roman" w:cs="Times New Roman"/>
                <w:color w:val="000000" w:themeColor="text1"/>
              </w:rPr>
              <w:t>tytułu niewykonania lub nienależytego wykonania publicznej usługi hybrydowej oraz publicznej usługi rejestrowanego doręczenia elektron</w:t>
            </w:r>
            <w:r w:rsidR="00302BAE" w:rsidRPr="00067989">
              <w:rPr>
                <w:rFonts w:ascii="Times New Roman" w:hAnsi="Times New Roman" w:cs="Times New Roman"/>
                <w:color w:val="000000" w:themeColor="text1"/>
              </w:rPr>
              <w:t>icznego, w tym kwestie odszkodowań oraz pozasądowego rozwiązywania sporów konsumenckich</w:t>
            </w:r>
            <w:r w:rsidR="00A0523F" w:rsidRPr="00067989">
              <w:rPr>
                <w:rFonts w:ascii="Times New Roman" w:hAnsi="Times New Roman" w:cs="Times New Roman"/>
                <w:color w:val="000000" w:themeColor="text1"/>
              </w:rPr>
              <w:t xml:space="preserve">. </w:t>
            </w:r>
            <w:r w:rsidR="00EA0361" w:rsidRPr="00067989">
              <w:rPr>
                <w:rFonts w:ascii="Times New Roman" w:hAnsi="Times New Roman" w:cs="Times New Roman"/>
                <w:color w:val="000000" w:themeColor="text1"/>
              </w:rPr>
              <w:t xml:space="preserve">Zgodnie z wymaganiami określonymi w ustawie </w:t>
            </w:r>
            <w:r w:rsidR="00EA0361" w:rsidRPr="00067989">
              <w:rPr>
                <w:rFonts w:ascii="Times New Roman" w:hAnsi="Times New Roman" w:cs="Times New Roman"/>
                <w:iCs/>
                <w:color w:val="000000" w:themeColor="text1"/>
              </w:rPr>
              <w:t xml:space="preserve">z dnia 23 listopada 2012 r. </w:t>
            </w:r>
            <w:r w:rsidR="00EA0361" w:rsidRPr="00067989">
              <w:rPr>
                <w:rFonts w:ascii="Times New Roman" w:hAnsi="Times New Roman" w:cs="Times New Roman"/>
                <w:color w:val="000000" w:themeColor="text1"/>
              </w:rPr>
              <w:t>– Prawo pocztowe o</w:t>
            </w:r>
            <w:r w:rsidR="005E5A43" w:rsidRPr="00067989">
              <w:rPr>
                <w:rFonts w:ascii="Times New Roman" w:hAnsi="Times New Roman" w:cs="Times New Roman"/>
                <w:color w:val="000000" w:themeColor="text1"/>
              </w:rPr>
              <w:t>perator wyznaczony m</w:t>
            </w:r>
            <w:r w:rsidR="00885003" w:rsidRPr="00067989">
              <w:rPr>
                <w:rFonts w:ascii="Times New Roman" w:hAnsi="Times New Roman" w:cs="Times New Roman"/>
                <w:color w:val="000000" w:themeColor="text1"/>
              </w:rPr>
              <w:t>usi zapewniać świadczenie usług pocztowych o</w:t>
            </w:r>
            <w:r w:rsidR="00B62740" w:rsidRPr="00067989">
              <w:rPr>
                <w:rFonts w:ascii="Times New Roman" w:hAnsi="Times New Roman" w:cs="Times New Roman"/>
                <w:color w:val="000000" w:themeColor="text1"/>
              </w:rPr>
              <w:t xml:space="preserve"> </w:t>
            </w:r>
            <w:r w:rsidR="00885003" w:rsidRPr="00067989">
              <w:rPr>
                <w:rFonts w:ascii="Times New Roman" w:hAnsi="Times New Roman" w:cs="Times New Roman"/>
                <w:color w:val="000000" w:themeColor="text1"/>
              </w:rPr>
              <w:t>określonej jakości we wszystkich punktach na</w:t>
            </w:r>
            <w:r w:rsidR="00B62740" w:rsidRPr="00067989">
              <w:rPr>
                <w:rFonts w:ascii="Times New Roman" w:hAnsi="Times New Roman" w:cs="Times New Roman"/>
                <w:color w:val="000000" w:themeColor="text1"/>
              </w:rPr>
              <w:t xml:space="preserve"> </w:t>
            </w:r>
            <w:r w:rsidR="00885003" w:rsidRPr="00067989">
              <w:rPr>
                <w:rFonts w:ascii="Times New Roman" w:hAnsi="Times New Roman" w:cs="Times New Roman"/>
                <w:color w:val="000000" w:themeColor="text1"/>
              </w:rPr>
              <w:t xml:space="preserve">obszarze kraju </w:t>
            </w:r>
            <w:r w:rsidR="00F92691" w:rsidRPr="00067989">
              <w:rPr>
                <w:rFonts w:ascii="Times New Roman" w:hAnsi="Times New Roman" w:cs="Times New Roman"/>
                <w:color w:val="000000" w:themeColor="text1"/>
              </w:rPr>
              <w:t>–</w:t>
            </w:r>
            <w:r w:rsidR="00885003" w:rsidRPr="00067989">
              <w:rPr>
                <w:rFonts w:ascii="Times New Roman" w:hAnsi="Times New Roman" w:cs="Times New Roman"/>
                <w:color w:val="000000" w:themeColor="text1"/>
              </w:rPr>
              <w:t xml:space="preserve"> posiadać status operatora pocztowego prowadzącego działalność pocztową na podstawie wpisu do</w:t>
            </w:r>
            <w:r w:rsidR="00B62740" w:rsidRPr="00067989">
              <w:rPr>
                <w:rFonts w:ascii="Times New Roman" w:hAnsi="Times New Roman" w:cs="Times New Roman"/>
                <w:color w:val="000000" w:themeColor="text1"/>
              </w:rPr>
              <w:t xml:space="preserve"> </w:t>
            </w:r>
            <w:r w:rsidR="00885003" w:rsidRPr="00067989">
              <w:rPr>
                <w:rFonts w:ascii="Times New Roman" w:hAnsi="Times New Roman" w:cs="Times New Roman"/>
                <w:color w:val="000000" w:themeColor="text1"/>
              </w:rPr>
              <w:t xml:space="preserve">rejestru oraz dysponować siecią placówek pocztowych i centrów rozdzielczych, środkami transportu </w:t>
            </w:r>
            <w:r w:rsidR="00B62740" w:rsidRPr="00067989">
              <w:rPr>
                <w:rFonts w:ascii="Times New Roman" w:hAnsi="Times New Roman" w:cs="Times New Roman"/>
                <w:color w:val="000000" w:themeColor="text1"/>
              </w:rPr>
              <w:t xml:space="preserve">oraz </w:t>
            </w:r>
            <w:r w:rsidR="00885003" w:rsidRPr="00067989">
              <w:rPr>
                <w:rFonts w:ascii="Times New Roman" w:hAnsi="Times New Roman" w:cs="Times New Roman"/>
                <w:color w:val="000000" w:themeColor="text1"/>
              </w:rPr>
              <w:t xml:space="preserve">odpowiednią organizacją przedsiębiorstwa. </w:t>
            </w:r>
          </w:p>
          <w:p w14:paraId="7E1E4E29" w14:textId="38234D6F" w:rsidR="00202A61" w:rsidRPr="00067989" w:rsidRDefault="0081416C" w:rsidP="008A3FA9">
            <w:pPr>
              <w:spacing w:before="60" w:after="60"/>
              <w:jc w:val="both"/>
              <w:rPr>
                <w:rFonts w:ascii="Times New Roman" w:hAnsi="Times New Roman" w:cs="Times New Roman"/>
                <w:iCs/>
                <w:color w:val="000000" w:themeColor="text1"/>
              </w:rPr>
            </w:pPr>
            <w:r w:rsidRPr="00067989">
              <w:rPr>
                <w:rFonts w:ascii="Times New Roman" w:hAnsi="Times New Roman" w:cs="Times New Roman"/>
                <w:iCs/>
                <w:color w:val="000000" w:themeColor="text1"/>
              </w:rPr>
              <w:t>Biorąc pod uwagę powyższe wymagania związane ze sposobem i standardem realizacji projektowanych usług, zmienione zostaną warunki konkursu na operatora wyznaczonego, prowadzone obecnie zgodnie z</w:t>
            </w:r>
            <w:r w:rsidR="00AB04E9">
              <w:rPr>
                <w:rFonts w:ascii="Times New Roman" w:hAnsi="Times New Roman" w:cs="Times New Roman"/>
                <w:iCs/>
                <w:color w:val="000000" w:themeColor="text1"/>
              </w:rPr>
              <w:t xml:space="preserve"> </w:t>
            </w:r>
            <w:r w:rsidRPr="00067989">
              <w:rPr>
                <w:rFonts w:ascii="Times New Roman" w:hAnsi="Times New Roman" w:cs="Times New Roman"/>
                <w:iCs/>
                <w:color w:val="000000" w:themeColor="text1"/>
              </w:rPr>
              <w:t>art. 71 ustawy z</w:t>
            </w:r>
            <w:r w:rsidR="008742F0">
              <w:rPr>
                <w:rFonts w:ascii="Times New Roman" w:hAnsi="Times New Roman" w:cs="Times New Roman"/>
                <w:iCs/>
                <w:color w:val="000000" w:themeColor="text1"/>
              </w:rPr>
              <w:t> </w:t>
            </w:r>
            <w:r w:rsidRPr="00067989">
              <w:rPr>
                <w:rFonts w:ascii="Times New Roman" w:hAnsi="Times New Roman" w:cs="Times New Roman"/>
                <w:iCs/>
                <w:color w:val="000000" w:themeColor="text1"/>
              </w:rPr>
              <w:t>dnia 23 listopada 2012 r. – Prawo pocztowe. Obecnie przedmiotem oceny w ramach ww</w:t>
            </w:r>
            <w:r w:rsidR="00307651" w:rsidRPr="00067989">
              <w:rPr>
                <w:rFonts w:ascii="Times New Roman" w:hAnsi="Times New Roman" w:cs="Times New Roman"/>
                <w:iCs/>
                <w:color w:val="000000" w:themeColor="text1"/>
              </w:rPr>
              <w:t>.</w:t>
            </w:r>
            <w:r w:rsidRPr="00067989">
              <w:rPr>
                <w:rFonts w:ascii="Times New Roman" w:hAnsi="Times New Roman" w:cs="Times New Roman"/>
                <w:iCs/>
                <w:color w:val="000000" w:themeColor="text1"/>
              </w:rPr>
              <w:t xml:space="preserve"> konkursu jest także potencjał instytucjonalny i kadrowy operatora. </w:t>
            </w:r>
            <w:r w:rsidR="00AD151A" w:rsidRPr="00067989">
              <w:rPr>
                <w:rFonts w:ascii="Times New Roman" w:hAnsi="Times New Roman" w:cs="Times New Roman"/>
                <w:iCs/>
                <w:color w:val="000000" w:themeColor="text1"/>
              </w:rPr>
              <w:t>W</w:t>
            </w:r>
            <w:r w:rsidRPr="00067989">
              <w:rPr>
                <w:rFonts w:ascii="Times New Roman" w:hAnsi="Times New Roman" w:cs="Times New Roman"/>
                <w:iCs/>
                <w:color w:val="000000" w:themeColor="text1"/>
              </w:rPr>
              <w:t>eryfikacji podlegała będzie również zdolność do efektywnej realizacji publicznej usługi rejestrowanego doręczenia elektronicznego oraz publicznej usługi hybrydowej</w:t>
            </w:r>
            <w:r w:rsidR="00202A61" w:rsidRPr="00067989">
              <w:rPr>
                <w:rFonts w:ascii="Times New Roman" w:hAnsi="Times New Roman" w:cs="Times New Roman"/>
                <w:iCs/>
                <w:color w:val="000000" w:themeColor="text1"/>
              </w:rPr>
              <w:t>.</w:t>
            </w:r>
          </w:p>
          <w:p w14:paraId="6BA96B82" w14:textId="77777777" w:rsidR="007A216B" w:rsidRPr="00067989" w:rsidRDefault="00084333" w:rsidP="00067989">
            <w:pPr>
              <w:spacing w:before="60" w:after="60"/>
              <w:jc w:val="both"/>
              <w:rPr>
                <w:rFonts w:ascii="Times New Roman" w:hAnsi="Times New Roman" w:cs="Times New Roman"/>
                <w:iCs/>
                <w:color w:val="000000" w:themeColor="text1"/>
              </w:rPr>
            </w:pPr>
            <w:r w:rsidRPr="00067989">
              <w:rPr>
                <w:rFonts w:ascii="Times New Roman" w:hAnsi="Times New Roman" w:cs="Times New Roman"/>
                <w:color w:val="000000" w:themeColor="text1"/>
              </w:rPr>
              <w:t>K</w:t>
            </w:r>
            <w:r w:rsidR="007A216B" w:rsidRPr="00067989">
              <w:rPr>
                <w:rFonts w:ascii="Times New Roman" w:hAnsi="Times New Roman" w:cs="Times New Roman"/>
                <w:color w:val="000000" w:themeColor="text1"/>
              </w:rPr>
              <w:t xml:space="preserve">onkurs na operatora wyznaczonego </w:t>
            </w:r>
            <w:r w:rsidRPr="00067989">
              <w:rPr>
                <w:rFonts w:ascii="Times New Roman" w:hAnsi="Times New Roman" w:cs="Times New Roman"/>
                <w:color w:val="000000" w:themeColor="text1"/>
              </w:rPr>
              <w:t>będzie przeprowadzony przed</w:t>
            </w:r>
            <w:r w:rsidR="00553B4E" w:rsidRPr="00067989">
              <w:rPr>
                <w:rFonts w:ascii="Times New Roman" w:hAnsi="Times New Roman" w:cs="Times New Roman"/>
                <w:color w:val="000000" w:themeColor="text1"/>
              </w:rPr>
              <w:t xml:space="preserve"> 31 grudnia </w:t>
            </w:r>
            <w:r w:rsidR="00135AB9" w:rsidRPr="00067989">
              <w:rPr>
                <w:rFonts w:ascii="Times New Roman" w:hAnsi="Times New Roman" w:cs="Times New Roman"/>
                <w:color w:val="000000" w:themeColor="text1"/>
              </w:rPr>
              <w:t>2025 r</w:t>
            </w:r>
            <w:r w:rsidRPr="00067989">
              <w:rPr>
                <w:rFonts w:ascii="Times New Roman" w:hAnsi="Times New Roman" w:cs="Times New Roman"/>
                <w:color w:val="000000" w:themeColor="text1"/>
              </w:rPr>
              <w:t>.,</w:t>
            </w:r>
            <w:r w:rsidR="00135AB9" w:rsidRPr="00067989">
              <w:rPr>
                <w:rFonts w:ascii="Times New Roman" w:hAnsi="Times New Roman" w:cs="Times New Roman"/>
                <w:color w:val="000000" w:themeColor="text1"/>
              </w:rPr>
              <w:t xml:space="preserve"> </w:t>
            </w:r>
            <w:r w:rsidR="00553B4E" w:rsidRPr="00067989">
              <w:rPr>
                <w:rFonts w:ascii="Times New Roman" w:hAnsi="Times New Roman" w:cs="Times New Roman"/>
                <w:color w:val="000000" w:themeColor="text1"/>
              </w:rPr>
              <w:t xml:space="preserve">z zachowaniem zasad równego traktowania, uczciwej konkurencji i przejrzystości procesu </w:t>
            </w:r>
            <w:r w:rsidR="007A216B" w:rsidRPr="00067989">
              <w:rPr>
                <w:rFonts w:ascii="Times New Roman" w:hAnsi="Times New Roman" w:cs="Times New Roman"/>
                <w:color w:val="000000" w:themeColor="text1"/>
              </w:rPr>
              <w:t xml:space="preserve">wyboru </w:t>
            </w:r>
            <w:r w:rsidR="00553B4E" w:rsidRPr="00067989">
              <w:rPr>
                <w:rFonts w:ascii="Times New Roman" w:hAnsi="Times New Roman" w:cs="Times New Roman"/>
                <w:color w:val="000000" w:themeColor="text1"/>
              </w:rPr>
              <w:t xml:space="preserve">wykonawcy </w:t>
            </w:r>
            <w:r w:rsidR="005F6337">
              <w:rPr>
                <w:rFonts w:ascii="Times New Roman" w:hAnsi="Times New Roman" w:cs="Times New Roman"/>
                <w:color w:val="000000" w:themeColor="text1"/>
              </w:rPr>
              <w:t>–</w:t>
            </w:r>
            <w:r w:rsidR="00553B4E" w:rsidRPr="00067989">
              <w:rPr>
                <w:rFonts w:ascii="Times New Roman" w:hAnsi="Times New Roman" w:cs="Times New Roman"/>
                <w:color w:val="000000" w:themeColor="text1"/>
              </w:rPr>
              <w:t xml:space="preserve"> co zapewni </w:t>
            </w:r>
            <w:r w:rsidRPr="00067989">
              <w:rPr>
                <w:rFonts w:ascii="Times New Roman" w:hAnsi="Times New Roman" w:cs="Times New Roman"/>
                <w:color w:val="000000" w:themeColor="text1"/>
              </w:rPr>
              <w:t xml:space="preserve">wszystkim operatorom </w:t>
            </w:r>
            <w:r w:rsidR="00135AB9" w:rsidRPr="00067989">
              <w:rPr>
                <w:rFonts w:ascii="Times New Roman" w:hAnsi="Times New Roman" w:cs="Times New Roman"/>
                <w:color w:val="000000" w:themeColor="text1"/>
              </w:rPr>
              <w:t>równ</w:t>
            </w:r>
            <w:r w:rsidRPr="00067989">
              <w:rPr>
                <w:rFonts w:ascii="Times New Roman" w:hAnsi="Times New Roman" w:cs="Times New Roman"/>
                <w:color w:val="000000" w:themeColor="text1"/>
              </w:rPr>
              <w:t>e</w:t>
            </w:r>
            <w:r w:rsidR="007A216B" w:rsidRPr="00067989">
              <w:rPr>
                <w:rFonts w:ascii="Times New Roman" w:hAnsi="Times New Roman" w:cs="Times New Roman"/>
                <w:color w:val="000000" w:themeColor="text1"/>
              </w:rPr>
              <w:t xml:space="preserve"> szans</w:t>
            </w:r>
            <w:r w:rsidRPr="00067989">
              <w:rPr>
                <w:rFonts w:ascii="Times New Roman" w:hAnsi="Times New Roman" w:cs="Times New Roman"/>
                <w:color w:val="000000" w:themeColor="text1"/>
              </w:rPr>
              <w:t>e</w:t>
            </w:r>
            <w:r w:rsidR="007A216B" w:rsidRPr="00067989">
              <w:rPr>
                <w:rFonts w:ascii="Times New Roman" w:hAnsi="Times New Roman" w:cs="Times New Roman"/>
                <w:color w:val="000000" w:themeColor="text1"/>
              </w:rPr>
              <w:t xml:space="preserve"> świadczenia usług.</w:t>
            </w:r>
            <w:r w:rsidR="00250AFB" w:rsidRPr="00067989">
              <w:rPr>
                <w:rFonts w:ascii="Times New Roman" w:hAnsi="Times New Roman" w:cs="Times New Roman"/>
                <w:color w:val="000000" w:themeColor="text1"/>
              </w:rPr>
              <w:t xml:space="preserve"> </w:t>
            </w:r>
            <w:r w:rsidR="007A216B" w:rsidRPr="00067989">
              <w:rPr>
                <w:rFonts w:ascii="Times New Roman" w:hAnsi="Times New Roman" w:cs="Times New Roman"/>
                <w:color w:val="000000" w:themeColor="text1"/>
              </w:rPr>
              <w:t xml:space="preserve">Powierzenie wyboru </w:t>
            </w:r>
            <w:r w:rsidR="00752DD5" w:rsidRPr="00067989">
              <w:rPr>
                <w:rFonts w:ascii="Times New Roman" w:hAnsi="Times New Roman" w:cs="Times New Roman"/>
                <w:color w:val="000000" w:themeColor="text1"/>
              </w:rPr>
              <w:t>operatora wyznaczonego</w:t>
            </w:r>
            <w:r w:rsidR="007A216B" w:rsidRPr="00067989">
              <w:rPr>
                <w:rFonts w:ascii="Times New Roman" w:hAnsi="Times New Roman" w:cs="Times New Roman"/>
                <w:color w:val="000000" w:themeColor="text1"/>
              </w:rPr>
              <w:t xml:space="preserve"> Urzędowi Komunikacji Elektroniczne</w:t>
            </w:r>
            <w:r w:rsidR="00752DD5" w:rsidRPr="00067989">
              <w:rPr>
                <w:rFonts w:ascii="Times New Roman" w:hAnsi="Times New Roman" w:cs="Times New Roman"/>
                <w:color w:val="000000" w:themeColor="text1"/>
              </w:rPr>
              <w:t>j, jako doświadczonej jednostce</w:t>
            </w:r>
            <w:r w:rsidR="00F92691" w:rsidRPr="00067989">
              <w:rPr>
                <w:rFonts w:ascii="Times New Roman" w:hAnsi="Times New Roman" w:cs="Times New Roman"/>
                <w:color w:val="000000" w:themeColor="text1"/>
              </w:rPr>
              <w:t>,</w:t>
            </w:r>
            <w:r w:rsidR="00752DD5" w:rsidRPr="00067989">
              <w:rPr>
                <w:rFonts w:ascii="Times New Roman" w:hAnsi="Times New Roman" w:cs="Times New Roman"/>
                <w:color w:val="000000" w:themeColor="text1"/>
              </w:rPr>
              <w:t xml:space="preserve"> </w:t>
            </w:r>
            <w:r w:rsidR="007A216B" w:rsidRPr="00067989">
              <w:rPr>
                <w:rFonts w:ascii="Times New Roman" w:hAnsi="Times New Roman" w:cs="Times New Roman"/>
                <w:color w:val="000000" w:themeColor="text1"/>
              </w:rPr>
              <w:t>pozwoli przeprowadzić konkurs w sposób zapewniający najwyższe standardy oraz da gwarancję świadczenia usługi e-Doręczenia w</w:t>
            </w:r>
            <w:r w:rsidR="00AB04E9">
              <w:rPr>
                <w:rFonts w:ascii="Times New Roman" w:hAnsi="Times New Roman" w:cs="Times New Roman"/>
                <w:color w:val="000000" w:themeColor="text1"/>
              </w:rPr>
              <w:t xml:space="preserve"> </w:t>
            </w:r>
            <w:r w:rsidR="007A216B" w:rsidRPr="00067989">
              <w:rPr>
                <w:rFonts w:ascii="Times New Roman" w:hAnsi="Times New Roman" w:cs="Times New Roman"/>
                <w:color w:val="000000" w:themeColor="text1"/>
              </w:rPr>
              <w:t>sposób niezawodny na terenie całego kraju</w:t>
            </w:r>
            <w:r w:rsidR="00752DD5" w:rsidRPr="00067989">
              <w:rPr>
                <w:rFonts w:ascii="Times New Roman" w:hAnsi="Times New Roman" w:cs="Times New Roman"/>
                <w:color w:val="000000" w:themeColor="text1"/>
              </w:rPr>
              <w:t>.</w:t>
            </w:r>
          </w:p>
          <w:p w14:paraId="5D8E5ABA" w14:textId="783AA1B8" w:rsidR="00377E79" w:rsidRPr="00067989" w:rsidRDefault="007276DF" w:rsidP="008A3FA9">
            <w:pPr>
              <w:spacing w:before="60" w:after="60"/>
              <w:jc w:val="both"/>
              <w:rPr>
                <w:rFonts w:ascii="Times New Roman" w:hAnsi="Times New Roman" w:cs="Times New Roman"/>
                <w:color w:val="000000" w:themeColor="text1"/>
              </w:rPr>
            </w:pPr>
            <w:r w:rsidRPr="00067989">
              <w:rPr>
                <w:rFonts w:ascii="Times New Roman" w:hAnsi="Times New Roman" w:cs="Times New Roman"/>
                <w:iCs/>
                <w:color w:val="000000" w:themeColor="text1"/>
              </w:rPr>
              <w:t>Do czasu przeprowadzenia ko</w:t>
            </w:r>
            <w:r w:rsidR="004A7A04" w:rsidRPr="00067989">
              <w:rPr>
                <w:rFonts w:ascii="Times New Roman" w:hAnsi="Times New Roman" w:cs="Times New Roman"/>
                <w:iCs/>
                <w:color w:val="000000" w:themeColor="text1"/>
              </w:rPr>
              <w:t>lejnego ko</w:t>
            </w:r>
            <w:r w:rsidRPr="00067989">
              <w:rPr>
                <w:rFonts w:ascii="Times New Roman" w:hAnsi="Times New Roman" w:cs="Times New Roman"/>
                <w:iCs/>
                <w:color w:val="000000" w:themeColor="text1"/>
              </w:rPr>
              <w:t>nkursu na operatora wyznaczonego</w:t>
            </w:r>
            <w:r w:rsidR="004A7A04" w:rsidRPr="00067989">
              <w:rPr>
                <w:rFonts w:ascii="Times New Roman" w:hAnsi="Times New Roman" w:cs="Times New Roman"/>
                <w:iCs/>
                <w:color w:val="000000" w:themeColor="text1"/>
              </w:rPr>
              <w:t xml:space="preserve"> o którym mowa powyżej</w:t>
            </w:r>
            <w:r w:rsidRPr="00067989">
              <w:rPr>
                <w:rFonts w:ascii="Times New Roman" w:hAnsi="Times New Roman" w:cs="Times New Roman"/>
                <w:iCs/>
                <w:color w:val="000000" w:themeColor="text1"/>
              </w:rPr>
              <w:t>, tj. do 2025 r.</w:t>
            </w:r>
            <w:r w:rsidR="007237D8" w:rsidRPr="00067989">
              <w:rPr>
                <w:rFonts w:ascii="Times New Roman" w:hAnsi="Times New Roman" w:cs="Times New Roman"/>
                <w:iCs/>
                <w:color w:val="000000" w:themeColor="text1"/>
              </w:rPr>
              <w:t xml:space="preserve"> (okres przejściowy)</w:t>
            </w:r>
            <w:r w:rsidR="00AC1DCD" w:rsidRPr="00067989">
              <w:rPr>
                <w:rFonts w:ascii="Times New Roman" w:hAnsi="Times New Roman" w:cs="Times New Roman"/>
                <w:iCs/>
                <w:color w:val="000000" w:themeColor="text1"/>
              </w:rPr>
              <w:t>,</w:t>
            </w:r>
            <w:r w:rsidRPr="00067989">
              <w:rPr>
                <w:rFonts w:ascii="Times New Roman" w:hAnsi="Times New Roman" w:cs="Times New Roman"/>
                <w:iCs/>
                <w:color w:val="000000" w:themeColor="text1"/>
              </w:rPr>
              <w:t xml:space="preserve"> świadczenie usług powierzone zostanie </w:t>
            </w:r>
            <w:r w:rsidR="004A7A04" w:rsidRPr="00067989">
              <w:rPr>
                <w:rFonts w:ascii="Times New Roman" w:hAnsi="Times New Roman" w:cs="Times New Roman"/>
                <w:iCs/>
                <w:color w:val="000000" w:themeColor="text1"/>
              </w:rPr>
              <w:t xml:space="preserve">na mocy ustawy </w:t>
            </w:r>
            <w:r w:rsidRPr="00067989">
              <w:rPr>
                <w:rFonts w:ascii="Times New Roman" w:hAnsi="Times New Roman" w:cs="Times New Roman"/>
                <w:iCs/>
                <w:color w:val="000000" w:themeColor="text1"/>
              </w:rPr>
              <w:t>operatorowi wyznaczonemu do świadczenia usług powszechnych na lata 2016</w:t>
            </w:r>
            <w:r w:rsidR="005F6337">
              <w:rPr>
                <w:rFonts w:ascii="Times New Roman" w:hAnsi="Times New Roman" w:cs="Times New Roman"/>
                <w:iCs/>
                <w:color w:val="000000" w:themeColor="text1"/>
              </w:rPr>
              <w:t>–</w:t>
            </w:r>
            <w:r w:rsidRPr="00067989">
              <w:rPr>
                <w:rFonts w:ascii="Times New Roman" w:hAnsi="Times New Roman" w:cs="Times New Roman"/>
                <w:iCs/>
                <w:color w:val="000000" w:themeColor="text1"/>
              </w:rPr>
              <w:t>2025, tj. Poczcie Polskiej S.A.</w:t>
            </w:r>
            <w:r w:rsidRPr="00067989">
              <w:rPr>
                <w:rFonts w:ascii="Times New Roman" w:hAnsi="Times New Roman" w:cs="Times New Roman"/>
                <w:color w:val="000000" w:themeColor="text1"/>
              </w:rPr>
              <w:t xml:space="preserve">. </w:t>
            </w:r>
            <w:r w:rsidR="004A7A04" w:rsidRPr="00067989">
              <w:rPr>
                <w:rFonts w:ascii="Times New Roman" w:hAnsi="Times New Roman" w:cs="Times New Roman"/>
                <w:color w:val="000000" w:themeColor="text1"/>
              </w:rPr>
              <w:t>Powierzenie Poczcie Polskiej S.A. świadczenia publicznej usługi rejestrowanego doręczenia elektronicznego oraz publicznej usługi hybrydowej poprzedzone zostało analizą jej gotowości do</w:t>
            </w:r>
            <w:r w:rsidR="00C916C2" w:rsidRPr="00067989">
              <w:rPr>
                <w:rFonts w:ascii="Times New Roman" w:hAnsi="Times New Roman" w:cs="Times New Roman"/>
                <w:color w:val="000000" w:themeColor="text1"/>
              </w:rPr>
              <w:t xml:space="preserve"> </w:t>
            </w:r>
            <w:r w:rsidR="004A7A04" w:rsidRPr="00067989">
              <w:rPr>
                <w:rFonts w:ascii="Times New Roman" w:hAnsi="Times New Roman" w:cs="Times New Roman"/>
                <w:color w:val="000000" w:themeColor="text1"/>
              </w:rPr>
              <w:t>świadczenia wyżej wymienionych usług</w:t>
            </w:r>
            <w:r w:rsidR="0014263B" w:rsidRPr="00067989">
              <w:rPr>
                <w:rFonts w:ascii="Times New Roman" w:hAnsi="Times New Roman" w:cs="Times New Roman"/>
                <w:color w:val="000000" w:themeColor="text1"/>
              </w:rPr>
              <w:t xml:space="preserve">. Istotne znaczenia dla oceny gotowości Poczty Polskiej S.A. miały </w:t>
            </w:r>
            <w:r w:rsidR="003D0B90" w:rsidRPr="00067989">
              <w:rPr>
                <w:rFonts w:ascii="Times New Roman" w:hAnsi="Times New Roman" w:cs="Times New Roman"/>
                <w:color w:val="000000" w:themeColor="text1"/>
              </w:rPr>
              <w:t>w</w:t>
            </w:r>
            <w:r w:rsidR="00C916C2" w:rsidRPr="00067989">
              <w:rPr>
                <w:rFonts w:ascii="Times New Roman" w:hAnsi="Times New Roman" w:cs="Times New Roman"/>
                <w:color w:val="000000" w:themeColor="text1"/>
              </w:rPr>
              <w:t>yniki konkursu przeprowadzonego przez Urząd Komunikacji Elektronicznej, zakończonego</w:t>
            </w:r>
            <w:r w:rsidR="003B12BE">
              <w:rPr>
                <w:rFonts w:ascii="Times New Roman" w:hAnsi="Times New Roman" w:cs="Times New Roman"/>
                <w:color w:val="000000" w:themeColor="text1"/>
              </w:rPr>
              <w:t xml:space="preserve"> w</w:t>
            </w:r>
            <w:r w:rsidR="00C916C2" w:rsidRPr="00067989">
              <w:rPr>
                <w:rFonts w:ascii="Times New Roman" w:hAnsi="Times New Roman" w:cs="Times New Roman"/>
                <w:color w:val="000000" w:themeColor="text1"/>
              </w:rPr>
              <w:t xml:space="preserve"> dniu 30 czerwca 2015 r. decyzją o wyborze Poczty Polskiej S.A. jako operatora wyznaczonego do świadczenia usług powszechnych na lata 2016</w:t>
            </w:r>
            <w:r w:rsidR="00067989">
              <w:rPr>
                <w:rFonts w:ascii="Times New Roman" w:hAnsi="Times New Roman" w:cs="Times New Roman"/>
                <w:color w:val="000000" w:themeColor="text1"/>
              </w:rPr>
              <w:t>–</w:t>
            </w:r>
            <w:r w:rsidR="00C916C2" w:rsidRPr="00067989">
              <w:rPr>
                <w:rFonts w:ascii="Times New Roman" w:hAnsi="Times New Roman" w:cs="Times New Roman"/>
                <w:color w:val="000000" w:themeColor="text1"/>
              </w:rPr>
              <w:t>2025</w:t>
            </w:r>
            <w:r w:rsidR="003D0B90" w:rsidRPr="00067989">
              <w:rPr>
                <w:rFonts w:ascii="Times New Roman" w:hAnsi="Times New Roman" w:cs="Times New Roman"/>
                <w:color w:val="000000" w:themeColor="text1"/>
              </w:rPr>
              <w:t>.</w:t>
            </w:r>
            <w:r w:rsidR="00C916C2" w:rsidRPr="00067989">
              <w:rPr>
                <w:rFonts w:ascii="Times New Roman" w:hAnsi="Times New Roman" w:cs="Times New Roman"/>
                <w:color w:val="000000" w:themeColor="text1"/>
              </w:rPr>
              <w:t xml:space="preserve"> </w:t>
            </w:r>
            <w:r w:rsidR="003D0B90" w:rsidRPr="00067989">
              <w:rPr>
                <w:rFonts w:ascii="Times New Roman" w:hAnsi="Times New Roman" w:cs="Times New Roman"/>
                <w:color w:val="000000" w:themeColor="text1"/>
              </w:rPr>
              <w:t xml:space="preserve">Wyniki te </w:t>
            </w:r>
            <w:r w:rsidR="00C916C2" w:rsidRPr="00067989">
              <w:rPr>
                <w:rFonts w:ascii="Times New Roman" w:hAnsi="Times New Roman" w:cs="Times New Roman"/>
                <w:color w:val="000000" w:themeColor="text1"/>
              </w:rPr>
              <w:t xml:space="preserve">potwierdzają, że potencjał instytucjonalny i kadrowy Poczty Polskiej S.A. pozwala na efektywne sprawowanie funkcji operatora wyznaczonego do świadczenia usługi powszechnej. Potencjał ten jest wystarczający do zapewnienia realizacji publicznej usługi hybrydowej. Ponadto Poczta Polska S.A. posiada kilkuletnie doświadczenie w realizacji usługi </w:t>
            </w:r>
            <w:r w:rsidR="0014263B" w:rsidRPr="00067989">
              <w:rPr>
                <w:rFonts w:ascii="Times New Roman" w:hAnsi="Times New Roman" w:cs="Times New Roman"/>
                <w:color w:val="000000" w:themeColor="text1"/>
              </w:rPr>
              <w:t xml:space="preserve">zbliżonej do publicznej usługi hybrydowej, którą stanowi </w:t>
            </w:r>
            <w:r w:rsidR="00C916C2" w:rsidRPr="000E2DF4">
              <w:rPr>
                <w:rFonts w:ascii="Times New Roman" w:hAnsi="Times New Roman" w:cs="Times New Roman"/>
                <w:color w:val="000000" w:themeColor="text1"/>
              </w:rPr>
              <w:t>Neolist</w:t>
            </w:r>
            <w:r w:rsidR="0014263B" w:rsidRPr="000E2DF4">
              <w:rPr>
                <w:rFonts w:ascii="Times New Roman" w:hAnsi="Times New Roman" w:cs="Times New Roman"/>
                <w:color w:val="000000" w:themeColor="text1"/>
              </w:rPr>
              <w:t xml:space="preserve"> drukowany </w:t>
            </w:r>
            <w:r w:rsidR="00C916C2" w:rsidRPr="000E2DF4">
              <w:rPr>
                <w:rFonts w:ascii="Times New Roman" w:hAnsi="Times New Roman" w:cs="Times New Roman"/>
                <w:color w:val="000000" w:themeColor="text1"/>
              </w:rPr>
              <w:t xml:space="preserve">(przesyłanie </w:t>
            </w:r>
            <w:r w:rsidR="0014263B" w:rsidRPr="000E2DF4">
              <w:rPr>
                <w:rFonts w:ascii="Times New Roman" w:hAnsi="Times New Roman" w:cs="Times New Roman"/>
                <w:color w:val="000000" w:themeColor="text1"/>
              </w:rPr>
              <w:t xml:space="preserve">w postaci </w:t>
            </w:r>
            <w:r w:rsidR="00C916C2" w:rsidRPr="000E2DF4">
              <w:rPr>
                <w:rFonts w:ascii="Times New Roman" w:hAnsi="Times New Roman" w:cs="Times New Roman"/>
                <w:color w:val="000000" w:themeColor="text1"/>
              </w:rPr>
              <w:t>elektroniczne</w:t>
            </w:r>
            <w:r w:rsidR="0014263B" w:rsidRPr="000E2DF4">
              <w:rPr>
                <w:rFonts w:ascii="Times New Roman" w:hAnsi="Times New Roman" w:cs="Times New Roman"/>
                <w:color w:val="000000" w:themeColor="text1"/>
              </w:rPr>
              <w:t>j</w:t>
            </w:r>
            <w:r w:rsidR="00E37095" w:rsidRPr="000E2DF4">
              <w:rPr>
                <w:rFonts w:ascii="Times New Roman" w:hAnsi="Times New Roman" w:cs="Times New Roman"/>
                <w:color w:val="000000" w:themeColor="text1"/>
              </w:rPr>
              <w:t>,</w:t>
            </w:r>
            <w:r w:rsidR="00C916C2" w:rsidRPr="000E2DF4">
              <w:rPr>
                <w:rFonts w:ascii="Times New Roman" w:hAnsi="Times New Roman" w:cs="Times New Roman"/>
                <w:color w:val="000000" w:themeColor="text1"/>
              </w:rPr>
              <w:t xml:space="preserve"> </w:t>
            </w:r>
            <w:r w:rsidR="0014263B" w:rsidRPr="000E2DF4">
              <w:rPr>
                <w:rFonts w:ascii="Times New Roman" w:hAnsi="Times New Roman" w:cs="Times New Roman"/>
                <w:color w:val="000000" w:themeColor="text1"/>
              </w:rPr>
              <w:t>a następnie</w:t>
            </w:r>
            <w:r w:rsidR="00C916C2" w:rsidRPr="000E2DF4">
              <w:rPr>
                <w:rFonts w:ascii="Times New Roman" w:hAnsi="Times New Roman" w:cs="Times New Roman"/>
                <w:color w:val="000000" w:themeColor="text1"/>
              </w:rPr>
              <w:t xml:space="preserve"> drukowanie</w:t>
            </w:r>
            <w:r w:rsidR="0014263B" w:rsidRPr="000E2DF4">
              <w:rPr>
                <w:rFonts w:ascii="Times New Roman" w:hAnsi="Times New Roman" w:cs="Times New Roman"/>
                <w:color w:val="000000" w:themeColor="text1"/>
              </w:rPr>
              <w:t xml:space="preserve"> i zamiana do postaci papierowej oraz doręczenie w tej postaci</w:t>
            </w:r>
            <w:r w:rsidR="00C916C2" w:rsidRPr="00E42D6D">
              <w:rPr>
                <w:rFonts w:ascii="Times New Roman" w:hAnsi="Times New Roman" w:cs="Times New Roman"/>
                <w:color w:val="000000" w:themeColor="text1"/>
              </w:rPr>
              <w:t>), wykorzystując w tym celu Platformę Envelo</w:t>
            </w:r>
            <w:r w:rsidR="0014263B" w:rsidRPr="00080920">
              <w:rPr>
                <w:rFonts w:ascii="Times New Roman" w:hAnsi="Times New Roman" w:cs="Times New Roman"/>
                <w:color w:val="000000" w:themeColor="text1"/>
              </w:rPr>
              <w:t xml:space="preserve">. </w:t>
            </w:r>
            <w:r w:rsidR="00A32F13" w:rsidRPr="00067989">
              <w:rPr>
                <w:rFonts w:ascii="Times New Roman" w:hAnsi="Times New Roman" w:cs="Times New Roman"/>
                <w:color w:val="000000" w:themeColor="text1"/>
              </w:rPr>
              <w:t>P</w:t>
            </w:r>
            <w:r w:rsidR="0014263B" w:rsidRPr="00067989">
              <w:rPr>
                <w:rFonts w:ascii="Times New Roman" w:hAnsi="Times New Roman" w:cs="Times New Roman"/>
                <w:color w:val="000000" w:themeColor="text1"/>
              </w:rPr>
              <w:t xml:space="preserve">latforma ta </w:t>
            </w:r>
            <w:r w:rsidR="00C916C2" w:rsidRPr="00067989">
              <w:rPr>
                <w:rFonts w:ascii="Times New Roman" w:hAnsi="Times New Roman" w:cs="Times New Roman"/>
                <w:color w:val="000000" w:themeColor="text1"/>
              </w:rPr>
              <w:t>może zostać dostosowana do technicznego standardu usługi rejestrowanego doręczenia elektronicznego</w:t>
            </w:r>
            <w:r w:rsidR="0014263B" w:rsidRPr="00067989">
              <w:rPr>
                <w:rFonts w:ascii="Times New Roman" w:hAnsi="Times New Roman" w:cs="Times New Roman"/>
                <w:color w:val="000000" w:themeColor="text1"/>
              </w:rPr>
              <w:t xml:space="preserve"> a</w:t>
            </w:r>
            <w:r w:rsidR="00AB04E9">
              <w:rPr>
                <w:rFonts w:ascii="Times New Roman" w:hAnsi="Times New Roman" w:cs="Times New Roman"/>
                <w:color w:val="000000" w:themeColor="text1"/>
              </w:rPr>
              <w:t xml:space="preserve"> </w:t>
            </w:r>
            <w:r w:rsidR="0014263B" w:rsidRPr="00067989">
              <w:rPr>
                <w:rFonts w:ascii="Times New Roman" w:hAnsi="Times New Roman" w:cs="Times New Roman"/>
                <w:color w:val="000000" w:themeColor="text1"/>
              </w:rPr>
              <w:t>także wykorzystana do realizacji publicznej usługi hybrydowej</w:t>
            </w:r>
            <w:r w:rsidR="00C916C2" w:rsidRPr="00067989">
              <w:rPr>
                <w:rFonts w:ascii="Times New Roman" w:hAnsi="Times New Roman" w:cs="Times New Roman"/>
                <w:color w:val="000000" w:themeColor="text1"/>
              </w:rPr>
              <w:t>.</w:t>
            </w:r>
            <w:r w:rsidR="00FC0BC8" w:rsidRPr="00067989">
              <w:rPr>
                <w:rFonts w:ascii="Times New Roman" w:hAnsi="Times New Roman" w:cs="Times New Roman"/>
                <w:color w:val="000000" w:themeColor="text1"/>
              </w:rPr>
              <w:t xml:space="preserve"> </w:t>
            </w:r>
            <w:r w:rsidR="00C916C2" w:rsidRPr="00067989">
              <w:rPr>
                <w:rFonts w:ascii="Times New Roman" w:hAnsi="Times New Roman" w:cs="Times New Roman"/>
                <w:color w:val="000000" w:themeColor="text1"/>
              </w:rPr>
              <w:t xml:space="preserve">Poczta Polska posiada </w:t>
            </w:r>
            <w:r w:rsidR="00FC0BC8" w:rsidRPr="00067989">
              <w:rPr>
                <w:rFonts w:ascii="Times New Roman" w:hAnsi="Times New Roman" w:cs="Times New Roman"/>
                <w:color w:val="000000" w:themeColor="text1"/>
              </w:rPr>
              <w:t xml:space="preserve">także </w:t>
            </w:r>
            <w:r w:rsidR="00C916C2" w:rsidRPr="00067989">
              <w:rPr>
                <w:rFonts w:ascii="Times New Roman" w:hAnsi="Times New Roman" w:cs="Times New Roman"/>
                <w:color w:val="000000" w:themeColor="text1"/>
              </w:rPr>
              <w:t>doświadczenie w realizacji dużych projektów, obejmujących obszar całego kraju. Zapewnia obsługę</w:t>
            </w:r>
            <w:r w:rsidR="00FC0BC8" w:rsidRPr="00067989">
              <w:rPr>
                <w:rFonts w:ascii="Times New Roman" w:hAnsi="Times New Roman" w:cs="Times New Roman"/>
                <w:color w:val="000000" w:themeColor="text1"/>
              </w:rPr>
              <w:t xml:space="preserve"> kontraktu dla polskich sądów z </w:t>
            </w:r>
            <w:r w:rsidR="00C916C2" w:rsidRPr="00067989">
              <w:rPr>
                <w:rFonts w:ascii="Times New Roman" w:hAnsi="Times New Roman" w:cs="Times New Roman"/>
                <w:color w:val="000000" w:themeColor="text1"/>
              </w:rPr>
              <w:t>wykorzystaniem aplikacji Mobilny Listonosz. W aplikacji realizuje obsługę elektronicznego potwierdzenia odbioru, które zastąpiło potwierdzenia odbioru w</w:t>
            </w:r>
            <w:r w:rsidR="00AB04E9">
              <w:rPr>
                <w:rFonts w:ascii="Times New Roman" w:hAnsi="Times New Roman" w:cs="Times New Roman"/>
                <w:color w:val="000000" w:themeColor="text1"/>
              </w:rPr>
              <w:t xml:space="preserve"> </w:t>
            </w:r>
            <w:r w:rsidR="00C916C2" w:rsidRPr="00067989">
              <w:rPr>
                <w:rFonts w:ascii="Times New Roman" w:hAnsi="Times New Roman" w:cs="Times New Roman"/>
                <w:color w:val="000000" w:themeColor="text1"/>
              </w:rPr>
              <w:t>postaci papierowej</w:t>
            </w:r>
            <w:r w:rsidR="00AB04E9">
              <w:rPr>
                <w:rFonts w:ascii="Times New Roman" w:hAnsi="Times New Roman" w:cs="Times New Roman"/>
                <w:color w:val="000000" w:themeColor="text1"/>
              </w:rPr>
              <w:t xml:space="preserve"> </w:t>
            </w:r>
            <w:r w:rsidR="00C916C2" w:rsidRPr="00067989">
              <w:rPr>
                <w:rFonts w:ascii="Times New Roman" w:hAnsi="Times New Roman" w:cs="Times New Roman"/>
                <w:color w:val="000000" w:themeColor="text1"/>
              </w:rPr>
              <w:t>dla korespondencji wymiaru sprawiedliwości. Usługę świadczy od 1</w:t>
            </w:r>
            <w:r w:rsidR="008742F0">
              <w:rPr>
                <w:rFonts w:ascii="Times New Roman" w:hAnsi="Times New Roman" w:cs="Times New Roman"/>
                <w:color w:val="000000" w:themeColor="text1"/>
              </w:rPr>
              <w:t> </w:t>
            </w:r>
            <w:r w:rsidR="00C916C2" w:rsidRPr="00067989">
              <w:rPr>
                <w:rFonts w:ascii="Times New Roman" w:hAnsi="Times New Roman" w:cs="Times New Roman"/>
                <w:color w:val="000000" w:themeColor="text1"/>
              </w:rPr>
              <w:t>marca 2016 r</w:t>
            </w:r>
            <w:r w:rsidR="00E37095" w:rsidRPr="00067989">
              <w:rPr>
                <w:rFonts w:ascii="Times New Roman" w:hAnsi="Times New Roman" w:cs="Times New Roman"/>
                <w:color w:val="000000" w:themeColor="text1"/>
              </w:rPr>
              <w:t>.</w:t>
            </w:r>
            <w:r w:rsidR="00C916C2" w:rsidRPr="00067989">
              <w:rPr>
                <w:rFonts w:ascii="Times New Roman" w:hAnsi="Times New Roman" w:cs="Times New Roman"/>
                <w:color w:val="000000" w:themeColor="text1"/>
              </w:rPr>
              <w:t xml:space="preserve"> i jako jedyna na rynku w Polsce spełniła wymagania wymiaru sądownictwa. W</w:t>
            </w:r>
            <w:r w:rsidR="00AB04E9">
              <w:rPr>
                <w:rFonts w:ascii="Times New Roman" w:hAnsi="Times New Roman" w:cs="Times New Roman"/>
                <w:color w:val="000000" w:themeColor="text1"/>
              </w:rPr>
              <w:t xml:space="preserve"> </w:t>
            </w:r>
            <w:r w:rsidR="00C916C2" w:rsidRPr="00067989">
              <w:rPr>
                <w:rFonts w:ascii="Times New Roman" w:hAnsi="Times New Roman" w:cs="Times New Roman"/>
                <w:color w:val="000000" w:themeColor="text1"/>
              </w:rPr>
              <w:t>ramach projektu listonosze w</w:t>
            </w:r>
            <w:r w:rsidR="00AB04E9">
              <w:rPr>
                <w:rFonts w:ascii="Times New Roman" w:hAnsi="Times New Roman" w:cs="Times New Roman"/>
                <w:color w:val="000000" w:themeColor="text1"/>
              </w:rPr>
              <w:t xml:space="preserve"> </w:t>
            </w:r>
            <w:r w:rsidR="00C916C2" w:rsidRPr="00067989">
              <w:rPr>
                <w:rFonts w:ascii="Times New Roman" w:hAnsi="Times New Roman" w:cs="Times New Roman"/>
                <w:color w:val="000000" w:themeColor="text1"/>
              </w:rPr>
              <w:t>całym kraju otrzymali urządzenia mobilne (ponad 23 tys.) podłączone do Internetu, dzięki którym informacja o</w:t>
            </w:r>
            <w:r w:rsidR="00AB04E9">
              <w:rPr>
                <w:rFonts w:ascii="Times New Roman" w:hAnsi="Times New Roman" w:cs="Times New Roman"/>
                <w:color w:val="000000" w:themeColor="text1"/>
              </w:rPr>
              <w:t xml:space="preserve"> </w:t>
            </w:r>
            <w:r w:rsidR="00C916C2" w:rsidRPr="00067989">
              <w:rPr>
                <w:rFonts w:ascii="Times New Roman" w:hAnsi="Times New Roman" w:cs="Times New Roman"/>
                <w:color w:val="000000" w:themeColor="text1"/>
              </w:rPr>
              <w:t>statusie przesyłki i</w:t>
            </w:r>
            <w:r w:rsidR="00AB04E9">
              <w:rPr>
                <w:rFonts w:ascii="Times New Roman" w:hAnsi="Times New Roman" w:cs="Times New Roman"/>
                <w:color w:val="000000" w:themeColor="text1"/>
              </w:rPr>
              <w:t xml:space="preserve"> </w:t>
            </w:r>
            <w:r w:rsidR="00C916C2" w:rsidRPr="00067989">
              <w:rPr>
                <w:rFonts w:ascii="Times New Roman" w:hAnsi="Times New Roman" w:cs="Times New Roman"/>
                <w:color w:val="000000" w:themeColor="text1"/>
              </w:rPr>
              <w:t>jej doręczeniu przekazywana jest do nadawcy w</w:t>
            </w:r>
            <w:r w:rsidR="00AB04E9">
              <w:rPr>
                <w:rFonts w:ascii="Times New Roman" w:hAnsi="Times New Roman" w:cs="Times New Roman"/>
                <w:color w:val="000000" w:themeColor="text1"/>
              </w:rPr>
              <w:t xml:space="preserve"> </w:t>
            </w:r>
            <w:r w:rsidR="00C916C2" w:rsidRPr="00067989">
              <w:rPr>
                <w:rFonts w:ascii="Times New Roman" w:hAnsi="Times New Roman" w:cs="Times New Roman"/>
                <w:color w:val="000000" w:themeColor="text1"/>
              </w:rPr>
              <w:t xml:space="preserve">czasie rzeczywistym. </w:t>
            </w:r>
            <w:r w:rsidR="00C916C2" w:rsidRPr="00067989">
              <w:rPr>
                <w:rStyle w:val="Pogrubienie"/>
                <w:rFonts w:ascii="Times New Roman" w:hAnsi="Times New Roman" w:cs="Times New Roman"/>
                <w:b w:val="0"/>
                <w:color w:val="000000" w:themeColor="text1"/>
              </w:rPr>
              <w:t>To innowacyjne rozwiązanie jest największym tego typu wdrożeniem w</w:t>
            </w:r>
            <w:r w:rsidR="00AB04E9">
              <w:rPr>
                <w:rStyle w:val="Pogrubienie"/>
                <w:rFonts w:ascii="Times New Roman" w:hAnsi="Times New Roman" w:cs="Times New Roman"/>
                <w:b w:val="0"/>
                <w:color w:val="000000" w:themeColor="text1"/>
              </w:rPr>
              <w:t xml:space="preserve"> </w:t>
            </w:r>
            <w:r w:rsidR="00C916C2" w:rsidRPr="00067989">
              <w:rPr>
                <w:rStyle w:val="Pogrubienie"/>
                <w:rFonts w:ascii="Times New Roman" w:hAnsi="Times New Roman" w:cs="Times New Roman"/>
                <w:b w:val="0"/>
                <w:color w:val="000000" w:themeColor="text1"/>
              </w:rPr>
              <w:t>Europie (wg zakresu i</w:t>
            </w:r>
            <w:r w:rsidR="00AB04E9">
              <w:rPr>
                <w:rStyle w:val="Pogrubienie"/>
                <w:rFonts w:ascii="Times New Roman" w:hAnsi="Times New Roman" w:cs="Times New Roman"/>
                <w:b w:val="0"/>
                <w:color w:val="000000" w:themeColor="text1"/>
              </w:rPr>
              <w:t xml:space="preserve"> </w:t>
            </w:r>
            <w:r w:rsidR="00C916C2" w:rsidRPr="00067989">
              <w:rPr>
                <w:rStyle w:val="Pogrubienie"/>
                <w:rFonts w:ascii="Times New Roman" w:hAnsi="Times New Roman" w:cs="Times New Roman"/>
                <w:b w:val="0"/>
                <w:color w:val="000000" w:themeColor="text1"/>
              </w:rPr>
              <w:t>obszaru wdrożenia oraz ilości pozyskanych urządzeń), nagradzanym w</w:t>
            </w:r>
            <w:r w:rsidR="00AB04E9">
              <w:rPr>
                <w:rStyle w:val="Pogrubienie"/>
                <w:rFonts w:ascii="Times New Roman" w:hAnsi="Times New Roman" w:cs="Times New Roman"/>
                <w:b w:val="0"/>
                <w:color w:val="000000" w:themeColor="text1"/>
              </w:rPr>
              <w:t xml:space="preserve"> </w:t>
            </w:r>
            <w:r w:rsidR="00C916C2" w:rsidRPr="00067989">
              <w:rPr>
                <w:rStyle w:val="Pogrubienie"/>
                <w:rFonts w:ascii="Times New Roman" w:hAnsi="Times New Roman" w:cs="Times New Roman"/>
                <w:b w:val="0"/>
                <w:color w:val="000000" w:themeColor="text1"/>
              </w:rPr>
              <w:t>wielu prestiżowych konkursach.</w:t>
            </w:r>
            <w:r w:rsidR="00C916C2" w:rsidRPr="00067989">
              <w:rPr>
                <w:rFonts w:ascii="Times New Roman" w:hAnsi="Times New Roman" w:cs="Times New Roman"/>
                <w:color w:val="000000" w:themeColor="text1"/>
              </w:rPr>
              <w:t xml:space="preserve"> Ponadto w</w:t>
            </w:r>
            <w:r w:rsidR="00AB04E9">
              <w:rPr>
                <w:rFonts w:ascii="Times New Roman" w:hAnsi="Times New Roman" w:cs="Times New Roman"/>
                <w:color w:val="000000" w:themeColor="text1"/>
              </w:rPr>
              <w:t xml:space="preserve"> </w:t>
            </w:r>
            <w:r w:rsidR="00C916C2" w:rsidRPr="00067989">
              <w:rPr>
                <w:rFonts w:ascii="Times New Roman" w:hAnsi="Times New Roman" w:cs="Times New Roman"/>
                <w:color w:val="000000" w:themeColor="text1"/>
              </w:rPr>
              <w:t>2016</w:t>
            </w:r>
            <w:r w:rsidR="00E37095" w:rsidRPr="00067989">
              <w:rPr>
                <w:rFonts w:ascii="Times New Roman" w:hAnsi="Times New Roman" w:cs="Times New Roman"/>
                <w:color w:val="000000" w:themeColor="text1"/>
              </w:rPr>
              <w:t xml:space="preserve"> </w:t>
            </w:r>
            <w:r w:rsidR="00C916C2" w:rsidRPr="00067989">
              <w:rPr>
                <w:rFonts w:ascii="Times New Roman" w:hAnsi="Times New Roman" w:cs="Times New Roman"/>
                <w:color w:val="000000" w:themeColor="text1"/>
              </w:rPr>
              <w:t xml:space="preserve">r. we wszystkich placówkach sieci własnej Poczta Polska zainstalowała nowoczesne terminale płatnicze. Wdrożenie </w:t>
            </w:r>
            <w:r w:rsidR="00FC0BC8" w:rsidRPr="00067989">
              <w:rPr>
                <w:rFonts w:ascii="Times New Roman" w:hAnsi="Times New Roman" w:cs="Times New Roman"/>
                <w:color w:val="000000" w:themeColor="text1"/>
              </w:rPr>
              <w:t xml:space="preserve">należało do jednych z największych w skali kraju </w:t>
            </w:r>
            <w:r w:rsidR="005F6337">
              <w:rPr>
                <w:rFonts w:ascii="Times New Roman" w:hAnsi="Times New Roman" w:cs="Times New Roman"/>
                <w:color w:val="000000" w:themeColor="text1"/>
              </w:rPr>
              <w:t>–</w:t>
            </w:r>
            <w:r w:rsidR="00E37095" w:rsidRPr="00067989">
              <w:rPr>
                <w:rFonts w:ascii="Times New Roman" w:hAnsi="Times New Roman" w:cs="Times New Roman"/>
                <w:color w:val="000000" w:themeColor="text1"/>
              </w:rPr>
              <w:t xml:space="preserve"> </w:t>
            </w:r>
            <w:r w:rsidR="00C916C2" w:rsidRPr="00067989">
              <w:rPr>
                <w:rFonts w:ascii="Times New Roman" w:hAnsi="Times New Roman" w:cs="Times New Roman"/>
                <w:color w:val="000000" w:themeColor="text1"/>
              </w:rPr>
              <w:t>objęło łącznie ponad 4600 placówek, w których zainstalowano blisko 8000</w:t>
            </w:r>
            <w:r w:rsidR="008742F0">
              <w:rPr>
                <w:rFonts w:ascii="Times New Roman" w:hAnsi="Times New Roman" w:cs="Times New Roman"/>
                <w:color w:val="000000" w:themeColor="text1"/>
              </w:rPr>
              <w:t> </w:t>
            </w:r>
            <w:r w:rsidR="00C916C2" w:rsidRPr="00067989">
              <w:rPr>
                <w:rFonts w:ascii="Times New Roman" w:hAnsi="Times New Roman" w:cs="Times New Roman"/>
                <w:color w:val="000000" w:themeColor="text1"/>
              </w:rPr>
              <w:t xml:space="preserve">terminali POS. </w:t>
            </w:r>
            <w:r w:rsidR="00FC0BC8" w:rsidRPr="00067989">
              <w:rPr>
                <w:rFonts w:ascii="Times New Roman" w:hAnsi="Times New Roman" w:cs="Times New Roman"/>
                <w:color w:val="000000" w:themeColor="text1"/>
              </w:rPr>
              <w:t>Przekształcenie korespondencji elektronicznej w papierową jako etap publicznej usług</w:t>
            </w:r>
            <w:r w:rsidR="00E37095" w:rsidRPr="00067989">
              <w:rPr>
                <w:rFonts w:ascii="Times New Roman" w:hAnsi="Times New Roman" w:cs="Times New Roman"/>
                <w:color w:val="000000" w:themeColor="text1"/>
              </w:rPr>
              <w:t>i</w:t>
            </w:r>
            <w:r w:rsidR="00FC0BC8" w:rsidRPr="00067989">
              <w:rPr>
                <w:rFonts w:ascii="Times New Roman" w:hAnsi="Times New Roman" w:cs="Times New Roman"/>
                <w:color w:val="000000" w:themeColor="text1"/>
              </w:rPr>
              <w:t xml:space="preserve"> hybrydowej będzie musiało odbywać się przy spełnieniu </w:t>
            </w:r>
            <w:r w:rsidR="00C95670" w:rsidRPr="00067989">
              <w:rPr>
                <w:rFonts w:ascii="Times New Roman" w:hAnsi="Times New Roman" w:cs="Times New Roman"/>
                <w:color w:val="000000" w:themeColor="text1"/>
              </w:rPr>
              <w:t>szeregu wymagań w zakresie zachowania bezpieczeństwa i</w:t>
            </w:r>
            <w:r w:rsidR="008742F0">
              <w:rPr>
                <w:rFonts w:ascii="Times New Roman" w:hAnsi="Times New Roman" w:cs="Times New Roman"/>
                <w:color w:val="000000" w:themeColor="text1"/>
              </w:rPr>
              <w:t> </w:t>
            </w:r>
            <w:r w:rsidR="00C95670" w:rsidRPr="00067989">
              <w:rPr>
                <w:rFonts w:ascii="Times New Roman" w:hAnsi="Times New Roman" w:cs="Times New Roman"/>
                <w:color w:val="000000" w:themeColor="text1"/>
              </w:rPr>
              <w:t xml:space="preserve">poufności informacji. Analizując te aspekty stwierdzono, że </w:t>
            </w:r>
            <w:r w:rsidR="00C916C2" w:rsidRPr="00067989">
              <w:rPr>
                <w:rFonts w:ascii="Times New Roman" w:hAnsi="Times New Roman" w:cs="Times New Roman"/>
                <w:color w:val="000000" w:themeColor="text1"/>
              </w:rPr>
              <w:t xml:space="preserve">Poczta Polska S.A. zapewnia określone w ustawie </w:t>
            </w:r>
            <w:r w:rsidR="00E37095" w:rsidRPr="00067989">
              <w:rPr>
                <w:rFonts w:ascii="Times New Roman" w:hAnsi="Times New Roman" w:cs="Times New Roman"/>
                <w:color w:val="000000" w:themeColor="text1"/>
              </w:rPr>
              <w:t>z</w:t>
            </w:r>
            <w:r w:rsidR="008742F0">
              <w:rPr>
                <w:rFonts w:ascii="Times New Roman" w:hAnsi="Times New Roman" w:cs="Times New Roman"/>
                <w:color w:val="000000" w:themeColor="text1"/>
              </w:rPr>
              <w:t> </w:t>
            </w:r>
            <w:r w:rsidR="00E37095" w:rsidRPr="00067989">
              <w:rPr>
                <w:rFonts w:ascii="Times New Roman" w:hAnsi="Times New Roman" w:cs="Times New Roman"/>
                <w:color w:val="000000" w:themeColor="text1"/>
              </w:rPr>
              <w:t xml:space="preserve">dnia 23 listopada 2012 r. </w:t>
            </w:r>
            <w:r w:rsidR="00C916C2" w:rsidRPr="00067989">
              <w:rPr>
                <w:rFonts w:ascii="Times New Roman" w:hAnsi="Times New Roman" w:cs="Times New Roman"/>
                <w:color w:val="000000" w:themeColor="text1"/>
              </w:rPr>
              <w:t xml:space="preserve">– Prawo pocztowe warunki do przestrzegania tajemnicy pocztowej, zgodnie z art. 41 </w:t>
            </w:r>
            <w:r w:rsidR="00E37095" w:rsidRPr="00067989">
              <w:rPr>
                <w:rFonts w:ascii="Times New Roman" w:hAnsi="Times New Roman" w:cs="Times New Roman"/>
                <w:color w:val="000000" w:themeColor="text1"/>
              </w:rPr>
              <w:t xml:space="preserve">tej </w:t>
            </w:r>
            <w:r w:rsidR="00C916C2" w:rsidRPr="00067989">
              <w:rPr>
                <w:rFonts w:ascii="Times New Roman" w:hAnsi="Times New Roman" w:cs="Times New Roman"/>
                <w:color w:val="000000" w:themeColor="text1"/>
              </w:rPr>
              <w:t>ustawy</w:t>
            </w:r>
            <w:r w:rsidR="00C916C2" w:rsidRPr="00067989">
              <w:rPr>
                <w:rFonts w:ascii="Times New Roman" w:hAnsi="Times New Roman" w:cs="Times New Roman"/>
                <w:b/>
                <w:color w:val="000000" w:themeColor="text1"/>
              </w:rPr>
              <w:t xml:space="preserve">. </w:t>
            </w:r>
            <w:r w:rsidR="00C916C2" w:rsidRPr="00067989">
              <w:rPr>
                <w:rFonts w:ascii="Times New Roman" w:hAnsi="Times New Roman" w:cs="Times New Roman"/>
                <w:color w:val="000000" w:themeColor="text1"/>
              </w:rPr>
              <w:t xml:space="preserve">Tajemnicą pocztową objęte są informacje przekazywane w przesyłkach, informacje dotyczące realizowanych </w:t>
            </w:r>
            <w:r w:rsidR="00C916C2" w:rsidRPr="00067989">
              <w:rPr>
                <w:rFonts w:ascii="Times New Roman" w:hAnsi="Times New Roman" w:cs="Times New Roman"/>
                <w:color w:val="000000" w:themeColor="text1"/>
              </w:rPr>
              <w:lastRenderedPageBreak/>
              <w:t>przekazów pocztowych, dane dotyczące podmiotów korzystających z</w:t>
            </w:r>
            <w:r w:rsidR="00AB04E9">
              <w:rPr>
                <w:rFonts w:ascii="Times New Roman" w:hAnsi="Times New Roman" w:cs="Times New Roman"/>
                <w:color w:val="000000" w:themeColor="text1"/>
              </w:rPr>
              <w:t xml:space="preserve"> </w:t>
            </w:r>
            <w:r w:rsidR="00C916C2" w:rsidRPr="00067989">
              <w:rPr>
                <w:rFonts w:ascii="Times New Roman" w:hAnsi="Times New Roman" w:cs="Times New Roman"/>
                <w:color w:val="000000" w:themeColor="text1"/>
              </w:rPr>
              <w:t>usług pocztowych oraz dane dotyczące faktu i</w:t>
            </w:r>
            <w:r w:rsidR="008742F0">
              <w:rPr>
                <w:rFonts w:ascii="Times New Roman" w:hAnsi="Times New Roman" w:cs="Times New Roman"/>
                <w:color w:val="000000" w:themeColor="text1"/>
              </w:rPr>
              <w:t> </w:t>
            </w:r>
            <w:r w:rsidR="00C916C2" w:rsidRPr="00067989">
              <w:rPr>
                <w:rFonts w:ascii="Times New Roman" w:hAnsi="Times New Roman" w:cs="Times New Roman"/>
                <w:color w:val="000000" w:themeColor="text1"/>
              </w:rPr>
              <w:t>okoliczności świadczenia usług pocztowych lub korzystania z</w:t>
            </w:r>
            <w:r w:rsidR="00AB04E9">
              <w:rPr>
                <w:rFonts w:ascii="Times New Roman" w:hAnsi="Times New Roman" w:cs="Times New Roman"/>
                <w:color w:val="000000" w:themeColor="text1"/>
              </w:rPr>
              <w:t xml:space="preserve"> </w:t>
            </w:r>
            <w:r w:rsidR="00C916C2" w:rsidRPr="00067989">
              <w:rPr>
                <w:rFonts w:ascii="Times New Roman" w:hAnsi="Times New Roman" w:cs="Times New Roman"/>
                <w:color w:val="000000" w:themeColor="text1"/>
              </w:rPr>
              <w:t>tych usług. Zgodnie z ww</w:t>
            </w:r>
            <w:r w:rsidR="00E37095" w:rsidRPr="00067989">
              <w:rPr>
                <w:rFonts w:ascii="Times New Roman" w:hAnsi="Times New Roman" w:cs="Times New Roman"/>
                <w:color w:val="000000" w:themeColor="text1"/>
              </w:rPr>
              <w:t>.</w:t>
            </w:r>
            <w:r w:rsidR="00C916C2" w:rsidRPr="00067989">
              <w:rPr>
                <w:rFonts w:ascii="Times New Roman" w:hAnsi="Times New Roman" w:cs="Times New Roman"/>
                <w:color w:val="000000" w:themeColor="text1"/>
              </w:rPr>
              <w:t xml:space="preserve"> ustawą</w:t>
            </w:r>
            <w:r w:rsidR="009F069C">
              <w:rPr>
                <w:rFonts w:ascii="Times New Roman" w:hAnsi="Times New Roman" w:cs="Times New Roman"/>
                <w:color w:val="000000" w:themeColor="text1"/>
              </w:rPr>
              <w:t xml:space="preserve"> Poczta Polska</w:t>
            </w:r>
            <w:r w:rsidR="00C916C2" w:rsidRPr="00067989">
              <w:rPr>
                <w:rFonts w:ascii="Times New Roman" w:hAnsi="Times New Roman" w:cs="Times New Roman"/>
                <w:color w:val="000000" w:themeColor="text1"/>
              </w:rPr>
              <w:t xml:space="preserve"> zapewnia warunki techniczne i organizacyjne świadczenia usług pocztowych niezbędne dla zachowania bezpieczeństwa obrotu pocztowego. Posiada wymagane regulaminy usług pocztowych oraz zapewnia, że wykonywanie działalności nie zagraża obronności i bezpieczeństwu państwa, ani bezpieczeństwu i porządkowi publicznemu.</w:t>
            </w:r>
            <w:r w:rsidR="00C95670" w:rsidRPr="00067989">
              <w:rPr>
                <w:rFonts w:ascii="Times New Roman" w:hAnsi="Times New Roman" w:cs="Times New Roman"/>
                <w:color w:val="000000" w:themeColor="text1"/>
              </w:rPr>
              <w:t xml:space="preserve"> Analizując powyższe aspekty stwierdzono że Poczta Polska posiada potencjał do szybkiej adaptacji swoich zasobów do świadczenia publicznej usługi hybrydowej co wprost przekłada się na osiągnięcie przez wnioskodawcę satysfakcjonującego wskaźnika związanego z czasem wprowadzenia usługi na rynek (tzw. Time To Market). Dodatkowo wykorzystanie posiadanej przez Pocztę Polską S.A. infrastruktury (w tym sieć placówek, sortownie, centrum wydruku) oraz kadry pozwoli racjonalizować koszty wdrożenia publicznej usługi hybrydowej – niezbędnej dla zachowania łatwej formy komunikacji wykluczonych cyfrowo obywateli z elektroniczną, w coraz większym zakresie, administracją publiczną. Oceniając wysoko gotowość Poczty Polskiej do realizacji </w:t>
            </w:r>
            <w:r w:rsidR="00377E79" w:rsidRPr="00067989">
              <w:rPr>
                <w:rFonts w:ascii="Times New Roman" w:hAnsi="Times New Roman" w:cs="Times New Roman"/>
                <w:color w:val="000000" w:themeColor="text1"/>
              </w:rPr>
              <w:t>publicznej usługi rejestrowanego doręczenia elektronicznego oraz publicznej usługi hybrydowej</w:t>
            </w:r>
            <w:r w:rsidR="009F069C">
              <w:rPr>
                <w:rFonts w:ascii="Times New Roman" w:hAnsi="Times New Roman" w:cs="Times New Roman"/>
                <w:color w:val="000000" w:themeColor="text1"/>
              </w:rPr>
              <w:t>,</w:t>
            </w:r>
            <w:r w:rsidR="00377E79" w:rsidRPr="00067989">
              <w:rPr>
                <w:rFonts w:ascii="Times New Roman" w:hAnsi="Times New Roman" w:cs="Times New Roman"/>
                <w:color w:val="000000" w:themeColor="text1"/>
              </w:rPr>
              <w:t xml:space="preserve"> </w:t>
            </w:r>
            <w:r w:rsidR="00C95670" w:rsidRPr="00067989">
              <w:rPr>
                <w:rFonts w:ascii="Times New Roman" w:hAnsi="Times New Roman" w:cs="Times New Roman"/>
                <w:color w:val="000000" w:themeColor="text1"/>
              </w:rPr>
              <w:t xml:space="preserve">zdecydowano się uwzględnić jej udział w jednym z dwóch </w:t>
            </w:r>
            <w:r w:rsidR="00377E79" w:rsidRPr="00067989">
              <w:rPr>
                <w:rFonts w:ascii="Times New Roman" w:hAnsi="Times New Roman" w:cs="Times New Roman"/>
                <w:color w:val="000000" w:themeColor="text1"/>
              </w:rPr>
              <w:t>opracowy</w:t>
            </w:r>
            <w:r w:rsidR="00C95670" w:rsidRPr="00067989">
              <w:rPr>
                <w:rFonts w:ascii="Times New Roman" w:hAnsi="Times New Roman" w:cs="Times New Roman"/>
                <w:color w:val="000000" w:themeColor="text1"/>
              </w:rPr>
              <w:t>w</w:t>
            </w:r>
            <w:r w:rsidR="00377E79" w:rsidRPr="00067989">
              <w:rPr>
                <w:rFonts w:ascii="Times New Roman" w:hAnsi="Times New Roman" w:cs="Times New Roman"/>
                <w:color w:val="000000" w:themeColor="text1"/>
              </w:rPr>
              <w:t>a</w:t>
            </w:r>
            <w:r w:rsidR="00C95670" w:rsidRPr="00067989">
              <w:rPr>
                <w:rFonts w:ascii="Times New Roman" w:hAnsi="Times New Roman" w:cs="Times New Roman"/>
                <w:color w:val="000000" w:themeColor="text1"/>
              </w:rPr>
              <w:t xml:space="preserve">nych </w:t>
            </w:r>
            <w:r w:rsidR="00377E79" w:rsidRPr="00067989">
              <w:rPr>
                <w:rFonts w:ascii="Times New Roman" w:hAnsi="Times New Roman" w:cs="Times New Roman"/>
                <w:color w:val="000000" w:themeColor="text1"/>
              </w:rPr>
              <w:t>wariantów r</w:t>
            </w:r>
            <w:r w:rsidR="004A7A04" w:rsidRPr="00067989">
              <w:rPr>
                <w:rFonts w:ascii="Times New Roman" w:hAnsi="Times New Roman" w:cs="Times New Roman"/>
                <w:color w:val="000000" w:themeColor="text1"/>
              </w:rPr>
              <w:t>ealizacji</w:t>
            </w:r>
            <w:r w:rsidR="00C916C2" w:rsidRPr="00067989">
              <w:rPr>
                <w:rFonts w:ascii="Times New Roman" w:hAnsi="Times New Roman" w:cs="Times New Roman"/>
                <w:color w:val="000000" w:themeColor="text1"/>
              </w:rPr>
              <w:t xml:space="preserve"> przedsięwzięcia w roli tzw.</w:t>
            </w:r>
            <w:r w:rsidR="004A7A04" w:rsidRPr="00067989">
              <w:rPr>
                <w:rFonts w:ascii="Times New Roman" w:hAnsi="Times New Roman" w:cs="Times New Roman"/>
                <w:color w:val="000000" w:themeColor="text1"/>
              </w:rPr>
              <w:t xml:space="preserve"> „Narodowego Operatora Cyfrowego” (NOC)</w:t>
            </w:r>
            <w:r w:rsidR="00377E79" w:rsidRPr="00067989">
              <w:rPr>
                <w:rFonts w:ascii="Times New Roman" w:hAnsi="Times New Roman" w:cs="Times New Roman"/>
                <w:color w:val="000000" w:themeColor="text1"/>
              </w:rPr>
              <w:t>.</w:t>
            </w:r>
            <w:r w:rsidR="004A7A04" w:rsidRPr="00067989">
              <w:rPr>
                <w:rFonts w:ascii="Times New Roman" w:hAnsi="Times New Roman" w:cs="Times New Roman"/>
                <w:color w:val="000000" w:themeColor="text1"/>
              </w:rPr>
              <w:t xml:space="preserve"> Szczegółowy opis wariantu zawierał między innymi materiały dostarczone przez Pocztę Polską S.A., stanowiące tajemnicę przedsiębiorstwa. Minister Cyfryzacji działając na podstawie § 2 ust. 2 pkt 1 lit. a i </w:t>
            </w:r>
            <w:r w:rsidR="00A63B79" w:rsidRPr="00067989">
              <w:rPr>
                <w:rFonts w:ascii="Times New Roman" w:hAnsi="Times New Roman" w:cs="Times New Roman"/>
                <w:color w:val="000000" w:themeColor="text1"/>
              </w:rPr>
              <w:t xml:space="preserve">e </w:t>
            </w:r>
            <w:r w:rsidR="004A7A04" w:rsidRPr="00067989">
              <w:rPr>
                <w:rFonts w:ascii="Times New Roman" w:hAnsi="Times New Roman" w:cs="Times New Roman"/>
                <w:color w:val="000000" w:themeColor="text1"/>
              </w:rPr>
              <w:t>zarządzenia nr 131 Prezesa Rady Ministrów z dnia 30 września 2016 r. w</w:t>
            </w:r>
            <w:r w:rsidR="00AB04E9">
              <w:rPr>
                <w:rFonts w:ascii="Times New Roman" w:hAnsi="Times New Roman" w:cs="Times New Roman"/>
                <w:color w:val="000000" w:themeColor="text1"/>
              </w:rPr>
              <w:t xml:space="preserve"> </w:t>
            </w:r>
            <w:r w:rsidR="004A7A04" w:rsidRPr="00067989">
              <w:rPr>
                <w:rFonts w:ascii="Times New Roman" w:hAnsi="Times New Roman" w:cs="Times New Roman"/>
                <w:color w:val="000000" w:themeColor="text1"/>
              </w:rPr>
              <w:t>sprawie Komitetu Ekonomicznego Rady Ministrów (M.P. z 201</w:t>
            </w:r>
            <w:r w:rsidR="00A63B79" w:rsidRPr="00067989">
              <w:rPr>
                <w:rFonts w:ascii="Times New Roman" w:hAnsi="Times New Roman" w:cs="Times New Roman"/>
                <w:color w:val="000000" w:themeColor="text1"/>
              </w:rPr>
              <w:t>9 r.</w:t>
            </w:r>
            <w:r w:rsidR="004A7A04" w:rsidRPr="00067989">
              <w:rPr>
                <w:rFonts w:ascii="Times New Roman" w:hAnsi="Times New Roman" w:cs="Times New Roman"/>
                <w:color w:val="000000" w:themeColor="text1"/>
              </w:rPr>
              <w:t xml:space="preserve"> poz. </w:t>
            </w:r>
            <w:r w:rsidR="00A63B79" w:rsidRPr="00067989">
              <w:rPr>
                <w:rFonts w:ascii="Times New Roman" w:hAnsi="Times New Roman" w:cs="Times New Roman"/>
                <w:color w:val="000000" w:themeColor="text1"/>
              </w:rPr>
              <w:t>349</w:t>
            </w:r>
            <w:r w:rsidR="004A7A04" w:rsidRPr="00067989">
              <w:rPr>
                <w:rFonts w:ascii="Times New Roman" w:hAnsi="Times New Roman" w:cs="Times New Roman"/>
                <w:color w:val="000000" w:themeColor="text1"/>
              </w:rPr>
              <w:t>) zwrócił się z</w:t>
            </w:r>
            <w:r w:rsidR="00AB04E9">
              <w:rPr>
                <w:rFonts w:ascii="Times New Roman" w:hAnsi="Times New Roman" w:cs="Times New Roman"/>
                <w:color w:val="000000" w:themeColor="text1"/>
              </w:rPr>
              <w:t xml:space="preserve"> </w:t>
            </w:r>
            <w:r w:rsidR="004A7A04" w:rsidRPr="00067989">
              <w:rPr>
                <w:rFonts w:ascii="Times New Roman" w:hAnsi="Times New Roman" w:cs="Times New Roman"/>
                <w:color w:val="000000" w:themeColor="text1"/>
              </w:rPr>
              <w:t xml:space="preserve">wnioskiem o rozpatrzenie przez Komitet opracowanych wariantów zapewnienia obywatelom i przedsiębiorcom usługi rejestrowanego doręczenia elektronicznego i dokonanie wyboru wariantu rekomendowanego do wdrożenia. </w:t>
            </w:r>
          </w:p>
          <w:p w14:paraId="393B7F31" w14:textId="0B83B8E6" w:rsidR="000E6647" w:rsidRPr="00067989" w:rsidRDefault="004A7A04" w:rsidP="00067989">
            <w:p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Na posiedzeniu w dniu 5</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 xml:space="preserve">czerwca 2018 r. </w:t>
            </w:r>
            <w:r w:rsidR="00A63B79" w:rsidRPr="00067989">
              <w:rPr>
                <w:rFonts w:ascii="Times New Roman" w:hAnsi="Times New Roman" w:cs="Times New Roman"/>
                <w:color w:val="000000" w:themeColor="text1"/>
              </w:rPr>
              <w:t xml:space="preserve">Komitet Ekonomiczny Rady Ministrów </w:t>
            </w:r>
            <w:r w:rsidRPr="00067989">
              <w:rPr>
                <w:rFonts w:ascii="Times New Roman" w:hAnsi="Times New Roman" w:cs="Times New Roman"/>
                <w:color w:val="000000" w:themeColor="text1"/>
              </w:rPr>
              <w:t xml:space="preserve">zarekomendował realizację wariantu z udziałem Narodowego Operatora Cyfrowego w rozumieniu Poczty Polskiej pełniącej rolę operatora wyznaczonego w rozumieniu </w:t>
            </w:r>
            <w:r w:rsidR="00A63B79" w:rsidRPr="00067989">
              <w:rPr>
                <w:rFonts w:ascii="Times New Roman" w:hAnsi="Times New Roman" w:cs="Times New Roman"/>
                <w:color w:val="000000" w:themeColor="text1"/>
              </w:rPr>
              <w:t>ustawy z dnia 23 listopada 2012 r. – Prawo pocztowe</w:t>
            </w:r>
            <w:r w:rsidRPr="00067989">
              <w:rPr>
                <w:rFonts w:ascii="Times New Roman" w:hAnsi="Times New Roman" w:cs="Times New Roman"/>
                <w:color w:val="000000" w:themeColor="text1"/>
              </w:rPr>
              <w:t>.</w:t>
            </w:r>
            <w:r w:rsidR="00377E79" w:rsidRPr="00067989">
              <w:rPr>
                <w:rFonts w:ascii="Times New Roman" w:hAnsi="Times New Roman" w:cs="Times New Roman"/>
                <w:color w:val="000000" w:themeColor="text1"/>
              </w:rPr>
              <w:t xml:space="preserve"> </w:t>
            </w:r>
            <w:r w:rsidR="00C7135B" w:rsidRPr="00067989">
              <w:rPr>
                <w:rFonts w:ascii="Times New Roman" w:hAnsi="Times New Roman" w:cs="Times New Roman"/>
                <w:color w:val="000000" w:themeColor="text1"/>
              </w:rPr>
              <w:t xml:space="preserve">Elektronizacja doręczeń </w:t>
            </w:r>
            <w:r w:rsidR="00257D2F" w:rsidRPr="00067989">
              <w:rPr>
                <w:rFonts w:ascii="Times New Roman" w:hAnsi="Times New Roman" w:cs="Times New Roman"/>
                <w:color w:val="000000" w:themeColor="text1"/>
              </w:rPr>
              <w:t>z</w:t>
            </w:r>
            <w:r w:rsidR="008742F0">
              <w:rPr>
                <w:rFonts w:ascii="Times New Roman" w:hAnsi="Times New Roman" w:cs="Times New Roman"/>
                <w:color w:val="000000" w:themeColor="text1"/>
              </w:rPr>
              <w:t> </w:t>
            </w:r>
            <w:r w:rsidR="00257D2F" w:rsidRPr="00067989">
              <w:rPr>
                <w:rFonts w:ascii="Times New Roman" w:hAnsi="Times New Roman" w:cs="Times New Roman"/>
                <w:color w:val="000000" w:themeColor="text1"/>
              </w:rPr>
              <w:t xml:space="preserve">pominięciem </w:t>
            </w:r>
            <w:r w:rsidR="00C7135B" w:rsidRPr="00067989">
              <w:rPr>
                <w:rFonts w:ascii="Times New Roman" w:hAnsi="Times New Roman" w:cs="Times New Roman"/>
                <w:color w:val="000000" w:themeColor="text1"/>
              </w:rPr>
              <w:t>Poczty Polskiej S.A. w</w:t>
            </w:r>
            <w:r w:rsidR="00AB04E9">
              <w:rPr>
                <w:rFonts w:ascii="Times New Roman" w:hAnsi="Times New Roman" w:cs="Times New Roman"/>
                <w:color w:val="000000" w:themeColor="text1"/>
              </w:rPr>
              <w:t xml:space="preserve"> </w:t>
            </w:r>
            <w:r w:rsidR="00C7135B" w:rsidRPr="00067989">
              <w:rPr>
                <w:rFonts w:ascii="Times New Roman" w:hAnsi="Times New Roman" w:cs="Times New Roman"/>
                <w:color w:val="000000" w:themeColor="text1"/>
              </w:rPr>
              <w:t>realizacji wdrażanych usług m</w:t>
            </w:r>
            <w:r w:rsidR="00257D2F" w:rsidRPr="00067989">
              <w:rPr>
                <w:rFonts w:ascii="Times New Roman" w:hAnsi="Times New Roman" w:cs="Times New Roman"/>
                <w:color w:val="000000" w:themeColor="text1"/>
              </w:rPr>
              <w:t>og</w:t>
            </w:r>
            <w:r w:rsidR="00C7135B" w:rsidRPr="00067989">
              <w:rPr>
                <w:rFonts w:ascii="Times New Roman" w:hAnsi="Times New Roman" w:cs="Times New Roman"/>
                <w:color w:val="000000" w:themeColor="text1"/>
              </w:rPr>
              <w:t xml:space="preserve">łaby pociągnąć za sobą wystąpienie straty na usłudze powszechnej </w:t>
            </w:r>
            <w:r w:rsidR="00257D2F" w:rsidRPr="00067989">
              <w:rPr>
                <w:rFonts w:ascii="Times New Roman" w:hAnsi="Times New Roman" w:cs="Times New Roman"/>
                <w:color w:val="000000" w:themeColor="text1"/>
              </w:rPr>
              <w:t>oraz</w:t>
            </w:r>
            <w:r w:rsidR="00C7135B" w:rsidRPr="00067989">
              <w:rPr>
                <w:rFonts w:ascii="Times New Roman" w:hAnsi="Times New Roman" w:cs="Times New Roman"/>
                <w:color w:val="000000" w:themeColor="text1"/>
              </w:rPr>
              <w:t xml:space="preserve"> konieczność uruchomienia kosztownej procedury kosztu netto (zmierzającej do rekompensaty straty operatora wyznaczonego wynikającej z</w:t>
            </w:r>
            <w:r w:rsidR="00AB04E9">
              <w:rPr>
                <w:rFonts w:ascii="Times New Roman" w:hAnsi="Times New Roman" w:cs="Times New Roman"/>
                <w:color w:val="000000" w:themeColor="text1"/>
              </w:rPr>
              <w:t xml:space="preserve"> </w:t>
            </w:r>
            <w:r w:rsidR="00C7135B" w:rsidRPr="00067989">
              <w:rPr>
                <w:rFonts w:ascii="Times New Roman" w:hAnsi="Times New Roman" w:cs="Times New Roman"/>
                <w:color w:val="000000" w:themeColor="text1"/>
              </w:rPr>
              <w:t xml:space="preserve">obowiązku świadczenia usługi powszechnej) zgodnie z ustawą </w:t>
            </w:r>
            <w:r w:rsidR="00A63B79" w:rsidRPr="00067989">
              <w:rPr>
                <w:rFonts w:ascii="Times New Roman" w:hAnsi="Times New Roman" w:cs="Times New Roman"/>
                <w:color w:val="000000" w:themeColor="text1"/>
              </w:rPr>
              <w:t xml:space="preserve">z dnia 23 listopada 2012 r. </w:t>
            </w:r>
            <w:r w:rsidR="00C7135B" w:rsidRPr="00067989">
              <w:rPr>
                <w:rFonts w:ascii="Times New Roman" w:hAnsi="Times New Roman" w:cs="Times New Roman"/>
                <w:color w:val="000000" w:themeColor="text1"/>
              </w:rPr>
              <w:t>– Prawo pocztowe.</w:t>
            </w:r>
            <w:r w:rsidR="003A4B1D" w:rsidRPr="00067989">
              <w:rPr>
                <w:rFonts w:ascii="Times New Roman" w:hAnsi="Times New Roman" w:cs="Times New Roman"/>
                <w:color w:val="000000" w:themeColor="text1"/>
              </w:rPr>
              <w:t xml:space="preserve"> </w:t>
            </w:r>
            <w:r w:rsidR="00C7135B" w:rsidRPr="00067989">
              <w:rPr>
                <w:rFonts w:ascii="Times New Roman" w:hAnsi="Times New Roman" w:cs="Times New Roman"/>
                <w:color w:val="000000" w:themeColor="text1"/>
              </w:rPr>
              <w:t xml:space="preserve">Nieuchronna głęboka restrukturyzacja przedsiębiorstwa spowodowałaby konieczność uwolnienia przez Pocztę Polską etatów, w związku ze spadkiem wolumenu doręczanej korespondencji </w:t>
            </w:r>
            <w:r w:rsidR="000E6647" w:rsidRPr="00067989">
              <w:rPr>
                <w:rFonts w:ascii="Times New Roman" w:hAnsi="Times New Roman" w:cs="Times New Roman"/>
                <w:color w:val="000000" w:themeColor="text1"/>
              </w:rPr>
              <w:t xml:space="preserve">(tradycyjnej) </w:t>
            </w:r>
            <w:r w:rsidR="00C7135B" w:rsidRPr="00067989">
              <w:rPr>
                <w:rFonts w:ascii="Times New Roman" w:hAnsi="Times New Roman" w:cs="Times New Roman"/>
                <w:color w:val="000000" w:themeColor="text1"/>
              </w:rPr>
              <w:t xml:space="preserve">w efekcie </w:t>
            </w:r>
            <w:r w:rsidR="000E6647" w:rsidRPr="00067989">
              <w:rPr>
                <w:rFonts w:ascii="Times New Roman" w:hAnsi="Times New Roman" w:cs="Times New Roman"/>
                <w:color w:val="000000" w:themeColor="text1"/>
              </w:rPr>
              <w:t xml:space="preserve">realizacji </w:t>
            </w:r>
            <w:r w:rsidR="00845246" w:rsidRPr="00067989">
              <w:rPr>
                <w:rFonts w:ascii="Times New Roman" w:hAnsi="Times New Roman" w:cs="Times New Roman"/>
                <w:color w:val="000000" w:themeColor="text1"/>
              </w:rPr>
              <w:t>doręczeń elektronicznych</w:t>
            </w:r>
            <w:r w:rsidR="00C7135B" w:rsidRPr="00067989">
              <w:rPr>
                <w:rFonts w:ascii="Times New Roman" w:hAnsi="Times New Roman" w:cs="Times New Roman"/>
                <w:color w:val="000000" w:themeColor="text1"/>
              </w:rPr>
              <w:t xml:space="preserve">, co spowodowałoby wzrost bezrobocia w Polsce – zwłaszcza na obszarach najbardziej narażonych na negatywne zjawiska ekonomiczne (przede wszystkim obszary słabiej rozwinięte ekonomicznie, obszary wiejskie i małe ośrodki miejskie). </w:t>
            </w:r>
          </w:p>
          <w:p w14:paraId="3A8B4AAD" w14:textId="74389C2A" w:rsidR="00C7135B" w:rsidRPr="00067989" w:rsidRDefault="00C7135B" w:rsidP="00067989">
            <w:p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Trudnym do zaakceptowania skutkiem społecznym byłoby również pozbawienie ok. 50% gmin w</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 xml:space="preserve">Polsce placówek pocztowych – praktycznie jedynego łącznika państwa z obywatelami na terenach peryferyjnych. </w:t>
            </w:r>
            <w:r w:rsidR="00204410" w:rsidRPr="00067989">
              <w:rPr>
                <w:rFonts w:ascii="Times New Roman" w:hAnsi="Times New Roman" w:cs="Times New Roman"/>
                <w:color w:val="000000" w:themeColor="text1"/>
              </w:rPr>
              <w:t>Skutki byłyby szczególnie istotne d</w:t>
            </w:r>
            <w:r w:rsidRPr="00067989">
              <w:rPr>
                <w:rFonts w:ascii="Times New Roman" w:hAnsi="Times New Roman" w:cs="Times New Roman"/>
                <w:color w:val="000000" w:themeColor="text1"/>
              </w:rPr>
              <w:t>la mieszkańców małych miejscowości położonych z dala od większych ośrodków miejskich.</w:t>
            </w:r>
            <w:r w:rsidR="001E4FF0" w:rsidRPr="00067989">
              <w:rPr>
                <w:rFonts w:ascii="Times New Roman" w:hAnsi="Times New Roman" w:cs="Times New Roman"/>
                <w:color w:val="000000" w:themeColor="text1"/>
              </w:rPr>
              <w:t xml:space="preserve"> Takie działanie niechybnie mogłoby doprowadzić do wzrostu cen usług powszechnych.</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Likwidowanie poczt i</w:t>
            </w:r>
            <w:r w:rsidR="008742F0">
              <w:rPr>
                <w:rFonts w:ascii="Times New Roman" w:hAnsi="Times New Roman" w:cs="Times New Roman"/>
                <w:color w:val="000000" w:themeColor="text1"/>
              </w:rPr>
              <w:t> </w:t>
            </w:r>
            <w:r w:rsidRPr="00067989">
              <w:rPr>
                <w:rFonts w:ascii="Times New Roman" w:hAnsi="Times New Roman" w:cs="Times New Roman"/>
                <w:color w:val="000000" w:themeColor="text1"/>
              </w:rPr>
              <w:t>ograniczanie częstotliwości dostarczania korespondencji skazuje te tereny na jeszcze większe pogłębienie ich dystansu cywilizacyjnego. Zjawisko to szczególnie dotknęłoby osoby wykluczone cyfrowo, które nie byłyby w stanie efektywnie zastąpić obecnego obiegu informacji, w tym korespondencji, obiegiem elektronicznym. Skala negatywnych zjawisk ekonomicznych nie pozwoliłaby na odpowiednie zrekompensowanie straty zmianą cenników Poczty Polskiej S.A..</w:t>
            </w:r>
            <w:r w:rsidR="00257D2F" w:rsidRPr="0006798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 xml:space="preserve">Powierzenie Poczcie Polskiej S.A. roli dostawcy </w:t>
            </w:r>
            <w:r w:rsidR="00925576" w:rsidRPr="00067989">
              <w:rPr>
                <w:rFonts w:ascii="Times New Roman" w:hAnsi="Times New Roman" w:cs="Times New Roman"/>
                <w:color w:val="000000" w:themeColor="text1"/>
              </w:rPr>
              <w:t xml:space="preserve">publicznej </w:t>
            </w:r>
            <w:r w:rsidRPr="00067989">
              <w:rPr>
                <w:rFonts w:ascii="Times New Roman" w:hAnsi="Times New Roman" w:cs="Times New Roman"/>
                <w:color w:val="000000" w:themeColor="text1"/>
              </w:rPr>
              <w:t xml:space="preserve">usługi rejestrowanego doręczenia elektronicznego w Polsce pozwoli jej na udział w procesie </w:t>
            </w:r>
            <w:r w:rsidR="000E6647" w:rsidRPr="00067989">
              <w:rPr>
                <w:rFonts w:ascii="Times New Roman" w:hAnsi="Times New Roman" w:cs="Times New Roman"/>
                <w:color w:val="000000" w:themeColor="text1"/>
              </w:rPr>
              <w:t>cyfryzacji państwa jako kluczowego</w:t>
            </w:r>
            <w:r w:rsidRPr="00067989">
              <w:rPr>
                <w:rFonts w:ascii="Times New Roman" w:hAnsi="Times New Roman" w:cs="Times New Roman"/>
                <w:color w:val="000000" w:themeColor="text1"/>
              </w:rPr>
              <w:t xml:space="preserve"> partner</w:t>
            </w:r>
            <w:r w:rsidR="00513EE7" w:rsidRPr="00067989">
              <w:rPr>
                <w:rFonts w:ascii="Times New Roman" w:hAnsi="Times New Roman" w:cs="Times New Roman"/>
                <w:color w:val="000000" w:themeColor="text1"/>
              </w:rPr>
              <w:t>a</w:t>
            </w:r>
            <w:r w:rsidRPr="00067989">
              <w:rPr>
                <w:rFonts w:ascii="Times New Roman" w:hAnsi="Times New Roman" w:cs="Times New Roman"/>
                <w:color w:val="000000" w:themeColor="text1"/>
              </w:rPr>
              <w:t xml:space="preserve"> i</w:t>
            </w:r>
            <w:r w:rsidR="008742F0">
              <w:rPr>
                <w:rFonts w:ascii="Times New Roman" w:hAnsi="Times New Roman" w:cs="Times New Roman"/>
                <w:color w:val="000000" w:themeColor="text1"/>
              </w:rPr>
              <w:t> </w:t>
            </w:r>
            <w:r w:rsidRPr="00067989">
              <w:rPr>
                <w:rFonts w:ascii="Times New Roman" w:hAnsi="Times New Roman" w:cs="Times New Roman"/>
                <w:color w:val="000000" w:themeColor="text1"/>
              </w:rPr>
              <w:t>z</w:t>
            </w:r>
            <w:r w:rsidR="00257D2F" w:rsidRPr="00067989">
              <w:rPr>
                <w:rFonts w:ascii="Times New Roman" w:hAnsi="Times New Roman" w:cs="Times New Roman"/>
                <w:color w:val="000000" w:themeColor="text1"/>
              </w:rPr>
              <w:t xml:space="preserve">bilansowanie </w:t>
            </w:r>
            <w:r w:rsidRPr="00067989">
              <w:rPr>
                <w:rFonts w:ascii="Times New Roman" w:hAnsi="Times New Roman" w:cs="Times New Roman"/>
                <w:color w:val="000000" w:themeColor="text1"/>
              </w:rPr>
              <w:t>utraty przychodów z tradycyjnych usług listowych poprzez przychody z tytułu usług cyfrowych. Pozwoli to na stopniową reorganizację przedsiębiorstwa, dostosowując</w:t>
            </w:r>
            <w:r w:rsidR="00925576" w:rsidRPr="00067989">
              <w:rPr>
                <w:rFonts w:ascii="Times New Roman" w:hAnsi="Times New Roman" w:cs="Times New Roman"/>
                <w:color w:val="000000" w:themeColor="text1"/>
              </w:rPr>
              <w:t>ą</w:t>
            </w:r>
            <w:r w:rsidRPr="00067989">
              <w:rPr>
                <w:rFonts w:ascii="Times New Roman" w:hAnsi="Times New Roman" w:cs="Times New Roman"/>
                <w:color w:val="000000" w:themeColor="text1"/>
              </w:rPr>
              <w:t xml:space="preserve"> je do nowego modelu komunikacji i</w:t>
            </w:r>
            <w:r w:rsidR="008742F0">
              <w:rPr>
                <w:rFonts w:ascii="Times New Roman" w:hAnsi="Times New Roman" w:cs="Times New Roman"/>
                <w:color w:val="000000" w:themeColor="text1"/>
              </w:rPr>
              <w:t> </w:t>
            </w:r>
            <w:r w:rsidRPr="00067989">
              <w:rPr>
                <w:rFonts w:ascii="Times New Roman" w:hAnsi="Times New Roman" w:cs="Times New Roman"/>
                <w:color w:val="000000" w:themeColor="text1"/>
              </w:rPr>
              <w:t xml:space="preserve">przesyłania korespondencji. </w:t>
            </w:r>
            <w:r w:rsidR="00A65682" w:rsidRPr="00067989">
              <w:rPr>
                <w:rFonts w:ascii="Times New Roman" w:hAnsi="Times New Roman" w:cs="Times New Roman"/>
                <w:color w:val="000000" w:themeColor="text1"/>
              </w:rPr>
              <w:t xml:space="preserve">W ocenie skutków </w:t>
            </w:r>
            <w:r w:rsidR="000E6647" w:rsidRPr="00067989">
              <w:rPr>
                <w:rFonts w:ascii="Times New Roman" w:hAnsi="Times New Roman" w:cs="Times New Roman"/>
                <w:color w:val="000000" w:themeColor="text1"/>
              </w:rPr>
              <w:t>wprowadzenia doręczeń elektronicznych</w:t>
            </w:r>
            <w:r w:rsidR="00A65682" w:rsidRPr="00067989">
              <w:rPr>
                <w:rFonts w:ascii="Times New Roman" w:hAnsi="Times New Roman" w:cs="Times New Roman"/>
                <w:color w:val="000000" w:themeColor="text1"/>
              </w:rPr>
              <w:t xml:space="preserve"> z udziałem Poczty Polskiej </w:t>
            </w:r>
            <w:r w:rsidR="000E6647" w:rsidRPr="00067989">
              <w:rPr>
                <w:rFonts w:ascii="Times New Roman" w:hAnsi="Times New Roman" w:cs="Times New Roman"/>
                <w:color w:val="000000" w:themeColor="text1"/>
              </w:rPr>
              <w:t xml:space="preserve">jako operatora wyznaczonego </w:t>
            </w:r>
            <w:r w:rsidR="00A65682" w:rsidRPr="00067989">
              <w:rPr>
                <w:rFonts w:ascii="Times New Roman" w:hAnsi="Times New Roman" w:cs="Times New Roman"/>
                <w:color w:val="000000" w:themeColor="text1"/>
              </w:rPr>
              <w:t>warto zwrócić uwagę</w:t>
            </w:r>
            <w:r w:rsidRPr="00067989">
              <w:rPr>
                <w:rFonts w:ascii="Times New Roman" w:hAnsi="Times New Roman" w:cs="Times New Roman"/>
                <w:color w:val="000000" w:themeColor="text1"/>
              </w:rPr>
              <w:t xml:space="preserve"> na wytworzenie nowych miejsc pracy, związanych z</w:t>
            </w:r>
            <w:r w:rsidR="008742F0">
              <w:rPr>
                <w:rFonts w:ascii="Times New Roman" w:hAnsi="Times New Roman" w:cs="Times New Roman"/>
                <w:color w:val="000000" w:themeColor="text1"/>
              </w:rPr>
              <w:t> </w:t>
            </w:r>
            <w:r w:rsidRPr="00067989">
              <w:rPr>
                <w:rFonts w:ascii="Times New Roman" w:hAnsi="Times New Roman" w:cs="Times New Roman"/>
                <w:color w:val="000000" w:themeColor="text1"/>
              </w:rPr>
              <w:t>wdrażanymi usługami oraz przekwalifikowanie zatrudnionych pracowników do nowych czynności związanych z</w:t>
            </w:r>
            <w:r w:rsidR="008742F0">
              <w:rPr>
                <w:rFonts w:ascii="Times New Roman" w:hAnsi="Times New Roman" w:cs="Times New Roman"/>
                <w:color w:val="000000" w:themeColor="text1"/>
              </w:rPr>
              <w:t> </w:t>
            </w:r>
            <w:r w:rsidR="000E6647" w:rsidRPr="00067989">
              <w:rPr>
                <w:rFonts w:ascii="Times New Roman" w:hAnsi="Times New Roman" w:cs="Times New Roman"/>
                <w:color w:val="000000" w:themeColor="text1"/>
              </w:rPr>
              <w:t>cyfryzacją</w:t>
            </w:r>
            <w:r w:rsidRPr="00067989">
              <w:rPr>
                <w:rFonts w:ascii="Times New Roman" w:hAnsi="Times New Roman" w:cs="Times New Roman"/>
                <w:color w:val="000000" w:themeColor="text1"/>
              </w:rPr>
              <w:t xml:space="preserve"> oraz np. z rozwojem branży e-commerce. Posiadana przez operatora elektroniczna platforma służąca do komunikacji elektronicznej i hybrydowej między obywatelami i</w:t>
            </w:r>
            <w:r w:rsidR="000E6647" w:rsidRPr="0006798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przedsiębiorcami będzie wykorzystywana i</w:t>
            </w:r>
            <w:r w:rsidR="008742F0">
              <w:rPr>
                <w:rFonts w:ascii="Times New Roman" w:hAnsi="Times New Roman" w:cs="Times New Roman"/>
                <w:color w:val="000000" w:themeColor="text1"/>
              </w:rPr>
              <w:t> </w:t>
            </w:r>
            <w:r w:rsidRPr="00067989">
              <w:rPr>
                <w:rFonts w:ascii="Times New Roman" w:hAnsi="Times New Roman" w:cs="Times New Roman"/>
                <w:color w:val="000000" w:themeColor="text1"/>
              </w:rPr>
              <w:t>rozwijana. Posiadana przez Pocztę Polską S.A. sieć placówek będzie mogła nie tylko świadczyć – jak obecnie – misję związaną z realizacją usługi powszechnej, lecz będzie mogła służyć innym, innowacyjnym usługom adresowanym do obywateli.</w:t>
            </w:r>
          </w:p>
          <w:p w14:paraId="0CBC9A74" w14:textId="5CF14BEE" w:rsidR="00423F8E" w:rsidRPr="00067989" w:rsidRDefault="007237D8" w:rsidP="008A3FA9">
            <w:p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Operator wyznaczony</w:t>
            </w:r>
            <w:r w:rsidR="00150BAD" w:rsidRPr="00067989">
              <w:rPr>
                <w:rFonts w:ascii="Times New Roman" w:hAnsi="Times New Roman" w:cs="Times New Roman"/>
                <w:color w:val="000000" w:themeColor="text1"/>
              </w:rPr>
              <w:t xml:space="preserve"> </w:t>
            </w:r>
            <w:r w:rsidR="00CF53BE" w:rsidRPr="00067989">
              <w:rPr>
                <w:rFonts w:ascii="Times New Roman" w:hAnsi="Times New Roman" w:cs="Times New Roman"/>
                <w:color w:val="000000" w:themeColor="text1"/>
              </w:rPr>
              <w:t xml:space="preserve">będzie miał wyłączność </w:t>
            </w:r>
            <w:r w:rsidR="00A0523F" w:rsidRPr="00067989">
              <w:rPr>
                <w:rFonts w:ascii="Times New Roman" w:hAnsi="Times New Roman" w:cs="Times New Roman"/>
                <w:color w:val="000000" w:themeColor="text1"/>
              </w:rPr>
              <w:t xml:space="preserve">na </w:t>
            </w:r>
            <w:r w:rsidR="00ED1BFC" w:rsidRPr="00067989">
              <w:rPr>
                <w:rFonts w:ascii="Times New Roman" w:hAnsi="Times New Roman" w:cs="Times New Roman"/>
                <w:color w:val="000000" w:themeColor="text1"/>
              </w:rPr>
              <w:t>obsług</w:t>
            </w:r>
            <w:r w:rsidRPr="00067989">
              <w:rPr>
                <w:rFonts w:ascii="Times New Roman" w:hAnsi="Times New Roman" w:cs="Times New Roman"/>
                <w:color w:val="000000" w:themeColor="text1"/>
              </w:rPr>
              <w:t>ę</w:t>
            </w:r>
            <w:r w:rsidR="00ED1BFC" w:rsidRPr="00067989">
              <w:rPr>
                <w:rFonts w:ascii="Times New Roman" w:hAnsi="Times New Roman" w:cs="Times New Roman"/>
                <w:color w:val="000000" w:themeColor="text1"/>
              </w:rPr>
              <w:t xml:space="preserve"> </w:t>
            </w:r>
            <w:r w:rsidR="00CF53BE" w:rsidRPr="00067989">
              <w:rPr>
                <w:rFonts w:ascii="Times New Roman" w:hAnsi="Times New Roman" w:cs="Times New Roman"/>
                <w:color w:val="000000" w:themeColor="text1"/>
              </w:rPr>
              <w:t xml:space="preserve">doręczeń </w:t>
            </w:r>
            <w:r w:rsidR="00ED1BFC" w:rsidRPr="00067989">
              <w:rPr>
                <w:rFonts w:ascii="Times New Roman" w:hAnsi="Times New Roman" w:cs="Times New Roman"/>
                <w:color w:val="000000" w:themeColor="text1"/>
              </w:rPr>
              <w:t xml:space="preserve">od </w:t>
            </w:r>
            <w:r w:rsidR="00A0523F" w:rsidRPr="00067989">
              <w:rPr>
                <w:rFonts w:ascii="Times New Roman" w:hAnsi="Times New Roman" w:cs="Times New Roman"/>
                <w:color w:val="000000" w:themeColor="text1"/>
              </w:rPr>
              <w:t xml:space="preserve">i </w:t>
            </w:r>
            <w:r w:rsidR="00A02CC0" w:rsidRPr="00067989">
              <w:rPr>
                <w:rFonts w:ascii="Times New Roman" w:hAnsi="Times New Roman" w:cs="Times New Roman"/>
                <w:color w:val="000000" w:themeColor="text1"/>
              </w:rPr>
              <w:t xml:space="preserve">do </w:t>
            </w:r>
            <w:r w:rsidR="00CF53BE" w:rsidRPr="00067989">
              <w:rPr>
                <w:rFonts w:ascii="Times New Roman" w:hAnsi="Times New Roman" w:cs="Times New Roman"/>
                <w:color w:val="000000" w:themeColor="text1"/>
              </w:rPr>
              <w:t>podmiotów publicznych</w:t>
            </w:r>
            <w:r w:rsidR="00E14415" w:rsidRPr="00067989">
              <w:rPr>
                <w:rFonts w:ascii="Times New Roman" w:hAnsi="Times New Roman" w:cs="Times New Roman"/>
                <w:color w:val="000000" w:themeColor="text1"/>
              </w:rPr>
              <w:t>, przy c</w:t>
            </w:r>
            <w:r w:rsidR="00423F8E" w:rsidRPr="00067989">
              <w:rPr>
                <w:rFonts w:ascii="Times New Roman" w:hAnsi="Times New Roman" w:cs="Times New Roman"/>
                <w:color w:val="000000" w:themeColor="text1"/>
              </w:rPr>
              <w:t>z</w:t>
            </w:r>
            <w:r w:rsidR="00E14415" w:rsidRPr="00067989">
              <w:rPr>
                <w:rFonts w:ascii="Times New Roman" w:hAnsi="Times New Roman" w:cs="Times New Roman"/>
                <w:color w:val="000000" w:themeColor="text1"/>
              </w:rPr>
              <w:t>ym nie będzie on pobierał opłat za przekazywanie korespondencji do podmiotu publicznego przy użyciu skrzynek doręczeń</w:t>
            </w:r>
            <w:r w:rsidR="00423F8E" w:rsidRPr="00067989">
              <w:rPr>
                <w:rFonts w:ascii="Times New Roman" w:hAnsi="Times New Roman" w:cs="Times New Roman"/>
                <w:color w:val="000000" w:themeColor="text1"/>
              </w:rPr>
              <w:t xml:space="preserve">. Oznacza to, że </w:t>
            </w:r>
            <w:r w:rsidR="00E14415" w:rsidRPr="00067989">
              <w:rPr>
                <w:rFonts w:ascii="Times New Roman" w:hAnsi="Times New Roman" w:cs="Times New Roman"/>
                <w:color w:val="000000" w:themeColor="text1"/>
              </w:rPr>
              <w:t xml:space="preserve">korespondencja kierowana od podmiotu niepublicznego do podmiotu publicznego jest </w:t>
            </w:r>
            <w:r w:rsidR="00A0523F" w:rsidRPr="00067989">
              <w:rPr>
                <w:rFonts w:ascii="Times New Roman" w:hAnsi="Times New Roman" w:cs="Times New Roman"/>
                <w:color w:val="000000" w:themeColor="text1"/>
              </w:rPr>
              <w:t>zwolniona z</w:t>
            </w:r>
            <w:r w:rsidR="008742F0">
              <w:rPr>
                <w:rFonts w:ascii="Times New Roman" w:hAnsi="Times New Roman" w:cs="Times New Roman"/>
                <w:color w:val="000000" w:themeColor="text1"/>
              </w:rPr>
              <w:t> </w:t>
            </w:r>
            <w:r w:rsidR="00A0523F" w:rsidRPr="00067989">
              <w:rPr>
                <w:rFonts w:ascii="Times New Roman" w:hAnsi="Times New Roman" w:cs="Times New Roman"/>
                <w:color w:val="000000" w:themeColor="text1"/>
              </w:rPr>
              <w:t xml:space="preserve">opłaty </w:t>
            </w:r>
            <w:r w:rsidR="00423F8E" w:rsidRPr="00067989">
              <w:rPr>
                <w:rFonts w:ascii="Times New Roman" w:hAnsi="Times New Roman" w:cs="Times New Roman"/>
                <w:iCs/>
                <w:color w:val="000000"/>
              </w:rPr>
              <w:t>w przypadku korespondencji wysyłanej przez podmiot niepubliczny z adresu wpisanego do BAE dla którego istnieje skrzynka u operatora wyznaczonego.</w:t>
            </w:r>
          </w:p>
          <w:p w14:paraId="3A7E122F" w14:textId="77777777" w:rsidR="00E14415" w:rsidRPr="00067989" w:rsidRDefault="00167EC4" w:rsidP="00067989">
            <w:p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 xml:space="preserve">Korespondencja kierowana od podmiotu publicznego do podmiotu niepublicznego będzie odpłatna </w:t>
            </w:r>
            <w:r w:rsidR="00A0523F" w:rsidRPr="00067989">
              <w:rPr>
                <w:rFonts w:ascii="Times New Roman" w:hAnsi="Times New Roman" w:cs="Times New Roman"/>
                <w:color w:val="000000" w:themeColor="text1"/>
              </w:rPr>
              <w:t>a</w:t>
            </w:r>
            <w:r w:rsidR="00272CE6" w:rsidRPr="00067989">
              <w:rPr>
                <w:rFonts w:ascii="Times New Roman" w:hAnsi="Times New Roman" w:cs="Times New Roman"/>
                <w:color w:val="000000" w:themeColor="text1"/>
              </w:rPr>
              <w:t xml:space="preserve"> wysokość opłaty będzie regulowana cennikiem operatora.</w:t>
            </w:r>
            <w:r w:rsidR="00A0523F" w:rsidRPr="00067989">
              <w:rPr>
                <w:rFonts w:ascii="Times New Roman" w:hAnsi="Times New Roman" w:cs="Times New Roman"/>
                <w:color w:val="000000" w:themeColor="text1"/>
              </w:rPr>
              <w:t xml:space="preserve"> </w:t>
            </w:r>
          </w:p>
          <w:p w14:paraId="118C57D7" w14:textId="77777777" w:rsidR="000A7140" w:rsidRPr="00067989" w:rsidRDefault="00272CE6" w:rsidP="00067989">
            <w:p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Operator wyznaczony pobiera opłatę za świadczenie publicznej usługi hybrydowej. Metodologia wyliczenia</w:t>
            </w:r>
            <w:r w:rsidR="00AD151A" w:rsidRPr="00067989">
              <w:rPr>
                <w:rFonts w:ascii="Times New Roman" w:hAnsi="Times New Roman" w:cs="Times New Roman"/>
                <w:color w:val="000000" w:themeColor="text1"/>
              </w:rPr>
              <w:t xml:space="preserve"> poziomu opłat</w:t>
            </w:r>
            <w:r w:rsidRPr="00067989">
              <w:rPr>
                <w:rFonts w:ascii="Times New Roman" w:hAnsi="Times New Roman" w:cs="Times New Roman"/>
                <w:color w:val="000000" w:themeColor="text1"/>
              </w:rPr>
              <w:t xml:space="preserve"> za publiczn</w:t>
            </w:r>
            <w:r w:rsidR="00AD151A" w:rsidRPr="00067989">
              <w:rPr>
                <w:rFonts w:ascii="Times New Roman" w:hAnsi="Times New Roman" w:cs="Times New Roman"/>
                <w:color w:val="000000" w:themeColor="text1"/>
              </w:rPr>
              <w:t>ą</w:t>
            </w:r>
            <w:r w:rsidRPr="00067989">
              <w:rPr>
                <w:rFonts w:ascii="Times New Roman" w:hAnsi="Times New Roman" w:cs="Times New Roman"/>
                <w:color w:val="000000" w:themeColor="text1"/>
              </w:rPr>
              <w:t xml:space="preserve"> usługę hybrydową </w:t>
            </w:r>
            <w:r w:rsidR="00AD151A" w:rsidRPr="00067989">
              <w:rPr>
                <w:rFonts w:ascii="Times New Roman" w:hAnsi="Times New Roman" w:cs="Times New Roman"/>
                <w:color w:val="000000" w:themeColor="text1"/>
              </w:rPr>
              <w:t xml:space="preserve">oraz publiczną usługę rejestrowanego doręczenia elektronicznego </w:t>
            </w:r>
            <w:r w:rsidRPr="00067989">
              <w:rPr>
                <w:rFonts w:ascii="Times New Roman" w:hAnsi="Times New Roman" w:cs="Times New Roman"/>
                <w:color w:val="000000" w:themeColor="text1"/>
              </w:rPr>
              <w:t xml:space="preserve">zostanie </w:t>
            </w:r>
            <w:r w:rsidRPr="00067989">
              <w:rPr>
                <w:rFonts w:ascii="Times New Roman" w:hAnsi="Times New Roman" w:cs="Times New Roman"/>
                <w:color w:val="000000" w:themeColor="text1"/>
              </w:rPr>
              <w:lastRenderedPageBreak/>
              <w:t>określona w rozporządzeniu przez ministr</w:t>
            </w:r>
            <w:r w:rsidR="00AD151A" w:rsidRPr="00067989">
              <w:rPr>
                <w:rFonts w:ascii="Times New Roman" w:hAnsi="Times New Roman" w:cs="Times New Roman"/>
                <w:color w:val="000000" w:themeColor="text1"/>
              </w:rPr>
              <w:t>a właściwego do spraw łączności</w:t>
            </w:r>
            <w:r w:rsidRPr="00067989">
              <w:rPr>
                <w:rFonts w:ascii="Times New Roman" w:hAnsi="Times New Roman" w:cs="Times New Roman"/>
                <w:color w:val="000000" w:themeColor="text1"/>
              </w:rPr>
              <w:t xml:space="preserve"> oraz ministra właściwego do spraw informatyzacji w porozumieniu z ministrem właściwym do spraw finansów publicznych. </w:t>
            </w:r>
            <w:r w:rsidR="00A0523F" w:rsidRPr="00067989">
              <w:rPr>
                <w:rFonts w:ascii="Times New Roman" w:hAnsi="Times New Roman" w:cs="Times New Roman"/>
                <w:color w:val="000000" w:themeColor="text1"/>
              </w:rPr>
              <w:t xml:space="preserve">Operator wyznaczony będzie miał prawo do świadczenia odpłatnych dodatkowych usług powiązanych ze świadczeniem publicznej usługi rejestrowanego doręczenia elektronicznego lub publicznej usługi hybrydowej o ile określi je w regulaminie oraz </w:t>
            </w:r>
            <w:r w:rsidR="00E472EA" w:rsidRPr="00067989">
              <w:rPr>
                <w:rFonts w:ascii="Times New Roman" w:hAnsi="Times New Roman" w:cs="Times New Roman"/>
                <w:color w:val="000000" w:themeColor="text1"/>
              </w:rPr>
              <w:t>cenniku.</w:t>
            </w:r>
          </w:p>
          <w:p w14:paraId="50128083" w14:textId="570107A2" w:rsidR="00272CE6" w:rsidRPr="00067989" w:rsidRDefault="00E472EA" w:rsidP="00067989">
            <w:p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Operator wyznaczony przedkładać będzie UKE projekt cennika lub zmian do obowiązującego cennika do zatwierdzenia</w:t>
            </w:r>
            <w:r w:rsidR="00272CE6" w:rsidRPr="00067989">
              <w:rPr>
                <w:rFonts w:ascii="Times New Roman" w:hAnsi="Times New Roman" w:cs="Times New Roman"/>
                <w:color w:val="000000" w:themeColor="text1"/>
              </w:rPr>
              <w:t xml:space="preserve"> (zatwierdzenie może dotyczyć całości albo części projektu cennika bądź projektu zmian do obowiązującego cennika)</w:t>
            </w:r>
            <w:r w:rsidRPr="00067989">
              <w:rPr>
                <w:rFonts w:ascii="Times New Roman" w:hAnsi="Times New Roman" w:cs="Times New Roman"/>
                <w:color w:val="000000" w:themeColor="text1"/>
              </w:rPr>
              <w:t>.</w:t>
            </w:r>
            <w:r w:rsidR="00272CE6" w:rsidRPr="0006798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Po</w:t>
            </w:r>
            <w:r w:rsidR="00272CE6" w:rsidRPr="00067989">
              <w:rPr>
                <w:rFonts w:ascii="Times New Roman" w:hAnsi="Times New Roman" w:cs="Times New Roman"/>
                <w:color w:val="000000" w:themeColor="text1"/>
              </w:rPr>
              <w:t xml:space="preserve"> zatwierdzeniu </w:t>
            </w:r>
            <w:r w:rsidRPr="00067989">
              <w:rPr>
                <w:rFonts w:ascii="Times New Roman" w:hAnsi="Times New Roman" w:cs="Times New Roman"/>
                <w:color w:val="000000" w:themeColor="text1"/>
              </w:rPr>
              <w:t>cennik będzie</w:t>
            </w:r>
            <w:r w:rsidR="00272CE6" w:rsidRPr="00067989">
              <w:rPr>
                <w:rFonts w:ascii="Times New Roman" w:hAnsi="Times New Roman" w:cs="Times New Roman"/>
                <w:color w:val="000000" w:themeColor="text1"/>
              </w:rPr>
              <w:t xml:space="preserve"> publikowany w Biuletynie Informacji Publicznej na stronach podmiotowych ministra właściwego do spraw informatyzacji</w:t>
            </w:r>
            <w:r w:rsidRPr="00067989">
              <w:rPr>
                <w:rFonts w:ascii="Times New Roman" w:hAnsi="Times New Roman" w:cs="Times New Roman"/>
                <w:color w:val="000000" w:themeColor="text1"/>
              </w:rPr>
              <w:t>, Prezesa UKE</w:t>
            </w:r>
            <w:r w:rsidR="00272CE6" w:rsidRPr="00067989">
              <w:rPr>
                <w:rFonts w:ascii="Times New Roman" w:hAnsi="Times New Roman" w:cs="Times New Roman"/>
                <w:color w:val="000000" w:themeColor="text1"/>
              </w:rPr>
              <w:t xml:space="preserve"> i ministra właściwego do spraw łączności oraz na stronie internetowej operatora wyznaczonego (zakłada się udostępnian</w:t>
            </w:r>
            <w:r w:rsidR="002C4C25">
              <w:rPr>
                <w:rFonts w:ascii="Times New Roman" w:hAnsi="Times New Roman" w:cs="Times New Roman"/>
                <w:color w:val="000000" w:themeColor="text1"/>
              </w:rPr>
              <w:t>i</w:t>
            </w:r>
            <w:r w:rsidR="00272CE6" w:rsidRPr="00067989">
              <w:rPr>
                <w:rFonts w:ascii="Times New Roman" w:hAnsi="Times New Roman" w:cs="Times New Roman"/>
                <w:color w:val="000000" w:themeColor="text1"/>
              </w:rPr>
              <w:t>e go w placówkach pocztowych operatora wyznaczonego).</w:t>
            </w:r>
          </w:p>
          <w:p w14:paraId="70D8FE46" w14:textId="77777777" w:rsidR="00272CE6" w:rsidRPr="00067989" w:rsidRDefault="00272CE6" w:rsidP="00067989">
            <w:pPr>
              <w:spacing w:before="60" w:after="60"/>
              <w:jc w:val="both"/>
              <w:rPr>
                <w:rFonts w:ascii="Times New Roman" w:hAnsi="Times New Roman" w:cs="Times New Roman"/>
                <w:bCs/>
                <w:color w:val="000000" w:themeColor="text1"/>
              </w:rPr>
            </w:pPr>
            <w:r w:rsidRPr="00067989">
              <w:rPr>
                <w:rFonts w:ascii="Times New Roman" w:hAnsi="Times New Roman" w:cs="Times New Roman"/>
                <w:bCs/>
                <w:color w:val="000000" w:themeColor="text1"/>
              </w:rPr>
              <w:t xml:space="preserve">Usługa rejestrowanego doręczenia elektronicznego </w:t>
            </w:r>
            <w:r w:rsidR="00E472EA" w:rsidRPr="00067989">
              <w:rPr>
                <w:rFonts w:ascii="Times New Roman" w:hAnsi="Times New Roman" w:cs="Times New Roman"/>
                <w:bCs/>
                <w:color w:val="000000" w:themeColor="text1"/>
              </w:rPr>
              <w:t xml:space="preserve">dla podmiotów niepublicznych </w:t>
            </w:r>
            <w:r w:rsidRPr="00067989">
              <w:rPr>
                <w:rFonts w:ascii="Times New Roman" w:hAnsi="Times New Roman" w:cs="Times New Roman"/>
                <w:bCs/>
                <w:color w:val="000000" w:themeColor="text1"/>
              </w:rPr>
              <w:t>może być świadczona przez kwalifikowanych dostawców usług zaufania. Możliwa będzie wymiana korespondencji pomiędzy państwowymi skrzynkami operatora wyznaczonego a rozwiązaniami teleinformatycznymi kwalifikowanych dostawców usług zaufania</w:t>
            </w:r>
            <w:r w:rsidR="00EA633F" w:rsidRPr="00067989">
              <w:rPr>
                <w:rFonts w:ascii="Times New Roman" w:hAnsi="Times New Roman" w:cs="Times New Roman"/>
                <w:bCs/>
                <w:color w:val="000000" w:themeColor="text1"/>
              </w:rPr>
              <w:t xml:space="preserve"> – zostanie zdefiniowany standard którego spełnienie przez kwalifikowanych dostawców pozwoli na kierowanie korespondencji elektronicznej od nadawców posiadających kwalifikowane adresy doręczeń do adresatów posiadających adresy doręczeń </w:t>
            </w:r>
            <w:r w:rsidR="000A7140" w:rsidRPr="00067989">
              <w:rPr>
                <w:rFonts w:ascii="Times New Roman" w:hAnsi="Times New Roman" w:cs="Times New Roman"/>
                <w:bCs/>
                <w:color w:val="000000" w:themeColor="text1"/>
              </w:rPr>
              <w:t xml:space="preserve">powiązane ze skrzynkami </w:t>
            </w:r>
            <w:r w:rsidR="00EA633F" w:rsidRPr="00067989">
              <w:rPr>
                <w:rFonts w:ascii="Times New Roman" w:hAnsi="Times New Roman" w:cs="Times New Roman"/>
                <w:bCs/>
                <w:color w:val="000000" w:themeColor="text1"/>
              </w:rPr>
              <w:t>znajdując</w:t>
            </w:r>
            <w:r w:rsidR="000A7140" w:rsidRPr="00067989">
              <w:rPr>
                <w:rFonts w:ascii="Times New Roman" w:hAnsi="Times New Roman" w:cs="Times New Roman"/>
                <w:bCs/>
                <w:color w:val="000000" w:themeColor="text1"/>
              </w:rPr>
              <w:t>ymi</w:t>
            </w:r>
            <w:r w:rsidR="00EA633F" w:rsidRPr="00067989">
              <w:rPr>
                <w:rFonts w:ascii="Times New Roman" w:hAnsi="Times New Roman" w:cs="Times New Roman"/>
                <w:bCs/>
                <w:color w:val="000000" w:themeColor="text1"/>
              </w:rPr>
              <w:t xml:space="preserve"> się w</w:t>
            </w:r>
            <w:r w:rsidR="00AB04E9">
              <w:rPr>
                <w:rFonts w:ascii="Times New Roman" w:hAnsi="Times New Roman" w:cs="Times New Roman"/>
                <w:bCs/>
                <w:color w:val="000000" w:themeColor="text1"/>
              </w:rPr>
              <w:t xml:space="preserve"> </w:t>
            </w:r>
            <w:r w:rsidR="00EA633F" w:rsidRPr="00067989">
              <w:rPr>
                <w:rFonts w:ascii="Times New Roman" w:hAnsi="Times New Roman" w:cs="Times New Roman"/>
                <w:bCs/>
                <w:color w:val="000000" w:themeColor="text1"/>
              </w:rPr>
              <w:t xml:space="preserve">gestii operatora wyznaczonego. </w:t>
            </w:r>
            <w:r w:rsidR="000A7140" w:rsidRPr="00067989">
              <w:rPr>
                <w:rFonts w:ascii="Times New Roman" w:hAnsi="Times New Roman" w:cs="Times New Roman"/>
                <w:bCs/>
                <w:color w:val="000000" w:themeColor="text1"/>
              </w:rPr>
              <w:t>Co do zasady zapewniona będzie</w:t>
            </w:r>
            <w:r w:rsidR="00AB04E9">
              <w:rPr>
                <w:rFonts w:ascii="Times New Roman" w:hAnsi="Times New Roman" w:cs="Times New Roman"/>
                <w:bCs/>
                <w:color w:val="000000" w:themeColor="text1"/>
              </w:rPr>
              <w:t xml:space="preserve"> </w:t>
            </w:r>
            <w:r w:rsidR="00EA633F" w:rsidRPr="00067989">
              <w:rPr>
                <w:rFonts w:ascii="Times New Roman" w:hAnsi="Times New Roman" w:cs="Times New Roman"/>
                <w:bCs/>
                <w:color w:val="000000" w:themeColor="text1"/>
              </w:rPr>
              <w:t>interoperacyjność doręczeń elektronicznych</w:t>
            </w:r>
            <w:r w:rsidR="00E472EA" w:rsidRPr="00067989">
              <w:rPr>
                <w:rFonts w:ascii="Times New Roman" w:hAnsi="Times New Roman" w:cs="Times New Roman"/>
                <w:bCs/>
                <w:color w:val="000000" w:themeColor="text1"/>
              </w:rPr>
              <w:t>.</w:t>
            </w:r>
          </w:p>
          <w:p w14:paraId="4F9FB7B8" w14:textId="77777777" w:rsidR="00E472EA" w:rsidRPr="00067989" w:rsidRDefault="000A7140" w:rsidP="00067989">
            <w:p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 xml:space="preserve">Operator wyznaczony będzie otrzymywał </w:t>
            </w:r>
            <w:r w:rsidR="00272CE6" w:rsidRPr="00067989">
              <w:rPr>
                <w:rFonts w:ascii="Times New Roman" w:hAnsi="Times New Roman" w:cs="Times New Roman"/>
                <w:color w:val="000000" w:themeColor="text1"/>
              </w:rPr>
              <w:t xml:space="preserve">z budżetu państwa </w:t>
            </w:r>
            <w:r w:rsidRPr="00067989">
              <w:rPr>
                <w:rFonts w:ascii="Times New Roman" w:hAnsi="Times New Roman" w:cs="Times New Roman"/>
                <w:color w:val="000000" w:themeColor="text1"/>
              </w:rPr>
              <w:t xml:space="preserve">dotację </w:t>
            </w:r>
            <w:r w:rsidR="001A047D" w:rsidRPr="00067989">
              <w:rPr>
                <w:rFonts w:ascii="Times New Roman" w:hAnsi="Times New Roman" w:cs="Times New Roman"/>
                <w:color w:val="000000" w:themeColor="text1"/>
              </w:rPr>
              <w:t xml:space="preserve">przedmiotową </w:t>
            </w:r>
            <w:r w:rsidR="0028122F" w:rsidRPr="00067989">
              <w:rPr>
                <w:rFonts w:ascii="Times New Roman" w:hAnsi="Times New Roman" w:cs="Times New Roman"/>
                <w:color w:val="000000" w:themeColor="text1"/>
              </w:rPr>
              <w:t xml:space="preserve">za </w:t>
            </w:r>
            <w:r w:rsidR="001A047D" w:rsidRPr="00067989">
              <w:rPr>
                <w:rFonts w:ascii="Times New Roman" w:hAnsi="Times New Roman" w:cs="Times New Roman"/>
                <w:color w:val="000000" w:themeColor="text1"/>
              </w:rPr>
              <w:t>dostarczanie korespondencji</w:t>
            </w:r>
            <w:r w:rsidR="0028122F" w:rsidRPr="00067989">
              <w:rPr>
                <w:rFonts w:ascii="Times New Roman" w:hAnsi="Times New Roman" w:cs="Times New Roman"/>
                <w:color w:val="000000" w:themeColor="text1"/>
              </w:rPr>
              <w:t xml:space="preserve"> od podmiotów niepublicznych do podmiotów publicznych z wykorzystaniem publicznej usługi rejestrowanego doręczenia elektronicznego. </w:t>
            </w:r>
          </w:p>
          <w:p w14:paraId="3D57E416" w14:textId="4BA0583F" w:rsidR="0053185F" w:rsidRPr="00067989" w:rsidRDefault="0028122F" w:rsidP="008A3FA9">
            <w:p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 xml:space="preserve">Rozliczenie dotacji </w:t>
            </w:r>
            <w:r w:rsidR="001A047D" w:rsidRPr="00067989">
              <w:rPr>
                <w:rFonts w:ascii="Times New Roman" w:hAnsi="Times New Roman" w:cs="Times New Roman"/>
                <w:color w:val="000000" w:themeColor="text1"/>
              </w:rPr>
              <w:t>będzie zrealizowane w oparciu o</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rzeczywisty zrealizowany transfer od podmiotu niepublicznego do podmiotu publicznego</w:t>
            </w:r>
            <w:r w:rsidR="001A047D" w:rsidRPr="00067989">
              <w:rPr>
                <w:rFonts w:ascii="Times New Roman" w:hAnsi="Times New Roman" w:cs="Times New Roman"/>
                <w:color w:val="000000" w:themeColor="text1"/>
              </w:rPr>
              <w:t>,</w:t>
            </w:r>
            <w:r w:rsidRPr="00067989">
              <w:rPr>
                <w:rFonts w:ascii="Times New Roman" w:hAnsi="Times New Roman" w:cs="Times New Roman"/>
                <w:color w:val="000000" w:themeColor="text1"/>
              </w:rPr>
              <w:t xml:space="preserve"> rzeczywisty jednostkowy koszt tego transferu</w:t>
            </w:r>
            <w:r w:rsidR="001A047D" w:rsidRPr="00067989">
              <w:rPr>
                <w:rFonts w:ascii="Times New Roman" w:hAnsi="Times New Roman" w:cs="Times New Roman"/>
                <w:color w:val="000000" w:themeColor="text1"/>
              </w:rPr>
              <w:t xml:space="preserve"> oraz rozsądny zysk operatora wyznaczonego.</w:t>
            </w:r>
            <w:r w:rsidR="00E472EA" w:rsidRPr="00067989">
              <w:rPr>
                <w:rFonts w:ascii="Times New Roman" w:hAnsi="Times New Roman" w:cs="Times New Roman"/>
                <w:color w:val="000000" w:themeColor="text1"/>
              </w:rPr>
              <w:t xml:space="preserve"> Przewiduje się że stawki dotacji oraz tryb i sposób jej udziela</w:t>
            </w:r>
            <w:r w:rsidR="00EE3C14" w:rsidRPr="00067989">
              <w:rPr>
                <w:rFonts w:ascii="Times New Roman" w:hAnsi="Times New Roman" w:cs="Times New Roman"/>
                <w:color w:val="000000" w:themeColor="text1"/>
              </w:rPr>
              <w:t>nia będ</w:t>
            </w:r>
            <w:r w:rsidR="00C72249">
              <w:rPr>
                <w:rFonts w:ascii="Times New Roman" w:hAnsi="Times New Roman" w:cs="Times New Roman"/>
                <w:color w:val="000000" w:themeColor="text1"/>
              </w:rPr>
              <w:t>ą</w:t>
            </w:r>
            <w:r w:rsidR="00EE3C14" w:rsidRPr="00067989">
              <w:rPr>
                <w:rFonts w:ascii="Times New Roman" w:hAnsi="Times New Roman" w:cs="Times New Roman"/>
                <w:color w:val="000000" w:themeColor="text1"/>
              </w:rPr>
              <w:t xml:space="preserve"> określon</w:t>
            </w:r>
            <w:r w:rsidR="00C72249">
              <w:rPr>
                <w:rFonts w:ascii="Times New Roman" w:hAnsi="Times New Roman" w:cs="Times New Roman"/>
                <w:color w:val="000000" w:themeColor="text1"/>
              </w:rPr>
              <w:t>e</w:t>
            </w:r>
            <w:r w:rsidR="00EE3C14" w:rsidRPr="00067989">
              <w:rPr>
                <w:rFonts w:ascii="Times New Roman" w:hAnsi="Times New Roman" w:cs="Times New Roman"/>
                <w:color w:val="000000" w:themeColor="text1"/>
              </w:rPr>
              <w:t xml:space="preserve"> w</w:t>
            </w:r>
            <w:r w:rsidR="00AB04E9">
              <w:rPr>
                <w:rFonts w:ascii="Times New Roman" w:hAnsi="Times New Roman" w:cs="Times New Roman"/>
                <w:color w:val="000000" w:themeColor="text1"/>
              </w:rPr>
              <w:t xml:space="preserve"> </w:t>
            </w:r>
            <w:r w:rsidR="00EE3C14" w:rsidRPr="00067989">
              <w:rPr>
                <w:rFonts w:ascii="Times New Roman" w:hAnsi="Times New Roman" w:cs="Times New Roman"/>
                <w:color w:val="000000" w:themeColor="text1"/>
              </w:rPr>
              <w:t xml:space="preserve">aktach wykonawczych przy czym z uwagi na rodzaj dotacji (dotacja przedmiotowa) właściwa delegacja do wydania stosownego rozporządzenia będzie pochodziła z </w:t>
            </w:r>
            <w:r w:rsidR="00D70918" w:rsidRPr="00067989">
              <w:rPr>
                <w:rFonts w:ascii="Times New Roman" w:hAnsi="Times New Roman" w:cs="Times New Roman"/>
                <w:color w:val="000000" w:themeColor="text1"/>
              </w:rPr>
              <w:t>ustawy z dnia 27 sierpnia 2009 r. o finansach publicznych</w:t>
            </w:r>
            <w:r w:rsidR="00D70918" w:rsidRPr="00067989" w:rsidDel="00D70918">
              <w:rPr>
                <w:rFonts w:ascii="Times New Roman" w:hAnsi="Times New Roman" w:cs="Times New Roman"/>
                <w:color w:val="000000" w:themeColor="text1"/>
              </w:rPr>
              <w:t xml:space="preserve"> </w:t>
            </w:r>
            <w:r w:rsidR="0053185F" w:rsidRPr="00067989">
              <w:rPr>
                <w:rFonts w:ascii="Times New Roman" w:hAnsi="Times New Roman" w:cs="Times New Roman"/>
                <w:color w:val="000000" w:themeColor="text1"/>
              </w:rPr>
              <w:t>Wprowadzenie do powszechnego użycia nowych sposobów doręczeń, tj. publicznej usługi rejestrowanego doręczenia elektronicznego oraz publicznej usługi hybrydowej, będzie poprzedzone pilotażem, który pozwoli podmiotom publicznym na dostosowanie się do nowego rozwiązania i</w:t>
            </w:r>
            <w:r w:rsidR="00AB04E9">
              <w:rPr>
                <w:rFonts w:ascii="Times New Roman" w:hAnsi="Times New Roman" w:cs="Times New Roman"/>
                <w:color w:val="000000" w:themeColor="text1"/>
              </w:rPr>
              <w:t xml:space="preserve"> </w:t>
            </w:r>
            <w:r w:rsidR="0053185F" w:rsidRPr="00067989">
              <w:rPr>
                <w:rFonts w:ascii="Times New Roman" w:hAnsi="Times New Roman" w:cs="Times New Roman"/>
                <w:color w:val="000000" w:themeColor="text1"/>
              </w:rPr>
              <w:t xml:space="preserve">przetestowanie go. Ponadto planuje się objęcie wsparciem szkoleniowym pracowników podmiotów publicznych, będących reprezentantami poszczególnych jednostek i przez te jednostki wskazanych. Kluczowym warunkiem skuteczności wdrożenia projektowanego rozwiązania jest zbudowanie zaufania obywateli co do jego skuteczności. </w:t>
            </w:r>
          </w:p>
          <w:p w14:paraId="6FD5FC73" w14:textId="1E94B736" w:rsidR="00F52996" w:rsidRPr="00067989" w:rsidRDefault="001B58A8" w:rsidP="008A3FA9">
            <w:pPr>
              <w:spacing w:before="60" w:after="60"/>
              <w:jc w:val="both"/>
              <w:rPr>
                <w:rFonts w:ascii="Times New Roman" w:eastAsiaTheme="minorEastAsia" w:hAnsi="Times New Roman" w:cs="Times New Roman"/>
                <w:color w:val="000000" w:themeColor="text1"/>
              </w:rPr>
            </w:pPr>
            <w:r w:rsidRPr="00067989">
              <w:rPr>
                <w:rFonts w:ascii="Times New Roman" w:hAnsi="Times New Roman" w:cs="Times New Roman"/>
                <w:color w:val="000000" w:themeColor="text1"/>
              </w:rPr>
              <w:t>Zostanie</w:t>
            </w:r>
            <w:r w:rsidR="00F52996" w:rsidRPr="00067989">
              <w:rPr>
                <w:rFonts w:ascii="Times New Roman" w:hAnsi="Times New Roman" w:cs="Times New Roman"/>
                <w:color w:val="000000" w:themeColor="text1"/>
              </w:rPr>
              <w:t xml:space="preserve"> także</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przeprowadzona kampania informacyjno-promocyjna wskazująca na korzyści wynikające z</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 xml:space="preserve">wpisania adresu </w:t>
            </w:r>
            <w:r w:rsidR="00261461" w:rsidRPr="00067989">
              <w:rPr>
                <w:rFonts w:ascii="Times New Roman" w:hAnsi="Times New Roman" w:cs="Times New Roman"/>
                <w:color w:val="000000" w:themeColor="text1"/>
              </w:rPr>
              <w:t>do doręczeń elektronicznych</w:t>
            </w:r>
            <w:r w:rsidRPr="00067989">
              <w:rPr>
                <w:rFonts w:ascii="Times New Roman" w:hAnsi="Times New Roman" w:cs="Times New Roman"/>
                <w:color w:val="000000" w:themeColor="text1"/>
              </w:rPr>
              <w:t xml:space="preserve"> do </w:t>
            </w:r>
            <w:r w:rsidR="00D70918" w:rsidRPr="00067989">
              <w:rPr>
                <w:rFonts w:ascii="Times New Roman" w:hAnsi="Times New Roman" w:cs="Times New Roman"/>
                <w:color w:val="000000" w:themeColor="text1"/>
              </w:rPr>
              <w:t>BAE</w:t>
            </w:r>
            <w:r w:rsidRPr="00067989">
              <w:rPr>
                <w:rFonts w:ascii="Times New Roman" w:hAnsi="Times New Roman" w:cs="Times New Roman"/>
                <w:color w:val="000000" w:themeColor="text1"/>
              </w:rPr>
              <w:t>, w tym szereg nowych możliwości w porównaniu z dotychczasowym kontem i skrzynką na ePUAP oraz skrzynkami w innych systemach.</w:t>
            </w:r>
            <w:r w:rsidR="007D078D" w:rsidRPr="00067989">
              <w:rPr>
                <w:rFonts w:ascii="Times New Roman" w:hAnsi="Times New Roman" w:cs="Times New Roman"/>
                <w:color w:val="000000" w:themeColor="text1"/>
              </w:rPr>
              <w:t xml:space="preserve"> Dla uzyskania jak najszerszej skali działania usługi rejestrowanego doręczenia elektronicznego, szczególnie w kontaktach z podmiotami publicznymi, planowane będzie poszerzenie świadomości w</w:t>
            </w:r>
            <w:r w:rsidR="00AB04E9">
              <w:rPr>
                <w:rFonts w:ascii="Times New Roman" w:hAnsi="Times New Roman" w:cs="Times New Roman"/>
                <w:color w:val="000000" w:themeColor="text1"/>
              </w:rPr>
              <w:t xml:space="preserve"> </w:t>
            </w:r>
            <w:r w:rsidR="007D078D" w:rsidRPr="00067989">
              <w:rPr>
                <w:rFonts w:ascii="Times New Roman" w:hAnsi="Times New Roman" w:cs="Times New Roman"/>
                <w:color w:val="000000" w:themeColor="text1"/>
              </w:rPr>
              <w:t>zakresie możliwości korzystania z technologii cyfrowych i</w:t>
            </w:r>
            <w:r w:rsidR="00AB04E9">
              <w:rPr>
                <w:rFonts w:ascii="Times New Roman" w:hAnsi="Times New Roman" w:cs="Times New Roman"/>
                <w:color w:val="000000" w:themeColor="text1"/>
              </w:rPr>
              <w:t xml:space="preserve"> </w:t>
            </w:r>
            <w:r w:rsidR="007D078D" w:rsidRPr="00067989">
              <w:rPr>
                <w:rFonts w:ascii="Times New Roman" w:hAnsi="Times New Roman" w:cs="Times New Roman"/>
                <w:color w:val="000000" w:themeColor="text1"/>
              </w:rPr>
              <w:t xml:space="preserve">zbudowanie zaufania społeczeństwa do tej formy komunikacji. Informacje kierowane do odbiorców będą ponadto podkreślały bezpieczeństwo usługi i możliwość załatwiania </w:t>
            </w:r>
            <w:r w:rsidR="00BA5870" w:rsidRPr="00067989">
              <w:rPr>
                <w:rFonts w:ascii="Times New Roman" w:hAnsi="Times New Roman" w:cs="Times New Roman"/>
                <w:color w:val="000000" w:themeColor="text1"/>
              </w:rPr>
              <w:t xml:space="preserve">większości </w:t>
            </w:r>
            <w:r w:rsidR="007D078D" w:rsidRPr="00067989">
              <w:rPr>
                <w:rFonts w:ascii="Times New Roman" w:hAnsi="Times New Roman" w:cs="Times New Roman"/>
                <w:color w:val="000000" w:themeColor="text1"/>
              </w:rPr>
              <w:t>spraw urzędowych drogą elektroniczną.</w:t>
            </w:r>
            <w:r w:rsidR="00B878C7" w:rsidRPr="00067989">
              <w:rPr>
                <w:rFonts w:ascii="Times New Roman" w:hAnsi="Times New Roman" w:cs="Times New Roman"/>
                <w:color w:val="000000" w:themeColor="text1"/>
              </w:rPr>
              <w:t xml:space="preserve"> Przedstawiany będzie również sposób korzystania z publicznej usługi hybrydowej.</w:t>
            </w:r>
            <w:r w:rsidR="00546853" w:rsidRPr="0006798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Zakres działań promocyjnych będzie z</w:t>
            </w:r>
            <w:r w:rsidR="00546853" w:rsidRPr="00067989">
              <w:rPr>
                <w:rFonts w:ascii="Times New Roman" w:hAnsi="Times New Roman" w:cs="Times New Roman"/>
                <w:color w:val="000000" w:themeColor="text1"/>
              </w:rPr>
              <w:t>bieżny z</w:t>
            </w:r>
            <w:r w:rsidR="008742F0">
              <w:rPr>
                <w:rFonts w:ascii="Times New Roman" w:hAnsi="Times New Roman" w:cs="Times New Roman"/>
                <w:color w:val="000000" w:themeColor="text1"/>
              </w:rPr>
              <w:t> </w:t>
            </w:r>
            <w:r w:rsidR="00546853" w:rsidRPr="00067989">
              <w:rPr>
                <w:rFonts w:ascii="Times New Roman" w:hAnsi="Times New Roman" w:cs="Times New Roman"/>
                <w:color w:val="000000" w:themeColor="text1"/>
              </w:rPr>
              <w:t>modelem</w:t>
            </w:r>
            <w:r w:rsidRPr="00067989">
              <w:rPr>
                <w:rFonts w:ascii="Times New Roman" w:hAnsi="Times New Roman" w:cs="Times New Roman"/>
                <w:color w:val="000000" w:themeColor="text1"/>
              </w:rPr>
              <w:t xml:space="preserve"> przepisów umocowujących rejestrowane doręczenia elektroniczne w postępowaniu administracyjnym, podatkowym, </w:t>
            </w:r>
            <w:r w:rsidR="0018626D" w:rsidRPr="00067989">
              <w:rPr>
                <w:rFonts w:ascii="Times New Roman" w:hAnsi="Times New Roman" w:cs="Times New Roman"/>
                <w:color w:val="000000" w:themeColor="text1"/>
              </w:rPr>
              <w:t>sądowo administracyjnym</w:t>
            </w:r>
            <w:r w:rsidRPr="00067989">
              <w:rPr>
                <w:rFonts w:ascii="Times New Roman" w:hAnsi="Times New Roman" w:cs="Times New Roman"/>
                <w:color w:val="000000" w:themeColor="text1"/>
              </w:rPr>
              <w:t xml:space="preserve">, cywilnym, a także </w:t>
            </w:r>
            <w:r w:rsidR="00BA5870" w:rsidRPr="00067989">
              <w:rPr>
                <w:rFonts w:ascii="Times New Roman" w:hAnsi="Times New Roman" w:cs="Times New Roman"/>
                <w:color w:val="000000" w:themeColor="text1"/>
              </w:rPr>
              <w:t xml:space="preserve">przepisów stanowiących </w:t>
            </w:r>
            <w:r w:rsidRPr="00067989">
              <w:rPr>
                <w:rFonts w:ascii="Times New Roman" w:hAnsi="Times New Roman" w:cs="Times New Roman"/>
                <w:color w:val="000000" w:themeColor="text1"/>
              </w:rPr>
              <w:t xml:space="preserve">wyjątki od ogólnych zasad doręczania </w:t>
            </w:r>
            <w:r w:rsidR="00BA5870" w:rsidRPr="00067989">
              <w:rPr>
                <w:rFonts w:ascii="Times New Roman" w:hAnsi="Times New Roman" w:cs="Times New Roman"/>
                <w:color w:val="000000" w:themeColor="text1"/>
              </w:rPr>
              <w:t>wykluczających elektronizację doręczeń</w:t>
            </w:r>
            <w:r w:rsidRPr="00067989">
              <w:rPr>
                <w:rFonts w:ascii="Times New Roman" w:hAnsi="Times New Roman" w:cs="Times New Roman"/>
                <w:color w:val="000000" w:themeColor="text1"/>
              </w:rPr>
              <w:t>.</w:t>
            </w:r>
            <w:r w:rsidR="00546853" w:rsidRPr="00067989">
              <w:rPr>
                <w:rFonts w:ascii="Times New Roman" w:hAnsi="Times New Roman" w:cs="Times New Roman"/>
                <w:color w:val="000000" w:themeColor="text1"/>
              </w:rPr>
              <w:t xml:space="preserve"> P</w:t>
            </w:r>
            <w:r w:rsidR="00105320" w:rsidRPr="00067989">
              <w:rPr>
                <w:rFonts w:ascii="Times New Roman" w:eastAsiaTheme="minorEastAsia" w:hAnsi="Times New Roman" w:cs="Times New Roman"/>
                <w:color w:val="000000" w:themeColor="text1"/>
              </w:rPr>
              <w:t>rojekt wpłynie na usprawnienie organizacji pracy i przyśpieszy prowadzenie postępowań administracyjnych. Dodatkowo kluczowe jest wskazanie jego horyzontalnego charakteru, który niesie istotne skutki ekonomiczne oraz wyw</w:t>
            </w:r>
            <w:r w:rsidR="00546853" w:rsidRPr="00067989">
              <w:rPr>
                <w:rFonts w:ascii="Times New Roman" w:eastAsiaTheme="minorEastAsia" w:hAnsi="Times New Roman" w:cs="Times New Roman"/>
                <w:color w:val="000000" w:themeColor="text1"/>
              </w:rPr>
              <w:t>ierać będzie</w:t>
            </w:r>
            <w:r w:rsidR="00105320" w:rsidRPr="00067989">
              <w:rPr>
                <w:rFonts w:ascii="Times New Roman" w:eastAsiaTheme="minorEastAsia" w:hAnsi="Times New Roman" w:cs="Times New Roman"/>
                <w:color w:val="000000" w:themeColor="text1"/>
              </w:rPr>
              <w:t xml:space="preserve"> istotny wpływ na działanie podmiotów sektora publicznego i</w:t>
            </w:r>
            <w:r w:rsidR="00AB04E9">
              <w:rPr>
                <w:rFonts w:ascii="Times New Roman" w:eastAsiaTheme="minorEastAsia" w:hAnsi="Times New Roman" w:cs="Times New Roman"/>
                <w:color w:val="000000" w:themeColor="text1"/>
              </w:rPr>
              <w:t xml:space="preserve"> </w:t>
            </w:r>
            <w:r w:rsidR="00105320" w:rsidRPr="00067989">
              <w:rPr>
                <w:rFonts w:ascii="Times New Roman" w:eastAsiaTheme="minorEastAsia" w:hAnsi="Times New Roman" w:cs="Times New Roman"/>
                <w:color w:val="000000" w:themeColor="text1"/>
              </w:rPr>
              <w:t>prywatnego.</w:t>
            </w:r>
            <w:r w:rsidR="00F52996" w:rsidRPr="00067989">
              <w:rPr>
                <w:rFonts w:ascii="Times New Roman" w:eastAsiaTheme="minorEastAsia" w:hAnsi="Times New Roman" w:cs="Times New Roman"/>
                <w:color w:val="000000" w:themeColor="text1"/>
              </w:rPr>
              <w:t xml:space="preserve"> </w:t>
            </w:r>
          </w:p>
          <w:p w14:paraId="7F42CD85" w14:textId="3DD1C201" w:rsidR="00F52996" w:rsidRPr="00067989" w:rsidRDefault="00105320" w:rsidP="008A3FA9">
            <w:pPr>
              <w:spacing w:before="60" w:after="60"/>
              <w:jc w:val="both"/>
              <w:rPr>
                <w:rFonts w:ascii="Times New Roman" w:hAnsi="Times New Roman" w:cs="Times New Roman"/>
                <w:color w:val="000000" w:themeColor="text1"/>
              </w:rPr>
            </w:pPr>
            <w:r w:rsidRPr="00067989">
              <w:rPr>
                <w:rFonts w:ascii="Times New Roman" w:eastAsiaTheme="minorEastAsia" w:hAnsi="Times New Roman" w:cs="Times New Roman"/>
                <w:color w:val="000000" w:themeColor="text1"/>
              </w:rPr>
              <w:t xml:space="preserve">Należy również podkreślić, że opóźnienie lub zaniechanie wdrożenia e-Doręczeń </w:t>
            </w:r>
            <w:r w:rsidR="0053185F" w:rsidRPr="00067989">
              <w:rPr>
                <w:rFonts w:ascii="Times New Roman" w:eastAsiaTheme="minorEastAsia" w:hAnsi="Times New Roman" w:cs="Times New Roman"/>
                <w:color w:val="000000" w:themeColor="text1"/>
              </w:rPr>
              <w:t xml:space="preserve">może skłonić </w:t>
            </w:r>
            <w:r w:rsidRPr="00067989">
              <w:rPr>
                <w:rFonts w:ascii="Times New Roman" w:eastAsiaTheme="minorEastAsia" w:hAnsi="Times New Roman" w:cs="Times New Roman"/>
                <w:color w:val="000000" w:themeColor="text1"/>
              </w:rPr>
              <w:t>podmioty publiczne do</w:t>
            </w:r>
            <w:r w:rsidR="00AB04E9">
              <w:rPr>
                <w:rFonts w:ascii="Times New Roman" w:eastAsiaTheme="minorEastAsia" w:hAnsi="Times New Roman" w:cs="Times New Roman"/>
                <w:color w:val="000000" w:themeColor="text1"/>
              </w:rPr>
              <w:t xml:space="preserve"> </w:t>
            </w:r>
            <w:r w:rsidRPr="00067989">
              <w:rPr>
                <w:rFonts w:ascii="Times New Roman" w:eastAsiaTheme="minorEastAsia" w:hAnsi="Times New Roman" w:cs="Times New Roman"/>
                <w:color w:val="000000" w:themeColor="text1"/>
              </w:rPr>
              <w:t>samodzielnego rozwiązania problemu doręczeń elektronicznych w</w:t>
            </w:r>
            <w:r w:rsidR="00AB04E9">
              <w:rPr>
                <w:rFonts w:ascii="Times New Roman" w:eastAsiaTheme="minorEastAsia" w:hAnsi="Times New Roman" w:cs="Times New Roman"/>
                <w:color w:val="000000" w:themeColor="text1"/>
              </w:rPr>
              <w:t xml:space="preserve"> </w:t>
            </w:r>
            <w:r w:rsidRPr="00067989">
              <w:rPr>
                <w:rFonts w:ascii="Times New Roman" w:eastAsiaTheme="minorEastAsia" w:hAnsi="Times New Roman" w:cs="Times New Roman"/>
                <w:color w:val="000000" w:themeColor="text1"/>
              </w:rPr>
              <w:t>ramach potrzeb poszczególnych projektów, w</w:t>
            </w:r>
            <w:r w:rsidR="008742F0">
              <w:rPr>
                <w:rFonts w:ascii="Times New Roman" w:eastAsiaTheme="minorEastAsia" w:hAnsi="Times New Roman" w:cs="Times New Roman"/>
                <w:color w:val="000000" w:themeColor="text1"/>
              </w:rPr>
              <w:t> </w:t>
            </w:r>
            <w:r w:rsidR="0053185F" w:rsidRPr="00067989">
              <w:rPr>
                <w:rFonts w:ascii="Times New Roman" w:eastAsiaTheme="minorEastAsia" w:hAnsi="Times New Roman" w:cs="Times New Roman"/>
                <w:color w:val="000000" w:themeColor="text1"/>
              </w:rPr>
              <w:t>których taka potrzeba powstaje.</w:t>
            </w:r>
            <w:r w:rsidR="0053185F" w:rsidRPr="00067989">
              <w:rPr>
                <w:rFonts w:ascii="Times New Roman" w:hAnsi="Times New Roman" w:cs="Times New Roman"/>
                <w:color w:val="000000" w:themeColor="text1"/>
              </w:rPr>
              <w:t xml:space="preserve"> </w:t>
            </w:r>
          </w:p>
          <w:p w14:paraId="40D3705C" w14:textId="204271BE" w:rsidR="0053185F" w:rsidRPr="00067989" w:rsidRDefault="0053185F" w:rsidP="008A3FA9">
            <w:pPr>
              <w:spacing w:before="60" w:after="60"/>
              <w:jc w:val="both"/>
              <w:rPr>
                <w:rFonts w:ascii="Times New Roman" w:eastAsiaTheme="minorEastAsia" w:hAnsi="Times New Roman" w:cs="Times New Roman"/>
                <w:color w:val="000000" w:themeColor="text1"/>
              </w:rPr>
            </w:pPr>
            <w:r w:rsidRPr="00067989">
              <w:rPr>
                <w:rFonts w:ascii="Times New Roman" w:eastAsiaTheme="minorEastAsia" w:hAnsi="Times New Roman" w:cs="Times New Roman"/>
                <w:color w:val="000000" w:themeColor="text1"/>
              </w:rPr>
              <w:t>Wdrożenie spójnego systemu do obsługi korespondencji elektronicznej, zapewniającego interoperacyjność doręczeń elektronicznych, w tym zapewnienie takich samych dowodów wysłania i</w:t>
            </w:r>
            <w:r w:rsidR="00AB04E9">
              <w:rPr>
                <w:rFonts w:ascii="Times New Roman" w:eastAsiaTheme="minorEastAsia" w:hAnsi="Times New Roman" w:cs="Times New Roman"/>
                <w:color w:val="000000" w:themeColor="text1"/>
              </w:rPr>
              <w:t xml:space="preserve"> </w:t>
            </w:r>
            <w:r w:rsidRPr="00067989">
              <w:rPr>
                <w:rFonts w:ascii="Times New Roman" w:eastAsiaTheme="minorEastAsia" w:hAnsi="Times New Roman" w:cs="Times New Roman"/>
                <w:color w:val="000000" w:themeColor="text1"/>
              </w:rPr>
              <w:t>odebrania bez względu na strony doręczenia i rodzaj sprawy, pozwoli na implementację rozwiązania w</w:t>
            </w:r>
            <w:r w:rsidR="00AB04E9">
              <w:rPr>
                <w:rFonts w:ascii="Times New Roman" w:eastAsiaTheme="minorEastAsia" w:hAnsi="Times New Roman" w:cs="Times New Roman"/>
                <w:color w:val="000000" w:themeColor="text1"/>
              </w:rPr>
              <w:t xml:space="preserve"> </w:t>
            </w:r>
            <w:r w:rsidRPr="00067989">
              <w:rPr>
                <w:rFonts w:ascii="Times New Roman" w:eastAsiaTheme="minorEastAsia" w:hAnsi="Times New Roman" w:cs="Times New Roman"/>
                <w:color w:val="000000" w:themeColor="text1"/>
              </w:rPr>
              <w:t>każdym dziale administracji państwowej i</w:t>
            </w:r>
            <w:r w:rsidR="008742F0">
              <w:rPr>
                <w:rFonts w:ascii="Times New Roman" w:eastAsiaTheme="minorEastAsia" w:hAnsi="Times New Roman" w:cs="Times New Roman"/>
                <w:color w:val="000000" w:themeColor="text1"/>
              </w:rPr>
              <w:t> </w:t>
            </w:r>
            <w:r w:rsidRPr="00067989">
              <w:rPr>
                <w:rFonts w:ascii="Times New Roman" w:eastAsiaTheme="minorEastAsia" w:hAnsi="Times New Roman" w:cs="Times New Roman"/>
                <w:color w:val="000000" w:themeColor="text1"/>
              </w:rPr>
              <w:t>samorządowej, sądach oraz w sektorze gospodarki, w zależności od</w:t>
            </w:r>
            <w:r w:rsidR="00AB04E9">
              <w:rPr>
                <w:rFonts w:ascii="Times New Roman" w:eastAsiaTheme="minorEastAsia" w:hAnsi="Times New Roman" w:cs="Times New Roman"/>
                <w:color w:val="000000" w:themeColor="text1"/>
              </w:rPr>
              <w:t xml:space="preserve"> </w:t>
            </w:r>
            <w:r w:rsidRPr="00067989">
              <w:rPr>
                <w:rFonts w:ascii="Times New Roman" w:eastAsiaTheme="minorEastAsia" w:hAnsi="Times New Roman" w:cs="Times New Roman"/>
                <w:color w:val="000000" w:themeColor="text1"/>
              </w:rPr>
              <w:t>rodzących się potrzeb, przyczyniając się do obniżenia kosztów funkcjonowania oraz poprawy efektywności działania podmiotów publicznych i przedsiębiorstw.</w:t>
            </w:r>
          </w:p>
          <w:p w14:paraId="0A8A5BCE" w14:textId="77777777" w:rsidR="0018626D" w:rsidRPr="00067989" w:rsidRDefault="0053185F" w:rsidP="00067989">
            <w:pPr>
              <w:pStyle w:val="NormalnyWeb"/>
              <w:shd w:val="clear" w:color="auto" w:fill="FFFFFF" w:themeFill="background1"/>
              <w:spacing w:before="60" w:beforeAutospacing="0" w:after="60" w:afterAutospacing="0"/>
              <w:jc w:val="both"/>
              <w:rPr>
                <w:rFonts w:cs="Times New Roman"/>
                <w:iCs/>
                <w:color w:val="000000" w:themeColor="text1"/>
                <w:sz w:val="22"/>
                <w:szCs w:val="22"/>
              </w:rPr>
            </w:pPr>
            <w:r w:rsidRPr="00067989">
              <w:rPr>
                <w:rFonts w:cs="Times New Roman"/>
                <w:iCs/>
                <w:color w:val="000000" w:themeColor="text1"/>
                <w:sz w:val="22"/>
                <w:szCs w:val="22"/>
              </w:rPr>
              <w:t xml:space="preserve">Proponowane rozwiązanie zapewni również funkcjonowanie punktu dostępowego do usług rejestrowanego doręczenia w Polsce w celu umożliwienia transgranicznej wymiany danych w ramach kwalifikowanych usług rejestrowanego doręczenia elektronicznego z adresatami z obszaru UE. </w:t>
            </w:r>
          </w:p>
          <w:p w14:paraId="78F0B444" w14:textId="77777777" w:rsidR="0053185F" w:rsidRPr="00067989" w:rsidRDefault="0053185F" w:rsidP="00067989">
            <w:pPr>
              <w:pStyle w:val="NormalnyWeb"/>
              <w:shd w:val="clear" w:color="auto" w:fill="FFFFFF" w:themeFill="background1"/>
              <w:spacing w:before="60" w:beforeAutospacing="0" w:after="60" w:afterAutospacing="0"/>
              <w:jc w:val="both"/>
              <w:rPr>
                <w:rFonts w:cs="Times New Roman"/>
                <w:color w:val="000000" w:themeColor="text1"/>
                <w:sz w:val="22"/>
                <w:szCs w:val="22"/>
              </w:rPr>
            </w:pPr>
            <w:r w:rsidRPr="00067989">
              <w:rPr>
                <w:rFonts w:cs="Times New Roman"/>
                <w:iCs/>
                <w:color w:val="000000" w:themeColor="text1"/>
                <w:sz w:val="22"/>
                <w:szCs w:val="22"/>
              </w:rPr>
              <w:t>Ujednolicenie zasad komunikacji powinno również zachęcić dostawców komercyjnych do</w:t>
            </w:r>
            <w:r w:rsidR="00AB04E9">
              <w:rPr>
                <w:rFonts w:cs="Times New Roman"/>
                <w:iCs/>
                <w:color w:val="000000" w:themeColor="text1"/>
                <w:sz w:val="22"/>
                <w:szCs w:val="22"/>
              </w:rPr>
              <w:t xml:space="preserve"> </w:t>
            </w:r>
            <w:r w:rsidRPr="00067989">
              <w:rPr>
                <w:rFonts w:cs="Times New Roman"/>
                <w:iCs/>
                <w:color w:val="000000" w:themeColor="text1"/>
                <w:sz w:val="22"/>
                <w:szCs w:val="22"/>
              </w:rPr>
              <w:t xml:space="preserve">oferowania kwalifikowanej usługi doręczenia elektronicznego, co wychodzi naprzeciw wytycznym Strategii na rzecz </w:t>
            </w:r>
            <w:r w:rsidRPr="00067989">
              <w:rPr>
                <w:rFonts w:cs="Times New Roman"/>
                <w:iCs/>
                <w:color w:val="000000" w:themeColor="text1"/>
                <w:sz w:val="22"/>
                <w:szCs w:val="22"/>
              </w:rPr>
              <w:lastRenderedPageBreak/>
              <w:t>Odpowiedzialnego Rozwoju, określającej konkurencyjność jako jeden z filarów nowego kierunku rozwoju polskiej gospodarki</w:t>
            </w:r>
            <w:r w:rsidRPr="00067989">
              <w:rPr>
                <w:rFonts w:cs="Times New Roman"/>
                <w:color w:val="000000" w:themeColor="text1"/>
                <w:sz w:val="22"/>
                <w:szCs w:val="22"/>
              </w:rPr>
              <w:t>.</w:t>
            </w:r>
          </w:p>
          <w:p w14:paraId="45408B04" w14:textId="77777777" w:rsidR="00105320" w:rsidRPr="00067989" w:rsidRDefault="00105320" w:rsidP="008A3FA9">
            <w:pPr>
              <w:pStyle w:val="NormalnyWeb"/>
              <w:shd w:val="clear" w:color="auto" w:fill="FFFFFF" w:themeFill="background1"/>
              <w:spacing w:before="60" w:beforeAutospacing="0" w:after="60" w:afterAutospacing="0"/>
              <w:jc w:val="both"/>
              <w:rPr>
                <w:rFonts w:eastAsiaTheme="minorEastAsia" w:cs="Times New Roman"/>
                <w:color w:val="000000" w:themeColor="text1"/>
                <w:sz w:val="22"/>
                <w:szCs w:val="22"/>
              </w:rPr>
            </w:pPr>
            <w:r w:rsidRPr="00067989">
              <w:rPr>
                <w:rFonts w:eastAsiaTheme="minorEastAsia" w:cs="Times New Roman"/>
                <w:color w:val="000000" w:themeColor="text1"/>
                <w:sz w:val="22"/>
                <w:szCs w:val="22"/>
              </w:rPr>
              <w:t>Należy także wskazać istotną rolę Projektu na rzecz:</w:t>
            </w:r>
          </w:p>
          <w:p w14:paraId="5821EB19" w14:textId="77777777" w:rsidR="00105320" w:rsidRPr="00067989" w:rsidRDefault="00105320" w:rsidP="008A3FA9">
            <w:pPr>
              <w:pStyle w:val="NormalnyWeb"/>
              <w:numPr>
                <w:ilvl w:val="0"/>
                <w:numId w:val="20"/>
              </w:numPr>
              <w:shd w:val="clear" w:color="auto" w:fill="FFFFFF" w:themeFill="background1"/>
              <w:overflowPunct w:val="0"/>
              <w:autoSpaceDE w:val="0"/>
              <w:autoSpaceDN w:val="0"/>
              <w:adjustRightInd w:val="0"/>
              <w:spacing w:before="60" w:beforeAutospacing="0" w:after="60" w:afterAutospacing="0"/>
              <w:jc w:val="both"/>
              <w:textAlignment w:val="baseline"/>
              <w:rPr>
                <w:rFonts w:cs="Times New Roman"/>
                <w:color w:val="000000" w:themeColor="text1"/>
                <w:sz w:val="22"/>
                <w:szCs w:val="22"/>
              </w:rPr>
            </w:pPr>
            <w:r w:rsidRPr="00067989">
              <w:rPr>
                <w:rFonts w:eastAsiaTheme="minorEastAsia" w:cs="Times New Roman"/>
                <w:color w:val="000000" w:themeColor="text1"/>
                <w:sz w:val="22"/>
                <w:szCs w:val="22"/>
              </w:rPr>
              <w:t>Budowy usług o charakterze SSC (ang. Shared Services Center) dla podmiotów publicznych w postaci scentralizowanych wydruków,</w:t>
            </w:r>
          </w:p>
          <w:p w14:paraId="28450556" w14:textId="77777777" w:rsidR="00105320" w:rsidRPr="00164516" w:rsidRDefault="00105320" w:rsidP="008A3FA9">
            <w:pPr>
              <w:pStyle w:val="NormalnyWeb"/>
              <w:numPr>
                <w:ilvl w:val="0"/>
                <w:numId w:val="20"/>
              </w:numPr>
              <w:shd w:val="clear" w:color="auto" w:fill="FFFFFF" w:themeFill="background1"/>
              <w:overflowPunct w:val="0"/>
              <w:autoSpaceDE w:val="0"/>
              <w:autoSpaceDN w:val="0"/>
              <w:adjustRightInd w:val="0"/>
              <w:spacing w:before="60" w:beforeAutospacing="0" w:after="60" w:afterAutospacing="0"/>
              <w:jc w:val="both"/>
              <w:textAlignment w:val="baseline"/>
              <w:rPr>
                <w:rFonts w:cs="Times New Roman"/>
                <w:color w:val="000000" w:themeColor="text1"/>
                <w:spacing w:val="-2"/>
              </w:rPr>
            </w:pPr>
            <w:r w:rsidRPr="00067989">
              <w:rPr>
                <w:rFonts w:eastAsiaTheme="minorEastAsia" w:cs="Times New Roman"/>
                <w:color w:val="000000" w:themeColor="text1"/>
              </w:rPr>
              <w:t>Zwiększenia standaryzacji e-Doręczeń i zachowania interoperacyjności zarówno usług jak również systemów teleinformatycznych administracji publicznej.</w:t>
            </w:r>
          </w:p>
        </w:tc>
      </w:tr>
      <w:tr w:rsidR="005C3FCE" w:rsidRPr="00067989" w14:paraId="37168781" w14:textId="77777777" w:rsidTr="008A3FA9">
        <w:trPr>
          <w:gridAfter w:val="1"/>
          <w:wAfter w:w="61" w:type="dxa"/>
          <w:trHeight w:val="307"/>
          <w:jc w:val="center"/>
        </w:trPr>
        <w:tc>
          <w:tcPr>
            <w:tcW w:w="10566" w:type="dxa"/>
            <w:gridSpan w:val="28"/>
            <w:shd w:val="clear" w:color="auto" w:fill="99CCFF"/>
            <w:vAlign w:val="center"/>
          </w:tcPr>
          <w:p w14:paraId="0F547B9A" w14:textId="77777777" w:rsidR="006A701A" w:rsidRPr="00067989" w:rsidRDefault="009E3C4B" w:rsidP="00067989">
            <w:pPr>
              <w:numPr>
                <w:ilvl w:val="0"/>
                <w:numId w:val="1"/>
              </w:numPr>
              <w:spacing w:before="60" w:after="60"/>
              <w:ind w:left="318" w:hanging="284"/>
              <w:rPr>
                <w:rFonts w:ascii="Times New Roman" w:hAnsi="Times New Roman" w:cs="Times New Roman"/>
                <w:b/>
                <w:color w:val="000000" w:themeColor="text1"/>
              </w:rPr>
            </w:pPr>
            <w:r w:rsidRPr="00067989">
              <w:rPr>
                <w:rFonts w:ascii="Times New Roman" w:hAnsi="Times New Roman" w:cs="Times New Roman"/>
                <w:b/>
                <w:color w:val="000000" w:themeColor="text1"/>
                <w:spacing w:val="-2"/>
              </w:rPr>
              <w:lastRenderedPageBreak/>
              <w:t>Jak problem został rozwiązany w innych krajach, w szczególności krajach członkowskich OECD/UE</w:t>
            </w:r>
            <w:r w:rsidR="006A701A" w:rsidRPr="00067989">
              <w:rPr>
                <w:rFonts w:ascii="Times New Roman" w:hAnsi="Times New Roman" w:cs="Times New Roman"/>
                <w:b/>
                <w:color w:val="000000" w:themeColor="text1"/>
              </w:rPr>
              <w:t>?</w:t>
            </w:r>
            <w:r w:rsidR="006A701A" w:rsidRPr="00067989">
              <w:rPr>
                <w:rFonts w:ascii="Times New Roman" w:hAnsi="Times New Roman" w:cs="Times New Roman"/>
                <w:i/>
                <w:color w:val="000000" w:themeColor="text1"/>
              </w:rPr>
              <w:t xml:space="preserve"> </w:t>
            </w:r>
          </w:p>
        </w:tc>
      </w:tr>
      <w:tr w:rsidR="005C3FCE" w:rsidRPr="00067989" w14:paraId="2F336631" w14:textId="77777777" w:rsidTr="008A3FA9">
        <w:trPr>
          <w:gridAfter w:val="1"/>
          <w:wAfter w:w="61" w:type="dxa"/>
          <w:trHeight w:val="142"/>
          <w:jc w:val="center"/>
        </w:trPr>
        <w:tc>
          <w:tcPr>
            <w:tcW w:w="10566" w:type="dxa"/>
            <w:gridSpan w:val="28"/>
            <w:shd w:val="clear" w:color="auto" w:fill="auto"/>
          </w:tcPr>
          <w:p w14:paraId="7659416B" w14:textId="77777777" w:rsidR="005F20C1" w:rsidRPr="00067989" w:rsidRDefault="005F6219" w:rsidP="008A3FA9">
            <w:p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 xml:space="preserve">W </w:t>
            </w:r>
            <w:r w:rsidR="004B513B" w:rsidRPr="00067989">
              <w:rPr>
                <w:rFonts w:ascii="Times New Roman" w:hAnsi="Times New Roman" w:cs="Times New Roman"/>
                <w:color w:val="000000" w:themeColor="text1"/>
              </w:rPr>
              <w:t>w</w:t>
            </w:r>
            <w:r w:rsidR="00DB210A" w:rsidRPr="00067989">
              <w:rPr>
                <w:rFonts w:ascii="Times New Roman" w:hAnsi="Times New Roman" w:cs="Times New Roman"/>
                <w:color w:val="000000" w:themeColor="text1"/>
              </w:rPr>
              <w:t>ielu</w:t>
            </w:r>
            <w:r w:rsidR="004B513B" w:rsidRPr="0006798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krajach UE wprowadzono rejestrowane doręczeni</w:t>
            </w:r>
            <w:r w:rsidR="00144CA4" w:rsidRPr="00067989">
              <w:rPr>
                <w:rFonts w:ascii="Times New Roman" w:hAnsi="Times New Roman" w:cs="Times New Roman"/>
                <w:color w:val="000000" w:themeColor="text1"/>
              </w:rPr>
              <w:t>e</w:t>
            </w:r>
            <w:r w:rsidRPr="00067989">
              <w:rPr>
                <w:rFonts w:ascii="Times New Roman" w:hAnsi="Times New Roman" w:cs="Times New Roman"/>
                <w:color w:val="000000" w:themeColor="text1"/>
              </w:rPr>
              <w:t xml:space="preserve"> elektroniczne</w:t>
            </w:r>
            <w:r w:rsidR="00871B33" w:rsidRPr="00067989">
              <w:rPr>
                <w:rFonts w:ascii="Times New Roman" w:hAnsi="Times New Roman" w:cs="Times New Roman"/>
                <w:color w:val="000000" w:themeColor="text1"/>
              </w:rPr>
              <w:t>, zapewniając jego umocowanie prawne</w:t>
            </w:r>
            <w:r w:rsidR="00DB210A" w:rsidRPr="00067989">
              <w:rPr>
                <w:rFonts w:ascii="Times New Roman" w:hAnsi="Times New Roman" w:cs="Times New Roman"/>
                <w:color w:val="000000" w:themeColor="text1"/>
              </w:rPr>
              <w:t xml:space="preserve">. </w:t>
            </w:r>
            <w:r w:rsidR="00651BEA" w:rsidRPr="00067989">
              <w:rPr>
                <w:rFonts w:ascii="Times New Roman" w:hAnsi="Times New Roman" w:cs="Times New Roman"/>
                <w:color w:val="000000" w:themeColor="text1"/>
              </w:rPr>
              <w:t>Usługa e-Doręczenia</w:t>
            </w:r>
            <w:r w:rsidR="00115B85" w:rsidRPr="00067989">
              <w:rPr>
                <w:rFonts w:ascii="Times New Roman" w:hAnsi="Times New Roman" w:cs="Times New Roman"/>
                <w:color w:val="000000" w:themeColor="text1"/>
              </w:rPr>
              <w:t>,</w:t>
            </w:r>
            <w:r w:rsidR="00651BEA" w:rsidRPr="00067989">
              <w:rPr>
                <w:rFonts w:ascii="Times New Roman" w:hAnsi="Times New Roman" w:cs="Times New Roman"/>
                <w:color w:val="000000" w:themeColor="text1"/>
              </w:rPr>
              <w:t xml:space="preserve"> w ramach które</w:t>
            </w:r>
            <w:r w:rsidR="00DB210A" w:rsidRPr="00067989">
              <w:rPr>
                <w:rFonts w:ascii="Times New Roman" w:hAnsi="Times New Roman" w:cs="Times New Roman"/>
                <w:color w:val="000000" w:themeColor="text1"/>
              </w:rPr>
              <w:t>j</w:t>
            </w:r>
            <w:r w:rsidR="00651BEA" w:rsidRPr="00067989">
              <w:rPr>
                <w:rFonts w:ascii="Times New Roman" w:hAnsi="Times New Roman" w:cs="Times New Roman"/>
                <w:color w:val="000000" w:themeColor="text1"/>
              </w:rPr>
              <w:t xml:space="preserve"> realizowana jest </w:t>
            </w:r>
            <w:r w:rsidR="00115B85" w:rsidRPr="00067989">
              <w:rPr>
                <w:rFonts w:ascii="Times New Roman" w:hAnsi="Times New Roman" w:cs="Times New Roman"/>
                <w:color w:val="000000" w:themeColor="text1"/>
              </w:rPr>
              <w:t xml:space="preserve">m.in. </w:t>
            </w:r>
            <w:r w:rsidR="00DB210A" w:rsidRPr="00067989">
              <w:rPr>
                <w:rFonts w:ascii="Times New Roman" w:hAnsi="Times New Roman" w:cs="Times New Roman"/>
                <w:color w:val="000000" w:themeColor="text1"/>
              </w:rPr>
              <w:t>przesyłka</w:t>
            </w:r>
            <w:r w:rsidR="00651BEA" w:rsidRPr="00067989">
              <w:rPr>
                <w:rFonts w:ascii="Times New Roman" w:hAnsi="Times New Roman" w:cs="Times New Roman"/>
                <w:color w:val="000000" w:themeColor="text1"/>
              </w:rPr>
              <w:t xml:space="preserve"> hybrydowa, świadczona</w:t>
            </w:r>
            <w:r w:rsidR="0042567A" w:rsidRPr="00067989">
              <w:rPr>
                <w:rFonts w:ascii="Times New Roman" w:hAnsi="Times New Roman" w:cs="Times New Roman"/>
                <w:color w:val="000000" w:themeColor="text1"/>
              </w:rPr>
              <w:t xml:space="preserve"> jest</w:t>
            </w:r>
            <w:r w:rsidR="00EA0C22" w:rsidRPr="00067989">
              <w:rPr>
                <w:rFonts w:ascii="Times New Roman" w:hAnsi="Times New Roman" w:cs="Times New Roman"/>
                <w:color w:val="000000" w:themeColor="text1"/>
              </w:rPr>
              <w:t xml:space="preserve"> </w:t>
            </w:r>
            <w:r w:rsidR="00115B85" w:rsidRPr="00067989">
              <w:rPr>
                <w:rFonts w:ascii="Times New Roman" w:hAnsi="Times New Roman" w:cs="Times New Roman"/>
                <w:color w:val="000000" w:themeColor="text1"/>
              </w:rPr>
              <w:t xml:space="preserve">m.in. we </w:t>
            </w:r>
            <w:r w:rsidR="00EA0C22" w:rsidRPr="00067989">
              <w:rPr>
                <w:rFonts w:ascii="Times New Roman" w:hAnsi="Times New Roman" w:cs="Times New Roman"/>
                <w:color w:val="000000" w:themeColor="text1"/>
              </w:rPr>
              <w:t>Francj</w:t>
            </w:r>
            <w:r w:rsidR="00115B85" w:rsidRPr="00067989">
              <w:rPr>
                <w:rFonts w:ascii="Times New Roman" w:hAnsi="Times New Roman" w:cs="Times New Roman"/>
                <w:color w:val="000000" w:themeColor="text1"/>
              </w:rPr>
              <w:t>i</w:t>
            </w:r>
            <w:r w:rsidR="00EA0C22" w:rsidRPr="000E2DF4">
              <w:rPr>
                <w:rFonts w:ascii="Times New Roman" w:hAnsi="Times New Roman" w:cs="Times New Roman"/>
                <w:color w:val="000000" w:themeColor="text1"/>
              </w:rPr>
              <w:t>, Czech</w:t>
            </w:r>
            <w:r w:rsidR="00115B85" w:rsidRPr="000E2DF4">
              <w:rPr>
                <w:rFonts w:ascii="Times New Roman" w:hAnsi="Times New Roman" w:cs="Times New Roman"/>
                <w:color w:val="000000" w:themeColor="text1"/>
              </w:rPr>
              <w:t>ach</w:t>
            </w:r>
            <w:r w:rsidR="00EA0C22" w:rsidRPr="000E2DF4">
              <w:rPr>
                <w:rFonts w:ascii="Times New Roman" w:hAnsi="Times New Roman" w:cs="Times New Roman"/>
                <w:color w:val="000000" w:themeColor="text1"/>
              </w:rPr>
              <w:t xml:space="preserve"> i Niemc</w:t>
            </w:r>
            <w:r w:rsidR="00115B85" w:rsidRPr="000E2DF4">
              <w:rPr>
                <w:rFonts w:ascii="Times New Roman" w:hAnsi="Times New Roman" w:cs="Times New Roman"/>
                <w:color w:val="000000" w:themeColor="text1"/>
              </w:rPr>
              <w:t>zech</w:t>
            </w:r>
            <w:r w:rsidR="00F30E4C" w:rsidRPr="000E2DF4">
              <w:rPr>
                <w:rFonts w:ascii="Times New Roman" w:hAnsi="Times New Roman" w:cs="Times New Roman"/>
                <w:color w:val="000000" w:themeColor="text1"/>
              </w:rPr>
              <w:t xml:space="preserve"> (w Czechach usługa hybrydowa przewiduje zarówno przetwarzanie informacji cyfrowej w tradycyjną przesyłkę pocztową, jak i cyfryzację przesyłki nadanej w postaci analogowej)</w:t>
            </w:r>
            <w:r w:rsidR="00EA0C22" w:rsidRPr="000E2DF4">
              <w:rPr>
                <w:rFonts w:ascii="Times New Roman" w:hAnsi="Times New Roman" w:cs="Times New Roman"/>
                <w:color w:val="000000" w:themeColor="text1"/>
              </w:rPr>
              <w:t xml:space="preserve">. </w:t>
            </w:r>
            <w:r w:rsidR="00E441B4" w:rsidRPr="000E2DF4">
              <w:rPr>
                <w:rFonts w:ascii="Times New Roman" w:hAnsi="Times New Roman" w:cs="Times New Roman"/>
                <w:color w:val="000000" w:themeColor="text1"/>
              </w:rPr>
              <w:t>We Włoszech usługa e-Doręczenia realizowana jest w oparciu o bazę adresów elektronicznych</w:t>
            </w:r>
            <w:r w:rsidR="0042567A" w:rsidRPr="000E2DF4">
              <w:rPr>
                <w:rFonts w:ascii="Times New Roman" w:hAnsi="Times New Roman" w:cs="Times New Roman"/>
                <w:color w:val="000000" w:themeColor="text1"/>
              </w:rPr>
              <w:t>,</w:t>
            </w:r>
            <w:r w:rsidR="00E441B4" w:rsidRPr="000E2DF4">
              <w:rPr>
                <w:rFonts w:ascii="Times New Roman" w:hAnsi="Times New Roman" w:cs="Times New Roman"/>
                <w:color w:val="000000" w:themeColor="text1"/>
              </w:rPr>
              <w:t xml:space="preserve"> tzw. IPA, która jest udostępnion</w:t>
            </w:r>
            <w:r w:rsidR="0042567A" w:rsidRPr="000E2DF4">
              <w:rPr>
                <w:rFonts w:ascii="Times New Roman" w:hAnsi="Times New Roman" w:cs="Times New Roman"/>
                <w:color w:val="000000" w:themeColor="text1"/>
              </w:rPr>
              <w:t>a</w:t>
            </w:r>
            <w:r w:rsidR="00E441B4" w:rsidRPr="00E42D6D">
              <w:rPr>
                <w:rFonts w:ascii="Times New Roman" w:hAnsi="Times New Roman" w:cs="Times New Roman"/>
                <w:color w:val="000000" w:themeColor="text1"/>
              </w:rPr>
              <w:t xml:space="preserve"> w dwóch wymiarach: publicznym (otwartym) i administracyjnym (zastrzeżonym). </w:t>
            </w:r>
            <w:r w:rsidR="00BA5870" w:rsidRPr="00080920">
              <w:rPr>
                <w:rFonts w:ascii="Times New Roman" w:hAnsi="Times New Roman" w:cs="Times New Roman"/>
                <w:color w:val="000000" w:themeColor="text1"/>
              </w:rPr>
              <w:t xml:space="preserve">Jednocześnie wraz </w:t>
            </w:r>
            <w:r w:rsidR="007C50C4" w:rsidRPr="00067989">
              <w:rPr>
                <w:rFonts w:ascii="Times New Roman" w:hAnsi="Times New Roman" w:cs="Times New Roman"/>
                <w:color w:val="000000" w:themeColor="text1"/>
              </w:rPr>
              <w:t xml:space="preserve">z </w:t>
            </w:r>
            <w:r w:rsidR="00BA5870" w:rsidRPr="00067989">
              <w:rPr>
                <w:rFonts w:ascii="Times New Roman" w:hAnsi="Times New Roman" w:cs="Times New Roman"/>
                <w:color w:val="000000" w:themeColor="text1"/>
              </w:rPr>
              <w:t>utwo</w:t>
            </w:r>
            <w:r w:rsidR="00E441B4" w:rsidRPr="00067989">
              <w:rPr>
                <w:rFonts w:ascii="Times New Roman" w:hAnsi="Times New Roman" w:cs="Times New Roman"/>
                <w:color w:val="000000" w:themeColor="text1"/>
              </w:rPr>
              <w:t>r</w:t>
            </w:r>
            <w:r w:rsidR="00BA5870" w:rsidRPr="00067989">
              <w:rPr>
                <w:rFonts w:ascii="Times New Roman" w:hAnsi="Times New Roman" w:cs="Times New Roman"/>
                <w:color w:val="000000" w:themeColor="text1"/>
              </w:rPr>
              <w:t>zeniem r</w:t>
            </w:r>
            <w:r w:rsidR="00E441B4" w:rsidRPr="00067989">
              <w:rPr>
                <w:rFonts w:ascii="Times New Roman" w:hAnsi="Times New Roman" w:cs="Times New Roman"/>
                <w:color w:val="000000" w:themeColor="text1"/>
              </w:rPr>
              <w:t>ejestru</w:t>
            </w:r>
            <w:r w:rsidR="0042567A" w:rsidRPr="00067989">
              <w:rPr>
                <w:rFonts w:ascii="Times New Roman" w:hAnsi="Times New Roman" w:cs="Times New Roman"/>
                <w:color w:val="000000" w:themeColor="text1"/>
              </w:rPr>
              <w:t>,</w:t>
            </w:r>
            <w:r w:rsidR="00E441B4" w:rsidRPr="00067989">
              <w:rPr>
                <w:rFonts w:ascii="Times New Roman" w:hAnsi="Times New Roman" w:cs="Times New Roman"/>
                <w:color w:val="000000" w:themeColor="text1"/>
              </w:rPr>
              <w:t xml:space="preserve"> w który wpisuje się m.in. adresy do doręczeń </w:t>
            </w:r>
            <w:r w:rsidR="00BA5870" w:rsidRPr="00067989">
              <w:rPr>
                <w:rFonts w:ascii="Times New Roman" w:hAnsi="Times New Roman" w:cs="Times New Roman"/>
                <w:color w:val="000000" w:themeColor="text1"/>
              </w:rPr>
              <w:t xml:space="preserve">elektronicznych </w:t>
            </w:r>
            <w:r w:rsidR="00E441B4" w:rsidRPr="00067989">
              <w:rPr>
                <w:rFonts w:ascii="Times New Roman" w:hAnsi="Times New Roman" w:cs="Times New Roman"/>
                <w:color w:val="000000" w:themeColor="text1"/>
              </w:rPr>
              <w:t>służąc</w:t>
            </w:r>
            <w:r w:rsidR="00BA5870" w:rsidRPr="00067989">
              <w:rPr>
                <w:rFonts w:ascii="Times New Roman" w:hAnsi="Times New Roman" w:cs="Times New Roman"/>
                <w:color w:val="000000" w:themeColor="text1"/>
              </w:rPr>
              <w:t>e</w:t>
            </w:r>
            <w:r w:rsidR="00E441B4" w:rsidRPr="00067989">
              <w:rPr>
                <w:rFonts w:ascii="Times New Roman" w:hAnsi="Times New Roman" w:cs="Times New Roman"/>
                <w:color w:val="000000" w:themeColor="text1"/>
              </w:rPr>
              <w:t xml:space="preserve"> do celów komunikacji i wymiany informacji oraz przesyłania dokumentów o mocy prawnej</w:t>
            </w:r>
            <w:r w:rsidR="008B50A7" w:rsidRPr="00067989">
              <w:rPr>
                <w:rFonts w:ascii="Times New Roman" w:hAnsi="Times New Roman" w:cs="Times New Roman"/>
                <w:color w:val="000000" w:themeColor="text1"/>
              </w:rPr>
              <w:t>,</w:t>
            </w:r>
            <w:r w:rsidR="0042567A" w:rsidRPr="00067989">
              <w:rPr>
                <w:rFonts w:ascii="Times New Roman" w:hAnsi="Times New Roman" w:cs="Times New Roman"/>
                <w:color w:val="000000" w:themeColor="text1"/>
              </w:rPr>
              <w:t xml:space="preserve"> t</w:t>
            </w:r>
            <w:r w:rsidR="00E441B4" w:rsidRPr="00067989">
              <w:rPr>
                <w:rFonts w:ascii="Times New Roman" w:hAnsi="Times New Roman" w:cs="Times New Roman"/>
                <w:color w:val="000000" w:themeColor="text1"/>
              </w:rPr>
              <w:t xml:space="preserve">worzony jest rejestr podmiotów administracji. Organy administracji publicznej są </w:t>
            </w:r>
            <w:r w:rsidR="00BA5870" w:rsidRPr="00067989">
              <w:rPr>
                <w:rFonts w:ascii="Times New Roman" w:hAnsi="Times New Roman" w:cs="Times New Roman"/>
                <w:color w:val="000000" w:themeColor="text1"/>
              </w:rPr>
              <w:t xml:space="preserve">bowiem </w:t>
            </w:r>
            <w:r w:rsidR="00E441B4" w:rsidRPr="00067989">
              <w:rPr>
                <w:rFonts w:ascii="Times New Roman" w:hAnsi="Times New Roman" w:cs="Times New Roman"/>
                <w:color w:val="000000" w:themeColor="text1"/>
              </w:rPr>
              <w:t>zobowiązane dokonać wpisu do IPA, podając informacje niezbędne do identyfikacji organu i wskazując w swojej strukturze osoby, które będą zarządzać treściami informacyjnymi umieszczanymi w IPA.</w:t>
            </w:r>
          </w:p>
          <w:p w14:paraId="592F92BE" w14:textId="77777777" w:rsidR="003B1D56" w:rsidRPr="00067989" w:rsidRDefault="00115B85" w:rsidP="008A3FA9">
            <w:pPr>
              <w:spacing w:before="60" w:after="60"/>
              <w:ind w:right="159"/>
              <w:jc w:val="both"/>
              <w:rPr>
                <w:rFonts w:ascii="Times New Roman" w:hAnsi="Times New Roman" w:cs="Times New Roman"/>
                <w:color w:val="000000" w:themeColor="text1"/>
              </w:rPr>
            </w:pPr>
            <w:r w:rsidRPr="00067989">
              <w:rPr>
                <w:rFonts w:ascii="Times New Roman" w:hAnsi="Times New Roman" w:cs="Times New Roman"/>
                <w:color w:val="000000" w:themeColor="text1"/>
              </w:rPr>
              <w:t>M</w:t>
            </w:r>
            <w:r w:rsidR="00BA37F3" w:rsidRPr="00067989">
              <w:rPr>
                <w:rFonts w:ascii="Times New Roman" w:hAnsi="Times New Roman" w:cs="Times New Roman"/>
                <w:color w:val="000000" w:themeColor="text1"/>
              </w:rPr>
              <w:t>odel współpracy</w:t>
            </w:r>
            <w:r w:rsidRPr="00067989">
              <w:rPr>
                <w:rFonts w:ascii="Times New Roman" w:hAnsi="Times New Roman" w:cs="Times New Roman"/>
                <w:color w:val="000000" w:themeColor="text1"/>
              </w:rPr>
              <w:t>, w którym p</w:t>
            </w:r>
            <w:r w:rsidR="00BA37F3" w:rsidRPr="00067989">
              <w:rPr>
                <w:rFonts w:ascii="Times New Roman" w:hAnsi="Times New Roman" w:cs="Times New Roman"/>
                <w:color w:val="000000" w:themeColor="text1"/>
              </w:rPr>
              <w:t xml:space="preserve">aństwo </w:t>
            </w:r>
            <w:r w:rsidR="003318D0" w:rsidRPr="00067989">
              <w:rPr>
                <w:rFonts w:ascii="Times New Roman" w:hAnsi="Times New Roman" w:cs="Times New Roman"/>
                <w:color w:val="000000" w:themeColor="text1"/>
              </w:rPr>
              <w:t>realizuje</w:t>
            </w:r>
            <w:r w:rsidR="00BA37F3" w:rsidRPr="00067989">
              <w:rPr>
                <w:rFonts w:ascii="Times New Roman" w:hAnsi="Times New Roman" w:cs="Times New Roman"/>
                <w:color w:val="000000" w:themeColor="text1"/>
              </w:rPr>
              <w:t xml:space="preserve"> usługi </w:t>
            </w:r>
            <w:r w:rsidR="00073B7F" w:rsidRPr="00067989">
              <w:rPr>
                <w:rFonts w:ascii="Times New Roman" w:hAnsi="Times New Roman" w:cs="Times New Roman"/>
                <w:color w:val="000000" w:themeColor="text1"/>
              </w:rPr>
              <w:t xml:space="preserve">doręczeń elektronicznych </w:t>
            </w:r>
            <w:r w:rsidR="003318D0" w:rsidRPr="00067989">
              <w:rPr>
                <w:rFonts w:ascii="Times New Roman" w:hAnsi="Times New Roman" w:cs="Times New Roman"/>
                <w:color w:val="000000" w:themeColor="text1"/>
              </w:rPr>
              <w:t>poprzez operatora wyznaczonego</w:t>
            </w:r>
            <w:r w:rsidR="00BA37F3" w:rsidRPr="0006798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jest zastosowany</w:t>
            </w:r>
            <w:r w:rsidR="00BA37F3" w:rsidRPr="0006798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 xml:space="preserve">w </w:t>
            </w:r>
            <w:r w:rsidR="003B1D56" w:rsidRPr="00067989">
              <w:rPr>
                <w:rFonts w:ascii="Times New Roman" w:hAnsi="Times New Roman" w:cs="Times New Roman"/>
                <w:color w:val="000000" w:themeColor="text1"/>
              </w:rPr>
              <w:t xml:space="preserve">Czechach, </w:t>
            </w:r>
            <w:r w:rsidR="00BA37F3" w:rsidRPr="00067989">
              <w:rPr>
                <w:rFonts w:ascii="Times New Roman" w:hAnsi="Times New Roman" w:cs="Times New Roman"/>
                <w:color w:val="000000" w:themeColor="text1"/>
              </w:rPr>
              <w:t>Belgii, Danii czy Francji.</w:t>
            </w:r>
          </w:p>
          <w:p w14:paraId="111D5A05" w14:textId="77777777" w:rsidR="00F92B36" w:rsidRPr="00067989" w:rsidRDefault="003B1D56" w:rsidP="008A3FA9">
            <w:pPr>
              <w:spacing w:before="60" w:after="60"/>
              <w:ind w:right="159"/>
              <w:jc w:val="both"/>
              <w:rPr>
                <w:rFonts w:ascii="Times New Roman" w:hAnsi="Times New Roman" w:cs="Times New Roman"/>
                <w:color w:val="000000" w:themeColor="text1"/>
              </w:rPr>
            </w:pPr>
            <w:r w:rsidRPr="00067989">
              <w:rPr>
                <w:rFonts w:ascii="Times New Roman" w:hAnsi="Times New Roman" w:cs="Times New Roman"/>
                <w:color w:val="000000" w:themeColor="text1"/>
              </w:rPr>
              <w:t xml:space="preserve">Polskie e-Doręczenia </w:t>
            </w:r>
            <w:r w:rsidR="00C26CA1" w:rsidRPr="00067989">
              <w:rPr>
                <w:rFonts w:ascii="Times New Roman" w:hAnsi="Times New Roman" w:cs="Times New Roman"/>
                <w:color w:val="000000" w:themeColor="text1"/>
              </w:rPr>
              <w:t>w założeniach pozostają</w:t>
            </w:r>
            <w:r w:rsidRPr="00067989">
              <w:rPr>
                <w:rFonts w:ascii="Times New Roman" w:hAnsi="Times New Roman" w:cs="Times New Roman"/>
                <w:color w:val="000000" w:themeColor="text1"/>
              </w:rPr>
              <w:t xml:space="preserve"> </w:t>
            </w:r>
            <w:r w:rsidR="00C26CA1" w:rsidRPr="00067989">
              <w:rPr>
                <w:rFonts w:ascii="Times New Roman" w:hAnsi="Times New Roman" w:cs="Times New Roman"/>
                <w:color w:val="000000" w:themeColor="text1"/>
              </w:rPr>
              <w:t>bardzo</w:t>
            </w:r>
            <w:r w:rsidRPr="00067989">
              <w:rPr>
                <w:rFonts w:ascii="Times New Roman" w:hAnsi="Times New Roman" w:cs="Times New Roman"/>
                <w:color w:val="000000" w:themeColor="text1"/>
              </w:rPr>
              <w:t xml:space="preserve"> zbliżone do modelu czeskiego.</w:t>
            </w:r>
            <w:r w:rsidR="00E441B4" w:rsidRPr="00067989">
              <w:rPr>
                <w:rFonts w:ascii="Times New Roman" w:hAnsi="Times New Roman" w:cs="Times New Roman"/>
                <w:color w:val="000000" w:themeColor="text1"/>
              </w:rPr>
              <w:t xml:space="preserve"> </w:t>
            </w:r>
          </w:p>
          <w:tbl>
            <w:tblPr>
              <w:tblW w:w="10343" w:type="dxa"/>
              <w:tblLayout w:type="fixed"/>
              <w:tblCellMar>
                <w:left w:w="0" w:type="dxa"/>
                <w:right w:w="0" w:type="dxa"/>
              </w:tblCellMar>
              <w:tblLook w:val="04A0" w:firstRow="1" w:lastRow="0" w:firstColumn="1" w:lastColumn="0" w:noHBand="0" w:noVBand="1"/>
            </w:tblPr>
            <w:tblGrid>
              <w:gridCol w:w="2125"/>
              <w:gridCol w:w="1960"/>
              <w:gridCol w:w="2637"/>
              <w:gridCol w:w="3621"/>
            </w:tblGrid>
            <w:tr w:rsidR="005C3FCE" w:rsidRPr="00067989" w14:paraId="41C54B28" w14:textId="77777777" w:rsidTr="008A3FA9">
              <w:trPr>
                <w:trHeight w:val="404"/>
              </w:trPr>
              <w:tc>
                <w:tcPr>
                  <w:tcW w:w="2125" w:type="dxa"/>
                  <w:tcBorders>
                    <w:top w:val="single" w:sz="8" w:space="0" w:color="FFFFFF"/>
                    <w:left w:val="single" w:sz="8" w:space="0" w:color="FFFFFF"/>
                    <w:bottom w:val="single" w:sz="24" w:space="0" w:color="FFFFFF"/>
                    <w:right w:val="single" w:sz="8" w:space="0" w:color="FFFFFF"/>
                  </w:tcBorders>
                  <w:shd w:val="clear" w:color="auto" w:fill="A5A5A5"/>
                  <w:tcMar>
                    <w:top w:w="16" w:type="dxa"/>
                    <w:left w:w="16" w:type="dxa"/>
                    <w:bottom w:w="0" w:type="dxa"/>
                    <w:right w:w="16" w:type="dxa"/>
                  </w:tcMar>
                  <w:hideMark/>
                </w:tcPr>
                <w:p w14:paraId="2E1320DF" w14:textId="77777777" w:rsidR="00073B7F" w:rsidRPr="00067989" w:rsidRDefault="00073B7F" w:rsidP="00067989">
                  <w:pPr>
                    <w:spacing w:before="60" w:after="60"/>
                    <w:rPr>
                      <w:rFonts w:ascii="Times New Roman" w:hAnsi="Times New Roman" w:cs="Times New Roman"/>
                      <w:color w:val="000000" w:themeColor="text1"/>
                      <w:spacing w:val="-2"/>
                    </w:rPr>
                  </w:pPr>
                  <w:r w:rsidRPr="00067989">
                    <w:rPr>
                      <w:rFonts w:ascii="Times New Roman" w:hAnsi="Times New Roman" w:cs="Times New Roman"/>
                      <w:b/>
                      <w:bCs/>
                      <w:color w:val="000000" w:themeColor="text1"/>
                      <w:spacing w:val="-2"/>
                    </w:rPr>
                    <w:t>Kraj</w:t>
                  </w:r>
                </w:p>
              </w:tc>
              <w:tc>
                <w:tcPr>
                  <w:tcW w:w="1960" w:type="dxa"/>
                  <w:tcBorders>
                    <w:top w:val="single" w:sz="8" w:space="0" w:color="FFFFFF"/>
                    <w:left w:val="single" w:sz="8" w:space="0" w:color="FFFFFF"/>
                    <w:bottom w:val="single" w:sz="24" w:space="0" w:color="FFFFFF"/>
                    <w:right w:val="single" w:sz="8" w:space="0" w:color="FFFFFF"/>
                  </w:tcBorders>
                  <w:shd w:val="clear" w:color="auto" w:fill="A5A5A5"/>
                  <w:tcMar>
                    <w:top w:w="16" w:type="dxa"/>
                    <w:left w:w="16" w:type="dxa"/>
                    <w:bottom w:w="0" w:type="dxa"/>
                    <w:right w:w="16" w:type="dxa"/>
                  </w:tcMar>
                  <w:hideMark/>
                </w:tcPr>
                <w:p w14:paraId="2EE0E78D" w14:textId="77777777" w:rsidR="00073B7F" w:rsidRPr="00067989" w:rsidRDefault="00073B7F" w:rsidP="00067989">
                  <w:pPr>
                    <w:spacing w:before="60" w:after="60"/>
                    <w:rPr>
                      <w:rFonts w:ascii="Times New Roman" w:hAnsi="Times New Roman" w:cs="Times New Roman"/>
                      <w:color w:val="000000" w:themeColor="text1"/>
                      <w:spacing w:val="-2"/>
                    </w:rPr>
                  </w:pPr>
                  <w:r w:rsidRPr="00067989">
                    <w:rPr>
                      <w:rFonts w:ascii="Times New Roman" w:hAnsi="Times New Roman" w:cs="Times New Roman"/>
                      <w:b/>
                      <w:bCs/>
                      <w:color w:val="000000" w:themeColor="text1"/>
                      <w:spacing w:val="-2"/>
                    </w:rPr>
                    <w:t>Strony doręczeń</w:t>
                  </w:r>
                </w:p>
              </w:tc>
              <w:tc>
                <w:tcPr>
                  <w:tcW w:w="2637" w:type="dxa"/>
                  <w:tcBorders>
                    <w:top w:val="single" w:sz="8" w:space="0" w:color="FFFFFF"/>
                    <w:left w:val="single" w:sz="8" w:space="0" w:color="FFFFFF"/>
                    <w:bottom w:val="single" w:sz="24" w:space="0" w:color="FFFFFF"/>
                    <w:right w:val="single" w:sz="8" w:space="0" w:color="FFFFFF"/>
                  </w:tcBorders>
                  <w:shd w:val="clear" w:color="auto" w:fill="A5A5A5"/>
                  <w:tcMar>
                    <w:top w:w="16" w:type="dxa"/>
                    <w:left w:w="16" w:type="dxa"/>
                    <w:bottom w:w="0" w:type="dxa"/>
                    <w:right w:w="16" w:type="dxa"/>
                  </w:tcMar>
                  <w:hideMark/>
                </w:tcPr>
                <w:p w14:paraId="051FCC37" w14:textId="77777777" w:rsidR="00073B7F" w:rsidRPr="00067989" w:rsidRDefault="00073B7F" w:rsidP="00067989">
                  <w:pPr>
                    <w:spacing w:before="60" w:after="60"/>
                    <w:rPr>
                      <w:rFonts w:ascii="Times New Roman" w:hAnsi="Times New Roman" w:cs="Times New Roman"/>
                      <w:color w:val="000000" w:themeColor="text1"/>
                      <w:spacing w:val="-2"/>
                    </w:rPr>
                  </w:pPr>
                  <w:r w:rsidRPr="00067989">
                    <w:rPr>
                      <w:rFonts w:ascii="Times New Roman" w:hAnsi="Times New Roman" w:cs="Times New Roman"/>
                      <w:b/>
                      <w:bCs/>
                      <w:color w:val="000000" w:themeColor="text1"/>
                      <w:spacing w:val="-2"/>
                    </w:rPr>
                    <w:t>Finansowanie/opłaty</w:t>
                  </w:r>
                </w:p>
              </w:tc>
              <w:tc>
                <w:tcPr>
                  <w:tcW w:w="3621" w:type="dxa"/>
                  <w:tcBorders>
                    <w:top w:val="single" w:sz="8" w:space="0" w:color="FFFFFF"/>
                    <w:left w:val="single" w:sz="8" w:space="0" w:color="FFFFFF"/>
                    <w:bottom w:val="single" w:sz="24" w:space="0" w:color="FFFFFF"/>
                    <w:right w:val="single" w:sz="8" w:space="0" w:color="FFFFFF"/>
                  </w:tcBorders>
                  <w:shd w:val="clear" w:color="auto" w:fill="A5A5A5"/>
                  <w:tcMar>
                    <w:top w:w="16" w:type="dxa"/>
                    <w:left w:w="16" w:type="dxa"/>
                    <w:bottom w:w="0" w:type="dxa"/>
                    <w:right w:w="16" w:type="dxa"/>
                  </w:tcMar>
                  <w:hideMark/>
                </w:tcPr>
                <w:p w14:paraId="2FEA121A" w14:textId="77777777" w:rsidR="00073B7F" w:rsidRPr="00067989" w:rsidRDefault="00073B7F" w:rsidP="00067989">
                  <w:pPr>
                    <w:spacing w:before="60" w:after="60"/>
                    <w:rPr>
                      <w:rFonts w:ascii="Times New Roman" w:hAnsi="Times New Roman" w:cs="Times New Roman"/>
                      <w:color w:val="000000" w:themeColor="text1"/>
                      <w:spacing w:val="-2"/>
                    </w:rPr>
                  </w:pPr>
                  <w:r w:rsidRPr="00067989">
                    <w:rPr>
                      <w:rFonts w:ascii="Times New Roman" w:hAnsi="Times New Roman" w:cs="Times New Roman"/>
                      <w:b/>
                      <w:bCs/>
                      <w:color w:val="000000" w:themeColor="text1"/>
                      <w:spacing w:val="-2"/>
                    </w:rPr>
                    <w:t>Uwarunkowania Prawne</w:t>
                  </w:r>
                </w:p>
              </w:tc>
            </w:tr>
            <w:tr w:rsidR="005C3FCE" w:rsidRPr="00067989" w14:paraId="29BE2B7B" w14:textId="77777777" w:rsidTr="008A3FA9">
              <w:trPr>
                <w:trHeight w:val="978"/>
              </w:trPr>
              <w:tc>
                <w:tcPr>
                  <w:tcW w:w="2125" w:type="dxa"/>
                  <w:tcBorders>
                    <w:top w:val="single" w:sz="24" w:space="0" w:color="FFFFFF"/>
                    <w:left w:val="single" w:sz="8" w:space="0" w:color="FFFFFF"/>
                    <w:bottom w:val="single" w:sz="8" w:space="0" w:color="FFFFFF"/>
                    <w:right w:val="single" w:sz="8" w:space="0" w:color="FFFFFF"/>
                  </w:tcBorders>
                  <w:shd w:val="clear" w:color="auto" w:fill="A5A5A5"/>
                  <w:tcMar>
                    <w:top w:w="72" w:type="dxa"/>
                    <w:left w:w="144" w:type="dxa"/>
                    <w:bottom w:w="72" w:type="dxa"/>
                    <w:right w:w="144" w:type="dxa"/>
                  </w:tcMar>
                  <w:hideMark/>
                </w:tcPr>
                <w:p w14:paraId="48E123F5" w14:textId="77777777" w:rsidR="00073B7F" w:rsidRPr="00067989" w:rsidRDefault="00073B7F" w:rsidP="00067989">
                  <w:pPr>
                    <w:spacing w:before="60" w:after="60"/>
                    <w:rPr>
                      <w:rFonts w:ascii="Times New Roman" w:hAnsi="Times New Roman" w:cs="Times New Roman"/>
                      <w:color w:val="000000" w:themeColor="text1"/>
                      <w:spacing w:val="-2"/>
                    </w:rPr>
                  </w:pPr>
                  <w:r w:rsidRPr="00067989">
                    <w:rPr>
                      <w:rFonts w:ascii="Times New Roman" w:hAnsi="Times New Roman" w:cs="Times New Roman"/>
                      <w:b/>
                      <w:bCs/>
                      <w:color w:val="000000" w:themeColor="text1"/>
                      <w:spacing w:val="-2"/>
                    </w:rPr>
                    <w:t xml:space="preserve">Francja, </w:t>
                  </w:r>
                </w:p>
                <w:p w14:paraId="002D5376" w14:textId="77777777" w:rsidR="00073B7F" w:rsidRPr="00067989" w:rsidRDefault="00073B7F" w:rsidP="00067989">
                  <w:pPr>
                    <w:spacing w:before="60" w:after="60"/>
                    <w:rPr>
                      <w:rFonts w:ascii="Times New Roman" w:hAnsi="Times New Roman" w:cs="Times New Roman"/>
                      <w:color w:val="000000" w:themeColor="text1"/>
                      <w:spacing w:val="-2"/>
                    </w:rPr>
                  </w:pPr>
                  <w:r w:rsidRPr="00067989">
                    <w:rPr>
                      <w:rFonts w:ascii="Times New Roman" w:hAnsi="Times New Roman" w:cs="Times New Roman"/>
                      <w:b/>
                      <w:bCs/>
                      <w:color w:val="000000" w:themeColor="text1"/>
                      <w:spacing w:val="-2"/>
                    </w:rPr>
                    <w:t>Le Poste</w:t>
                  </w:r>
                </w:p>
              </w:tc>
              <w:tc>
                <w:tcPr>
                  <w:tcW w:w="1960" w:type="dxa"/>
                  <w:tcBorders>
                    <w:top w:val="single" w:sz="24"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hideMark/>
                </w:tcPr>
                <w:p w14:paraId="65E78718" w14:textId="77777777" w:rsidR="00073B7F" w:rsidRPr="00067989" w:rsidRDefault="00073B7F" w:rsidP="00067989">
                  <w:pPr>
                    <w:spacing w:before="60" w:after="60"/>
                    <w:ind w:left="-57"/>
                    <w:rPr>
                      <w:rFonts w:ascii="Times New Roman" w:hAnsi="Times New Roman" w:cs="Times New Roman"/>
                      <w:color w:val="000000" w:themeColor="text1"/>
                      <w:spacing w:val="-2"/>
                    </w:rPr>
                  </w:pPr>
                  <w:r w:rsidRPr="00067989">
                    <w:rPr>
                      <w:rFonts w:ascii="Times New Roman" w:hAnsi="Times New Roman" w:cs="Times New Roman"/>
                      <w:color w:val="000000" w:themeColor="text1"/>
                      <w:spacing w:val="-2"/>
                    </w:rPr>
                    <w:t>Osoby fizyczne, przedsiębiorcy, administracja</w:t>
                  </w:r>
                </w:p>
              </w:tc>
              <w:tc>
                <w:tcPr>
                  <w:tcW w:w="2637" w:type="dxa"/>
                  <w:tcBorders>
                    <w:top w:val="single" w:sz="24"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hideMark/>
                </w:tcPr>
                <w:p w14:paraId="7E368A85" w14:textId="77777777" w:rsidR="00073B7F" w:rsidRPr="00067989" w:rsidRDefault="00073B7F" w:rsidP="00067989">
                  <w:pPr>
                    <w:spacing w:before="60" w:after="60"/>
                    <w:rPr>
                      <w:rFonts w:ascii="Times New Roman" w:hAnsi="Times New Roman" w:cs="Times New Roman"/>
                      <w:color w:val="000000" w:themeColor="text1"/>
                      <w:spacing w:val="-2"/>
                    </w:rPr>
                  </w:pPr>
                  <w:r w:rsidRPr="00067989">
                    <w:rPr>
                      <w:rFonts w:ascii="Times New Roman" w:hAnsi="Times New Roman" w:cs="Times New Roman"/>
                      <w:color w:val="000000" w:themeColor="text1"/>
                      <w:spacing w:val="-2"/>
                    </w:rPr>
                    <w:t>Płatne za nadanie przesyłki i za przestrzeń dyskową.</w:t>
                  </w:r>
                </w:p>
              </w:tc>
              <w:tc>
                <w:tcPr>
                  <w:tcW w:w="3621" w:type="dxa"/>
                  <w:tcBorders>
                    <w:top w:val="single" w:sz="24"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hideMark/>
                </w:tcPr>
                <w:p w14:paraId="0D6D00A3" w14:textId="77777777" w:rsidR="00073B7F" w:rsidRPr="000E2DF4" w:rsidRDefault="00073B7F" w:rsidP="00010570">
                  <w:pPr>
                    <w:spacing w:before="60" w:after="60"/>
                    <w:rPr>
                      <w:rFonts w:ascii="Times New Roman" w:hAnsi="Times New Roman" w:cs="Times New Roman"/>
                      <w:color w:val="000000" w:themeColor="text1"/>
                      <w:spacing w:val="-2"/>
                    </w:rPr>
                  </w:pPr>
                  <w:r w:rsidRPr="00067989">
                    <w:rPr>
                      <w:rFonts w:ascii="Times New Roman" w:hAnsi="Times New Roman" w:cs="Times New Roman"/>
                      <w:color w:val="000000" w:themeColor="text1"/>
                      <w:spacing w:val="-2"/>
                    </w:rPr>
                    <w:t>Ustawa o Republice Cyfrowej (</w:t>
                  </w:r>
                  <w:r w:rsidRPr="00067989">
                    <w:rPr>
                      <w:rFonts w:ascii="Times New Roman" w:hAnsi="Times New Roman" w:cs="Times New Roman"/>
                      <w:color w:val="000000" w:themeColor="text1"/>
                      <w:spacing w:val="-2"/>
                      <w:lang w:val="fr-FR"/>
                    </w:rPr>
                    <w:t>LOI n° 2016-1321 du 7 octobre 2016 pour une République numérique</w:t>
                  </w:r>
                  <w:r w:rsidRPr="00067989">
                    <w:rPr>
                      <w:rFonts w:ascii="Times New Roman" w:hAnsi="Times New Roman" w:cs="Times New Roman"/>
                      <w:color w:val="000000" w:themeColor="text1"/>
                      <w:spacing w:val="-2"/>
                    </w:rPr>
                    <w:t>) art. 93</w:t>
                  </w:r>
                </w:p>
              </w:tc>
            </w:tr>
            <w:tr w:rsidR="005C3FCE" w:rsidRPr="00067989" w14:paraId="51AC7B4C" w14:textId="77777777" w:rsidTr="008A3FA9">
              <w:trPr>
                <w:trHeight w:val="1565"/>
              </w:trPr>
              <w:tc>
                <w:tcPr>
                  <w:tcW w:w="2125" w:type="dxa"/>
                  <w:tcBorders>
                    <w:top w:val="single" w:sz="8" w:space="0" w:color="FFFFFF"/>
                    <w:left w:val="single" w:sz="8" w:space="0" w:color="FFFFFF"/>
                    <w:bottom w:val="single" w:sz="8" w:space="0" w:color="FFFFFF"/>
                    <w:right w:val="single" w:sz="8" w:space="0" w:color="FFFFFF"/>
                  </w:tcBorders>
                  <w:shd w:val="clear" w:color="auto" w:fill="A5A5A5"/>
                  <w:tcMar>
                    <w:top w:w="72" w:type="dxa"/>
                    <w:left w:w="144" w:type="dxa"/>
                    <w:bottom w:w="72" w:type="dxa"/>
                    <w:right w:w="144" w:type="dxa"/>
                  </w:tcMar>
                  <w:hideMark/>
                </w:tcPr>
                <w:p w14:paraId="7F96E559" w14:textId="77777777" w:rsidR="00073B7F" w:rsidRPr="00067989" w:rsidRDefault="00073B7F" w:rsidP="00067989">
                  <w:pPr>
                    <w:spacing w:before="60" w:after="60"/>
                    <w:rPr>
                      <w:rFonts w:ascii="Times New Roman" w:hAnsi="Times New Roman" w:cs="Times New Roman"/>
                      <w:color w:val="000000" w:themeColor="text1"/>
                      <w:spacing w:val="-2"/>
                    </w:rPr>
                  </w:pPr>
                  <w:r w:rsidRPr="00067989">
                    <w:rPr>
                      <w:rFonts w:ascii="Times New Roman" w:hAnsi="Times New Roman" w:cs="Times New Roman"/>
                      <w:b/>
                      <w:bCs/>
                      <w:color w:val="000000" w:themeColor="text1"/>
                      <w:spacing w:val="-2"/>
                    </w:rPr>
                    <w:t xml:space="preserve">Włochy, </w:t>
                  </w:r>
                </w:p>
                <w:p w14:paraId="5AE9751A" w14:textId="77777777" w:rsidR="00073B7F" w:rsidRPr="00067989" w:rsidRDefault="00073B7F" w:rsidP="00067989">
                  <w:pPr>
                    <w:spacing w:before="60" w:after="60"/>
                    <w:rPr>
                      <w:rFonts w:ascii="Times New Roman" w:hAnsi="Times New Roman" w:cs="Times New Roman"/>
                      <w:color w:val="000000" w:themeColor="text1"/>
                      <w:spacing w:val="-2"/>
                    </w:rPr>
                  </w:pPr>
                  <w:r w:rsidRPr="00067989">
                    <w:rPr>
                      <w:rFonts w:ascii="Times New Roman" w:hAnsi="Times New Roman" w:cs="Times New Roman"/>
                      <w:b/>
                      <w:bCs/>
                      <w:color w:val="000000" w:themeColor="text1"/>
                      <w:spacing w:val="-2"/>
                      <w:lang w:val="en-GB"/>
                    </w:rPr>
                    <w:t xml:space="preserve">Posta </w:t>
                  </w:r>
                  <w:r w:rsidRPr="00067989">
                    <w:rPr>
                      <w:rFonts w:ascii="Times New Roman" w:hAnsi="Times New Roman" w:cs="Times New Roman"/>
                      <w:b/>
                      <w:bCs/>
                      <w:color w:val="000000" w:themeColor="text1"/>
                      <w:spacing w:val="-2"/>
                    </w:rPr>
                    <w:t>E</w:t>
                  </w:r>
                  <w:r w:rsidRPr="00067989">
                    <w:rPr>
                      <w:rFonts w:ascii="Times New Roman" w:hAnsi="Times New Roman" w:cs="Times New Roman"/>
                      <w:b/>
                      <w:bCs/>
                      <w:color w:val="000000" w:themeColor="text1"/>
                      <w:spacing w:val="-2"/>
                      <w:lang w:val="en-GB"/>
                    </w:rPr>
                    <w:t>lettronica</w:t>
                  </w:r>
                  <w:r w:rsidRPr="00067989">
                    <w:rPr>
                      <w:rFonts w:ascii="Times New Roman" w:hAnsi="Times New Roman" w:cs="Times New Roman"/>
                      <w:b/>
                      <w:bCs/>
                      <w:color w:val="000000" w:themeColor="text1"/>
                      <w:spacing w:val="-2"/>
                    </w:rPr>
                    <w:t xml:space="preserve"> </w:t>
                  </w:r>
                  <w:r w:rsidRPr="00067989">
                    <w:rPr>
                      <w:rFonts w:ascii="Times New Roman" w:hAnsi="Times New Roman" w:cs="Times New Roman"/>
                      <w:b/>
                      <w:bCs/>
                      <w:color w:val="000000" w:themeColor="text1"/>
                      <w:spacing w:val="-2"/>
                      <w:lang w:val="en-GB"/>
                    </w:rPr>
                    <w:t xml:space="preserve">Certificata </w:t>
                  </w:r>
                </w:p>
              </w:tc>
              <w:tc>
                <w:tcPr>
                  <w:tcW w:w="1960"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hideMark/>
                </w:tcPr>
                <w:p w14:paraId="493E4455" w14:textId="77777777" w:rsidR="00073B7F" w:rsidRPr="00067989" w:rsidRDefault="00073B7F" w:rsidP="00067989">
                  <w:pPr>
                    <w:spacing w:before="60" w:after="60"/>
                    <w:ind w:left="-57"/>
                    <w:rPr>
                      <w:rFonts w:ascii="Times New Roman" w:hAnsi="Times New Roman" w:cs="Times New Roman"/>
                      <w:color w:val="000000" w:themeColor="text1"/>
                      <w:spacing w:val="-2"/>
                    </w:rPr>
                  </w:pPr>
                  <w:r w:rsidRPr="00067989">
                    <w:rPr>
                      <w:rFonts w:ascii="Times New Roman" w:hAnsi="Times New Roman" w:cs="Times New Roman"/>
                      <w:color w:val="000000" w:themeColor="text1"/>
                      <w:spacing w:val="-2"/>
                    </w:rPr>
                    <w:t>Osoby fizyczne, przedsiębiorcy, podmioty publiczne</w:t>
                  </w:r>
                </w:p>
              </w:tc>
              <w:tc>
                <w:tcPr>
                  <w:tcW w:w="2637"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hideMark/>
                </w:tcPr>
                <w:p w14:paraId="74D03B34" w14:textId="77777777" w:rsidR="00073B7F" w:rsidRPr="00067989" w:rsidRDefault="00073B7F" w:rsidP="00067989">
                  <w:pPr>
                    <w:spacing w:before="60" w:after="60"/>
                    <w:rPr>
                      <w:rFonts w:ascii="Times New Roman" w:hAnsi="Times New Roman" w:cs="Times New Roman"/>
                      <w:color w:val="000000" w:themeColor="text1"/>
                      <w:spacing w:val="-2"/>
                    </w:rPr>
                  </w:pPr>
                  <w:r w:rsidRPr="00067989">
                    <w:rPr>
                      <w:rFonts w:ascii="Times New Roman" w:hAnsi="Times New Roman" w:cs="Times New Roman"/>
                      <w:color w:val="000000" w:themeColor="text1"/>
                      <w:spacing w:val="-2"/>
                    </w:rPr>
                    <w:t>Opłaty abonamentowe w różnych wysokościach ustalanych przez dostawców usług.</w:t>
                  </w:r>
                </w:p>
                <w:p w14:paraId="737C4149" w14:textId="77777777" w:rsidR="00073B7F" w:rsidRPr="000E2DF4" w:rsidRDefault="00073B7F" w:rsidP="00067989">
                  <w:pPr>
                    <w:spacing w:before="60" w:after="60"/>
                    <w:rPr>
                      <w:rFonts w:ascii="Times New Roman" w:hAnsi="Times New Roman" w:cs="Times New Roman"/>
                      <w:color w:val="000000" w:themeColor="text1"/>
                      <w:spacing w:val="-2"/>
                    </w:rPr>
                  </w:pPr>
                </w:p>
              </w:tc>
              <w:tc>
                <w:tcPr>
                  <w:tcW w:w="3621"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hideMark/>
                </w:tcPr>
                <w:p w14:paraId="00E1700E" w14:textId="77777777" w:rsidR="00073B7F" w:rsidRPr="000E2DF4" w:rsidRDefault="00073B7F" w:rsidP="00067989">
                  <w:pPr>
                    <w:spacing w:before="60" w:after="60"/>
                    <w:rPr>
                      <w:rFonts w:ascii="Times New Roman" w:hAnsi="Times New Roman" w:cs="Times New Roman"/>
                      <w:color w:val="000000" w:themeColor="text1"/>
                      <w:spacing w:val="-2"/>
                      <w:lang w:val="en-US"/>
                    </w:rPr>
                  </w:pPr>
                  <w:r w:rsidRPr="000E2DF4">
                    <w:rPr>
                      <w:rFonts w:ascii="Times New Roman" w:hAnsi="Times New Roman" w:cs="Times New Roman"/>
                      <w:color w:val="000000" w:themeColor="text1"/>
                      <w:spacing w:val="-2"/>
                      <w:lang w:val="it-IT"/>
                    </w:rPr>
                    <w:t>Kodeks Administracji Cyfrowej (Codice dell’Administrazione Digitale, Decreto Legislativo 82/2005 modificato ed integrato dal Decreto Legislativo 235/2010),</w:t>
                  </w:r>
                </w:p>
                <w:p w14:paraId="6394772A" w14:textId="77777777" w:rsidR="00073B7F" w:rsidRPr="000E2DF4" w:rsidRDefault="00073B7F" w:rsidP="00010570">
                  <w:pPr>
                    <w:spacing w:before="60" w:after="60"/>
                    <w:rPr>
                      <w:rFonts w:ascii="Times New Roman" w:hAnsi="Times New Roman" w:cs="Times New Roman"/>
                      <w:color w:val="000000" w:themeColor="text1"/>
                      <w:spacing w:val="-2"/>
                    </w:rPr>
                  </w:pPr>
                  <w:r w:rsidRPr="000E2DF4">
                    <w:rPr>
                      <w:rFonts w:ascii="Times New Roman" w:hAnsi="Times New Roman" w:cs="Times New Roman"/>
                      <w:color w:val="000000" w:themeColor="text1"/>
                      <w:spacing w:val="-2"/>
                      <w:lang w:val="it-IT"/>
                    </w:rPr>
                    <w:t>Dekret Prezydenta Republiki z dnia 11 lutego 2005 r. N. 68 (Decreto del Presidente della Repubblica 11</w:t>
                  </w:r>
                  <w:r w:rsidR="00AB04E9">
                    <w:rPr>
                      <w:rFonts w:ascii="Times New Roman" w:hAnsi="Times New Roman" w:cs="Times New Roman"/>
                      <w:color w:val="000000" w:themeColor="text1"/>
                      <w:spacing w:val="-2"/>
                      <w:lang w:val="it-IT"/>
                    </w:rPr>
                    <w:t xml:space="preserve"> </w:t>
                  </w:r>
                  <w:r w:rsidRPr="000E2DF4">
                    <w:rPr>
                      <w:rFonts w:ascii="Times New Roman" w:hAnsi="Times New Roman" w:cs="Times New Roman"/>
                      <w:color w:val="000000" w:themeColor="text1"/>
                      <w:spacing w:val="-2"/>
                      <w:lang w:val="it-IT"/>
                    </w:rPr>
                    <w:t>febbraio 2005 n. 68</w:t>
                  </w:r>
                  <w:r w:rsidRPr="000E2DF4">
                    <w:rPr>
                      <w:rFonts w:ascii="Times New Roman" w:hAnsi="Times New Roman" w:cs="Times New Roman"/>
                      <w:color w:val="000000" w:themeColor="text1"/>
                      <w:spacing w:val="-2"/>
                    </w:rPr>
                    <w:t>)</w:t>
                  </w:r>
                </w:p>
              </w:tc>
            </w:tr>
            <w:tr w:rsidR="005C3FCE" w:rsidRPr="00067989" w14:paraId="7AD488CB" w14:textId="77777777" w:rsidTr="008A3FA9">
              <w:trPr>
                <w:trHeight w:val="978"/>
              </w:trPr>
              <w:tc>
                <w:tcPr>
                  <w:tcW w:w="2125" w:type="dxa"/>
                  <w:tcBorders>
                    <w:top w:val="single" w:sz="8" w:space="0" w:color="FFFFFF"/>
                    <w:left w:val="single" w:sz="8" w:space="0" w:color="FFFFFF"/>
                    <w:bottom w:val="single" w:sz="8" w:space="0" w:color="FFFFFF"/>
                    <w:right w:val="single" w:sz="8" w:space="0" w:color="FFFFFF"/>
                  </w:tcBorders>
                  <w:shd w:val="clear" w:color="auto" w:fill="A5A5A5"/>
                  <w:tcMar>
                    <w:top w:w="72" w:type="dxa"/>
                    <w:left w:w="144" w:type="dxa"/>
                    <w:bottom w:w="72" w:type="dxa"/>
                    <w:right w:w="144" w:type="dxa"/>
                  </w:tcMar>
                  <w:hideMark/>
                </w:tcPr>
                <w:p w14:paraId="6102ED45" w14:textId="77777777" w:rsidR="00073B7F" w:rsidRPr="00067989" w:rsidRDefault="00073B7F" w:rsidP="008A3FA9">
                  <w:pPr>
                    <w:spacing w:before="60" w:after="60"/>
                    <w:ind w:left="-119" w:right="-51"/>
                    <w:rPr>
                      <w:rFonts w:ascii="Times New Roman" w:hAnsi="Times New Roman" w:cs="Times New Roman"/>
                      <w:color w:val="000000" w:themeColor="text1"/>
                      <w:spacing w:val="-2"/>
                    </w:rPr>
                  </w:pPr>
                  <w:r w:rsidRPr="00067989">
                    <w:rPr>
                      <w:rFonts w:ascii="Times New Roman" w:hAnsi="Times New Roman" w:cs="Times New Roman"/>
                      <w:b/>
                      <w:bCs/>
                      <w:color w:val="000000" w:themeColor="text1"/>
                      <w:spacing w:val="-2"/>
                    </w:rPr>
                    <w:t>Czechy, MojedatovaSchranka</w:t>
                  </w:r>
                </w:p>
              </w:tc>
              <w:tc>
                <w:tcPr>
                  <w:tcW w:w="1960"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hideMark/>
                </w:tcPr>
                <w:p w14:paraId="48556807" w14:textId="77777777" w:rsidR="00073B7F" w:rsidRPr="00067989" w:rsidRDefault="00073B7F" w:rsidP="00067989">
                  <w:pPr>
                    <w:spacing w:before="60" w:after="60"/>
                    <w:ind w:left="-57"/>
                    <w:rPr>
                      <w:rFonts w:ascii="Times New Roman" w:hAnsi="Times New Roman" w:cs="Times New Roman"/>
                      <w:color w:val="000000" w:themeColor="text1"/>
                      <w:spacing w:val="-2"/>
                    </w:rPr>
                  </w:pPr>
                  <w:r w:rsidRPr="00067989">
                    <w:rPr>
                      <w:rFonts w:ascii="Times New Roman" w:hAnsi="Times New Roman" w:cs="Times New Roman"/>
                      <w:color w:val="000000" w:themeColor="text1"/>
                      <w:spacing w:val="-2"/>
                    </w:rPr>
                    <w:t>Osoby fizyczne, przedsiębiorcy, administracja</w:t>
                  </w:r>
                </w:p>
              </w:tc>
              <w:tc>
                <w:tcPr>
                  <w:tcW w:w="2637"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hideMark/>
                </w:tcPr>
                <w:p w14:paraId="0F84A6F8" w14:textId="77777777" w:rsidR="00073B7F" w:rsidRPr="00067989" w:rsidRDefault="00073B7F" w:rsidP="00067989">
                  <w:pPr>
                    <w:spacing w:before="60" w:after="60"/>
                    <w:rPr>
                      <w:rFonts w:ascii="Times New Roman" w:hAnsi="Times New Roman" w:cs="Times New Roman"/>
                      <w:color w:val="000000" w:themeColor="text1"/>
                      <w:spacing w:val="-2"/>
                    </w:rPr>
                  </w:pPr>
                  <w:r w:rsidRPr="00067989">
                    <w:rPr>
                      <w:rFonts w:ascii="Times New Roman" w:hAnsi="Times New Roman" w:cs="Times New Roman"/>
                      <w:color w:val="000000" w:themeColor="text1"/>
                      <w:spacing w:val="-2"/>
                    </w:rPr>
                    <w:t>Darmowe dla osób fizycznych i przedsiębiorców.</w:t>
                  </w:r>
                </w:p>
                <w:p w14:paraId="6F062413" w14:textId="77777777" w:rsidR="00073B7F" w:rsidRPr="00067989" w:rsidRDefault="00073B7F" w:rsidP="00067989">
                  <w:pPr>
                    <w:spacing w:before="60" w:after="60"/>
                    <w:rPr>
                      <w:rFonts w:ascii="Times New Roman" w:hAnsi="Times New Roman" w:cs="Times New Roman"/>
                      <w:color w:val="000000" w:themeColor="text1"/>
                      <w:spacing w:val="-2"/>
                    </w:rPr>
                  </w:pPr>
                  <w:r w:rsidRPr="00067989">
                    <w:rPr>
                      <w:rFonts w:ascii="Times New Roman" w:hAnsi="Times New Roman" w:cs="Times New Roman"/>
                      <w:color w:val="000000" w:themeColor="text1"/>
                      <w:spacing w:val="-2"/>
                    </w:rPr>
                    <w:t>Użytkownicy płacą za usługi dodane.</w:t>
                  </w:r>
                </w:p>
                <w:p w14:paraId="59A2DEA4" w14:textId="77777777" w:rsidR="00073B7F" w:rsidRPr="00067989" w:rsidRDefault="00073B7F" w:rsidP="00067989">
                  <w:pPr>
                    <w:spacing w:before="60" w:after="60"/>
                    <w:rPr>
                      <w:rFonts w:ascii="Times New Roman" w:hAnsi="Times New Roman" w:cs="Times New Roman"/>
                      <w:color w:val="000000" w:themeColor="text1"/>
                      <w:spacing w:val="-2"/>
                    </w:rPr>
                  </w:pPr>
                  <w:r w:rsidRPr="00067989">
                    <w:rPr>
                      <w:rFonts w:ascii="Times New Roman" w:hAnsi="Times New Roman" w:cs="Times New Roman"/>
                      <w:color w:val="000000" w:themeColor="text1"/>
                      <w:spacing w:val="-2"/>
                    </w:rPr>
                    <w:t>Umowa MSW-Poczta Czeska określa ceny za wiadomości wysyłane przez administrację publiczną (ok. 0,46 EUR netto za wiadomość).</w:t>
                  </w:r>
                </w:p>
                <w:p w14:paraId="58442F97" w14:textId="77777777" w:rsidR="00067989" w:rsidRDefault="00073B7F" w:rsidP="008A3FA9">
                  <w:pPr>
                    <w:spacing w:before="60"/>
                    <w:rPr>
                      <w:rFonts w:ascii="Times New Roman" w:hAnsi="Times New Roman" w:cs="Times New Roman"/>
                      <w:color w:val="000000" w:themeColor="text1"/>
                      <w:spacing w:val="-2"/>
                    </w:rPr>
                  </w:pPr>
                  <w:r w:rsidRPr="000E2DF4">
                    <w:rPr>
                      <w:rFonts w:ascii="Times New Roman" w:hAnsi="Times New Roman" w:cs="Times New Roman"/>
                      <w:color w:val="000000" w:themeColor="text1"/>
                      <w:spacing w:val="-2"/>
                    </w:rPr>
                    <w:t>Koszt usługi pokrywa budżet państwa.</w:t>
                  </w:r>
                  <w:r w:rsidR="00067989">
                    <w:rPr>
                      <w:rFonts w:ascii="Times New Roman" w:hAnsi="Times New Roman" w:cs="Times New Roman"/>
                      <w:color w:val="000000" w:themeColor="text1"/>
                      <w:spacing w:val="-2"/>
                    </w:rPr>
                    <w:t xml:space="preserve"> </w:t>
                  </w:r>
                </w:p>
                <w:p w14:paraId="4AE290EB" w14:textId="77777777" w:rsidR="00073B7F" w:rsidRPr="00067989" w:rsidRDefault="00073B7F" w:rsidP="008A3FA9">
                  <w:pPr>
                    <w:spacing w:after="60"/>
                    <w:rPr>
                      <w:rFonts w:ascii="Times New Roman" w:hAnsi="Times New Roman" w:cs="Times New Roman"/>
                      <w:color w:val="000000" w:themeColor="text1"/>
                      <w:spacing w:val="-2"/>
                    </w:rPr>
                  </w:pPr>
                  <w:r w:rsidRPr="00067989">
                    <w:rPr>
                      <w:rFonts w:ascii="Times New Roman" w:hAnsi="Times New Roman" w:cs="Times New Roman"/>
                      <w:color w:val="000000" w:themeColor="text1"/>
                      <w:spacing w:val="-2"/>
                    </w:rPr>
                    <w:t xml:space="preserve">Skrzynka należy do państwa, a poczta jest jej operatorem. Przedsiębiorcy i urzędy maja ustawowy obowiązek </w:t>
                  </w:r>
                  <w:r w:rsidRPr="00067989">
                    <w:rPr>
                      <w:rFonts w:ascii="Times New Roman" w:hAnsi="Times New Roman" w:cs="Times New Roman"/>
                      <w:color w:val="000000" w:themeColor="text1"/>
                      <w:spacing w:val="-2"/>
                    </w:rPr>
                    <w:lastRenderedPageBreak/>
                    <w:t>posiadania skrzynki.</w:t>
                  </w:r>
                </w:p>
              </w:tc>
              <w:tc>
                <w:tcPr>
                  <w:tcW w:w="3621"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hideMark/>
                </w:tcPr>
                <w:p w14:paraId="70DE51C6" w14:textId="77777777" w:rsidR="00073B7F" w:rsidRPr="00067989" w:rsidRDefault="00073B7F" w:rsidP="00067989">
                  <w:pPr>
                    <w:spacing w:before="60" w:after="60"/>
                    <w:rPr>
                      <w:rFonts w:ascii="Times New Roman" w:hAnsi="Times New Roman" w:cs="Times New Roman"/>
                      <w:color w:val="000000" w:themeColor="text1"/>
                      <w:spacing w:val="-2"/>
                    </w:rPr>
                  </w:pPr>
                  <w:r w:rsidRPr="00067989">
                    <w:rPr>
                      <w:rFonts w:ascii="Times New Roman" w:hAnsi="Times New Roman" w:cs="Times New Roman"/>
                      <w:color w:val="000000" w:themeColor="text1"/>
                      <w:spacing w:val="-2"/>
                    </w:rPr>
                    <w:lastRenderedPageBreak/>
                    <w:t>Ustawa nr 300/2008 kol. w sprawie działań elektronicznych i autoryzowanej konwersji dokumentów (Zákon č. 300/2008 Sb. O</w:t>
                  </w:r>
                  <w:r w:rsidR="00AB04E9">
                    <w:rPr>
                      <w:rFonts w:ascii="Times New Roman" w:hAnsi="Times New Roman" w:cs="Times New Roman"/>
                      <w:color w:val="000000" w:themeColor="text1"/>
                      <w:spacing w:val="-2"/>
                    </w:rPr>
                    <w:t xml:space="preserve"> </w:t>
                  </w:r>
                  <w:r w:rsidRPr="00067989">
                    <w:rPr>
                      <w:rFonts w:ascii="Times New Roman" w:hAnsi="Times New Roman" w:cs="Times New Roman"/>
                      <w:color w:val="000000" w:themeColor="text1"/>
                      <w:spacing w:val="-2"/>
                    </w:rPr>
                    <w:t>elektronických úkonech a</w:t>
                  </w:r>
                  <w:r w:rsidR="00AB04E9">
                    <w:rPr>
                      <w:rFonts w:ascii="Times New Roman" w:hAnsi="Times New Roman" w:cs="Times New Roman"/>
                      <w:color w:val="000000" w:themeColor="text1"/>
                      <w:spacing w:val="-2"/>
                    </w:rPr>
                    <w:t xml:space="preserve"> </w:t>
                  </w:r>
                  <w:r w:rsidRPr="00067989">
                    <w:rPr>
                      <w:rFonts w:ascii="Times New Roman" w:hAnsi="Times New Roman" w:cs="Times New Roman"/>
                      <w:color w:val="000000" w:themeColor="text1"/>
                      <w:spacing w:val="-2"/>
                    </w:rPr>
                    <w:t>autorizované konverzi dokumentu)</w:t>
                  </w:r>
                </w:p>
                <w:p w14:paraId="1BF400EF" w14:textId="77777777" w:rsidR="00073B7F" w:rsidRPr="00067989" w:rsidRDefault="00073B7F" w:rsidP="00067989">
                  <w:pPr>
                    <w:spacing w:before="60" w:after="60"/>
                    <w:rPr>
                      <w:rFonts w:ascii="Times New Roman" w:hAnsi="Times New Roman" w:cs="Times New Roman"/>
                      <w:color w:val="000000" w:themeColor="text1"/>
                      <w:spacing w:val="-2"/>
                    </w:rPr>
                  </w:pPr>
                </w:p>
              </w:tc>
            </w:tr>
            <w:tr w:rsidR="005C3FCE" w:rsidRPr="00067989" w14:paraId="6222ECA4" w14:textId="77777777" w:rsidTr="008A3FA9">
              <w:trPr>
                <w:trHeight w:val="1937"/>
              </w:trPr>
              <w:tc>
                <w:tcPr>
                  <w:tcW w:w="2125" w:type="dxa"/>
                  <w:tcBorders>
                    <w:top w:val="single" w:sz="8" w:space="0" w:color="FFFFFF"/>
                    <w:left w:val="single" w:sz="8" w:space="0" w:color="FFFFFF"/>
                    <w:bottom w:val="single" w:sz="8" w:space="0" w:color="FFFFFF"/>
                    <w:right w:val="single" w:sz="8" w:space="0" w:color="FFFFFF"/>
                  </w:tcBorders>
                  <w:shd w:val="clear" w:color="auto" w:fill="A5A5A5"/>
                  <w:tcMar>
                    <w:top w:w="72" w:type="dxa"/>
                    <w:left w:w="144" w:type="dxa"/>
                    <w:bottom w:w="72" w:type="dxa"/>
                    <w:right w:w="144" w:type="dxa"/>
                  </w:tcMar>
                  <w:hideMark/>
                </w:tcPr>
                <w:p w14:paraId="4690C7E3" w14:textId="77777777" w:rsidR="00073B7F" w:rsidRPr="00067989" w:rsidRDefault="00073B7F" w:rsidP="00067989">
                  <w:pPr>
                    <w:spacing w:before="60" w:after="60"/>
                    <w:rPr>
                      <w:rFonts w:ascii="Times New Roman" w:hAnsi="Times New Roman" w:cs="Times New Roman"/>
                      <w:color w:val="000000" w:themeColor="text1"/>
                      <w:spacing w:val="-2"/>
                    </w:rPr>
                  </w:pPr>
                  <w:r w:rsidRPr="00067989">
                    <w:rPr>
                      <w:rFonts w:ascii="Times New Roman" w:hAnsi="Times New Roman" w:cs="Times New Roman"/>
                      <w:b/>
                      <w:bCs/>
                      <w:color w:val="000000" w:themeColor="text1"/>
                      <w:spacing w:val="-2"/>
                    </w:rPr>
                    <w:lastRenderedPageBreak/>
                    <w:t xml:space="preserve">Dania, </w:t>
                  </w:r>
                </w:p>
                <w:p w14:paraId="3B5117EC" w14:textId="77777777" w:rsidR="00073B7F" w:rsidRPr="00067989" w:rsidRDefault="00073B7F" w:rsidP="00067989">
                  <w:pPr>
                    <w:spacing w:before="60" w:after="60"/>
                    <w:rPr>
                      <w:rFonts w:ascii="Times New Roman" w:hAnsi="Times New Roman" w:cs="Times New Roman"/>
                      <w:color w:val="000000" w:themeColor="text1"/>
                      <w:spacing w:val="-2"/>
                    </w:rPr>
                  </w:pPr>
                  <w:r w:rsidRPr="00067989">
                    <w:rPr>
                      <w:rFonts w:ascii="Times New Roman" w:hAnsi="Times New Roman" w:cs="Times New Roman"/>
                      <w:b/>
                      <w:bCs/>
                      <w:color w:val="000000" w:themeColor="text1"/>
                      <w:spacing w:val="-2"/>
                    </w:rPr>
                    <w:t xml:space="preserve">DigitalPost </w:t>
                  </w:r>
                </w:p>
                <w:p w14:paraId="310F8503" w14:textId="77777777" w:rsidR="00073B7F" w:rsidRPr="00067989" w:rsidRDefault="00073B7F" w:rsidP="00067989">
                  <w:pPr>
                    <w:spacing w:before="60" w:after="60"/>
                    <w:rPr>
                      <w:rFonts w:ascii="Times New Roman" w:hAnsi="Times New Roman" w:cs="Times New Roman"/>
                      <w:color w:val="000000" w:themeColor="text1"/>
                      <w:spacing w:val="-2"/>
                    </w:rPr>
                  </w:pPr>
                  <w:r w:rsidRPr="00067989">
                    <w:rPr>
                      <w:rFonts w:ascii="Times New Roman" w:hAnsi="Times New Roman" w:cs="Times New Roman"/>
                      <w:b/>
                      <w:bCs/>
                      <w:color w:val="000000" w:themeColor="text1"/>
                      <w:spacing w:val="-2"/>
                    </w:rPr>
                    <w:t>(eBoks, vrk.dk)</w:t>
                  </w:r>
                </w:p>
              </w:tc>
              <w:tc>
                <w:tcPr>
                  <w:tcW w:w="1960"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hideMark/>
                </w:tcPr>
                <w:p w14:paraId="3B6E9A7C" w14:textId="77777777" w:rsidR="00073B7F" w:rsidRPr="00067989" w:rsidRDefault="00073B7F" w:rsidP="008A3FA9">
                  <w:pPr>
                    <w:spacing w:before="60" w:after="60"/>
                    <w:ind w:left="-57"/>
                    <w:rPr>
                      <w:rFonts w:ascii="Times New Roman" w:hAnsi="Times New Roman" w:cs="Times New Roman"/>
                      <w:color w:val="000000" w:themeColor="text1"/>
                      <w:spacing w:val="-2"/>
                    </w:rPr>
                  </w:pPr>
                  <w:r w:rsidRPr="00067989">
                    <w:rPr>
                      <w:rFonts w:ascii="Times New Roman" w:hAnsi="Times New Roman" w:cs="Times New Roman"/>
                      <w:color w:val="000000" w:themeColor="text1"/>
                      <w:spacing w:val="-2"/>
                    </w:rPr>
                    <w:t>Osoby fizyczne, przedsiębiorcy, administracja,</w:t>
                  </w:r>
                  <w:r w:rsidR="00010570">
                    <w:rPr>
                      <w:rFonts w:ascii="Times New Roman" w:hAnsi="Times New Roman" w:cs="Times New Roman"/>
                      <w:color w:val="000000" w:themeColor="text1"/>
                      <w:spacing w:val="-2"/>
                    </w:rPr>
                    <w:t xml:space="preserve"> </w:t>
                  </w:r>
                  <w:r w:rsidRPr="00067989">
                    <w:rPr>
                      <w:rFonts w:ascii="Times New Roman" w:hAnsi="Times New Roman" w:cs="Times New Roman"/>
                      <w:color w:val="000000" w:themeColor="text1"/>
                      <w:spacing w:val="-2"/>
                    </w:rPr>
                    <w:t>częściowo sądy (nawet w postępowaniach karnych)</w:t>
                  </w:r>
                </w:p>
              </w:tc>
              <w:tc>
                <w:tcPr>
                  <w:tcW w:w="2637"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hideMark/>
                </w:tcPr>
                <w:p w14:paraId="1D294B16" w14:textId="77777777" w:rsidR="00073B7F" w:rsidRPr="000E2DF4" w:rsidRDefault="00073B7F" w:rsidP="00067989">
                  <w:pPr>
                    <w:spacing w:before="60" w:after="60"/>
                    <w:rPr>
                      <w:rFonts w:ascii="Times New Roman" w:hAnsi="Times New Roman" w:cs="Times New Roman"/>
                      <w:color w:val="000000" w:themeColor="text1"/>
                      <w:spacing w:val="-2"/>
                    </w:rPr>
                  </w:pPr>
                  <w:r w:rsidRPr="00067989">
                    <w:rPr>
                      <w:rFonts w:ascii="Times New Roman" w:hAnsi="Times New Roman" w:cs="Times New Roman"/>
                      <w:color w:val="000000" w:themeColor="text1"/>
                      <w:spacing w:val="-2"/>
                    </w:rPr>
                    <w:t>Darmowa korespondencja dla osób fizycznych, płatna wysyłka dla firm i podmiotów publicznych.</w:t>
                  </w:r>
                </w:p>
                <w:p w14:paraId="54323BC5" w14:textId="77777777" w:rsidR="00073B7F" w:rsidRPr="000E2DF4" w:rsidRDefault="00073B7F" w:rsidP="00067989">
                  <w:pPr>
                    <w:spacing w:before="60" w:after="60"/>
                    <w:rPr>
                      <w:rFonts w:ascii="Times New Roman" w:hAnsi="Times New Roman" w:cs="Times New Roman"/>
                      <w:color w:val="000000" w:themeColor="text1"/>
                      <w:spacing w:val="-2"/>
                    </w:rPr>
                  </w:pPr>
                  <w:r w:rsidRPr="000E2DF4">
                    <w:rPr>
                      <w:rFonts w:ascii="Times New Roman" w:hAnsi="Times New Roman" w:cs="Times New Roman"/>
                      <w:color w:val="000000" w:themeColor="text1"/>
                      <w:spacing w:val="-2"/>
                    </w:rPr>
                    <w:t>Dostawca wybierany w przetargu publicznym.</w:t>
                  </w:r>
                </w:p>
              </w:tc>
              <w:tc>
                <w:tcPr>
                  <w:tcW w:w="3621"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hideMark/>
                </w:tcPr>
                <w:p w14:paraId="262BD7EC" w14:textId="77777777" w:rsidR="00067989" w:rsidRDefault="00073B7F" w:rsidP="008A3FA9">
                  <w:pPr>
                    <w:spacing w:before="60"/>
                    <w:rPr>
                      <w:rFonts w:ascii="Times New Roman" w:hAnsi="Times New Roman" w:cs="Times New Roman"/>
                      <w:color w:val="000000" w:themeColor="text1"/>
                      <w:spacing w:val="-2"/>
                    </w:rPr>
                  </w:pPr>
                  <w:r w:rsidRPr="000E2DF4">
                    <w:rPr>
                      <w:rFonts w:ascii="Times New Roman" w:hAnsi="Times New Roman" w:cs="Times New Roman"/>
                      <w:color w:val="000000" w:themeColor="text1"/>
                      <w:spacing w:val="-2"/>
                    </w:rPr>
                    <w:t xml:space="preserve">Ustawa o postępowaniu cyfrowym (Lov om Offentlig Digital Post). Zrównanie listu poleconego </w:t>
                  </w:r>
                </w:p>
                <w:p w14:paraId="7B074D07" w14:textId="77777777" w:rsidR="00073B7F" w:rsidRPr="00067989" w:rsidRDefault="00073B7F" w:rsidP="008A3FA9">
                  <w:pPr>
                    <w:spacing w:after="60"/>
                    <w:rPr>
                      <w:rFonts w:ascii="Times New Roman" w:hAnsi="Times New Roman" w:cs="Times New Roman"/>
                      <w:color w:val="000000" w:themeColor="text1"/>
                      <w:spacing w:val="-2"/>
                    </w:rPr>
                  </w:pPr>
                  <w:r w:rsidRPr="00067989">
                    <w:rPr>
                      <w:rFonts w:ascii="Times New Roman" w:hAnsi="Times New Roman" w:cs="Times New Roman"/>
                      <w:color w:val="000000" w:themeColor="text1"/>
                      <w:spacing w:val="-2"/>
                    </w:rPr>
                    <w:t>z e-doręczeniem. Obowiązek odbierania Digital Post od</w:t>
                  </w:r>
                  <w:r w:rsidR="00AB04E9">
                    <w:rPr>
                      <w:rFonts w:ascii="Times New Roman" w:hAnsi="Times New Roman" w:cs="Times New Roman"/>
                      <w:color w:val="000000" w:themeColor="text1"/>
                      <w:spacing w:val="-2"/>
                    </w:rPr>
                    <w:t xml:space="preserve"> </w:t>
                  </w:r>
                  <w:r w:rsidRPr="00067989">
                    <w:rPr>
                      <w:rFonts w:ascii="Times New Roman" w:hAnsi="Times New Roman" w:cs="Times New Roman"/>
                      <w:color w:val="000000" w:themeColor="text1"/>
                      <w:spacing w:val="-2"/>
                    </w:rPr>
                    <w:t>podmiotów publicznych nałożony na przedsiębiorców i</w:t>
                  </w:r>
                  <w:r w:rsidR="00AB04E9">
                    <w:rPr>
                      <w:rFonts w:ascii="Times New Roman" w:hAnsi="Times New Roman" w:cs="Times New Roman"/>
                      <w:color w:val="000000" w:themeColor="text1"/>
                      <w:spacing w:val="-2"/>
                    </w:rPr>
                    <w:t xml:space="preserve"> </w:t>
                  </w:r>
                  <w:r w:rsidRPr="00067989">
                    <w:rPr>
                      <w:rFonts w:ascii="Times New Roman" w:hAnsi="Times New Roman" w:cs="Times New Roman"/>
                      <w:color w:val="000000" w:themeColor="text1"/>
                      <w:spacing w:val="-2"/>
                    </w:rPr>
                    <w:t>osoby fizyczne. Minister Finansów wyznacza dostawcę usług e-doręczeń</w:t>
                  </w:r>
                </w:p>
              </w:tc>
            </w:tr>
            <w:tr w:rsidR="005C3FCE" w:rsidRPr="00067989" w14:paraId="7166B6D0" w14:textId="77777777" w:rsidTr="008A3FA9">
              <w:trPr>
                <w:trHeight w:val="978"/>
              </w:trPr>
              <w:tc>
                <w:tcPr>
                  <w:tcW w:w="2125" w:type="dxa"/>
                  <w:tcBorders>
                    <w:top w:val="single" w:sz="8" w:space="0" w:color="FFFFFF"/>
                    <w:left w:val="single" w:sz="8" w:space="0" w:color="FFFFFF"/>
                    <w:bottom w:val="single" w:sz="8" w:space="0" w:color="FFFFFF"/>
                    <w:right w:val="single" w:sz="8" w:space="0" w:color="FFFFFF"/>
                  </w:tcBorders>
                  <w:shd w:val="clear" w:color="auto" w:fill="A5A5A5"/>
                  <w:tcMar>
                    <w:top w:w="72" w:type="dxa"/>
                    <w:left w:w="144" w:type="dxa"/>
                    <w:bottom w:w="72" w:type="dxa"/>
                    <w:right w:w="144" w:type="dxa"/>
                  </w:tcMar>
                  <w:hideMark/>
                </w:tcPr>
                <w:p w14:paraId="70DD4D61" w14:textId="77777777" w:rsidR="00073B7F" w:rsidRPr="00067989" w:rsidRDefault="00073B7F" w:rsidP="00067989">
                  <w:pPr>
                    <w:spacing w:before="60" w:after="60"/>
                    <w:rPr>
                      <w:rFonts w:ascii="Times New Roman" w:hAnsi="Times New Roman" w:cs="Times New Roman"/>
                      <w:color w:val="000000" w:themeColor="text1"/>
                      <w:spacing w:val="-2"/>
                    </w:rPr>
                  </w:pPr>
                  <w:r w:rsidRPr="00067989">
                    <w:rPr>
                      <w:rFonts w:ascii="Times New Roman" w:hAnsi="Times New Roman" w:cs="Times New Roman"/>
                      <w:b/>
                      <w:bCs/>
                      <w:color w:val="000000" w:themeColor="text1"/>
                      <w:spacing w:val="-2"/>
                    </w:rPr>
                    <w:t xml:space="preserve">Estonia, </w:t>
                  </w:r>
                </w:p>
                <w:p w14:paraId="74EE8177" w14:textId="77777777" w:rsidR="00073B7F" w:rsidRPr="00067989" w:rsidRDefault="00073B7F" w:rsidP="00067989">
                  <w:pPr>
                    <w:spacing w:before="60" w:after="60"/>
                    <w:rPr>
                      <w:rFonts w:ascii="Times New Roman" w:hAnsi="Times New Roman" w:cs="Times New Roman"/>
                      <w:color w:val="000000" w:themeColor="text1"/>
                      <w:spacing w:val="-2"/>
                    </w:rPr>
                  </w:pPr>
                  <w:r w:rsidRPr="00067989">
                    <w:rPr>
                      <w:rFonts w:ascii="Times New Roman" w:hAnsi="Times New Roman" w:cs="Times New Roman"/>
                      <w:b/>
                      <w:bCs/>
                      <w:color w:val="000000" w:themeColor="text1"/>
                      <w:spacing w:val="-2"/>
                    </w:rPr>
                    <w:t xml:space="preserve">DigiDoc, </w:t>
                  </w:r>
                </w:p>
                <w:p w14:paraId="7CE99C8D" w14:textId="77777777" w:rsidR="00073B7F" w:rsidRPr="00067989" w:rsidRDefault="00073B7F" w:rsidP="00067989">
                  <w:pPr>
                    <w:spacing w:before="60" w:after="60"/>
                    <w:rPr>
                      <w:rFonts w:ascii="Times New Roman" w:hAnsi="Times New Roman" w:cs="Times New Roman"/>
                      <w:color w:val="000000" w:themeColor="text1"/>
                      <w:spacing w:val="-2"/>
                    </w:rPr>
                  </w:pPr>
                  <w:r w:rsidRPr="00067989">
                    <w:rPr>
                      <w:rFonts w:ascii="Times New Roman" w:hAnsi="Times New Roman" w:cs="Times New Roman"/>
                      <w:b/>
                      <w:bCs/>
                      <w:color w:val="000000" w:themeColor="text1"/>
                      <w:spacing w:val="-2"/>
                    </w:rPr>
                    <w:t>e-resident</w:t>
                  </w:r>
                </w:p>
              </w:tc>
              <w:tc>
                <w:tcPr>
                  <w:tcW w:w="1960"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hideMark/>
                </w:tcPr>
                <w:p w14:paraId="2927C3D6" w14:textId="77777777" w:rsidR="00073B7F" w:rsidRPr="00067989" w:rsidRDefault="00073B7F" w:rsidP="00067989">
                  <w:pPr>
                    <w:spacing w:before="60" w:after="60"/>
                    <w:ind w:left="-57"/>
                    <w:rPr>
                      <w:rFonts w:ascii="Times New Roman" w:hAnsi="Times New Roman" w:cs="Times New Roman"/>
                      <w:color w:val="000000" w:themeColor="text1"/>
                      <w:spacing w:val="-2"/>
                    </w:rPr>
                  </w:pPr>
                  <w:r w:rsidRPr="00067989">
                    <w:rPr>
                      <w:rFonts w:ascii="Times New Roman" w:hAnsi="Times New Roman" w:cs="Times New Roman"/>
                      <w:color w:val="000000" w:themeColor="text1"/>
                      <w:spacing w:val="-2"/>
                    </w:rPr>
                    <w:t>Osoby fizyczne, przedsiębiorcy, administracja.</w:t>
                  </w:r>
                </w:p>
              </w:tc>
              <w:tc>
                <w:tcPr>
                  <w:tcW w:w="2637"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hideMark/>
                </w:tcPr>
                <w:p w14:paraId="7590B0E5" w14:textId="77777777" w:rsidR="00073B7F" w:rsidRPr="00067989" w:rsidRDefault="00073B7F" w:rsidP="00067989">
                  <w:pPr>
                    <w:spacing w:before="60" w:after="60"/>
                    <w:rPr>
                      <w:rFonts w:ascii="Times New Roman" w:hAnsi="Times New Roman" w:cs="Times New Roman"/>
                      <w:color w:val="000000" w:themeColor="text1"/>
                      <w:spacing w:val="-2"/>
                    </w:rPr>
                  </w:pPr>
                  <w:r w:rsidRPr="00067989">
                    <w:rPr>
                      <w:rFonts w:ascii="Times New Roman" w:hAnsi="Times New Roman" w:cs="Times New Roman"/>
                      <w:color w:val="000000" w:themeColor="text1"/>
                      <w:spacing w:val="-2"/>
                    </w:rPr>
                    <w:t>Darmowe w ograniczonym zakresie (liczba przesyłek). Zróżnicowana wysokość opłat abonamentowych.</w:t>
                  </w:r>
                </w:p>
              </w:tc>
              <w:tc>
                <w:tcPr>
                  <w:tcW w:w="3621"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hideMark/>
                </w:tcPr>
                <w:p w14:paraId="4ADF3E52" w14:textId="77777777" w:rsidR="00073B7F" w:rsidRPr="000E2DF4" w:rsidRDefault="00073B7F" w:rsidP="00067989">
                  <w:pPr>
                    <w:spacing w:before="60" w:after="60"/>
                    <w:rPr>
                      <w:rFonts w:ascii="Times New Roman" w:hAnsi="Times New Roman" w:cs="Times New Roman"/>
                      <w:color w:val="000000" w:themeColor="text1"/>
                      <w:spacing w:val="-2"/>
                    </w:rPr>
                  </w:pPr>
                  <w:r w:rsidRPr="00067989">
                    <w:rPr>
                      <w:rFonts w:ascii="Times New Roman" w:hAnsi="Times New Roman" w:cs="Times New Roman"/>
                      <w:color w:val="000000" w:themeColor="text1"/>
                      <w:spacing w:val="-2"/>
                    </w:rPr>
                    <w:t>Porozumienie rządowe</w:t>
                  </w:r>
                </w:p>
              </w:tc>
            </w:tr>
          </w:tbl>
          <w:p w14:paraId="0C804067" w14:textId="77777777" w:rsidR="006A701A" w:rsidRPr="00067989" w:rsidRDefault="006A701A" w:rsidP="00067989">
            <w:pPr>
              <w:spacing w:before="60" w:after="60"/>
              <w:rPr>
                <w:rFonts w:ascii="Times New Roman" w:hAnsi="Times New Roman" w:cs="Times New Roman"/>
                <w:color w:val="000000" w:themeColor="text1"/>
                <w:spacing w:val="-2"/>
              </w:rPr>
            </w:pPr>
          </w:p>
        </w:tc>
      </w:tr>
      <w:tr w:rsidR="005C3FCE" w:rsidRPr="00067989" w14:paraId="0B2576DE" w14:textId="77777777" w:rsidTr="008A3FA9">
        <w:trPr>
          <w:gridAfter w:val="1"/>
          <w:wAfter w:w="61" w:type="dxa"/>
          <w:trHeight w:val="359"/>
          <w:jc w:val="center"/>
        </w:trPr>
        <w:tc>
          <w:tcPr>
            <w:tcW w:w="10566" w:type="dxa"/>
            <w:gridSpan w:val="28"/>
            <w:shd w:val="clear" w:color="auto" w:fill="99CCFF"/>
            <w:vAlign w:val="center"/>
          </w:tcPr>
          <w:p w14:paraId="61E4372C" w14:textId="77777777" w:rsidR="006A701A" w:rsidRPr="00067989" w:rsidRDefault="006A701A" w:rsidP="00067989">
            <w:pPr>
              <w:numPr>
                <w:ilvl w:val="0"/>
                <w:numId w:val="1"/>
              </w:numPr>
              <w:spacing w:before="60" w:after="60"/>
              <w:ind w:left="318" w:hanging="284"/>
              <w:rPr>
                <w:rFonts w:ascii="Times New Roman" w:hAnsi="Times New Roman" w:cs="Times New Roman"/>
                <w:b/>
                <w:color w:val="000000" w:themeColor="text1"/>
              </w:rPr>
            </w:pPr>
            <w:r w:rsidRPr="00067989">
              <w:rPr>
                <w:rFonts w:ascii="Times New Roman" w:hAnsi="Times New Roman" w:cs="Times New Roman"/>
                <w:b/>
                <w:color w:val="000000" w:themeColor="text1"/>
              </w:rPr>
              <w:lastRenderedPageBreak/>
              <w:t>Podmioty, na które oddziałuje projekt</w:t>
            </w:r>
          </w:p>
        </w:tc>
      </w:tr>
      <w:tr w:rsidR="005C3FCE" w:rsidRPr="00067989" w14:paraId="1ADDADCF" w14:textId="77777777" w:rsidTr="008A3FA9">
        <w:trPr>
          <w:gridAfter w:val="1"/>
          <w:wAfter w:w="61" w:type="dxa"/>
          <w:trHeight w:val="142"/>
          <w:jc w:val="center"/>
        </w:trPr>
        <w:tc>
          <w:tcPr>
            <w:tcW w:w="1841" w:type="dxa"/>
            <w:gridSpan w:val="2"/>
            <w:shd w:val="clear" w:color="auto" w:fill="auto"/>
          </w:tcPr>
          <w:p w14:paraId="374DDAFF" w14:textId="77777777" w:rsidR="00260F33" w:rsidRPr="00067989" w:rsidRDefault="00260F33" w:rsidP="008A3FA9">
            <w:pPr>
              <w:spacing w:before="60" w:after="60"/>
              <w:jc w:val="center"/>
              <w:rPr>
                <w:rFonts w:ascii="Times New Roman" w:hAnsi="Times New Roman" w:cs="Times New Roman"/>
                <w:color w:val="000000" w:themeColor="text1"/>
                <w:spacing w:val="-2"/>
              </w:rPr>
            </w:pPr>
            <w:r w:rsidRPr="00067989">
              <w:rPr>
                <w:rFonts w:ascii="Times New Roman" w:hAnsi="Times New Roman" w:cs="Times New Roman"/>
                <w:color w:val="000000" w:themeColor="text1"/>
                <w:spacing w:val="-2"/>
              </w:rPr>
              <w:t>Grupa</w:t>
            </w:r>
          </w:p>
        </w:tc>
        <w:tc>
          <w:tcPr>
            <w:tcW w:w="2740" w:type="dxa"/>
            <w:gridSpan w:val="9"/>
            <w:shd w:val="clear" w:color="auto" w:fill="auto"/>
          </w:tcPr>
          <w:p w14:paraId="40D732E4" w14:textId="77777777" w:rsidR="00260F33" w:rsidRPr="00067989" w:rsidRDefault="00563199" w:rsidP="008A3FA9">
            <w:pPr>
              <w:spacing w:before="60" w:after="60"/>
              <w:jc w:val="center"/>
              <w:rPr>
                <w:rFonts w:ascii="Times New Roman" w:hAnsi="Times New Roman" w:cs="Times New Roman"/>
                <w:color w:val="000000" w:themeColor="text1"/>
                <w:spacing w:val="-2"/>
              </w:rPr>
            </w:pPr>
            <w:r w:rsidRPr="00067989">
              <w:rPr>
                <w:rFonts w:ascii="Times New Roman" w:hAnsi="Times New Roman" w:cs="Times New Roman"/>
                <w:color w:val="000000" w:themeColor="text1"/>
                <w:spacing w:val="-2"/>
              </w:rPr>
              <w:t>Wielkość</w:t>
            </w:r>
          </w:p>
        </w:tc>
        <w:tc>
          <w:tcPr>
            <w:tcW w:w="2410" w:type="dxa"/>
            <w:gridSpan w:val="8"/>
            <w:shd w:val="clear" w:color="auto" w:fill="auto"/>
          </w:tcPr>
          <w:p w14:paraId="1AC82EE5" w14:textId="77777777" w:rsidR="00260F33" w:rsidRPr="00067989" w:rsidRDefault="00260F33" w:rsidP="008A3FA9">
            <w:pPr>
              <w:spacing w:before="60" w:after="60"/>
              <w:jc w:val="center"/>
              <w:rPr>
                <w:rFonts w:ascii="Times New Roman" w:hAnsi="Times New Roman" w:cs="Times New Roman"/>
                <w:color w:val="000000" w:themeColor="text1"/>
                <w:spacing w:val="-2"/>
              </w:rPr>
            </w:pPr>
            <w:r w:rsidRPr="00067989">
              <w:rPr>
                <w:rFonts w:ascii="Times New Roman" w:hAnsi="Times New Roman" w:cs="Times New Roman"/>
                <w:color w:val="000000" w:themeColor="text1"/>
                <w:spacing w:val="-2"/>
              </w:rPr>
              <w:t>Źródło danych</w:t>
            </w:r>
          </w:p>
        </w:tc>
        <w:tc>
          <w:tcPr>
            <w:tcW w:w="3575" w:type="dxa"/>
            <w:gridSpan w:val="9"/>
            <w:shd w:val="clear" w:color="auto" w:fill="auto"/>
          </w:tcPr>
          <w:p w14:paraId="0CBBC769" w14:textId="77777777" w:rsidR="00260F33" w:rsidRPr="00067989" w:rsidRDefault="00260F33" w:rsidP="008A3FA9">
            <w:pPr>
              <w:spacing w:before="60" w:after="60"/>
              <w:jc w:val="center"/>
              <w:rPr>
                <w:rFonts w:ascii="Times New Roman" w:hAnsi="Times New Roman" w:cs="Times New Roman"/>
                <w:color w:val="000000" w:themeColor="text1"/>
                <w:spacing w:val="-2"/>
              </w:rPr>
            </w:pPr>
            <w:r w:rsidRPr="00067989">
              <w:rPr>
                <w:rFonts w:ascii="Times New Roman" w:hAnsi="Times New Roman" w:cs="Times New Roman"/>
                <w:color w:val="000000" w:themeColor="text1"/>
                <w:spacing w:val="-2"/>
              </w:rPr>
              <w:t>Oddziaływanie</w:t>
            </w:r>
          </w:p>
        </w:tc>
      </w:tr>
      <w:tr w:rsidR="005C3FCE" w:rsidRPr="00067989" w14:paraId="1DBF0BC0" w14:textId="77777777" w:rsidTr="008A3FA9">
        <w:trPr>
          <w:gridAfter w:val="1"/>
          <w:wAfter w:w="61" w:type="dxa"/>
          <w:trHeight w:val="142"/>
          <w:jc w:val="center"/>
        </w:trPr>
        <w:tc>
          <w:tcPr>
            <w:tcW w:w="1841" w:type="dxa"/>
            <w:gridSpan w:val="2"/>
            <w:shd w:val="clear" w:color="auto" w:fill="auto"/>
          </w:tcPr>
          <w:p w14:paraId="4561AD8C" w14:textId="77777777" w:rsidR="00260F33" w:rsidRPr="00067989" w:rsidRDefault="005F6219" w:rsidP="00067989">
            <w:pPr>
              <w:spacing w:before="60" w:after="60"/>
              <w:rPr>
                <w:rFonts w:ascii="Times New Roman" w:hAnsi="Times New Roman" w:cs="Times New Roman"/>
                <w:color w:val="000000" w:themeColor="text1"/>
                <w:spacing w:val="-2"/>
              </w:rPr>
            </w:pPr>
            <w:r w:rsidRPr="00067989">
              <w:rPr>
                <w:rFonts w:ascii="Times New Roman" w:hAnsi="Times New Roman" w:cs="Times New Roman"/>
                <w:color w:val="000000" w:themeColor="text1"/>
              </w:rPr>
              <w:t xml:space="preserve">Obywatele </w:t>
            </w:r>
          </w:p>
        </w:tc>
        <w:tc>
          <w:tcPr>
            <w:tcW w:w="2740" w:type="dxa"/>
            <w:gridSpan w:val="9"/>
            <w:shd w:val="clear" w:color="auto" w:fill="auto"/>
          </w:tcPr>
          <w:p w14:paraId="4F4BBB69" w14:textId="77777777" w:rsidR="006E5488" w:rsidRPr="008A3FA9" w:rsidRDefault="000E1481" w:rsidP="008A3FA9">
            <w:pPr>
              <w:spacing w:before="60" w:after="60"/>
              <w:ind w:left="-56" w:right="-66"/>
              <w:rPr>
                <w:rFonts w:ascii="Times New Roman" w:hAnsi="Times New Roman" w:cs="Times New Roman"/>
                <w:color w:val="000000" w:themeColor="text1"/>
              </w:rPr>
            </w:pPr>
            <w:r w:rsidRPr="00067989">
              <w:rPr>
                <w:rFonts w:ascii="Times New Roman" w:hAnsi="Times New Roman" w:cs="Times New Roman"/>
                <w:color w:val="000000" w:themeColor="text1"/>
              </w:rPr>
              <w:t xml:space="preserve">Osoby </w:t>
            </w:r>
            <w:r w:rsidR="00D06140" w:rsidRPr="00067989">
              <w:rPr>
                <w:rFonts w:ascii="Times New Roman" w:hAnsi="Times New Roman" w:cs="Times New Roman"/>
                <w:color w:val="000000" w:themeColor="text1"/>
              </w:rPr>
              <w:t>w wieku produkcyjnym i</w:t>
            </w:r>
            <w:r w:rsidR="00AB04E9">
              <w:rPr>
                <w:rFonts w:ascii="Times New Roman" w:hAnsi="Times New Roman" w:cs="Times New Roman"/>
                <w:color w:val="000000" w:themeColor="text1"/>
              </w:rPr>
              <w:t xml:space="preserve"> </w:t>
            </w:r>
            <w:r w:rsidR="00D06140" w:rsidRPr="00067989">
              <w:rPr>
                <w:rFonts w:ascii="Times New Roman" w:hAnsi="Times New Roman" w:cs="Times New Roman"/>
                <w:color w:val="000000" w:themeColor="text1"/>
              </w:rPr>
              <w:t>poprodukcyjnym</w:t>
            </w:r>
            <w:r w:rsidRPr="00067989">
              <w:rPr>
                <w:rFonts w:ascii="Times New Roman" w:hAnsi="Times New Roman" w:cs="Times New Roman"/>
                <w:color w:val="000000" w:themeColor="text1"/>
              </w:rPr>
              <w:t xml:space="preserve">: </w:t>
            </w:r>
            <w:r w:rsidR="00B918F8" w:rsidRPr="00067989">
              <w:rPr>
                <w:rFonts w:ascii="Times New Roman" w:hAnsi="Times New Roman" w:cs="Times New Roman"/>
                <w:color w:val="000000" w:themeColor="text1"/>
              </w:rPr>
              <w:t xml:space="preserve">ok. </w:t>
            </w:r>
            <w:r w:rsidR="00D06140" w:rsidRPr="00067989">
              <w:rPr>
                <w:rFonts w:ascii="Times New Roman" w:hAnsi="Times New Roman" w:cs="Times New Roman"/>
                <w:color w:val="000000" w:themeColor="text1"/>
              </w:rPr>
              <w:t>31,5 miliona</w:t>
            </w:r>
            <w:r w:rsidRPr="00067989">
              <w:rPr>
                <w:rFonts w:ascii="Times New Roman" w:hAnsi="Times New Roman" w:cs="Times New Roman"/>
                <w:color w:val="000000" w:themeColor="text1"/>
              </w:rPr>
              <w:t>.</w:t>
            </w:r>
          </w:p>
        </w:tc>
        <w:tc>
          <w:tcPr>
            <w:tcW w:w="2410" w:type="dxa"/>
            <w:gridSpan w:val="8"/>
            <w:shd w:val="clear" w:color="auto" w:fill="auto"/>
          </w:tcPr>
          <w:p w14:paraId="27618609" w14:textId="77777777" w:rsidR="00260F33" w:rsidRPr="000E2DF4" w:rsidRDefault="00D06140" w:rsidP="00067989">
            <w:pPr>
              <w:spacing w:before="60" w:after="60"/>
              <w:rPr>
                <w:rFonts w:ascii="Times New Roman" w:hAnsi="Times New Roman" w:cs="Times New Roman"/>
                <w:color w:val="000000" w:themeColor="text1"/>
                <w:spacing w:val="-2"/>
              </w:rPr>
            </w:pPr>
            <w:r w:rsidRPr="00067989">
              <w:rPr>
                <w:rFonts w:ascii="Times New Roman" w:hAnsi="Times New Roman" w:cs="Times New Roman"/>
                <w:color w:val="000000" w:themeColor="text1"/>
                <w:spacing w:val="-2"/>
              </w:rPr>
              <w:t xml:space="preserve">Rocznik Statystyczny </w:t>
            </w:r>
            <w:r w:rsidR="006E5488" w:rsidRPr="00067989">
              <w:rPr>
                <w:rFonts w:ascii="Times New Roman" w:hAnsi="Times New Roman" w:cs="Times New Roman"/>
                <w:color w:val="000000" w:themeColor="text1"/>
                <w:spacing w:val="-2"/>
              </w:rPr>
              <w:t>GUS</w:t>
            </w:r>
            <w:r w:rsidRPr="00067989">
              <w:rPr>
                <w:rFonts w:ascii="Times New Roman" w:hAnsi="Times New Roman" w:cs="Times New Roman"/>
                <w:color w:val="000000" w:themeColor="text1"/>
                <w:spacing w:val="-2"/>
              </w:rPr>
              <w:t xml:space="preserve"> 2017</w:t>
            </w:r>
          </w:p>
          <w:p w14:paraId="635FC768" w14:textId="77777777" w:rsidR="00093D07" w:rsidRPr="000E2DF4" w:rsidRDefault="00093D07" w:rsidP="00067989">
            <w:pPr>
              <w:spacing w:before="60" w:after="60"/>
              <w:rPr>
                <w:rFonts w:ascii="Times New Roman" w:hAnsi="Times New Roman" w:cs="Times New Roman"/>
                <w:color w:val="000000" w:themeColor="text1"/>
                <w:spacing w:val="-2"/>
              </w:rPr>
            </w:pPr>
          </w:p>
          <w:p w14:paraId="6C71CD33" w14:textId="77777777" w:rsidR="00093D07" w:rsidRPr="000E2DF4" w:rsidRDefault="00093D07" w:rsidP="00067989">
            <w:pPr>
              <w:spacing w:before="60" w:after="60"/>
              <w:rPr>
                <w:rFonts w:ascii="Times New Roman" w:hAnsi="Times New Roman" w:cs="Times New Roman"/>
                <w:color w:val="000000" w:themeColor="text1"/>
                <w:spacing w:val="-2"/>
              </w:rPr>
            </w:pPr>
          </w:p>
        </w:tc>
        <w:tc>
          <w:tcPr>
            <w:tcW w:w="3575" w:type="dxa"/>
            <w:gridSpan w:val="9"/>
            <w:shd w:val="clear" w:color="auto" w:fill="auto"/>
          </w:tcPr>
          <w:p w14:paraId="64DA175C" w14:textId="77777777" w:rsidR="009B4F94" w:rsidRPr="00067989" w:rsidRDefault="009B4F94" w:rsidP="00067989">
            <w:pPr>
              <w:spacing w:before="60" w:after="60"/>
              <w:rPr>
                <w:rFonts w:ascii="Times New Roman" w:hAnsi="Times New Roman" w:cs="Times New Roman"/>
                <w:color w:val="000000" w:themeColor="text1"/>
                <w:spacing w:val="-2"/>
              </w:rPr>
            </w:pPr>
            <w:r w:rsidRPr="000E2DF4">
              <w:rPr>
                <w:rFonts w:ascii="Times New Roman" w:hAnsi="Times New Roman" w:cs="Times New Roman"/>
                <w:color w:val="000000" w:themeColor="text1"/>
                <w:spacing w:val="-2"/>
              </w:rPr>
              <w:t xml:space="preserve">Projekt </w:t>
            </w:r>
            <w:r w:rsidRPr="000E2DF4">
              <w:rPr>
                <w:rFonts w:ascii="Times New Roman" w:hAnsi="Times New Roman" w:cs="Times New Roman"/>
                <w:color w:val="000000" w:themeColor="text1"/>
              </w:rPr>
              <w:t>wpłynie</w:t>
            </w:r>
            <w:r w:rsidRPr="000E2DF4">
              <w:rPr>
                <w:rFonts w:ascii="Times New Roman" w:hAnsi="Times New Roman" w:cs="Times New Roman"/>
                <w:color w:val="000000" w:themeColor="text1"/>
                <w:spacing w:val="-2"/>
              </w:rPr>
              <w:t xml:space="preserve"> pozytywnie</w:t>
            </w:r>
            <w:r w:rsidR="005A3C38" w:rsidRPr="000E2DF4">
              <w:rPr>
                <w:rFonts w:ascii="Times New Roman" w:hAnsi="Times New Roman" w:cs="Times New Roman"/>
                <w:color w:val="000000" w:themeColor="text1"/>
                <w:spacing w:val="-2"/>
              </w:rPr>
              <w:t xml:space="preserve"> na obywateli</w:t>
            </w:r>
            <w:r w:rsidRPr="000E2DF4">
              <w:rPr>
                <w:rFonts w:ascii="Times New Roman" w:hAnsi="Times New Roman" w:cs="Times New Roman"/>
                <w:color w:val="000000" w:themeColor="text1"/>
                <w:spacing w:val="-2"/>
              </w:rPr>
              <w:t xml:space="preserve"> </w:t>
            </w:r>
            <w:r w:rsidR="00D06140" w:rsidRPr="000E2DF4">
              <w:rPr>
                <w:rFonts w:ascii="Times New Roman" w:hAnsi="Times New Roman" w:cs="Times New Roman"/>
                <w:color w:val="000000" w:themeColor="text1"/>
                <w:spacing w:val="-2"/>
              </w:rPr>
              <w:t xml:space="preserve">niewykluczonych cyfrowo </w:t>
            </w:r>
            <w:r w:rsidRPr="000E2DF4">
              <w:rPr>
                <w:rFonts w:ascii="Times New Roman" w:hAnsi="Times New Roman" w:cs="Times New Roman"/>
                <w:color w:val="000000" w:themeColor="text1"/>
                <w:spacing w:val="-2"/>
              </w:rPr>
              <w:t xml:space="preserve">poprzez </w:t>
            </w:r>
            <w:r w:rsidR="005D1FB5" w:rsidRPr="00E42D6D">
              <w:rPr>
                <w:rFonts w:ascii="Times New Roman" w:hAnsi="Times New Roman" w:cs="Times New Roman"/>
                <w:color w:val="000000" w:themeColor="text1"/>
                <w:spacing w:val="-2"/>
              </w:rPr>
              <w:t xml:space="preserve">zapewnienie </w:t>
            </w:r>
            <w:r w:rsidR="00A41D3B" w:rsidRPr="00080920">
              <w:rPr>
                <w:rFonts w:ascii="Times New Roman" w:hAnsi="Times New Roman" w:cs="Times New Roman"/>
                <w:color w:val="000000" w:themeColor="text1"/>
                <w:spacing w:val="-2"/>
              </w:rPr>
              <w:t>im możliwości korzystania z</w:t>
            </w:r>
            <w:r w:rsidR="00AB04E9">
              <w:rPr>
                <w:rFonts w:ascii="Times New Roman" w:hAnsi="Times New Roman" w:cs="Times New Roman"/>
                <w:color w:val="000000" w:themeColor="text1"/>
                <w:spacing w:val="-2"/>
              </w:rPr>
              <w:t xml:space="preserve"> </w:t>
            </w:r>
            <w:r w:rsidR="00A41D3B" w:rsidRPr="00067989">
              <w:rPr>
                <w:rFonts w:ascii="Times New Roman" w:hAnsi="Times New Roman" w:cs="Times New Roman"/>
                <w:color w:val="000000" w:themeColor="text1"/>
                <w:spacing w:val="-2"/>
              </w:rPr>
              <w:t>elektronicznego doręczenia docelowo we</w:t>
            </w:r>
            <w:r w:rsidR="00AB04E9">
              <w:rPr>
                <w:rFonts w:ascii="Times New Roman" w:hAnsi="Times New Roman" w:cs="Times New Roman"/>
                <w:color w:val="000000" w:themeColor="text1"/>
                <w:spacing w:val="-2"/>
              </w:rPr>
              <w:t xml:space="preserve"> </w:t>
            </w:r>
            <w:r w:rsidR="00A41D3B" w:rsidRPr="00067989">
              <w:rPr>
                <w:rFonts w:ascii="Times New Roman" w:hAnsi="Times New Roman" w:cs="Times New Roman"/>
                <w:color w:val="000000" w:themeColor="text1"/>
                <w:spacing w:val="-2"/>
              </w:rPr>
              <w:t>wszystkich procedurach i</w:t>
            </w:r>
            <w:r w:rsidR="00AB04E9">
              <w:rPr>
                <w:rFonts w:ascii="Times New Roman" w:hAnsi="Times New Roman" w:cs="Times New Roman"/>
                <w:color w:val="000000" w:themeColor="text1"/>
                <w:spacing w:val="-2"/>
              </w:rPr>
              <w:t xml:space="preserve"> </w:t>
            </w:r>
            <w:r w:rsidR="00A41D3B" w:rsidRPr="00067989">
              <w:rPr>
                <w:rFonts w:ascii="Times New Roman" w:hAnsi="Times New Roman" w:cs="Times New Roman"/>
                <w:color w:val="000000" w:themeColor="text1"/>
                <w:spacing w:val="-2"/>
              </w:rPr>
              <w:t>postępowaniach z</w:t>
            </w:r>
            <w:r w:rsidR="00AB04E9">
              <w:rPr>
                <w:rFonts w:ascii="Times New Roman" w:hAnsi="Times New Roman" w:cs="Times New Roman"/>
                <w:color w:val="000000" w:themeColor="text1"/>
                <w:spacing w:val="-2"/>
              </w:rPr>
              <w:t xml:space="preserve"> </w:t>
            </w:r>
            <w:r w:rsidR="00A41D3B" w:rsidRPr="00067989">
              <w:rPr>
                <w:rFonts w:ascii="Times New Roman" w:hAnsi="Times New Roman" w:cs="Times New Roman"/>
                <w:color w:val="000000" w:themeColor="text1"/>
                <w:spacing w:val="-2"/>
              </w:rPr>
              <w:t>podmiotami publicznymi</w:t>
            </w:r>
            <w:r w:rsidR="00FC2EBB" w:rsidRPr="00067989">
              <w:rPr>
                <w:rFonts w:ascii="Times New Roman" w:hAnsi="Times New Roman" w:cs="Times New Roman"/>
                <w:color w:val="000000" w:themeColor="text1"/>
                <w:spacing w:val="-2"/>
              </w:rPr>
              <w:t>,</w:t>
            </w:r>
            <w:r w:rsidR="00D06140" w:rsidRPr="00067989">
              <w:rPr>
                <w:rFonts w:ascii="Times New Roman" w:hAnsi="Times New Roman" w:cs="Times New Roman"/>
                <w:color w:val="000000" w:themeColor="text1"/>
                <w:spacing w:val="-2"/>
              </w:rPr>
              <w:t xml:space="preserve"> jak również na przyśpieszenie załatwiania spraw.</w:t>
            </w:r>
          </w:p>
        </w:tc>
      </w:tr>
      <w:tr w:rsidR="00FC42E3" w:rsidRPr="00067989" w14:paraId="66579830" w14:textId="77777777" w:rsidTr="008A3FA9">
        <w:trPr>
          <w:gridAfter w:val="1"/>
          <w:wAfter w:w="61" w:type="dxa"/>
          <w:trHeight w:val="142"/>
          <w:jc w:val="center"/>
        </w:trPr>
        <w:tc>
          <w:tcPr>
            <w:tcW w:w="1841" w:type="dxa"/>
            <w:gridSpan w:val="2"/>
            <w:shd w:val="clear" w:color="auto" w:fill="auto"/>
          </w:tcPr>
          <w:p w14:paraId="45328ABC" w14:textId="77777777" w:rsidR="00FC42E3" w:rsidRPr="00067989" w:rsidRDefault="00FC42E3" w:rsidP="00067989">
            <w:pPr>
              <w:spacing w:before="60" w:after="60"/>
              <w:rPr>
                <w:rFonts w:ascii="Times New Roman" w:hAnsi="Times New Roman" w:cs="Times New Roman"/>
                <w:color w:val="000000" w:themeColor="text1"/>
              </w:rPr>
            </w:pPr>
            <w:r w:rsidRPr="00067989">
              <w:rPr>
                <w:rFonts w:ascii="Times New Roman" w:hAnsi="Times New Roman" w:cs="Times New Roman"/>
                <w:color w:val="000000" w:themeColor="text1"/>
              </w:rPr>
              <w:t>Notariusze</w:t>
            </w:r>
          </w:p>
        </w:tc>
        <w:tc>
          <w:tcPr>
            <w:tcW w:w="2740" w:type="dxa"/>
            <w:gridSpan w:val="9"/>
            <w:shd w:val="clear" w:color="auto" w:fill="auto"/>
          </w:tcPr>
          <w:p w14:paraId="3F011ACD" w14:textId="77777777" w:rsidR="00FC42E3" w:rsidRPr="00067989" w:rsidRDefault="00A2205D" w:rsidP="008A3FA9">
            <w:pPr>
              <w:spacing w:before="60" w:after="60"/>
              <w:ind w:left="-56" w:right="-66"/>
              <w:rPr>
                <w:rFonts w:ascii="Times New Roman" w:hAnsi="Times New Roman" w:cs="Times New Roman"/>
                <w:color w:val="000000" w:themeColor="text1"/>
              </w:rPr>
            </w:pPr>
            <w:r w:rsidRPr="008A3FA9">
              <w:rPr>
                <w:rFonts w:ascii="Times New Roman" w:hAnsi="Times New Roman" w:cs="Times New Roman"/>
                <w:color w:val="000000" w:themeColor="text1"/>
              </w:rPr>
              <w:t>3547</w:t>
            </w:r>
            <w:r w:rsidR="00F8742C" w:rsidRPr="008A3FA9">
              <w:rPr>
                <w:rFonts w:ascii="Times New Roman" w:hAnsi="Times New Roman" w:cs="Times New Roman"/>
                <w:color w:val="000000" w:themeColor="text1"/>
              </w:rPr>
              <w:t xml:space="preserve"> notariuszy i 449 zastępców notarialnych za 201</w:t>
            </w:r>
            <w:r w:rsidRPr="008A3FA9">
              <w:rPr>
                <w:rFonts w:ascii="Times New Roman" w:hAnsi="Times New Roman" w:cs="Times New Roman"/>
                <w:color w:val="000000" w:themeColor="text1"/>
              </w:rPr>
              <w:t>8</w:t>
            </w:r>
            <w:r w:rsidR="004E51BC" w:rsidRPr="008A3FA9">
              <w:rPr>
                <w:rFonts w:ascii="Times New Roman" w:hAnsi="Times New Roman" w:cs="Times New Roman"/>
                <w:color w:val="000000" w:themeColor="text1"/>
              </w:rPr>
              <w:t xml:space="preserve"> r.</w:t>
            </w:r>
          </w:p>
        </w:tc>
        <w:tc>
          <w:tcPr>
            <w:tcW w:w="2410" w:type="dxa"/>
            <w:gridSpan w:val="8"/>
            <w:shd w:val="clear" w:color="auto" w:fill="auto"/>
          </w:tcPr>
          <w:p w14:paraId="286DEF69" w14:textId="77777777" w:rsidR="00FC42E3" w:rsidRPr="00067989" w:rsidRDefault="00F8742C" w:rsidP="00067989">
            <w:pPr>
              <w:spacing w:before="60" w:after="60"/>
              <w:rPr>
                <w:rFonts w:ascii="Times New Roman" w:hAnsi="Times New Roman" w:cs="Times New Roman"/>
                <w:color w:val="000000" w:themeColor="text1"/>
                <w:spacing w:val="-2"/>
              </w:rPr>
            </w:pPr>
            <w:r w:rsidRPr="00067989">
              <w:rPr>
                <w:rFonts w:ascii="Times New Roman" w:hAnsi="Times New Roman" w:cs="Times New Roman"/>
                <w:color w:val="000000" w:themeColor="text1"/>
                <w:spacing w:val="-2"/>
              </w:rPr>
              <w:t>Krajowa Rada Notarialna</w:t>
            </w:r>
            <w:r w:rsidR="00A2205D" w:rsidRPr="00067989">
              <w:rPr>
                <w:rFonts w:ascii="Times New Roman" w:hAnsi="Times New Roman" w:cs="Times New Roman"/>
                <w:color w:val="000000" w:themeColor="text1"/>
                <w:spacing w:val="-2"/>
              </w:rPr>
              <w:t>, Ministerstwo Sprawiedliwości</w:t>
            </w:r>
          </w:p>
        </w:tc>
        <w:tc>
          <w:tcPr>
            <w:tcW w:w="3575" w:type="dxa"/>
            <w:gridSpan w:val="9"/>
            <w:shd w:val="clear" w:color="auto" w:fill="auto"/>
          </w:tcPr>
          <w:p w14:paraId="1C8646D2" w14:textId="77777777" w:rsidR="00FC42E3" w:rsidRPr="000E2DF4" w:rsidRDefault="00FC42E3" w:rsidP="00067989">
            <w:pPr>
              <w:spacing w:before="60" w:after="60"/>
              <w:rPr>
                <w:rFonts w:ascii="Times New Roman" w:hAnsi="Times New Roman" w:cs="Times New Roman"/>
                <w:color w:val="000000" w:themeColor="text1"/>
                <w:spacing w:val="-2"/>
              </w:rPr>
            </w:pPr>
            <w:r w:rsidRPr="00067989">
              <w:rPr>
                <w:rFonts w:ascii="Times New Roman" w:hAnsi="Times New Roman" w:cs="Times New Roman"/>
                <w:color w:val="000000" w:themeColor="text1"/>
                <w:spacing w:val="-2"/>
              </w:rPr>
              <w:t xml:space="preserve">Projekt zapewni możliwość realizacji korespondencji elektronicznej za pomocą e-Doręczeń przez </w:t>
            </w:r>
            <w:r w:rsidR="004E51BC" w:rsidRPr="00067989">
              <w:rPr>
                <w:rFonts w:ascii="Times New Roman" w:hAnsi="Times New Roman" w:cs="Times New Roman"/>
                <w:color w:val="000000" w:themeColor="text1"/>
                <w:spacing w:val="-2"/>
              </w:rPr>
              <w:t>n</w:t>
            </w:r>
            <w:r w:rsidRPr="000E2DF4">
              <w:rPr>
                <w:rFonts w:ascii="Times New Roman" w:hAnsi="Times New Roman" w:cs="Times New Roman"/>
                <w:color w:val="000000" w:themeColor="text1"/>
                <w:spacing w:val="-2"/>
              </w:rPr>
              <w:t>otariuszy</w:t>
            </w:r>
            <w:r w:rsidR="00F8742C" w:rsidRPr="000E2DF4">
              <w:rPr>
                <w:rFonts w:ascii="Times New Roman" w:hAnsi="Times New Roman" w:cs="Times New Roman"/>
                <w:color w:val="000000" w:themeColor="text1"/>
                <w:spacing w:val="-2"/>
              </w:rPr>
              <w:t xml:space="preserve"> przez uzyskanie wpisu do BAE</w:t>
            </w:r>
            <w:r w:rsidR="004E51BC" w:rsidRPr="000E2DF4">
              <w:rPr>
                <w:rFonts w:ascii="Times New Roman" w:hAnsi="Times New Roman" w:cs="Times New Roman"/>
                <w:color w:val="000000" w:themeColor="text1"/>
                <w:spacing w:val="-2"/>
              </w:rPr>
              <w:t>.</w:t>
            </w:r>
          </w:p>
        </w:tc>
      </w:tr>
      <w:tr w:rsidR="005C3FCE" w:rsidRPr="00067989" w14:paraId="58D6B222" w14:textId="77777777" w:rsidTr="008A3FA9">
        <w:trPr>
          <w:gridAfter w:val="1"/>
          <w:wAfter w:w="61" w:type="dxa"/>
          <w:trHeight w:val="142"/>
          <w:jc w:val="center"/>
        </w:trPr>
        <w:tc>
          <w:tcPr>
            <w:tcW w:w="1841" w:type="dxa"/>
            <w:gridSpan w:val="2"/>
            <w:shd w:val="clear" w:color="auto" w:fill="auto"/>
          </w:tcPr>
          <w:p w14:paraId="49766897" w14:textId="77777777" w:rsidR="00260F33" w:rsidRPr="00067989" w:rsidRDefault="005F6219" w:rsidP="00067989">
            <w:pPr>
              <w:spacing w:before="60" w:after="60"/>
              <w:rPr>
                <w:rFonts w:ascii="Times New Roman" w:hAnsi="Times New Roman" w:cs="Times New Roman"/>
                <w:color w:val="000000" w:themeColor="text1"/>
                <w:spacing w:val="-2"/>
              </w:rPr>
            </w:pPr>
            <w:r w:rsidRPr="00067989">
              <w:rPr>
                <w:rFonts w:ascii="Times New Roman" w:hAnsi="Times New Roman" w:cs="Times New Roman"/>
                <w:color w:val="000000" w:themeColor="text1"/>
              </w:rPr>
              <w:t>Przedsiębiorcy</w:t>
            </w:r>
          </w:p>
        </w:tc>
        <w:tc>
          <w:tcPr>
            <w:tcW w:w="2740" w:type="dxa"/>
            <w:gridSpan w:val="9"/>
            <w:shd w:val="clear" w:color="auto" w:fill="auto"/>
          </w:tcPr>
          <w:p w14:paraId="5E974C0F" w14:textId="77777777" w:rsidR="00260F33" w:rsidRPr="00067989" w:rsidRDefault="00901917" w:rsidP="008A3FA9">
            <w:pPr>
              <w:spacing w:before="60" w:after="60"/>
              <w:ind w:left="-56" w:right="-66"/>
              <w:rPr>
                <w:rFonts w:ascii="Times New Roman" w:hAnsi="Times New Roman" w:cs="Times New Roman"/>
                <w:color w:val="000000" w:themeColor="text1"/>
                <w:spacing w:val="-2"/>
              </w:rPr>
            </w:pPr>
            <w:r w:rsidRPr="00067989">
              <w:rPr>
                <w:rFonts w:ascii="Times New Roman" w:hAnsi="Times New Roman" w:cs="Times New Roman"/>
                <w:color w:val="000000" w:themeColor="text1"/>
              </w:rPr>
              <w:t>Przedsiębiorcy</w:t>
            </w:r>
            <w:r w:rsidR="001C0C23" w:rsidRPr="00067989">
              <w:rPr>
                <w:rFonts w:ascii="Times New Roman" w:hAnsi="Times New Roman" w:cs="Times New Roman"/>
                <w:color w:val="000000" w:themeColor="text1"/>
              </w:rPr>
              <w:t>:</w:t>
            </w:r>
            <w:r w:rsidRPr="00067989">
              <w:rPr>
                <w:rFonts w:ascii="Times New Roman" w:hAnsi="Times New Roman" w:cs="Times New Roman"/>
                <w:color w:val="000000" w:themeColor="text1"/>
              </w:rPr>
              <w:t xml:space="preserve"> o</w:t>
            </w:r>
            <w:r w:rsidR="001707A1" w:rsidRPr="00067989">
              <w:rPr>
                <w:rFonts w:ascii="Times New Roman" w:hAnsi="Times New Roman" w:cs="Times New Roman"/>
                <w:color w:val="000000" w:themeColor="text1"/>
              </w:rPr>
              <w:t>k. 3</w:t>
            </w:r>
            <w:r w:rsidR="001C0C23" w:rsidRPr="00067989">
              <w:rPr>
                <w:rFonts w:ascii="Times New Roman" w:hAnsi="Times New Roman" w:cs="Times New Roman"/>
                <w:color w:val="000000" w:themeColor="text1"/>
              </w:rPr>
              <w:t xml:space="preserve"> </w:t>
            </w:r>
            <w:r w:rsidR="001707A1" w:rsidRPr="00067989">
              <w:rPr>
                <w:rFonts w:ascii="Times New Roman" w:hAnsi="Times New Roman" w:cs="Times New Roman"/>
                <w:color w:val="000000" w:themeColor="text1"/>
              </w:rPr>
              <w:t>440</w:t>
            </w:r>
            <w:r w:rsidR="001C0C23" w:rsidRPr="00067989">
              <w:rPr>
                <w:rFonts w:ascii="Times New Roman" w:hAnsi="Times New Roman" w:cs="Times New Roman"/>
                <w:color w:val="000000" w:themeColor="text1"/>
              </w:rPr>
              <w:t xml:space="preserve"> </w:t>
            </w:r>
            <w:r w:rsidR="001707A1" w:rsidRPr="00067989">
              <w:rPr>
                <w:rFonts w:ascii="Times New Roman" w:hAnsi="Times New Roman" w:cs="Times New Roman"/>
                <w:color w:val="000000" w:themeColor="text1"/>
              </w:rPr>
              <w:t xml:space="preserve">000 </w:t>
            </w:r>
          </w:p>
        </w:tc>
        <w:tc>
          <w:tcPr>
            <w:tcW w:w="2410" w:type="dxa"/>
            <w:gridSpan w:val="8"/>
            <w:shd w:val="clear" w:color="auto" w:fill="auto"/>
          </w:tcPr>
          <w:p w14:paraId="6D4DC82B" w14:textId="77777777" w:rsidR="00260F33" w:rsidRPr="000E2DF4" w:rsidRDefault="00443157" w:rsidP="00067989">
            <w:pPr>
              <w:spacing w:before="60" w:after="60"/>
              <w:rPr>
                <w:rFonts w:ascii="Times New Roman" w:hAnsi="Times New Roman" w:cs="Times New Roman"/>
                <w:color w:val="000000" w:themeColor="text1"/>
                <w:spacing w:val="-2"/>
              </w:rPr>
            </w:pPr>
            <w:r w:rsidRPr="00067989">
              <w:rPr>
                <w:rFonts w:ascii="Times New Roman" w:hAnsi="Times New Roman" w:cs="Times New Roman"/>
                <w:color w:val="000000" w:themeColor="text1"/>
                <w:spacing w:val="-2"/>
              </w:rPr>
              <w:t>„</w:t>
            </w:r>
            <w:r w:rsidR="009E26C2" w:rsidRPr="00067989">
              <w:rPr>
                <w:rFonts w:ascii="Times New Roman" w:hAnsi="Times New Roman" w:cs="Times New Roman"/>
                <w:color w:val="000000" w:themeColor="text1"/>
                <w:spacing w:val="-2"/>
              </w:rPr>
              <w:t xml:space="preserve">Społeczeństwo informacyjne w Polsce w 2017 </w:t>
            </w:r>
            <w:r w:rsidR="009C1AE8" w:rsidRPr="00067989">
              <w:rPr>
                <w:rFonts w:ascii="Times New Roman" w:hAnsi="Times New Roman" w:cs="Times New Roman"/>
                <w:color w:val="000000" w:themeColor="text1"/>
                <w:spacing w:val="-2"/>
              </w:rPr>
              <w:t>r.</w:t>
            </w:r>
            <w:r w:rsidRPr="00067989">
              <w:rPr>
                <w:rFonts w:ascii="Times New Roman" w:hAnsi="Times New Roman" w:cs="Times New Roman"/>
                <w:color w:val="000000" w:themeColor="text1"/>
                <w:spacing w:val="-2"/>
              </w:rPr>
              <w:t>”</w:t>
            </w:r>
          </w:p>
          <w:p w14:paraId="5C0508F7" w14:textId="77777777" w:rsidR="009E26C2" w:rsidRPr="000E2DF4" w:rsidRDefault="005F6337" w:rsidP="00067989">
            <w:pPr>
              <w:spacing w:before="60" w:after="60"/>
              <w:rPr>
                <w:rFonts w:ascii="Times New Roman" w:hAnsi="Times New Roman" w:cs="Times New Roman"/>
                <w:color w:val="000000" w:themeColor="text1"/>
                <w:spacing w:val="-2"/>
              </w:rPr>
            </w:pPr>
            <w:r>
              <w:rPr>
                <w:rFonts w:ascii="Times New Roman" w:hAnsi="Times New Roman" w:cs="Times New Roman"/>
                <w:color w:val="000000" w:themeColor="text1"/>
                <w:spacing w:val="-2"/>
              </w:rPr>
              <w:t>–</w:t>
            </w:r>
            <w:r w:rsidR="009E26C2" w:rsidRPr="000E2DF4">
              <w:rPr>
                <w:rFonts w:ascii="Times New Roman" w:hAnsi="Times New Roman" w:cs="Times New Roman"/>
                <w:color w:val="000000" w:themeColor="text1"/>
                <w:spacing w:val="-2"/>
              </w:rPr>
              <w:t xml:space="preserve"> opracowanie GUS.</w:t>
            </w:r>
          </w:p>
          <w:p w14:paraId="4835C292" w14:textId="77777777" w:rsidR="003B2A22" w:rsidRPr="000E2DF4" w:rsidRDefault="00A77C5C" w:rsidP="00067989">
            <w:pPr>
              <w:spacing w:before="60" w:after="60"/>
              <w:rPr>
                <w:rFonts w:ascii="Times New Roman" w:hAnsi="Times New Roman" w:cs="Times New Roman"/>
                <w:color w:val="000000" w:themeColor="text1"/>
                <w:spacing w:val="-2"/>
              </w:rPr>
            </w:pPr>
            <w:r w:rsidRPr="000E2DF4">
              <w:rPr>
                <w:rFonts w:ascii="Times New Roman" w:hAnsi="Times New Roman" w:cs="Times New Roman"/>
                <w:color w:val="000000" w:themeColor="text1"/>
              </w:rPr>
              <w:t xml:space="preserve">Informacja </w:t>
            </w:r>
            <w:r w:rsidR="003B2A22" w:rsidRPr="000E2DF4">
              <w:rPr>
                <w:rFonts w:ascii="Times New Roman" w:hAnsi="Times New Roman" w:cs="Times New Roman"/>
                <w:color w:val="000000" w:themeColor="text1"/>
              </w:rPr>
              <w:t>o liczbie przedsiębiorców według stanu rejestru REGON na dzień 30</w:t>
            </w:r>
            <w:r w:rsidR="006415A2" w:rsidRPr="000E2DF4">
              <w:rPr>
                <w:rFonts w:ascii="Times New Roman" w:hAnsi="Times New Roman" w:cs="Times New Roman"/>
                <w:color w:val="000000" w:themeColor="text1"/>
              </w:rPr>
              <w:t xml:space="preserve"> czerwca </w:t>
            </w:r>
            <w:r w:rsidR="003B2A22" w:rsidRPr="000E2DF4">
              <w:rPr>
                <w:rFonts w:ascii="Times New Roman" w:hAnsi="Times New Roman" w:cs="Times New Roman"/>
                <w:color w:val="000000" w:themeColor="text1"/>
              </w:rPr>
              <w:t>2017 r.</w:t>
            </w:r>
          </w:p>
        </w:tc>
        <w:tc>
          <w:tcPr>
            <w:tcW w:w="3575" w:type="dxa"/>
            <w:gridSpan w:val="9"/>
            <w:shd w:val="clear" w:color="auto" w:fill="auto"/>
          </w:tcPr>
          <w:p w14:paraId="517648E2" w14:textId="77777777" w:rsidR="006E5488" w:rsidRPr="00067989" w:rsidRDefault="006E5488" w:rsidP="00067989">
            <w:pPr>
              <w:spacing w:before="60" w:after="60"/>
              <w:rPr>
                <w:rFonts w:ascii="Times New Roman" w:hAnsi="Times New Roman" w:cs="Times New Roman"/>
                <w:color w:val="000000" w:themeColor="text1"/>
                <w:spacing w:val="-2"/>
              </w:rPr>
            </w:pPr>
            <w:r w:rsidRPr="000E2DF4">
              <w:rPr>
                <w:rFonts w:ascii="Times New Roman" w:eastAsia="Times New Roman" w:hAnsi="Times New Roman" w:cs="Times New Roman"/>
                <w:color w:val="000000" w:themeColor="text1"/>
                <w:lang w:eastAsia="pl-PL"/>
              </w:rPr>
              <w:t>Z badań</w:t>
            </w:r>
            <w:r w:rsidR="00093D07" w:rsidRPr="00E42D6D">
              <w:rPr>
                <w:rFonts w:ascii="Times New Roman" w:eastAsia="Times New Roman" w:hAnsi="Times New Roman" w:cs="Times New Roman"/>
                <w:color w:val="000000" w:themeColor="text1"/>
                <w:lang w:eastAsia="pl-PL"/>
              </w:rPr>
              <w:t xml:space="preserve"> </w:t>
            </w:r>
            <w:r w:rsidR="009C1AE8" w:rsidRPr="00080920">
              <w:rPr>
                <w:rFonts w:ascii="Times New Roman" w:eastAsia="Times New Roman" w:hAnsi="Times New Roman" w:cs="Times New Roman"/>
                <w:color w:val="000000" w:themeColor="text1"/>
                <w:lang w:eastAsia="pl-PL"/>
              </w:rPr>
              <w:t>„</w:t>
            </w:r>
            <w:r w:rsidR="00093D07" w:rsidRPr="00067989">
              <w:rPr>
                <w:rFonts w:ascii="Times New Roman" w:hAnsi="Times New Roman" w:cs="Times New Roman"/>
                <w:color w:val="000000" w:themeColor="text1"/>
                <w:spacing w:val="-2"/>
              </w:rPr>
              <w:t>Społeczeństwo</w:t>
            </w:r>
            <w:r w:rsidR="00093D07" w:rsidRPr="00067989">
              <w:rPr>
                <w:rFonts w:ascii="Times New Roman" w:hAnsi="Times New Roman" w:cs="Times New Roman"/>
                <w:color w:val="000000" w:themeColor="text1"/>
              </w:rPr>
              <w:t xml:space="preserve"> informacyjne w</w:t>
            </w:r>
            <w:r w:rsidR="00AB04E9">
              <w:rPr>
                <w:rFonts w:ascii="Times New Roman" w:hAnsi="Times New Roman" w:cs="Times New Roman"/>
                <w:color w:val="000000" w:themeColor="text1"/>
              </w:rPr>
              <w:t xml:space="preserve"> </w:t>
            </w:r>
            <w:r w:rsidR="00093D07" w:rsidRPr="00067989">
              <w:rPr>
                <w:rFonts w:ascii="Times New Roman" w:hAnsi="Times New Roman" w:cs="Times New Roman"/>
                <w:color w:val="000000" w:themeColor="text1"/>
              </w:rPr>
              <w:t>Polsce w 2017 r.</w:t>
            </w:r>
            <w:r w:rsidR="009C1AE8" w:rsidRPr="00067989">
              <w:rPr>
                <w:rFonts w:ascii="Times New Roman" w:hAnsi="Times New Roman" w:cs="Times New Roman"/>
                <w:color w:val="000000" w:themeColor="text1"/>
              </w:rPr>
              <w:t>”</w:t>
            </w:r>
            <w:r w:rsidR="00093D07" w:rsidRPr="00067989">
              <w:rPr>
                <w:rFonts w:ascii="Times New Roman" w:hAnsi="Times New Roman" w:cs="Times New Roman"/>
                <w:color w:val="000000" w:themeColor="text1"/>
              </w:rPr>
              <w:t xml:space="preserve"> (</w:t>
            </w:r>
            <w:r w:rsidR="00B918F8" w:rsidRPr="00067989">
              <w:rPr>
                <w:rFonts w:ascii="Times New Roman" w:hAnsi="Times New Roman" w:cs="Times New Roman"/>
                <w:color w:val="000000" w:themeColor="text1"/>
              </w:rPr>
              <w:t xml:space="preserve">GUS) </w:t>
            </w:r>
            <w:r w:rsidR="00B918F8" w:rsidRPr="00067989">
              <w:rPr>
                <w:rFonts w:ascii="Times New Roman" w:eastAsia="Times New Roman" w:hAnsi="Times New Roman" w:cs="Times New Roman"/>
                <w:color w:val="000000" w:themeColor="text1"/>
                <w:lang w:eastAsia="pl-PL"/>
              </w:rPr>
              <w:t>wynika</w:t>
            </w:r>
            <w:r w:rsidRPr="00067989">
              <w:rPr>
                <w:rFonts w:ascii="Times New Roman" w:eastAsia="Times New Roman" w:hAnsi="Times New Roman" w:cs="Times New Roman"/>
                <w:color w:val="000000" w:themeColor="text1"/>
                <w:lang w:eastAsia="pl-PL"/>
              </w:rPr>
              <w:t>, że</w:t>
            </w:r>
            <w:r w:rsidR="00EE3C14" w:rsidRPr="00067989">
              <w:rPr>
                <w:rFonts w:ascii="Times New Roman" w:eastAsia="Times New Roman" w:hAnsi="Times New Roman" w:cs="Times New Roman"/>
                <w:color w:val="000000" w:themeColor="text1"/>
                <w:lang w:eastAsia="pl-PL"/>
              </w:rPr>
              <w:t xml:space="preserve"> </w:t>
            </w:r>
            <w:r w:rsidR="00D1284B" w:rsidRPr="00067989">
              <w:rPr>
                <w:rFonts w:ascii="Times New Roman" w:eastAsia="Times New Roman" w:hAnsi="Times New Roman" w:cs="Times New Roman"/>
                <w:color w:val="000000" w:themeColor="text1"/>
                <w:lang w:eastAsia="pl-PL"/>
              </w:rPr>
              <w:t>w</w:t>
            </w:r>
            <w:r w:rsidR="00EE3C14" w:rsidRPr="00067989">
              <w:rPr>
                <w:rFonts w:ascii="Times New Roman" w:eastAsia="Times New Roman" w:hAnsi="Times New Roman" w:cs="Times New Roman"/>
                <w:color w:val="000000" w:themeColor="text1"/>
                <w:lang w:eastAsia="pl-PL"/>
              </w:rPr>
              <w:t xml:space="preserve"> </w:t>
            </w:r>
            <w:r w:rsidR="00D1284B" w:rsidRPr="00067989">
              <w:rPr>
                <w:rFonts w:ascii="Times New Roman" w:eastAsia="Times New Roman" w:hAnsi="Times New Roman" w:cs="Times New Roman"/>
                <w:color w:val="000000" w:themeColor="text1"/>
                <w:lang w:eastAsia="pl-PL"/>
              </w:rPr>
              <w:t>2016</w:t>
            </w:r>
            <w:r w:rsidR="00AB04E9">
              <w:rPr>
                <w:rFonts w:ascii="Times New Roman" w:eastAsia="Times New Roman" w:hAnsi="Times New Roman" w:cs="Times New Roman"/>
                <w:color w:val="000000" w:themeColor="text1"/>
                <w:lang w:eastAsia="pl-PL"/>
              </w:rPr>
              <w:t xml:space="preserve"> </w:t>
            </w:r>
            <w:r w:rsidR="00D1284B" w:rsidRPr="00067989">
              <w:rPr>
                <w:rFonts w:ascii="Times New Roman" w:eastAsia="Times New Roman" w:hAnsi="Times New Roman" w:cs="Times New Roman"/>
                <w:color w:val="000000" w:themeColor="text1"/>
                <w:lang w:eastAsia="pl-PL"/>
              </w:rPr>
              <w:t xml:space="preserve">r. </w:t>
            </w:r>
            <w:r w:rsidRPr="00067989">
              <w:rPr>
                <w:rFonts w:ascii="Times New Roman" w:eastAsia="Times New Roman" w:hAnsi="Times New Roman" w:cs="Times New Roman"/>
                <w:color w:val="000000" w:themeColor="text1"/>
                <w:lang w:eastAsia="pl-PL"/>
              </w:rPr>
              <w:t>b</w:t>
            </w:r>
            <w:r w:rsidR="005F6219" w:rsidRPr="00067989">
              <w:rPr>
                <w:rFonts w:ascii="Times New Roman" w:eastAsia="Times New Roman" w:hAnsi="Times New Roman" w:cs="Times New Roman"/>
                <w:color w:val="000000" w:themeColor="text1"/>
                <w:lang w:eastAsia="pl-PL"/>
              </w:rPr>
              <w:t>lisko 95% przedsiębiorstw kontaktowało się z administracją publiczną elektronicznie. Tę formę komunikacji stosowały prawie wszystkie firmy duże i</w:t>
            </w:r>
            <w:r w:rsidR="00AB04E9">
              <w:rPr>
                <w:rFonts w:ascii="Times New Roman" w:eastAsia="Times New Roman" w:hAnsi="Times New Roman" w:cs="Times New Roman"/>
                <w:color w:val="000000" w:themeColor="text1"/>
                <w:lang w:eastAsia="pl-PL"/>
              </w:rPr>
              <w:t xml:space="preserve"> </w:t>
            </w:r>
            <w:r w:rsidR="005F6219" w:rsidRPr="00067989">
              <w:rPr>
                <w:rFonts w:ascii="Times New Roman" w:eastAsia="Times New Roman" w:hAnsi="Times New Roman" w:cs="Times New Roman"/>
                <w:color w:val="000000" w:themeColor="text1"/>
                <w:lang w:eastAsia="pl-PL"/>
              </w:rPr>
              <w:t>średnie.</w:t>
            </w:r>
          </w:p>
          <w:p w14:paraId="41D6EAE1" w14:textId="77777777" w:rsidR="00260F33" w:rsidRPr="00067989" w:rsidRDefault="00A41D3B" w:rsidP="00067989">
            <w:pPr>
              <w:spacing w:before="60" w:after="60"/>
              <w:rPr>
                <w:rFonts w:ascii="Times New Roman" w:hAnsi="Times New Roman" w:cs="Times New Roman"/>
                <w:color w:val="000000" w:themeColor="text1"/>
                <w:spacing w:val="-2"/>
              </w:rPr>
            </w:pPr>
            <w:r w:rsidRPr="00067989">
              <w:rPr>
                <w:rFonts w:ascii="Times New Roman" w:hAnsi="Times New Roman" w:cs="Times New Roman"/>
                <w:color w:val="000000" w:themeColor="text1"/>
                <w:spacing w:val="-2"/>
              </w:rPr>
              <w:t xml:space="preserve">Projekt wpłynie pozytywnie na </w:t>
            </w:r>
            <w:r w:rsidR="006477E7" w:rsidRPr="00067989">
              <w:rPr>
                <w:rFonts w:ascii="Times New Roman" w:hAnsi="Times New Roman" w:cs="Times New Roman"/>
                <w:color w:val="000000" w:themeColor="text1"/>
                <w:spacing w:val="-2"/>
              </w:rPr>
              <w:t xml:space="preserve">przedsiębiorców </w:t>
            </w:r>
            <w:r w:rsidRPr="00067989">
              <w:rPr>
                <w:rFonts w:ascii="Times New Roman" w:hAnsi="Times New Roman" w:cs="Times New Roman"/>
                <w:color w:val="000000" w:themeColor="text1"/>
                <w:spacing w:val="-2"/>
              </w:rPr>
              <w:t>poprzez zapewnienie im możliwości korzystania z elektronicznego doręczenia docelowo we wszystkich procedurach i postępowaniach z</w:t>
            </w:r>
            <w:r w:rsidR="00AB04E9">
              <w:rPr>
                <w:rFonts w:ascii="Times New Roman" w:hAnsi="Times New Roman" w:cs="Times New Roman"/>
                <w:color w:val="000000" w:themeColor="text1"/>
                <w:spacing w:val="-2"/>
              </w:rPr>
              <w:t xml:space="preserve"> </w:t>
            </w:r>
            <w:r w:rsidRPr="00067989">
              <w:rPr>
                <w:rFonts w:ascii="Times New Roman" w:hAnsi="Times New Roman" w:cs="Times New Roman"/>
                <w:color w:val="000000" w:themeColor="text1"/>
                <w:spacing w:val="-2"/>
              </w:rPr>
              <w:t>podmiotami publicznymi.</w:t>
            </w:r>
          </w:p>
          <w:p w14:paraId="6CFD9F57" w14:textId="77777777" w:rsidR="009B4F94" w:rsidRPr="00067989" w:rsidRDefault="00B20889" w:rsidP="00067989">
            <w:pPr>
              <w:spacing w:before="60" w:after="60"/>
              <w:rPr>
                <w:rFonts w:ascii="Times New Roman" w:hAnsi="Times New Roman" w:cs="Times New Roman"/>
                <w:color w:val="000000" w:themeColor="text1"/>
                <w:spacing w:val="-2"/>
              </w:rPr>
            </w:pPr>
            <w:r w:rsidRPr="00067989">
              <w:rPr>
                <w:rFonts w:ascii="Times New Roman" w:hAnsi="Times New Roman" w:cs="Times New Roman"/>
                <w:color w:val="000000" w:themeColor="text1"/>
                <w:spacing w:val="-2"/>
              </w:rPr>
              <w:t>Z badań BCC wynika że ponad 80% przedsiębiorców pozytywnie ocenia możliwość elektronizacji doręczeń</w:t>
            </w:r>
            <w:r w:rsidR="009B4F94" w:rsidRPr="00067989">
              <w:rPr>
                <w:rFonts w:ascii="Times New Roman" w:hAnsi="Times New Roman" w:cs="Times New Roman"/>
                <w:color w:val="000000" w:themeColor="text1"/>
                <w:spacing w:val="-2"/>
              </w:rPr>
              <w:t xml:space="preserve">. </w:t>
            </w:r>
          </w:p>
        </w:tc>
      </w:tr>
      <w:tr w:rsidR="005C3FCE" w:rsidRPr="00067989" w14:paraId="5A4B4461" w14:textId="77777777" w:rsidTr="008A3FA9">
        <w:trPr>
          <w:gridAfter w:val="1"/>
          <w:wAfter w:w="61" w:type="dxa"/>
          <w:trHeight w:val="142"/>
          <w:jc w:val="center"/>
        </w:trPr>
        <w:tc>
          <w:tcPr>
            <w:tcW w:w="1841" w:type="dxa"/>
            <w:gridSpan w:val="2"/>
            <w:shd w:val="clear" w:color="auto" w:fill="auto"/>
          </w:tcPr>
          <w:p w14:paraId="3F7CA0FD" w14:textId="77777777" w:rsidR="003B2A22" w:rsidRPr="00067989" w:rsidRDefault="005F6219" w:rsidP="00067989">
            <w:pPr>
              <w:spacing w:before="60" w:after="60"/>
              <w:rPr>
                <w:rFonts w:ascii="Times New Roman" w:hAnsi="Times New Roman" w:cs="Times New Roman"/>
                <w:color w:val="000000" w:themeColor="text1"/>
                <w:spacing w:val="-2"/>
              </w:rPr>
            </w:pPr>
            <w:r w:rsidRPr="00067989">
              <w:rPr>
                <w:rFonts w:ascii="Times New Roman" w:hAnsi="Times New Roman" w:cs="Times New Roman"/>
                <w:color w:val="000000" w:themeColor="text1"/>
              </w:rPr>
              <w:t>Podmioty sektora publicznego</w:t>
            </w:r>
            <w:r w:rsidR="00FC42E3" w:rsidRPr="00067989">
              <w:rPr>
                <w:rFonts w:ascii="Times New Roman" w:hAnsi="Times New Roman" w:cs="Times New Roman"/>
                <w:color w:val="000000" w:themeColor="text1"/>
              </w:rPr>
              <w:t xml:space="preserve"> </w:t>
            </w:r>
          </w:p>
        </w:tc>
        <w:tc>
          <w:tcPr>
            <w:tcW w:w="2740" w:type="dxa"/>
            <w:gridSpan w:val="9"/>
            <w:shd w:val="clear" w:color="auto" w:fill="auto"/>
          </w:tcPr>
          <w:p w14:paraId="2B38CD33" w14:textId="77777777" w:rsidR="00260F33" w:rsidRPr="00067989" w:rsidRDefault="00C75530" w:rsidP="00067989">
            <w:pPr>
              <w:spacing w:before="60" w:after="60"/>
              <w:rPr>
                <w:rFonts w:ascii="Times New Roman" w:hAnsi="Times New Roman" w:cs="Times New Roman"/>
                <w:color w:val="000000" w:themeColor="text1"/>
                <w:spacing w:val="-2"/>
              </w:rPr>
            </w:pPr>
            <w:r w:rsidRPr="00067989">
              <w:rPr>
                <w:rFonts w:ascii="Times New Roman" w:hAnsi="Times New Roman" w:cs="Times New Roman"/>
                <w:color w:val="000000" w:themeColor="text1"/>
              </w:rPr>
              <w:t>ok</w:t>
            </w:r>
            <w:r w:rsidR="003B2A22" w:rsidRPr="00067989">
              <w:rPr>
                <w:rFonts w:ascii="Times New Roman" w:hAnsi="Times New Roman" w:cs="Times New Roman"/>
                <w:color w:val="000000" w:themeColor="text1"/>
              </w:rPr>
              <w:t>. 68</w:t>
            </w:r>
            <w:r w:rsidRPr="00067989">
              <w:rPr>
                <w:rFonts w:ascii="Times New Roman" w:hAnsi="Times New Roman" w:cs="Times New Roman"/>
                <w:color w:val="000000" w:themeColor="text1"/>
              </w:rPr>
              <w:t xml:space="preserve"> </w:t>
            </w:r>
            <w:r w:rsidR="003B2A22" w:rsidRPr="00067989">
              <w:rPr>
                <w:rFonts w:ascii="Times New Roman" w:hAnsi="Times New Roman" w:cs="Times New Roman"/>
                <w:color w:val="000000" w:themeColor="text1"/>
              </w:rPr>
              <w:t>000</w:t>
            </w:r>
          </w:p>
        </w:tc>
        <w:tc>
          <w:tcPr>
            <w:tcW w:w="2410" w:type="dxa"/>
            <w:gridSpan w:val="8"/>
            <w:shd w:val="clear" w:color="auto" w:fill="auto"/>
          </w:tcPr>
          <w:p w14:paraId="3D24D559" w14:textId="77777777" w:rsidR="00260F33" w:rsidRPr="00067989" w:rsidRDefault="003B2A22" w:rsidP="00067989">
            <w:pPr>
              <w:spacing w:before="60" w:after="60"/>
              <w:rPr>
                <w:rFonts w:ascii="Times New Roman" w:hAnsi="Times New Roman" w:cs="Times New Roman"/>
                <w:color w:val="000000" w:themeColor="text1"/>
                <w:spacing w:val="-2"/>
              </w:rPr>
            </w:pPr>
            <w:r w:rsidRPr="00067989">
              <w:rPr>
                <w:rFonts w:ascii="Times New Roman" w:hAnsi="Times New Roman" w:cs="Times New Roman"/>
                <w:color w:val="000000" w:themeColor="text1"/>
              </w:rPr>
              <w:t>Informacje o liczbie podmiotów</w:t>
            </w:r>
            <w:r w:rsidR="005A3C38" w:rsidRPr="00067989">
              <w:rPr>
                <w:rFonts w:ascii="Times New Roman" w:hAnsi="Times New Roman" w:cs="Times New Roman"/>
                <w:color w:val="000000" w:themeColor="text1"/>
              </w:rPr>
              <w:t xml:space="preserve"> – </w:t>
            </w:r>
            <w:r w:rsidRPr="00067989">
              <w:rPr>
                <w:rFonts w:ascii="Times New Roman" w:hAnsi="Times New Roman" w:cs="Times New Roman"/>
                <w:color w:val="000000" w:themeColor="text1"/>
              </w:rPr>
              <w:t>według stanu rejestru REGON na dzień 30</w:t>
            </w:r>
            <w:r w:rsidR="005A3C38" w:rsidRPr="00067989">
              <w:rPr>
                <w:rFonts w:ascii="Times New Roman" w:hAnsi="Times New Roman" w:cs="Times New Roman"/>
                <w:color w:val="000000" w:themeColor="text1"/>
              </w:rPr>
              <w:t xml:space="preserve"> czerwca </w:t>
            </w:r>
            <w:r w:rsidRPr="00067989">
              <w:rPr>
                <w:rFonts w:ascii="Times New Roman" w:hAnsi="Times New Roman" w:cs="Times New Roman"/>
                <w:color w:val="000000" w:themeColor="text1"/>
              </w:rPr>
              <w:t>2017 r.</w:t>
            </w:r>
          </w:p>
        </w:tc>
        <w:tc>
          <w:tcPr>
            <w:tcW w:w="3575" w:type="dxa"/>
            <w:gridSpan w:val="9"/>
            <w:shd w:val="clear" w:color="auto" w:fill="auto"/>
          </w:tcPr>
          <w:p w14:paraId="49199D89" w14:textId="77777777" w:rsidR="00F84EBB" w:rsidRPr="00067989" w:rsidRDefault="009B4F94" w:rsidP="00067989">
            <w:pPr>
              <w:spacing w:before="60" w:after="60"/>
              <w:rPr>
                <w:rFonts w:ascii="Times New Roman" w:hAnsi="Times New Roman" w:cs="Times New Roman"/>
                <w:bCs/>
                <w:color w:val="000000" w:themeColor="text1"/>
                <w:spacing w:val="-2"/>
              </w:rPr>
            </w:pPr>
            <w:r w:rsidRPr="000E2DF4">
              <w:rPr>
                <w:rFonts w:ascii="Times New Roman" w:hAnsi="Times New Roman" w:cs="Times New Roman"/>
                <w:bCs/>
                <w:color w:val="000000" w:themeColor="text1"/>
                <w:spacing w:val="-2"/>
              </w:rPr>
              <w:t xml:space="preserve">Projekt przewiduje wprowadzenie </w:t>
            </w:r>
            <w:r w:rsidR="00106634" w:rsidRPr="000E2DF4">
              <w:rPr>
                <w:rFonts w:ascii="Times New Roman" w:hAnsi="Times New Roman" w:cs="Times New Roman"/>
                <w:bCs/>
                <w:color w:val="000000" w:themeColor="text1"/>
                <w:spacing w:val="-2"/>
              </w:rPr>
              <w:t xml:space="preserve">dla podmiotów publicznych </w:t>
            </w:r>
            <w:r w:rsidR="00D06140" w:rsidRPr="000E2DF4">
              <w:rPr>
                <w:rFonts w:ascii="Times New Roman" w:hAnsi="Times New Roman" w:cs="Times New Roman"/>
                <w:bCs/>
                <w:color w:val="000000" w:themeColor="text1"/>
                <w:spacing w:val="-2"/>
              </w:rPr>
              <w:t xml:space="preserve">obowiązku </w:t>
            </w:r>
            <w:r w:rsidRPr="000E2DF4">
              <w:rPr>
                <w:rFonts w:ascii="Times New Roman" w:hAnsi="Times New Roman" w:cs="Times New Roman"/>
                <w:bCs/>
                <w:color w:val="000000" w:themeColor="text1"/>
                <w:spacing w:val="-2"/>
              </w:rPr>
              <w:t>doręczania elektroniczn</w:t>
            </w:r>
            <w:r w:rsidR="00D06140" w:rsidRPr="000E2DF4">
              <w:rPr>
                <w:rFonts w:ascii="Times New Roman" w:hAnsi="Times New Roman" w:cs="Times New Roman"/>
                <w:bCs/>
                <w:color w:val="000000" w:themeColor="text1"/>
                <w:spacing w:val="-2"/>
              </w:rPr>
              <w:t>ego</w:t>
            </w:r>
            <w:r w:rsidRPr="000E2DF4">
              <w:rPr>
                <w:rFonts w:ascii="Times New Roman" w:hAnsi="Times New Roman" w:cs="Times New Roman"/>
                <w:bCs/>
                <w:color w:val="000000" w:themeColor="text1"/>
                <w:spacing w:val="-2"/>
              </w:rPr>
              <w:t xml:space="preserve"> do </w:t>
            </w:r>
            <w:r w:rsidR="007C5FB9" w:rsidRPr="000E2DF4">
              <w:rPr>
                <w:rFonts w:ascii="Times New Roman" w:hAnsi="Times New Roman" w:cs="Times New Roman"/>
                <w:bCs/>
                <w:color w:val="000000" w:themeColor="text1"/>
                <w:spacing w:val="-2"/>
              </w:rPr>
              <w:t xml:space="preserve">innych </w:t>
            </w:r>
            <w:r w:rsidRPr="000E2DF4">
              <w:rPr>
                <w:rFonts w:ascii="Times New Roman" w:hAnsi="Times New Roman" w:cs="Times New Roman"/>
                <w:bCs/>
                <w:color w:val="000000" w:themeColor="text1"/>
                <w:spacing w:val="-2"/>
              </w:rPr>
              <w:t xml:space="preserve">podmiotów </w:t>
            </w:r>
            <w:r w:rsidR="00D06140" w:rsidRPr="000E2DF4">
              <w:rPr>
                <w:rFonts w:ascii="Times New Roman" w:hAnsi="Times New Roman" w:cs="Times New Roman"/>
                <w:bCs/>
                <w:color w:val="000000" w:themeColor="text1"/>
                <w:spacing w:val="-2"/>
              </w:rPr>
              <w:t>publicznych</w:t>
            </w:r>
            <w:r w:rsidR="0053185F" w:rsidRPr="00E42D6D">
              <w:rPr>
                <w:rFonts w:ascii="Times New Roman" w:hAnsi="Times New Roman" w:cs="Times New Roman"/>
                <w:bCs/>
                <w:color w:val="000000" w:themeColor="text1"/>
                <w:spacing w:val="-2"/>
              </w:rPr>
              <w:t>, niepublicznych w rozumieniu</w:t>
            </w:r>
            <w:r w:rsidR="00D06140" w:rsidRPr="00080920">
              <w:rPr>
                <w:rFonts w:ascii="Times New Roman" w:hAnsi="Times New Roman" w:cs="Times New Roman"/>
                <w:bCs/>
                <w:color w:val="000000" w:themeColor="text1"/>
                <w:spacing w:val="-2"/>
              </w:rPr>
              <w:t xml:space="preserve"> </w:t>
            </w:r>
            <w:r w:rsidRPr="00067989">
              <w:rPr>
                <w:rFonts w:ascii="Times New Roman" w:hAnsi="Times New Roman" w:cs="Times New Roman"/>
                <w:bCs/>
                <w:color w:val="000000" w:themeColor="text1"/>
                <w:spacing w:val="-2"/>
              </w:rPr>
              <w:lastRenderedPageBreak/>
              <w:t>przedsiębiorców</w:t>
            </w:r>
            <w:r w:rsidR="0053185F" w:rsidRPr="00067989">
              <w:rPr>
                <w:rFonts w:ascii="Times New Roman" w:hAnsi="Times New Roman" w:cs="Times New Roman"/>
                <w:bCs/>
                <w:color w:val="000000" w:themeColor="text1"/>
                <w:spacing w:val="-2"/>
              </w:rPr>
              <w:t xml:space="preserve"> (KRS, CEIDG) oraz do tych obywateli </w:t>
            </w:r>
            <w:r w:rsidRPr="00067989">
              <w:rPr>
                <w:rFonts w:ascii="Times New Roman" w:hAnsi="Times New Roman" w:cs="Times New Roman"/>
                <w:bCs/>
                <w:color w:val="000000" w:themeColor="text1"/>
                <w:spacing w:val="-2"/>
              </w:rPr>
              <w:t>któr</w:t>
            </w:r>
            <w:r w:rsidR="00D06140" w:rsidRPr="00067989">
              <w:rPr>
                <w:rFonts w:ascii="Times New Roman" w:hAnsi="Times New Roman" w:cs="Times New Roman"/>
                <w:bCs/>
                <w:color w:val="000000" w:themeColor="text1"/>
                <w:spacing w:val="-2"/>
              </w:rPr>
              <w:t>zy</w:t>
            </w:r>
            <w:r w:rsidRPr="00067989">
              <w:rPr>
                <w:rFonts w:ascii="Times New Roman" w:hAnsi="Times New Roman" w:cs="Times New Roman"/>
                <w:bCs/>
                <w:color w:val="000000" w:themeColor="text1"/>
                <w:spacing w:val="-2"/>
              </w:rPr>
              <w:t xml:space="preserve"> </w:t>
            </w:r>
            <w:r w:rsidR="00946A09" w:rsidRPr="00067989">
              <w:rPr>
                <w:rFonts w:ascii="Times New Roman" w:hAnsi="Times New Roman" w:cs="Times New Roman"/>
                <w:bCs/>
                <w:color w:val="000000" w:themeColor="text1"/>
                <w:spacing w:val="-2"/>
              </w:rPr>
              <w:t>zdecydują się na</w:t>
            </w:r>
            <w:r w:rsidR="00AB04E9">
              <w:rPr>
                <w:rFonts w:ascii="Times New Roman" w:hAnsi="Times New Roman" w:cs="Times New Roman"/>
                <w:bCs/>
                <w:color w:val="000000" w:themeColor="text1"/>
                <w:spacing w:val="-2"/>
              </w:rPr>
              <w:t xml:space="preserve"> </w:t>
            </w:r>
            <w:r w:rsidR="00946A09" w:rsidRPr="00067989">
              <w:rPr>
                <w:rFonts w:ascii="Times New Roman" w:hAnsi="Times New Roman" w:cs="Times New Roman"/>
                <w:bCs/>
                <w:color w:val="000000" w:themeColor="text1"/>
                <w:spacing w:val="-2"/>
              </w:rPr>
              <w:t>wprowadzenie takiej możliwości komunikacji</w:t>
            </w:r>
            <w:r w:rsidR="00D06140" w:rsidRPr="00067989">
              <w:rPr>
                <w:rFonts w:ascii="Times New Roman" w:hAnsi="Times New Roman" w:cs="Times New Roman"/>
                <w:bCs/>
                <w:color w:val="000000" w:themeColor="text1"/>
                <w:spacing w:val="-2"/>
              </w:rPr>
              <w:t xml:space="preserve"> i uzyska</w:t>
            </w:r>
            <w:r w:rsidR="00CC1102" w:rsidRPr="00067989">
              <w:rPr>
                <w:rFonts w:ascii="Times New Roman" w:hAnsi="Times New Roman" w:cs="Times New Roman"/>
                <w:bCs/>
                <w:color w:val="000000" w:themeColor="text1"/>
                <w:spacing w:val="-2"/>
              </w:rPr>
              <w:t>ją</w:t>
            </w:r>
            <w:r w:rsidR="00D06140" w:rsidRPr="00067989">
              <w:rPr>
                <w:rFonts w:ascii="Times New Roman" w:hAnsi="Times New Roman" w:cs="Times New Roman"/>
                <w:bCs/>
                <w:color w:val="000000" w:themeColor="text1"/>
                <w:spacing w:val="-2"/>
              </w:rPr>
              <w:t xml:space="preserve"> wpis do </w:t>
            </w:r>
            <w:r w:rsidR="00493D06" w:rsidRPr="00067989">
              <w:rPr>
                <w:rFonts w:ascii="Times New Roman" w:hAnsi="Times New Roman" w:cs="Times New Roman"/>
                <w:bCs/>
                <w:color w:val="000000" w:themeColor="text1"/>
                <w:spacing w:val="-2"/>
              </w:rPr>
              <w:t>BAE</w:t>
            </w:r>
            <w:r w:rsidR="00D06140" w:rsidRPr="00067989">
              <w:rPr>
                <w:rFonts w:ascii="Times New Roman" w:hAnsi="Times New Roman" w:cs="Times New Roman"/>
                <w:bCs/>
                <w:color w:val="000000" w:themeColor="text1"/>
                <w:spacing w:val="-2"/>
              </w:rPr>
              <w:t>.</w:t>
            </w:r>
            <w:r w:rsidR="00EE3C14" w:rsidRPr="00067989">
              <w:rPr>
                <w:rFonts w:ascii="Times New Roman" w:hAnsi="Times New Roman" w:cs="Times New Roman"/>
                <w:bCs/>
                <w:color w:val="000000" w:themeColor="text1"/>
                <w:spacing w:val="-2"/>
              </w:rPr>
              <w:t xml:space="preserve"> </w:t>
            </w:r>
            <w:r w:rsidR="00D06140" w:rsidRPr="00067989">
              <w:rPr>
                <w:rFonts w:ascii="Times New Roman" w:hAnsi="Times New Roman" w:cs="Times New Roman"/>
                <w:bCs/>
                <w:color w:val="000000" w:themeColor="text1"/>
                <w:spacing w:val="-2"/>
              </w:rPr>
              <w:t>Nastąpi</w:t>
            </w:r>
            <w:r w:rsidR="00E42B2F" w:rsidRPr="00067989">
              <w:rPr>
                <w:rFonts w:ascii="Times New Roman" w:hAnsi="Times New Roman" w:cs="Times New Roman"/>
                <w:bCs/>
                <w:color w:val="000000" w:themeColor="text1"/>
                <w:spacing w:val="-2"/>
              </w:rPr>
              <w:t>ą zmiany w zakresie weryfikacji obowiązku realizacji doręczenia drogą elektroniczną. Zamiast obecnie stosowanych wymogów zależnych od rodzaju sprawy oraz</w:t>
            </w:r>
            <w:r w:rsidR="00AB04E9">
              <w:rPr>
                <w:rFonts w:ascii="Times New Roman" w:hAnsi="Times New Roman" w:cs="Times New Roman"/>
                <w:bCs/>
                <w:color w:val="000000" w:themeColor="text1"/>
                <w:spacing w:val="-2"/>
              </w:rPr>
              <w:t xml:space="preserve"> </w:t>
            </w:r>
            <w:r w:rsidR="00E42B2F" w:rsidRPr="00067989">
              <w:rPr>
                <w:rFonts w:ascii="Times New Roman" w:hAnsi="Times New Roman" w:cs="Times New Roman"/>
                <w:bCs/>
                <w:color w:val="000000" w:themeColor="text1"/>
                <w:spacing w:val="-2"/>
              </w:rPr>
              <w:t>wyrażonego przez adresata żądania lub</w:t>
            </w:r>
            <w:r w:rsidR="00AB04E9">
              <w:rPr>
                <w:rFonts w:ascii="Times New Roman" w:hAnsi="Times New Roman" w:cs="Times New Roman"/>
                <w:bCs/>
                <w:color w:val="000000" w:themeColor="text1"/>
                <w:spacing w:val="-2"/>
              </w:rPr>
              <w:t xml:space="preserve"> </w:t>
            </w:r>
            <w:r w:rsidR="00E42B2F" w:rsidRPr="00067989">
              <w:rPr>
                <w:rFonts w:ascii="Times New Roman" w:hAnsi="Times New Roman" w:cs="Times New Roman"/>
                <w:bCs/>
                <w:color w:val="000000" w:themeColor="text1"/>
                <w:spacing w:val="-2"/>
              </w:rPr>
              <w:t xml:space="preserve">zgody na doręczenie elektroniczne, weryfikacja będzie następowała przez sprawdzenie wpisu w </w:t>
            </w:r>
            <w:r w:rsidR="00493D06" w:rsidRPr="00067989">
              <w:rPr>
                <w:rFonts w:ascii="Times New Roman" w:hAnsi="Times New Roman" w:cs="Times New Roman"/>
                <w:bCs/>
                <w:color w:val="000000" w:themeColor="text1"/>
                <w:spacing w:val="-2"/>
              </w:rPr>
              <w:t>BAE</w:t>
            </w:r>
            <w:r w:rsidR="00E42B2F" w:rsidRPr="00067989">
              <w:rPr>
                <w:rFonts w:ascii="Times New Roman" w:hAnsi="Times New Roman" w:cs="Times New Roman"/>
                <w:bCs/>
                <w:color w:val="000000" w:themeColor="text1"/>
                <w:spacing w:val="-2"/>
              </w:rPr>
              <w:t>.</w:t>
            </w:r>
            <w:r w:rsidR="00B20889" w:rsidRPr="00067989">
              <w:rPr>
                <w:rFonts w:ascii="Times New Roman" w:hAnsi="Times New Roman" w:cs="Times New Roman"/>
                <w:bCs/>
                <w:color w:val="000000" w:themeColor="text1"/>
                <w:spacing w:val="-2"/>
              </w:rPr>
              <w:t xml:space="preserve"> </w:t>
            </w:r>
            <w:r w:rsidRPr="00067989">
              <w:rPr>
                <w:rFonts w:ascii="Times New Roman" w:hAnsi="Times New Roman" w:cs="Times New Roman"/>
                <w:bCs/>
                <w:color w:val="000000" w:themeColor="text1"/>
                <w:spacing w:val="-2"/>
              </w:rPr>
              <w:t>Wprowadzone rozwiązanie</w:t>
            </w:r>
            <w:r w:rsidR="00946A09" w:rsidRPr="00067989">
              <w:rPr>
                <w:rFonts w:ascii="Times New Roman" w:hAnsi="Times New Roman" w:cs="Times New Roman"/>
                <w:bCs/>
                <w:color w:val="000000" w:themeColor="text1"/>
                <w:spacing w:val="-2"/>
              </w:rPr>
              <w:t xml:space="preserve"> może wpłynąć na</w:t>
            </w:r>
            <w:r w:rsidR="00AB04E9">
              <w:rPr>
                <w:rFonts w:ascii="Times New Roman" w:hAnsi="Times New Roman" w:cs="Times New Roman"/>
                <w:bCs/>
                <w:color w:val="000000" w:themeColor="text1"/>
                <w:spacing w:val="-2"/>
              </w:rPr>
              <w:t xml:space="preserve"> </w:t>
            </w:r>
            <w:r w:rsidR="00946A09" w:rsidRPr="00067989">
              <w:rPr>
                <w:rFonts w:ascii="Times New Roman" w:hAnsi="Times New Roman" w:cs="Times New Roman"/>
                <w:bCs/>
                <w:color w:val="000000" w:themeColor="text1"/>
                <w:spacing w:val="-2"/>
              </w:rPr>
              <w:t xml:space="preserve">skrócenie </w:t>
            </w:r>
            <w:r w:rsidRPr="00067989">
              <w:rPr>
                <w:rFonts w:ascii="Times New Roman" w:hAnsi="Times New Roman" w:cs="Times New Roman"/>
                <w:bCs/>
                <w:color w:val="000000" w:themeColor="text1"/>
                <w:spacing w:val="-2"/>
              </w:rPr>
              <w:t>okres</w:t>
            </w:r>
            <w:r w:rsidR="00946A09" w:rsidRPr="00067989">
              <w:rPr>
                <w:rFonts w:ascii="Times New Roman" w:hAnsi="Times New Roman" w:cs="Times New Roman"/>
                <w:bCs/>
                <w:color w:val="000000" w:themeColor="text1"/>
                <w:spacing w:val="-2"/>
              </w:rPr>
              <w:t>u</w:t>
            </w:r>
            <w:r w:rsidRPr="00067989">
              <w:rPr>
                <w:rFonts w:ascii="Times New Roman" w:hAnsi="Times New Roman" w:cs="Times New Roman"/>
                <w:bCs/>
                <w:color w:val="000000" w:themeColor="text1"/>
                <w:spacing w:val="-2"/>
              </w:rPr>
              <w:t xml:space="preserve"> prowadzenia </w:t>
            </w:r>
            <w:r w:rsidR="00597824" w:rsidRPr="00067989">
              <w:rPr>
                <w:rFonts w:ascii="Times New Roman" w:hAnsi="Times New Roman" w:cs="Times New Roman"/>
                <w:bCs/>
                <w:color w:val="000000" w:themeColor="text1"/>
                <w:spacing w:val="-2"/>
              </w:rPr>
              <w:t xml:space="preserve">postępowań </w:t>
            </w:r>
            <w:r w:rsidRPr="00067989">
              <w:rPr>
                <w:rFonts w:ascii="Times New Roman" w:hAnsi="Times New Roman" w:cs="Times New Roman"/>
                <w:bCs/>
                <w:color w:val="000000" w:themeColor="text1"/>
                <w:spacing w:val="-2"/>
              </w:rPr>
              <w:t>ze względu na uzyskaną pewność doręczeń.</w:t>
            </w:r>
          </w:p>
          <w:p w14:paraId="76BD6150" w14:textId="77777777" w:rsidR="006E5488" w:rsidRPr="00067989" w:rsidRDefault="00946A09" w:rsidP="00067989">
            <w:pPr>
              <w:spacing w:before="60" w:after="60"/>
              <w:rPr>
                <w:rFonts w:ascii="Times New Roman" w:hAnsi="Times New Roman" w:cs="Times New Roman"/>
                <w:bCs/>
                <w:color w:val="000000" w:themeColor="text1"/>
                <w:spacing w:val="-2"/>
              </w:rPr>
            </w:pPr>
            <w:r w:rsidRPr="00067989">
              <w:rPr>
                <w:rFonts w:ascii="Times New Roman" w:hAnsi="Times New Roman" w:cs="Times New Roman"/>
                <w:color w:val="000000" w:themeColor="text1"/>
                <w:spacing w:val="-2"/>
              </w:rPr>
              <w:t xml:space="preserve">Podmioty publiczne (w tym sądy), </w:t>
            </w:r>
            <w:r w:rsidR="00E42B2F" w:rsidRPr="00067989">
              <w:rPr>
                <w:rFonts w:ascii="Times New Roman" w:hAnsi="Times New Roman" w:cs="Times New Roman"/>
                <w:color w:val="000000" w:themeColor="text1"/>
                <w:spacing w:val="-2"/>
              </w:rPr>
              <w:t xml:space="preserve">korzystające z </w:t>
            </w:r>
            <w:r w:rsidRPr="00067989">
              <w:rPr>
                <w:rFonts w:ascii="Times New Roman" w:hAnsi="Times New Roman" w:cs="Times New Roman"/>
                <w:color w:val="000000" w:themeColor="text1"/>
                <w:spacing w:val="-2"/>
              </w:rPr>
              <w:t xml:space="preserve">rozwiązania </w:t>
            </w:r>
            <w:r w:rsidR="006E5488" w:rsidRPr="00067989">
              <w:rPr>
                <w:rFonts w:ascii="Times New Roman" w:hAnsi="Times New Roman" w:cs="Times New Roman"/>
                <w:color w:val="000000" w:themeColor="text1"/>
                <w:spacing w:val="-2"/>
              </w:rPr>
              <w:t>uzyskają natychmiastowy dostęp do adresów</w:t>
            </w:r>
            <w:r w:rsidR="00E42B2F" w:rsidRPr="00067989">
              <w:rPr>
                <w:rFonts w:ascii="Times New Roman" w:hAnsi="Times New Roman" w:cs="Times New Roman"/>
                <w:color w:val="000000" w:themeColor="text1"/>
                <w:spacing w:val="-2"/>
              </w:rPr>
              <w:t xml:space="preserve"> elektronicznych </w:t>
            </w:r>
            <w:r w:rsidR="006E5488" w:rsidRPr="00067989">
              <w:rPr>
                <w:rFonts w:ascii="Times New Roman" w:hAnsi="Times New Roman" w:cs="Times New Roman"/>
                <w:color w:val="000000" w:themeColor="text1"/>
                <w:spacing w:val="-2"/>
              </w:rPr>
              <w:t xml:space="preserve">dużej liczby </w:t>
            </w:r>
            <w:r w:rsidR="00B20889" w:rsidRPr="00067989">
              <w:rPr>
                <w:rFonts w:ascii="Times New Roman" w:hAnsi="Times New Roman" w:cs="Times New Roman"/>
                <w:color w:val="000000" w:themeColor="text1"/>
                <w:spacing w:val="-2"/>
              </w:rPr>
              <w:t>adresatów</w:t>
            </w:r>
            <w:r w:rsidR="006E5488" w:rsidRPr="00067989">
              <w:rPr>
                <w:rFonts w:ascii="Times New Roman" w:hAnsi="Times New Roman" w:cs="Times New Roman"/>
                <w:color w:val="000000" w:themeColor="text1"/>
                <w:spacing w:val="-2"/>
              </w:rPr>
              <w:t xml:space="preserve"> zidentyfikowanych już wcześniej w usługach </w:t>
            </w:r>
            <w:r w:rsidR="00597824" w:rsidRPr="00067989">
              <w:rPr>
                <w:rFonts w:ascii="Times New Roman" w:hAnsi="Times New Roman" w:cs="Times New Roman"/>
                <w:color w:val="000000" w:themeColor="text1"/>
                <w:spacing w:val="-2"/>
              </w:rPr>
              <w:t>publicznych</w:t>
            </w:r>
            <w:r w:rsidR="00126BB1" w:rsidRPr="00067989">
              <w:rPr>
                <w:rFonts w:ascii="Times New Roman" w:hAnsi="Times New Roman" w:cs="Times New Roman"/>
                <w:color w:val="000000" w:themeColor="text1"/>
                <w:spacing w:val="-2"/>
              </w:rPr>
              <w:t xml:space="preserve"> jeżeli zgodzili się oni na utworzenie </w:t>
            </w:r>
            <w:r w:rsidR="00E143B9" w:rsidRPr="00067989">
              <w:rPr>
                <w:rFonts w:ascii="Times New Roman" w:hAnsi="Times New Roman" w:cs="Times New Roman"/>
                <w:color w:val="000000" w:themeColor="text1"/>
                <w:spacing w:val="-2"/>
              </w:rPr>
              <w:t>adresu do doręczeń.</w:t>
            </w:r>
          </w:p>
        </w:tc>
      </w:tr>
      <w:tr w:rsidR="005C3FCE" w:rsidRPr="00067989" w14:paraId="5BA25884" w14:textId="77777777" w:rsidTr="008A3FA9">
        <w:trPr>
          <w:gridAfter w:val="1"/>
          <w:wAfter w:w="61" w:type="dxa"/>
          <w:trHeight w:val="142"/>
          <w:jc w:val="center"/>
        </w:trPr>
        <w:tc>
          <w:tcPr>
            <w:tcW w:w="1841" w:type="dxa"/>
            <w:gridSpan w:val="2"/>
            <w:shd w:val="clear" w:color="auto" w:fill="auto"/>
          </w:tcPr>
          <w:p w14:paraId="148B2312" w14:textId="77777777" w:rsidR="00260F33" w:rsidRPr="00067989" w:rsidRDefault="003B2A22" w:rsidP="00067989">
            <w:pPr>
              <w:tabs>
                <w:tab w:val="left" w:pos="1560"/>
              </w:tabs>
              <w:spacing w:before="60" w:after="60"/>
              <w:rPr>
                <w:rFonts w:ascii="Times New Roman" w:hAnsi="Times New Roman" w:cs="Times New Roman"/>
                <w:color w:val="000000" w:themeColor="text1"/>
              </w:rPr>
            </w:pPr>
            <w:r w:rsidRPr="00067989">
              <w:rPr>
                <w:rFonts w:ascii="Times New Roman" w:hAnsi="Times New Roman" w:cs="Times New Roman"/>
                <w:color w:val="000000" w:themeColor="text1"/>
              </w:rPr>
              <w:lastRenderedPageBreak/>
              <w:t>Sądy powszechne</w:t>
            </w:r>
            <w:r w:rsidR="00067DFD" w:rsidRPr="00067989">
              <w:rPr>
                <w:rFonts w:ascii="Times New Roman" w:hAnsi="Times New Roman" w:cs="Times New Roman"/>
                <w:color w:val="000000" w:themeColor="text1"/>
              </w:rPr>
              <w:t>,</w:t>
            </w:r>
            <w:r w:rsidRPr="00067989">
              <w:rPr>
                <w:rFonts w:ascii="Times New Roman" w:hAnsi="Times New Roman" w:cs="Times New Roman"/>
                <w:color w:val="000000" w:themeColor="text1"/>
              </w:rPr>
              <w:t xml:space="preserve"> </w:t>
            </w:r>
          </w:p>
          <w:p w14:paraId="38CD173F" w14:textId="77777777" w:rsidR="003B2A22" w:rsidRPr="00067989" w:rsidRDefault="003B2A22" w:rsidP="00067989">
            <w:pPr>
              <w:tabs>
                <w:tab w:val="left" w:pos="1560"/>
              </w:tabs>
              <w:spacing w:before="60" w:after="60"/>
              <w:rPr>
                <w:rFonts w:ascii="Times New Roman" w:hAnsi="Times New Roman" w:cs="Times New Roman"/>
                <w:color w:val="000000" w:themeColor="text1"/>
              </w:rPr>
            </w:pPr>
            <w:r w:rsidRPr="00067989">
              <w:rPr>
                <w:rFonts w:ascii="Times New Roman" w:hAnsi="Times New Roman" w:cs="Times New Roman"/>
                <w:color w:val="000000" w:themeColor="text1"/>
              </w:rPr>
              <w:t>Sąd Najwyższy</w:t>
            </w:r>
            <w:r w:rsidR="00067DFD" w:rsidRPr="00067989">
              <w:rPr>
                <w:rFonts w:ascii="Times New Roman" w:hAnsi="Times New Roman" w:cs="Times New Roman"/>
                <w:color w:val="000000" w:themeColor="text1"/>
              </w:rPr>
              <w:t>,</w:t>
            </w:r>
          </w:p>
          <w:p w14:paraId="2F019E16" w14:textId="77777777" w:rsidR="003B2A22" w:rsidRPr="000E2DF4" w:rsidRDefault="003D0EEE" w:rsidP="00067989">
            <w:pPr>
              <w:tabs>
                <w:tab w:val="left" w:pos="1560"/>
              </w:tabs>
              <w:spacing w:before="60" w:after="60"/>
              <w:rPr>
                <w:rFonts w:ascii="Times New Roman" w:hAnsi="Times New Roman" w:cs="Times New Roman"/>
                <w:color w:val="000000" w:themeColor="text1"/>
              </w:rPr>
            </w:pPr>
            <w:r w:rsidRPr="00067989">
              <w:rPr>
                <w:rFonts w:ascii="Times New Roman" w:hAnsi="Times New Roman" w:cs="Times New Roman"/>
                <w:color w:val="000000" w:themeColor="text1"/>
              </w:rPr>
              <w:t>w</w:t>
            </w:r>
            <w:r w:rsidR="003B2A22" w:rsidRPr="00067989">
              <w:rPr>
                <w:rFonts w:ascii="Times New Roman" w:hAnsi="Times New Roman" w:cs="Times New Roman"/>
                <w:color w:val="000000" w:themeColor="text1"/>
              </w:rPr>
              <w:t xml:space="preserve">ojewódzkie </w:t>
            </w:r>
            <w:r w:rsidRPr="00067989">
              <w:rPr>
                <w:rFonts w:ascii="Times New Roman" w:hAnsi="Times New Roman" w:cs="Times New Roman"/>
                <w:color w:val="000000" w:themeColor="text1"/>
              </w:rPr>
              <w:t>s</w:t>
            </w:r>
            <w:r w:rsidR="003B2A22" w:rsidRPr="00067989">
              <w:rPr>
                <w:rFonts w:ascii="Times New Roman" w:hAnsi="Times New Roman" w:cs="Times New Roman"/>
                <w:color w:val="000000" w:themeColor="text1"/>
              </w:rPr>
              <w:t xml:space="preserve">ądy </w:t>
            </w:r>
            <w:r w:rsidRPr="00067989">
              <w:rPr>
                <w:rFonts w:ascii="Times New Roman" w:hAnsi="Times New Roman" w:cs="Times New Roman"/>
                <w:color w:val="000000" w:themeColor="text1"/>
              </w:rPr>
              <w:t>a</w:t>
            </w:r>
            <w:r w:rsidR="003B2A22" w:rsidRPr="00067989">
              <w:rPr>
                <w:rFonts w:ascii="Times New Roman" w:hAnsi="Times New Roman" w:cs="Times New Roman"/>
                <w:color w:val="000000" w:themeColor="text1"/>
              </w:rPr>
              <w:t>dministracyjne i Naczelny Sąd Administracyjny</w:t>
            </w:r>
            <w:r w:rsidR="00F61646" w:rsidRPr="00067989">
              <w:rPr>
                <w:rFonts w:ascii="Times New Roman" w:hAnsi="Times New Roman" w:cs="Times New Roman"/>
                <w:color w:val="000000" w:themeColor="text1"/>
              </w:rPr>
              <w:t xml:space="preserve"> ora</w:t>
            </w:r>
            <w:r w:rsidR="00493D06" w:rsidRPr="00067989">
              <w:rPr>
                <w:rFonts w:ascii="Times New Roman" w:hAnsi="Times New Roman" w:cs="Times New Roman"/>
                <w:color w:val="000000" w:themeColor="text1"/>
              </w:rPr>
              <w:t>z</w:t>
            </w:r>
          </w:p>
          <w:p w14:paraId="6C1A6F6E" w14:textId="77777777" w:rsidR="00FC42E3" w:rsidRPr="000E2DF4" w:rsidRDefault="00F61646" w:rsidP="00067989">
            <w:pPr>
              <w:tabs>
                <w:tab w:val="left" w:pos="1560"/>
              </w:tabs>
              <w:spacing w:before="60" w:after="60"/>
              <w:rPr>
                <w:rFonts w:ascii="Times New Roman" w:hAnsi="Times New Roman" w:cs="Times New Roman"/>
                <w:color w:val="000000" w:themeColor="text1"/>
              </w:rPr>
            </w:pPr>
            <w:r w:rsidRPr="000E2DF4">
              <w:rPr>
                <w:rFonts w:ascii="Times New Roman" w:hAnsi="Times New Roman" w:cs="Times New Roman"/>
                <w:color w:val="000000" w:themeColor="text1"/>
              </w:rPr>
              <w:t>powszechne jednostki organizacyjne prokuratury</w:t>
            </w:r>
            <w:r w:rsidR="00A2205D" w:rsidRPr="000E2DF4">
              <w:rPr>
                <w:rFonts w:ascii="Times New Roman" w:hAnsi="Times New Roman" w:cs="Times New Roman"/>
                <w:color w:val="000000" w:themeColor="text1"/>
              </w:rPr>
              <w:t>, służby więziennej</w:t>
            </w:r>
          </w:p>
        </w:tc>
        <w:tc>
          <w:tcPr>
            <w:tcW w:w="2740" w:type="dxa"/>
            <w:gridSpan w:val="9"/>
            <w:shd w:val="clear" w:color="auto" w:fill="auto"/>
          </w:tcPr>
          <w:p w14:paraId="4D31CD11" w14:textId="77777777" w:rsidR="00067DFD" w:rsidRPr="000E2DF4" w:rsidRDefault="00AB63A2" w:rsidP="00067989">
            <w:pPr>
              <w:spacing w:before="60" w:after="60"/>
              <w:rPr>
                <w:rFonts w:ascii="Times New Roman" w:hAnsi="Times New Roman" w:cs="Times New Roman"/>
                <w:color w:val="000000" w:themeColor="text1"/>
              </w:rPr>
            </w:pPr>
            <w:r w:rsidRPr="000E2DF4">
              <w:rPr>
                <w:rFonts w:ascii="Times New Roman" w:hAnsi="Times New Roman" w:cs="Times New Roman"/>
                <w:color w:val="000000" w:themeColor="text1"/>
              </w:rPr>
              <w:t>317 sądów rejonowych</w:t>
            </w:r>
            <w:r w:rsidR="00493D06" w:rsidRPr="000E2DF4">
              <w:rPr>
                <w:rFonts w:ascii="Times New Roman" w:hAnsi="Times New Roman" w:cs="Times New Roman"/>
                <w:color w:val="000000" w:themeColor="text1"/>
              </w:rPr>
              <w:t>,</w:t>
            </w:r>
          </w:p>
          <w:p w14:paraId="0A94D3A1" w14:textId="77777777" w:rsidR="00067DFD" w:rsidRPr="00067989" w:rsidRDefault="003B2A22" w:rsidP="00067989">
            <w:pPr>
              <w:spacing w:before="60" w:after="60"/>
              <w:rPr>
                <w:rFonts w:ascii="Times New Roman" w:hAnsi="Times New Roman" w:cs="Times New Roman"/>
                <w:color w:val="000000" w:themeColor="text1"/>
              </w:rPr>
            </w:pPr>
            <w:r w:rsidRPr="000E2DF4">
              <w:rPr>
                <w:rFonts w:ascii="Times New Roman" w:hAnsi="Times New Roman" w:cs="Times New Roman"/>
                <w:color w:val="000000" w:themeColor="text1"/>
              </w:rPr>
              <w:t xml:space="preserve">45 </w:t>
            </w:r>
            <w:r w:rsidR="00067DFD" w:rsidRPr="00E42D6D">
              <w:rPr>
                <w:rFonts w:ascii="Times New Roman" w:hAnsi="Times New Roman" w:cs="Times New Roman"/>
                <w:color w:val="000000" w:themeColor="text1"/>
              </w:rPr>
              <w:t>sądów okręgowych</w:t>
            </w:r>
            <w:r w:rsidR="00F61646" w:rsidRPr="00080920">
              <w:rPr>
                <w:rFonts w:ascii="Times New Roman" w:hAnsi="Times New Roman" w:cs="Times New Roman"/>
                <w:color w:val="000000" w:themeColor="text1"/>
              </w:rPr>
              <w:t>,</w:t>
            </w:r>
          </w:p>
          <w:p w14:paraId="0A8781C9" w14:textId="77777777" w:rsidR="00F61646" w:rsidRPr="00067989" w:rsidRDefault="00F61646" w:rsidP="00067989">
            <w:pPr>
              <w:spacing w:before="60" w:after="60"/>
              <w:rPr>
                <w:rFonts w:ascii="Times New Roman" w:hAnsi="Times New Roman" w:cs="Times New Roman"/>
                <w:color w:val="000000" w:themeColor="text1"/>
              </w:rPr>
            </w:pPr>
            <w:r w:rsidRPr="00067989">
              <w:rPr>
                <w:rFonts w:ascii="Times New Roman" w:hAnsi="Times New Roman" w:cs="Times New Roman"/>
                <w:color w:val="000000" w:themeColor="text1"/>
              </w:rPr>
              <w:t>45 prokuratur okręgowych,</w:t>
            </w:r>
          </w:p>
          <w:p w14:paraId="0B8ABBA3" w14:textId="77777777" w:rsidR="00260F33" w:rsidRPr="00067989" w:rsidRDefault="003B2A22" w:rsidP="00067989">
            <w:pPr>
              <w:spacing w:before="60" w:after="60"/>
              <w:rPr>
                <w:rFonts w:ascii="Times New Roman" w:hAnsi="Times New Roman" w:cs="Times New Roman"/>
                <w:color w:val="000000" w:themeColor="text1"/>
              </w:rPr>
            </w:pPr>
            <w:r w:rsidRPr="00067989">
              <w:rPr>
                <w:rFonts w:ascii="Times New Roman" w:hAnsi="Times New Roman" w:cs="Times New Roman"/>
                <w:color w:val="000000" w:themeColor="text1"/>
              </w:rPr>
              <w:t>11 sądów apelacyjnych</w:t>
            </w:r>
            <w:r w:rsidR="00493D06" w:rsidRPr="00067989">
              <w:rPr>
                <w:rFonts w:ascii="Times New Roman" w:hAnsi="Times New Roman" w:cs="Times New Roman"/>
                <w:color w:val="000000" w:themeColor="text1"/>
              </w:rPr>
              <w:t>,</w:t>
            </w:r>
          </w:p>
          <w:p w14:paraId="644D17DB" w14:textId="77777777" w:rsidR="003B2A22" w:rsidRPr="00067989" w:rsidRDefault="003B2A22" w:rsidP="00067989">
            <w:pPr>
              <w:spacing w:before="60" w:after="60"/>
              <w:rPr>
                <w:rFonts w:ascii="Times New Roman" w:hAnsi="Times New Roman" w:cs="Times New Roman"/>
                <w:color w:val="000000" w:themeColor="text1"/>
              </w:rPr>
            </w:pPr>
            <w:r w:rsidRPr="00067989">
              <w:rPr>
                <w:rFonts w:ascii="Times New Roman" w:hAnsi="Times New Roman" w:cs="Times New Roman"/>
                <w:color w:val="000000" w:themeColor="text1"/>
              </w:rPr>
              <w:t>Sąd Najwyższy</w:t>
            </w:r>
            <w:r w:rsidR="00493D06" w:rsidRPr="00067989">
              <w:rPr>
                <w:rFonts w:ascii="Times New Roman" w:hAnsi="Times New Roman" w:cs="Times New Roman"/>
                <w:color w:val="000000" w:themeColor="text1"/>
              </w:rPr>
              <w:t>,</w:t>
            </w:r>
          </w:p>
          <w:p w14:paraId="7C991CDF" w14:textId="77777777" w:rsidR="00067DFD" w:rsidRPr="00067989" w:rsidRDefault="003B2A22" w:rsidP="000E2DF4">
            <w:pPr>
              <w:spacing w:before="60" w:after="60"/>
              <w:rPr>
                <w:rFonts w:ascii="Times New Roman" w:hAnsi="Times New Roman" w:cs="Times New Roman"/>
                <w:color w:val="000000" w:themeColor="text1"/>
                <w:spacing w:val="-2"/>
              </w:rPr>
            </w:pPr>
            <w:r w:rsidRPr="00067989">
              <w:rPr>
                <w:rFonts w:ascii="Times New Roman" w:hAnsi="Times New Roman" w:cs="Times New Roman"/>
                <w:color w:val="000000" w:themeColor="text1"/>
              </w:rPr>
              <w:t xml:space="preserve">16 </w:t>
            </w:r>
            <w:r w:rsidR="003D0EEE" w:rsidRPr="00067989">
              <w:rPr>
                <w:rFonts w:ascii="Times New Roman" w:hAnsi="Times New Roman" w:cs="Times New Roman"/>
                <w:color w:val="000000" w:themeColor="text1"/>
              </w:rPr>
              <w:t>w</w:t>
            </w:r>
            <w:r w:rsidRPr="00067989">
              <w:rPr>
                <w:rFonts w:ascii="Times New Roman" w:hAnsi="Times New Roman" w:cs="Times New Roman"/>
                <w:color w:val="000000" w:themeColor="text1"/>
              </w:rPr>
              <w:t xml:space="preserve">ojewódzkich </w:t>
            </w:r>
            <w:r w:rsidR="003D0EEE" w:rsidRPr="00067989">
              <w:rPr>
                <w:rFonts w:ascii="Times New Roman" w:hAnsi="Times New Roman" w:cs="Times New Roman"/>
                <w:color w:val="000000" w:themeColor="text1"/>
              </w:rPr>
              <w:t>s</w:t>
            </w:r>
            <w:r w:rsidRPr="00067989">
              <w:rPr>
                <w:rFonts w:ascii="Times New Roman" w:hAnsi="Times New Roman" w:cs="Times New Roman"/>
                <w:color w:val="000000" w:themeColor="text1"/>
              </w:rPr>
              <w:t xml:space="preserve">ądów </w:t>
            </w:r>
            <w:r w:rsidR="003D0EEE" w:rsidRPr="00067989">
              <w:rPr>
                <w:rFonts w:ascii="Times New Roman" w:hAnsi="Times New Roman" w:cs="Times New Roman"/>
                <w:color w:val="000000" w:themeColor="text1"/>
              </w:rPr>
              <w:t>a</w:t>
            </w:r>
            <w:r w:rsidRPr="00067989">
              <w:rPr>
                <w:rFonts w:ascii="Times New Roman" w:hAnsi="Times New Roman" w:cs="Times New Roman"/>
                <w:color w:val="000000" w:themeColor="text1"/>
              </w:rPr>
              <w:t>dministracyjnych</w:t>
            </w:r>
            <w:r w:rsidR="00493D06" w:rsidRPr="00067989">
              <w:rPr>
                <w:rFonts w:ascii="Times New Roman" w:hAnsi="Times New Roman" w:cs="Times New Roman"/>
                <w:color w:val="000000" w:themeColor="text1"/>
              </w:rPr>
              <w:t>,</w:t>
            </w:r>
          </w:p>
          <w:p w14:paraId="18F5A1EE" w14:textId="77777777" w:rsidR="003B2A22" w:rsidRPr="00067989" w:rsidRDefault="003B2A22" w:rsidP="000E2DF4">
            <w:pPr>
              <w:spacing w:before="60" w:after="60"/>
              <w:rPr>
                <w:rFonts w:ascii="Times New Roman" w:hAnsi="Times New Roman" w:cs="Times New Roman"/>
                <w:color w:val="000000" w:themeColor="text1"/>
              </w:rPr>
            </w:pPr>
            <w:r w:rsidRPr="00067989">
              <w:rPr>
                <w:rFonts w:ascii="Times New Roman" w:hAnsi="Times New Roman" w:cs="Times New Roman"/>
                <w:color w:val="000000" w:themeColor="text1"/>
              </w:rPr>
              <w:t>Naczelny Sąd Administracyjny</w:t>
            </w:r>
            <w:r w:rsidR="00F61646" w:rsidRPr="00067989">
              <w:rPr>
                <w:rFonts w:ascii="Times New Roman" w:hAnsi="Times New Roman" w:cs="Times New Roman"/>
                <w:color w:val="000000" w:themeColor="text1"/>
              </w:rPr>
              <w:t>,</w:t>
            </w:r>
          </w:p>
          <w:p w14:paraId="2251F850" w14:textId="77777777" w:rsidR="00F61646" w:rsidRPr="00067989" w:rsidRDefault="00F61646" w:rsidP="000E2DF4">
            <w:pPr>
              <w:spacing w:before="60" w:after="60"/>
              <w:rPr>
                <w:rFonts w:ascii="Times New Roman" w:hAnsi="Times New Roman" w:cs="Times New Roman"/>
                <w:color w:val="000000" w:themeColor="text1"/>
              </w:rPr>
            </w:pPr>
            <w:r w:rsidRPr="00067989">
              <w:rPr>
                <w:rFonts w:ascii="Times New Roman" w:hAnsi="Times New Roman" w:cs="Times New Roman"/>
                <w:color w:val="000000" w:themeColor="text1"/>
              </w:rPr>
              <w:t xml:space="preserve">Prokuratura </w:t>
            </w:r>
            <w:r w:rsidR="00493D06" w:rsidRPr="00067989">
              <w:rPr>
                <w:rFonts w:ascii="Times New Roman" w:hAnsi="Times New Roman" w:cs="Times New Roman"/>
                <w:color w:val="000000" w:themeColor="text1"/>
              </w:rPr>
              <w:t>K</w:t>
            </w:r>
            <w:r w:rsidRPr="00067989">
              <w:rPr>
                <w:rFonts w:ascii="Times New Roman" w:hAnsi="Times New Roman" w:cs="Times New Roman"/>
                <w:color w:val="000000" w:themeColor="text1"/>
              </w:rPr>
              <w:t>rajowa</w:t>
            </w:r>
            <w:r w:rsidR="00493D06" w:rsidRPr="00067989">
              <w:rPr>
                <w:rFonts w:ascii="Times New Roman" w:hAnsi="Times New Roman" w:cs="Times New Roman"/>
                <w:color w:val="000000" w:themeColor="text1"/>
              </w:rPr>
              <w:t>,</w:t>
            </w:r>
          </w:p>
          <w:p w14:paraId="3DAFC82A" w14:textId="77777777" w:rsidR="00A2205D" w:rsidRPr="00067989" w:rsidRDefault="00A2205D" w:rsidP="000E2DF4">
            <w:pPr>
              <w:spacing w:before="60" w:after="60"/>
              <w:rPr>
                <w:rFonts w:ascii="Times New Roman" w:hAnsi="Times New Roman" w:cs="Times New Roman"/>
                <w:color w:val="000000" w:themeColor="text1"/>
                <w:spacing w:val="-2"/>
              </w:rPr>
            </w:pPr>
            <w:r w:rsidRPr="00067989">
              <w:rPr>
                <w:rFonts w:ascii="Times New Roman" w:hAnsi="Times New Roman" w:cs="Times New Roman"/>
                <w:color w:val="000000" w:themeColor="text1"/>
              </w:rPr>
              <w:t>Służba Więzienna</w:t>
            </w:r>
          </w:p>
        </w:tc>
        <w:tc>
          <w:tcPr>
            <w:tcW w:w="2410" w:type="dxa"/>
            <w:gridSpan w:val="8"/>
            <w:shd w:val="clear" w:color="auto" w:fill="auto"/>
          </w:tcPr>
          <w:p w14:paraId="1B9EC874" w14:textId="77777777" w:rsidR="00260F33" w:rsidRPr="00067989" w:rsidRDefault="00260F33" w:rsidP="000E2DF4">
            <w:pPr>
              <w:spacing w:before="60" w:after="60"/>
              <w:rPr>
                <w:rFonts w:ascii="Times New Roman" w:hAnsi="Times New Roman" w:cs="Times New Roman"/>
                <w:color w:val="000000" w:themeColor="text1"/>
                <w:spacing w:val="-2"/>
              </w:rPr>
            </w:pPr>
          </w:p>
        </w:tc>
        <w:tc>
          <w:tcPr>
            <w:tcW w:w="3575" w:type="dxa"/>
            <w:gridSpan w:val="9"/>
            <w:shd w:val="clear" w:color="auto" w:fill="auto"/>
          </w:tcPr>
          <w:p w14:paraId="357CD1C6" w14:textId="77777777" w:rsidR="00260F33" w:rsidRPr="00067989" w:rsidRDefault="00370965" w:rsidP="000E2DF4">
            <w:pPr>
              <w:spacing w:before="60" w:after="60"/>
              <w:rPr>
                <w:rFonts w:ascii="Times New Roman" w:hAnsi="Times New Roman" w:cs="Times New Roman"/>
                <w:color w:val="000000" w:themeColor="text1"/>
                <w:spacing w:val="-2"/>
              </w:rPr>
            </w:pPr>
            <w:r w:rsidRPr="00067989">
              <w:rPr>
                <w:rFonts w:ascii="Times New Roman" w:hAnsi="Times New Roman" w:cs="Times New Roman"/>
                <w:color w:val="000000" w:themeColor="text1"/>
                <w:spacing w:val="-2"/>
              </w:rPr>
              <w:t>Projekt wpłynie pozytywnie na obywateli poprzez zapewnienie im możliwości korzystania z elektronicznego doręczenia docelowo we wszystkich procedurach sądowych.</w:t>
            </w:r>
            <w:r w:rsidR="009B4F94" w:rsidRPr="00067989">
              <w:rPr>
                <w:rFonts w:ascii="Times New Roman" w:hAnsi="Times New Roman" w:cs="Times New Roman"/>
                <w:color w:val="000000" w:themeColor="text1"/>
                <w:spacing w:val="-2"/>
              </w:rPr>
              <w:t xml:space="preserve"> </w:t>
            </w:r>
            <w:r w:rsidR="00FC2EBB" w:rsidRPr="00067989">
              <w:rPr>
                <w:rFonts w:ascii="Times New Roman" w:hAnsi="Times New Roman" w:cs="Times New Roman"/>
                <w:color w:val="000000" w:themeColor="text1"/>
                <w:spacing w:val="-2"/>
              </w:rPr>
              <w:t>Z</w:t>
            </w:r>
            <w:r w:rsidR="009B4F94" w:rsidRPr="00067989">
              <w:rPr>
                <w:rFonts w:ascii="Times New Roman" w:hAnsi="Times New Roman" w:cs="Times New Roman"/>
                <w:color w:val="000000" w:themeColor="text1"/>
                <w:spacing w:val="-2"/>
              </w:rPr>
              <w:t xml:space="preserve">akres stosowania </w:t>
            </w:r>
            <w:r w:rsidR="00E50463" w:rsidRPr="00067989">
              <w:rPr>
                <w:rFonts w:ascii="Times New Roman" w:hAnsi="Times New Roman" w:cs="Times New Roman"/>
                <w:color w:val="000000" w:themeColor="text1"/>
                <w:spacing w:val="-2"/>
              </w:rPr>
              <w:t>e</w:t>
            </w:r>
            <w:r w:rsidR="005F6337">
              <w:rPr>
                <w:rFonts w:ascii="Times New Roman" w:hAnsi="Times New Roman" w:cs="Times New Roman"/>
                <w:color w:val="000000" w:themeColor="text1"/>
                <w:spacing w:val="-2"/>
              </w:rPr>
              <w:t>-</w:t>
            </w:r>
            <w:r w:rsidR="00FC2EBB" w:rsidRPr="00067989">
              <w:rPr>
                <w:rFonts w:ascii="Times New Roman" w:hAnsi="Times New Roman" w:cs="Times New Roman"/>
                <w:color w:val="000000" w:themeColor="text1"/>
                <w:spacing w:val="-2"/>
              </w:rPr>
              <w:t>D</w:t>
            </w:r>
            <w:r w:rsidR="009B4F94" w:rsidRPr="00067989">
              <w:rPr>
                <w:rFonts w:ascii="Times New Roman" w:hAnsi="Times New Roman" w:cs="Times New Roman"/>
                <w:color w:val="000000" w:themeColor="text1"/>
                <w:spacing w:val="-2"/>
              </w:rPr>
              <w:t xml:space="preserve">oręczenia </w:t>
            </w:r>
            <w:r w:rsidR="00FC2EBB" w:rsidRPr="00067989">
              <w:rPr>
                <w:rFonts w:ascii="Times New Roman" w:hAnsi="Times New Roman" w:cs="Times New Roman"/>
                <w:color w:val="000000" w:themeColor="text1"/>
                <w:spacing w:val="-2"/>
              </w:rPr>
              <w:t>zostanie określony</w:t>
            </w:r>
            <w:r w:rsidR="009B4F94" w:rsidRPr="00067989">
              <w:rPr>
                <w:rFonts w:ascii="Times New Roman" w:hAnsi="Times New Roman" w:cs="Times New Roman"/>
                <w:color w:val="000000" w:themeColor="text1"/>
                <w:spacing w:val="-2"/>
              </w:rPr>
              <w:t xml:space="preserve"> </w:t>
            </w:r>
            <w:r w:rsidR="00067DFD" w:rsidRPr="00067989">
              <w:rPr>
                <w:rFonts w:ascii="Times New Roman" w:hAnsi="Times New Roman" w:cs="Times New Roman"/>
                <w:color w:val="000000" w:themeColor="text1"/>
                <w:spacing w:val="-2"/>
              </w:rPr>
              <w:t xml:space="preserve">w </w:t>
            </w:r>
            <w:r w:rsidR="009B4F94" w:rsidRPr="00067989">
              <w:rPr>
                <w:rFonts w:ascii="Times New Roman" w:hAnsi="Times New Roman" w:cs="Times New Roman"/>
                <w:color w:val="000000" w:themeColor="text1"/>
                <w:spacing w:val="-2"/>
              </w:rPr>
              <w:t>uzgodnieniu z</w:t>
            </w:r>
            <w:r w:rsidR="00AB04E9">
              <w:rPr>
                <w:rFonts w:ascii="Times New Roman" w:hAnsi="Times New Roman" w:cs="Times New Roman"/>
                <w:color w:val="000000" w:themeColor="text1"/>
                <w:spacing w:val="-2"/>
              </w:rPr>
              <w:t xml:space="preserve"> </w:t>
            </w:r>
            <w:r w:rsidR="009B4F94" w:rsidRPr="00067989">
              <w:rPr>
                <w:rFonts w:ascii="Times New Roman" w:hAnsi="Times New Roman" w:cs="Times New Roman"/>
                <w:color w:val="000000" w:themeColor="text1"/>
                <w:spacing w:val="-2"/>
              </w:rPr>
              <w:t>Ministerstwem Sprawiedliwości.</w:t>
            </w:r>
          </w:p>
          <w:p w14:paraId="10886549" w14:textId="77777777" w:rsidR="009B4F94" w:rsidRPr="00067989" w:rsidRDefault="00DB210A" w:rsidP="000E2DF4">
            <w:pPr>
              <w:spacing w:before="60" w:after="60"/>
              <w:rPr>
                <w:rFonts w:ascii="Times New Roman" w:hAnsi="Times New Roman" w:cs="Times New Roman"/>
                <w:color w:val="000000" w:themeColor="text1"/>
                <w:spacing w:val="-2"/>
              </w:rPr>
            </w:pPr>
            <w:r w:rsidRPr="00067989">
              <w:rPr>
                <w:rFonts w:ascii="Times New Roman" w:hAnsi="Times New Roman" w:cs="Times New Roman"/>
                <w:color w:val="000000" w:themeColor="text1"/>
                <w:spacing w:val="-2"/>
              </w:rPr>
              <w:t>S</w:t>
            </w:r>
            <w:r w:rsidR="009B4F94" w:rsidRPr="00067989">
              <w:rPr>
                <w:rFonts w:ascii="Times New Roman" w:hAnsi="Times New Roman" w:cs="Times New Roman"/>
                <w:color w:val="000000" w:themeColor="text1"/>
                <w:spacing w:val="-2"/>
              </w:rPr>
              <w:t xml:space="preserve">ądy uzyskają </w:t>
            </w:r>
            <w:r w:rsidR="00126BB1" w:rsidRPr="00067989">
              <w:rPr>
                <w:rFonts w:ascii="Times New Roman" w:hAnsi="Times New Roman" w:cs="Times New Roman"/>
                <w:color w:val="000000" w:themeColor="text1"/>
                <w:spacing w:val="-2"/>
              </w:rPr>
              <w:t xml:space="preserve">możliwość </w:t>
            </w:r>
            <w:r w:rsidR="005270A1" w:rsidRPr="00067989">
              <w:rPr>
                <w:rFonts w:ascii="Times New Roman" w:hAnsi="Times New Roman" w:cs="Times New Roman"/>
                <w:color w:val="000000" w:themeColor="text1"/>
                <w:spacing w:val="-2"/>
              </w:rPr>
              <w:t>przyspieszeni</w:t>
            </w:r>
            <w:r w:rsidR="00126BB1" w:rsidRPr="00067989">
              <w:rPr>
                <w:rFonts w:ascii="Times New Roman" w:hAnsi="Times New Roman" w:cs="Times New Roman"/>
                <w:color w:val="000000" w:themeColor="text1"/>
                <w:spacing w:val="-2"/>
              </w:rPr>
              <w:t>a</w:t>
            </w:r>
            <w:r w:rsidR="005270A1" w:rsidRPr="00067989">
              <w:rPr>
                <w:rFonts w:ascii="Times New Roman" w:hAnsi="Times New Roman" w:cs="Times New Roman"/>
                <w:color w:val="000000" w:themeColor="text1"/>
                <w:spacing w:val="-2"/>
              </w:rPr>
              <w:t xml:space="preserve"> </w:t>
            </w:r>
            <w:r w:rsidR="009B4F94" w:rsidRPr="00067989">
              <w:rPr>
                <w:rFonts w:ascii="Times New Roman" w:hAnsi="Times New Roman" w:cs="Times New Roman"/>
                <w:color w:val="000000" w:themeColor="text1"/>
                <w:spacing w:val="-2"/>
              </w:rPr>
              <w:t>procedur przez skrócenie czasu i zwiększenie pewności doręczenia. Ponadto w przypadku wykorzystywania rejestrowanego doręczenia elektronicznego w obrocie cywilnoprawnym, strony w</w:t>
            </w:r>
            <w:r w:rsidR="00AB04E9">
              <w:rPr>
                <w:rFonts w:ascii="Times New Roman" w:hAnsi="Times New Roman" w:cs="Times New Roman"/>
                <w:color w:val="000000" w:themeColor="text1"/>
                <w:spacing w:val="-2"/>
              </w:rPr>
              <w:t xml:space="preserve"> </w:t>
            </w:r>
            <w:r w:rsidR="009B4F94" w:rsidRPr="00067989">
              <w:rPr>
                <w:rFonts w:ascii="Times New Roman" w:hAnsi="Times New Roman" w:cs="Times New Roman"/>
                <w:color w:val="000000" w:themeColor="text1"/>
                <w:spacing w:val="-2"/>
              </w:rPr>
              <w:t xml:space="preserve">postępowaniach przed sądami powszechnymi uzyskają </w:t>
            </w:r>
            <w:r w:rsidRPr="00067989">
              <w:rPr>
                <w:rFonts w:ascii="Times New Roman" w:hAnsi="Times New Roman" w:cs="Times New Roman"/>
                <w:color w:val="000000" w:themeColor="text1"/>
                <w:spacing w:val="-2"/>
              </w:rPr>
              <w:t xml:space="preserve">np. </w:t>
            </w:r>
            <w:r w:rsidR="009B4F94" w:rsidRPr="00067989">
              <w:rPr>
                <w:rFonts w:ascii="Times New Roman" w:hAnsi="Times New Roman" w:cs="Times New Roman"/>
                <w:color w:val="000000" w:themeColor="text1"/>
                <w:spacing w:val="-2"/>
              </w:rPr>
              <w:t>możliwość lepszego dowodzenia faktu złożenia oświadczenia woli.</w:t>
            </w:r>
          </w:p>
        </w:tc>
      </w:tr>
      <w:tr w:rsidR="005C3FCE" w:rsidRPr="00067989" w14:paraId="025C6317" w14:textId="77777777" w:rsidTr="008A3FA9">
        <w:trPr>
          <w:gridAfter w:val="1"/>
          <w:wAfter w:w="61" w:type="dxa"/>
          <w:trHeight w:val="142"/>
          <w:jc w:val="center"/>
        </w:trPr>
        <w:tc>
          <w:tcPr>
            <w:tcW w:w="1841" w:type="dxa"/>
            <w:gridSpan w:val="2"/>
            <w:shd w:val="clear" w:color="auto" w:fill="auto"/>
          </w:tcPr>
          <w:p w14:paraId="7E2AA63A" w14:textId="77777777" w:rsidR="00087DBD" w:rsidRPr="00067989" w:rsidRDefault="00087DBD" w:rsidP="00067989">
            <w:pPr>
              <w:tabs>
                <w:tab w:val="left" w:pos="1560"/>
              </w:tabs>
              <w:spacing w:before="60" w:after="60"/>
              <w:rPr>
                <w:rFonts w:ascii="Times New Roman" w:hAnsi="Times New Roman" w:cs="Times New Roman"/>
                <w:color w:val="000000" w:themeColor="text1"/>
              </w:rPr>
            </w:pPr>
            <w:r w:rsidRPr="00067989">
              <w:rPr>
                <w:rFonts w:ascii="Times New Roman" w:hAnsi="Times New Roman" w:cs="Times New Roman"/>
                <w:color w:val="000000" w:themeColor="text1"/>
              </w:rPr>
              <w:t>Urząd Komunikacji Elektronicznej</w:t>
            </w:r>
          </w:p>
        </w:tc>
        <w:tc>
          <w:tcPr>
            <w:tcW w:w="2740" w:type="dxa"/>
            <w:gridSpan w:val="9"/>
            <w:shd w:val="clear" w:color="auto" w:fill="auto"/>
          </w:tcPr>
          <w:p w14:paraId="4537FCF3" w14:textId="77777777" w:rsidR="00087DBD" w:rsidRPr="00067989" w:rsidRDefault="00087DBD" w:rsidP="00067989">
            <w:pPr>
              <w:spacing w:before="60" w:after="60"/>
              <w:rPr>
                <w:rFonts w:ascii="Times New Roman" w:hAnsi="Times New Roman" w:cs="Times New Roman"/>
                <w:color w:val="000000" w:themeColor="text1"/>
              </w:rPr>
            </w:pPr>
            <w:r w:rsidRPr="00067989">
              <w:rPr>
                <w:rFonts w:ascii="Times New Roman" w:hAnsi="Times New Roman" w:cs="Times New Roman"/>
                <w:color w:val="000000" w:themeColor="text1"/>
              </w:rPr>
              <w:t xml:space="preserve">Stan zatrudnienia: ok. 614 osób przy 610,91 etatów </w:t>
            </w:r>
          </w:p>
        </w:tc>
        <w:tc>
          <w:tcPr>
            <w:tcW w:w="2410" w:type="dxa"/>
            <w:gridSpan w:val="8"/>
            <w:shd w:val="clear" w:color="auto" w:fill="auto"/>
          </w:tcPr>
          <w:p w14:paraId="0FEFD61D" w14:textId="77777777" w:rsidR="00087DBD" w:rsidRPr="00067989" w:rsidRDefault="00087DBD" w:rsidP="00067989">
            <w:pPr>
              <w:spacing w:before="60" w:after="60"/>
              <w:rPr>
                <w:rFonts w:ascii="Times New Roman" w:hAnsi="Times New Roman" w:cs="Times New Roman"/>
                <w:color w:val="000000" w:themeColor="text1"/>
                <w:spacing w:val="-2"/>
              </w:rPr>
            </w:pPr>
            <w:r w:rsidRPr="00067989">
              <w:rPr>
                <w:rFonts w:ascii="Times New Roman" w:hAnsi="Times New Roman" w:cs="Times New Roman"/>
                <w:color w:val="000000" w:themeColor="text1"/>
                <w:spacing w:val="-2"/>
              </w:rPr>
              <w:t xml:space="preserve">Sprawozdanie z działalności Prezesa UKE </w:t>
            </w:r>
            <w:r w:rsidRPr="00067989">
              <w:rPr>
                <w:rFonts w:ascii="Times New Roman" w:hAnsi="Times New Roman" w:cs="Times New Roman"/>
                <w:color w:val="000000" w:themeColor="text1"/>
              </w:rPr>
              <w:t>za 2017 rok (</w:t>
            </w:r>
            <w:r w:rsidR="0001578B" w:rsidRPr="00067989">
              <w:rPr>
                <w:rFonts w:ascii="Times New Roman" w:hAnsi="Times New Roman" w:cs="Times New Roman"/>
                <w:color w:val="000000" w:themeColor="text1"/>
              </w:rPr>
              <w:t>raport</w:t>
            </w:r>
            <w:r w:rsidRPr="00067989">
              <w:rPr>
                <w:rFonts w:ascii="Times New Roman" w:hAnsi="Times New Roman" w:cs="Times New Roman"/>
                <w:color w:val="000000" w:themeColor="text1"/>
              </w:rPr>
              <w:t xml:space="preserve"> za 2018 rok</w:t>
            </w:r>
            <w:r w:rsidR="0001578B" w:rsidRPr="00067989">
              <w:rPr>
                <w:rFonts w:ascii="Times New Roman" w:hAnsi="Times New Roman" w:cs="Times New Roman"/>
                <w:color w:val="000000" w:themeColor="text1"/>
              </w:rPr>
              <w:t xml:space="preserve"> nie został jeszcze opublikowany</w:t>
            </w:r>
            <w:r w:rsidRPr="00067989">
              <w:rPr>
                <w:rFonts w:ascii="Times New Roman" w:hAnsi="Times New Roman" w:cs="Times New Roman"/>
                <w:color w:val="000000" w:themeColor="text1"/>
              </w:rPr>
              <w:t>)</w:t>
            </w:r>
          </w:p>
        </w:tc>
        <w:tc>
          <w:tcPr>
            <w:tcW w:w="3575" w:type="dxa"/>
            <w:gridSpan w:val="9"/>
            <w:shd w:val="clear" w:color="auto" w:fill="auto"/>
          </w:tcPr>
          <w:p w14:paraId="7EF5D638" w14:textId="77777777" w:rsidR="00087DBD" w:rsidRPr="000E2DF4" w:rsidRDefault="0001578B" w:rsidP="00067989">
            <w:pPr>
              <w:spacing w:before="60" w:after="60"/>
              <w:rPr>
                <w:rFonts w:ascii="Times New Roman" w:hAnsi="Times New Roman" w:cs="Times New Roman"/>
                <w:color w:val="000000" w:themeColor="text1"/>
                <w:spacing w:val="-2"/>
              </w:rPr>
            </w:pPr>
            <w:r w:rsidRPr="000E2DF4">
              <w:rPr>
                <w:rFonts w:ascii="Times New Roman" w:hAnsi="Times New Roman" w:cs="Times New Roman"/>
                <w:color w:val="000000" w:themeColor="text1"/>
                <w:spacing w:val="-2"/>
              </w:rPr>
              <w:t>Projekt wpłynie na działanie UKE poprzez wprowadzenie dodatkowych zadań i obowiązków delegowanych na Prezesa Urzędu m.in.:</w:t>
            </w:r>
          </w:p>
          <w:p w14:paraId="382831AF" w14:textId="77777777" w:rsidR="0001578B" w:rsidRPr="000E2DF4" w:rsidRDefault="005F6337" w:rsidP="00067989">
            <w:pPr>
              <w:spacing w:before="60" w:after="60"/>
              <w:rPr>
                <w:rFonts w:ascii="Times New Roman" w:hAnsi="Times New Roman" w:cs="Times New Roman"/>
                <w:color w:val="000000" w:themeColor="text1"/>
                <w:spacing w:val="-2"/>
              </w:rPr>
            </w:pPr>
            <w:r>
              <w:rPr>
                <w:rFonts w:ascii="Times New Roman" w:hAnsi="Times New Roman" w:cs="Times New Roman"/>
                <w:color w:val="000000" w:themeColor="text1"/>
                <w:spacing w:val="-2"/>
              </w:rPr>
              <w:t>–</w:t>
            </w:r>
            <w:r w:rsidR="0001578B" w:rsidRPr="000E2DF4">
              <w:rPr>
                <w:rFonts w:ascii="Times New Roman" w:hAnsi="Times New Roman" w:cs="Times New Roman"/>
                <w:color w:val="000000" w:themeColor="text1"/>
                <w:spacing w:val="-2"/>
              </w:rPr>
              <w:t xml:space="preserve"> zatwierdzanie regulaminu nowych usług</w:t>
            </w:r>
            <w:r w:rsidR="00493D06" w:rsidRPr="000E2DF4">
              <w:rPr>
                <w:rFonts w:ascii="Times New Roman" w:hAnsi="Times New Roman" w:cs="Times New Roman"/>
                <w:color w:val="000000" w:themeColor="text1"/>
                <w:spacing w:val="-2"/>
              </w:rPr>
              <w:t>,</w:t>
            </w:r>
          </w:p>
          <w:p w14:paraId="7906CC7B" w14:textId="77777777" w:rsidR="0001578B" w:rsidRPr="000E2DF4" w:rsidRDefault="005F6337" w:rsidP="00067989">
            <w:pPr>
              <w:spacing w:before="60" w:after="60"/>
              <w:rPr>
                <w:rFonts w:ascii="Times New Roman" w:hAnsi="Times New Roman" w:cs="Times New Roman"/>
                <w:color w:val="000000" w:themeColor="text1"/>
                <w:spacing w:val="-2"/>
              </w:rPr>
            </w:pPr>
            <w:r>
              <w:rPr>
                <w:rFonts w:ascii="Times New Roman" w:hAnsi="Times New Roman" w:cs="Times New Roman"/>
                <w:color w:val="000000" w:themeColor="text1"/>
                <w:spacing w:val="-2"/>
              </w:rPr>
              <w:t>–</w:t>
            </w:r>
            <w:r w:rsidR="0001578B" w:rsidRPr="000E2DF4">
              <w:rPr>
                <w:rFonts w:ascii="Times New Roman" w:hAnsi="Times New Roman" w:cs="Times New Roman"/>
                <w:color w:val="000000" w:themeColor="text1"/>
                <w:spacing w:val="-2"/>
              </w:rPr>
              <w:t xml:space="preserve"> zatwierdzanie projektów cennika</w:t>
            </w:r>
            <w:r w:rsidR="00493D06" w:rsidRPr="000E2DF4">
              <w:rPr>
                <w:rFonts w:ascii="Times New Roman" w:hAnsi="Times New Roman" w:cs="Times New Roman"/>
                <w:color w:val="000000" w:themeColor="text1"/>
                <w:spacing w:val="-2"/>
              </w:rPr>
              <w:t>,</w:t>
            </w:r>
          </w:p>
          <w:p w14:paraId="14DF7695" w14:textId="77777777" w:rsidR="0001578B" w:rsidRPr="00E42D6D" w:rsidRDefault="005F6337" w:rsidP="00067989">
            <w:pPr>
              <w:spacing w:before="60" w:after="60"/>
              <w:rPr>
                <w:rFonts w:ascii="Times New Roman" w:hAnsi="Times New Roman" w:cs="Times New Roman"/>
                <w:color w:val="000000" w:themeColor="text1"/>
                <w:spacing w:val="-2"/>
              </w:rPr>
            </w:pPr>
            <w:r>
              <w:rPr>
                <w:rFonts w:ascii="Times New Roman" w:hAnsi="Times New Roman" w:cs="Times New Roman"/>
                <w:color w:val="000000" w:themeColor="text1"/>
                <w:spacing w:val="-2"/>
              </w:rPr>
              <w:t>–</w:t>
            </w:r>
            <w:r w:rsidR="0001578B" w:rsidRPr="000E2DF4">
              <w:rPr>
                <w:rFonts w:ascii="Times New Roman" w:hAnsi="Times New Roman" w:cs="Times New Roman"/>
                <w:color w:val="000000" w:themeColor="text1"/>
                <w:spacing w:val="-2"/>
              </w:rPr>
              <w:t xml:space="preserve"> nadzorowanie standardu usług</w:t>
            </w:r>
            <w:r w:rsidR="00493D06" w:rsidRPr="000E2DF4">
              <w:rPr>
                <w:rFonts w:ascii="Times New Roman" w:hAnsi="Times New Roman" w:cs="Times New Roman"/>
                <w:color w:val="000000" w:themeColor="text1"/>
                <w:spacing w:val="-2"/>
              </w:rPr>
              <w:t>,</w:t>
            </w:r>
          </w:p>
          <w:p w14:paraId="5BD4FB2F" w14:textId="77777777" w:rsidR="0001578B" w:rsidRPr="00067989" w:rsidRDefault="005F6337" w:rsidP="00067989">
            <w:pPr>
              <w:spacing w:before="60" w:after="60"/>
              <w:rPr>
                <w:rFonts w:ascii="Times New Roman" w:hAnsi="Times New Roman" w:cs="Times New Roman"/>
                <w:color w:val="000000" w:themeColor="text1"/>
                <w:spacing w:val="-2"/>
              </w:rPr>
            </w:pPr>
            <w:r>
              <w:rPr>
                <w:rFonts w:ascii="Times New Roman" w:hAnsi="Times New Roman" w:cs="Times New Roman"/>
                <w:color w:val="000000" w:themeColor="text1"/>
                <w:spacing w:val="-2"/>
              </w:rPr>
              <w:t>–</w:t>
            </w:r>
            <w:r w:rsidR="0001578B" w:rsidRPr="00080920">
              <w:rPr>
                <w:rFonts w:ascii="Times New Roman" w:hAnsi="Times New Roman" w:cs="Times New Roman"/>
                <w:color w:val="000000" w:themeColor="text1"/>
                <w:spacing w:val="-2"/>
              </w:rPr>
              <w:t xml:space="preserve"> orga</w:t>
            </w:r>
            <w:r w:rsidR="0001578B" w:rsidRPr="00067989">
              <w:rPr>
                <w:rFonts w:ascii="Times New Roman" w:hAnsi="Times New Roman" w:cs="Times New Roman"/>
                <w:color w:val="000000" w:themeColor="text1"/>
                <w:spacing w:val="-2"/>
              </w:rPr>
              <w:t>nizacja konkursu na operatora wyznaczonego w nowej poszerzonej formule</w:t>
            </w:r>
            <w:r w:rsidR="00493D06" w:rsidRPr="00067989">
              <w:rPr>
                <w:rFonts w:ascii="Times New Roman" w:hAnsi="Times New Roman" w:cs="Times New Roman"/>
                <w:color w:val="000000" w:themeColor="text1"/>
                <w:spacing w:val="-2"/>
              </w:rPr>
              <w:t>.</w:t>
            </w:r>
          </w:p>
          <w:p w14:paraId="14B517BD" w14:textId="77777777" w:rsidR="0001578B" w:rsidRPr="00067989" w:rsidRDefault="0001578B" w:rsidP="00067989">
            <w:pPr>
              <w:spacing w:before="60" w:after="60"/>
              <w:rPr>
                <w:rFonts w:ascii="Times New Roman" w:hAnsi="Times New Roman" w:cs="Times New Roman"/>
                <w:color w:val="000000" w:themeColor="text1"/>
                <w:spacing w:val="-2"/>
              </w:rPr>
            </w:pPr>
            <w:r w:rsidRPr="00067989">
              <w:rPr>
                <w:rFonts w:ascii="Times New Roman" w:hAnsi="Times New Roman" w:cs="Times New Roman"/>
                <w:color w:val="000000" w:themeColor="text1"/>
                <w:spacing w:val="-2"/>
              </w:rPr>
              <w:t xml:space="preserve">Powyższe będzie się wiązało ze zwiększeniem stanu zatrudnienia </w:t>
            </w:r>
            <w:r w:rsidR="00230B22" w:rsidRPr="00067989">
              <w:rPr>
                <w:rFonts w:ascii="Times New Roman" w:hAnsi="Times New Roman" w:cs="Times New Roman"/>
                <w:color w:val="000000" w:themeColor="text1"/>
                <w:spacing w:val="-2"/>
              </w:rPr>
              <w:t xml:space="preserve">– </w:t>
            </w:r>
            <w:r w:rsidR="00230B22" w:rsidRPr="00067989">
              <w:rPr>
                <w:rFonts w:ascii="Times New Roman" w:hAnsi="Times New Roman" w:cs="Times New Roman"/>
                <w:color w:val="000000" w:themeColor="text1"/>
                <w:spacing w:val="-2"/>
              </w:rPr>
              <w:lastRenderedPageBreak/>
              <w:t>przewiduje się</w:t>
            </w:r>
            <w:r w:rsidR="00AB04E9">
              <w:rPr>
                <w:rFonts w:ascii="Times New Roman" w:hAnsi="Times New Roman" w:cs="Times New Roman"/>
                <w:color w:val="000000" w:themeColor="text1"/>
                <w:spacing w:val="-2"/>
              </w:rPr>
              <w:t xml:space="preserve"> </w:t>
            </w:r>
            <w:r w:rsidRPr="00067989">
              <w:rPr>
                <w:rFonts w:ascii="Times New Roman" w:hAnsi="Times New Roman" w:cs="Times New Roman"/>
                <w:color w:val="000000" w:themeColor="text1"/>
                <w:spacing w:val="-2"/>
              </w:rPr>
              <w:t>wykorzystanie</w:t>
            </w:r>
            <w:r w:rsidR="00230B22" w:rsidRPr="00067989">
              <w:rPr>
                <w:rFonts w:ascii="Times New Roman" w:hAnsi="Times New Roman" w:cs="Times New Roman"/>
                <w:color w:val="000000" w:themeColor="text1"/>
                <w:spacing w:val="-2"/>
              </w:rPr>
              <w:t xml:space="preserve"> środków w</w:t>
            </w:r>
            <w:r w:rsidR="00AB04E9">
              <w:rPr>
                <w:rFonts w:ascii="Times New Roman" w:hAnsi="Times New Roman" w:cs="Times New Roman"/>
                <w:color w:val="000000" w:themeColor="text1"/>
                <w:spacing w:val="-2"/>
              </w:rPr>
              <w:t xml:space="preserve"> </w:t>
            </w:r>
            <w:r w:rsidR="00230B22" w:rsidRPr="00067989">
              <w:rPr>
                <w:rFonts w:ascii="Times New Roman" w:hAnsi="Times New Roman" w:cs="Times New Roman"/>
                <w:color w:val="000000" w:themeColor="text1"/>
                <w:spacing w:val="-2"/>
              </w:rPr>
              <w:t>celu wsparcia UKE na rzecz nowych działań będących skutkiem wejścia w życie projektowanej regulacji (patrz rozdział 6 i wydatki w części 76)</w:t>
            </w:r>
            <w:r w:rsidR="00493D06" w:rsidRPr="00067989">
              <w:rPr>
                <w:rFonts w:ascii="Times New Roman" w:hAnsi="Times New Roman" w:cs="Times New Roman"/>
                <w:color w:val="000000" w:themeColor="text1"/>
                <w:spacing w:val="-2"/>
              </w:rPr>
              <w:t>.</w:t>
            </w:r>
          </w:p>
        </w:tc>
      </w:tr>
      <w:tr w:rsidR="005C3FCE" w:rsidRPr="00067989" w14:paraId="4593A6EE" w14:textId="77777777" w:rsidTr="008A3FA9">
        <w:trPr>
          <w:gridAfter w:val="1"/>
          <w:wAfter w:w="61" w:type="dxa"/>
          <w:trHeight w:val="142"/>
          <w:jc w:val="center"/>
        </w:trPr>
        <w:tc>
          <w:tcPr>
            <w:tcW w:w="1841" w:type="dxa"/>
            <w:gridSpan w:val="2"/>
            <w:shd w:val="clear" w:color="auto" w:fill="auto"/>
          </w:tcPr>
          <w:p w14:paraId="2D520A07" w14:textId="77777777" w:rsidR="003103FD" w:rsidRPr="00067989" w:rsidRDefault="003103FD" w:rsidP="00067989">
            <w:pPr>
              <w:tabs>
                <w:tab w:val="left" w:pos="1560"/>
              </w:tabs>
              <w:spacing w:before="60" w:after="60"/>
              <w:rPr>
                <w:rFonts w:ascii="Times New Roman" w:hAnsi="Times New Roman" w:cs="Times New Roman"/>
                <w:color w:val="000000" w:themeColor="text1"/>
              </w:rPr>
            </w:pPr>
            <w:r w:rsidRPr="00067989">
              <w:rPr>
                <w:rFonts w:ascii="Times New Roman" w:hAnsi="Times New Roman" w:cs="Times New Roman"/>
                <w:color w:val="000000" w:themeColor="text1"/>
              </w:rPr>
              <w:lastRenderedPageBreak/>
              <w:t>Operatorzy pocztowi</w:t>
            </w:r>
          </w:p>
        </w:tc>
        <w:tc>
          <w:tcPr>
            <w:tcW w:w="2740" w:type="dxa"/>
            <w:gridSpan w:val="9"/>
            <w:shd w:val="clear" w:color="auto" w:fill="auto"/>
          </w:tcPr>
          <w:p w14:paraId="3F576984" w14:textId="77777777" w:rsidR="003103FD" w:rsidRPr="00067989" w:rsidRDefault="00AB04E9" w:rsidP="00067989">
            <w:pPr>
              <w:spacing w:before="60" w:after="60"/>
              <w:rPr>
                <w:rFonts w:ascii="Times New Roman" w:hAnsi="Times New Roman" w:cs="Times New Roman"/>
                <w:color w:val="000000" w:themeColor="text1"/>
              </w:rPr>
            </w:pPr>
            <w:r>
              <w:rPr>
                <w:rFonts w:ascii="Times New Roman" w:hAnsi="Times New Roman" w:cs="Times New Roman"/>
                <w:color w:val="000000" w:themeColor="text1"/>
              </w:rPr>
              <w:t xml:space="preserve"> </w:t>
            </w:r>
            <w:r w:rsidR="000C2B69" w:rsidRPr="00067989">
              <w:rPr>
                <w:rFonts w:ascii="Times New Roman" w:hAnsi="Times New Roman" w:cs="Times New Roman"/>
                <w:color w:val="000000" w:themeColor="text1"/>
              </w:rPr>
              <w:t xml:space="preserve">280 </w:t>
            </w:r>
            <w:r w:rsidR="00A628D1" w:rsidRPr="00067989">
              <w:rPr>
                <w:rFonts w:ascii="Times New Roman" w:hAnsi="Times New Roman" w:cs="Times New Roman"/>
                <w:color w:val="000000" w:themeColor="text1"/>
              </w:rPr>
              <w:t xml:space="preserve">operatorów zarejestrowanych, w tym 142 działających </w:t>
            </w:r>
          </w:p>
        </w:tc>
        <w:tc>
          <w:tcPr>
            <w:tcW w:w="2410" w:type="dxa"/>
            <w:gridSpan w:val="8"/>
            <w:shd w:val="clear" w:color="auto" w:fill="auto"/>
          </w:tcPr>
          <w:p w14:paraId="1777B590" w14:textId="77777777" w:rsidR="00A628D1" w:rsidRPr="00067989" w:rsidRDefault="00A628D1" w:rsidP="00067989">
            <w:pPr>
              <w:spacing w:before="60" w:after="60"/>
              <w:rPr>
                <w:rFonts w:ascii="Times New Roman" w:hAnsi="Times New Roman" w:cs="Times New Roman"/>
                <w:color w:val="000000" w:themeColor="text1"/>
                <w:spacing w:val="-2"/>
              </w:rPr>
            </w:pPr>
            <w:r w:rsidRPr="00067989">
              <w:rPr>
                <w:rFonts w:ascii="Times New Roman" w:hAnsi="Times New Roman" w:cs="Times New Roman"/>
                <w:color w:val="000000" w:themeColor="text1"/>
                <w:spacing w:val="-2"/>
              </w:rPr>
              <w:t>Informacje o liczbie podmiotów– Raport o stanie rynku pocztowego w 2017 r.</w:t>
            </w:r>
            <w:r w:rsidR="005C31D4" w:rsidRPr="00067989">
              <w:rPr>
                <w:rStyle w:val="Odwoanieprzypisudolnego"/>
                <w:rFonts w:ascii="Times New Roman" w:hAnsi="Times New Roman" w:cs="Times New Roman"/>
                <w:color w:val="000000" w:themeColor="text1"/>
                <w:spacing w:val="-2"/>
              </w:rPr>
              <w:t xml:space="preserve"> </w:t>
            </w:r>
            <w:r w:rsidR="005C31D4" w:rsidRPr="00067989">
              <w:rPr>
                <w:rStyle w:val="Odwoanieprzypisudolnego"/>
                <w:rFonts w:ascii="Times New Roman" w:hAnsi="Times New Roman" w:cs="Times New Roman"/>
                <w:color w:val="000000" w:themeColor="text1"/>
                <w:spacing w:val="-2"/>
              </w:rPr>
              <w:footnoteReference w:id="11"/>
            </w:r>
            <w:r w:rsidR="00067989" w:rsidRPr="008A3FA9">
              <w:rPr>
                <w:rFonts w:ascii="Times New Roman" w:hAnsi="Times New Roman" w:cs="Times New Roman"/>
                <w:color w:val="000000" w:themeColor="text1"/>
                <w:spacing w:val="-2"/>
                <w:vertAlign w:val="superscript"/>
              </w:rPr>
              <w:t>)</w:t>
            </w:r>
          </w:p>
        </w:tc>
        <w:tc>
          <w:tcPr>
            <w:tcW w:w="3575" w:type="dxa"/>
            <w:gridSpan w:val="9"/>
            <w:shd w:val="clear" w:color="auto" w:fill="auto"/>
          </w:tcPr>
          <w:p w14:paraId="667D0929" w14:textId="77777777" w:rsidR="003103FD" w:rsidRPr="00067989" w:rsidRDefault="00A628D1" w:rsidP="00067989">
            <w:pPr>
              <w:spacing w:before="60" w:after="60"/>
              <w:rPr>
                <w:rFonts w:ascii="Times New Roman" w:hAnsi="Times New Roman" w:cs="Times New Roman"/>
                <w:color w:val="000000" w:themeColor="text1"/>
              </w:rPr>
            </w:pPr>
            <w:r w:rsidRPr="00067989">
              <w:rPr>
                <w:rFonts w:ascii="Times New Roman" w:hAnsi="Times New Roman" w:cs="Times New Roman"/>
                <w:color w:val="000000" w:themeColor="text1"/>
              </w:rPr>
              <w:t xml:space="preserve">Projekt wpłynie negatywnie na wolumen rynku przesyłek listowych, wprowadzając rozwiązanie alternatywne w zakresie doręczenia przesyłek listowych </w:t>
            </w:r>
            <w:r w:rsidR="00C87B99" w:rsidRPr="00067989">
              <w:rPr>
                <w:rFonts w:ascii="Times New Roman" w:hAnsi="Times New Roman" w:cs="Times New Roman"/>
                <w:color w:val="000000" w:themeColor="text1"/>
              </w:rPr>
              <w:t xml:space="preserve">przesyłanych do i od podmiotów publicznych. </w:t>
            </w:r>
          </w:p>
          <w:p w14:paraId="65D55E68" w14:textId="77777777" w:rsidR="00C87B99" w:rsidRPr="000E2DF4" w:rsidRDefault="00C87B99" w:rsidP="00067989">
            <w:pPr>
              <w:spacing w:before="60" w:after="60"/>
              <w:rPr>
                <w:rFonts w:ascii="Times New Roman" w:hAnsi="Times New Roman" w:cs="Times New Roman"/>
                <w:color w:val="000000" w:themeColor="text1"/>
                <w:spacing w:val="-2"/>
              </w:rPr>
            </w:pPr>
            <w:r w:rsidRPr="00067989">
              <w:rPr>
                <w:rFonts w:ascii="Times New Roman" w:hAnsi="Times New Roman" w:cs="Times New Roman"/>
                <w:color w:val="000000" w:themeColor="text1"/>
              </w:rPr>
              <w:t>Na polskim rynku pocztowym obserwowana jest ogólnoświatowa tendencja do</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zmniejszania wolumenu rynku przesyłek listowych (w 2017 r. nastąpiło zmniejszenie liczby przesyłek listowych o 35,6 mln w stosunku do 2016 r.). Wprowadzone rozwiązanie wzmocni ten trend, jednak</w:t>
            </w:r>
            <w:r w:rsidR="00BE1663" w:rsidRPr="00067989">
              <w:rPr>
                <w:rFonts w:ascii="Times New Roman" w:hAnsi="Times New Roman" w:cs="Times New Roman"/>
                <w:color w:val="000000" w:themeColor="text1"/>
              </w:rPr>
              <w:t xml:space="preserve"> skala zmiany jest niemożliwa do</w:t>
            </w:r>
            <w:r w:rsidR="00AB04E9">
              <w:rPr>
                <w:rFonts w:ascii="Times New Roman" w:hAnsi="Times New Roman" w:cs="Times New Roman"/>
                <w:color w:val="000000" w:themeColor="text1"/>
              </w:rPr>
              <w:t xml:space="preserve"> </w:t>
            </w:r>
            <w:r w:rsidR="00BE1663" w:rsidRPr="00067989">
              <w:rPr>
                <w:rFonts w:ascii="Times New Roman" w:hAnsi="Times New Roman" w:cs="Times New Roman"/>
                <w:color w:val="000000" w:themeColor="text1"/>
              </w:rPr>
              <w:t xml:space="preserve">oszacowania </w:t>
            </w:r>
            <w:r w:rsidRPr="00067989">
              <w:rPr>
                <w:rFonts w:ascii="Times New Roman" w:hAnsi="Times New Roman" w:cs="Times New Roman"/>
                <w:color w:val="000000" w:themeColor="text1"/>
              </w:rPr>
              <w:t>ze względu na brak danych o udziale przesyłek listowych kierowanych do i od podmiotów publicznych w całości rynku przesyłek listowych.</w:t>
            </w:r>
          </w:p>
        </w:tc>
      </w:tr>
      <w:tr w:rsidR="005C3FCE" w:rsidRPr="00067989" w14:paraId="5BEEE68B" w14:textId="77777777" w:rsidTr="008A3FA9">
        <w:trPr>
          <w:gridAfter w:val="1"/>
          <w:wAfter w:w="61" w:type="dxa"/>
          <w:trHeight w:val="142"/>
          <w:jc w:val="center"/>
        </w:trPr>
        <w:tc>
          <w:tcPr>
            <w:tcW w:w="1841" w:type="dxa"/>
            <w:gridSpan w:val="2"/>
            <w:shd w:val="clear" w:color="auto" w:fill="auto"/>
          </w:tcPr>
          <w:p w14:paraId="4C77C88F" w14:textId="77777777" w:rsidR="00030B65" w:rsidRPr="00067989" w:rsidRDefault="00407DD6" w:rsidP="00067989">
            <w:pPr>
              <w:tabs>
                <w:tab w:val="left" w:pos="1560"/>
              </w:tabs>
              <w:spacing w:before="60" w:after="60"/>
              <w:rPr>
                <w:rFonts w:ascii="Times New Roman" w:hAnsi="Times New Roman" w:cs="Times New Roman"/>
                <w:color w:val="000000" w:themeColor="text1"/>
              </w:rPr>
            </w:pPr>
            <w:r w:rsidRPr="00067989">
              <w:rPr>
                <w:rFonts w:ascii="Times New Roman" w:hAnsi="Times New Roman" w:cs="Times New Roman"/>
                <w:color w:val="000000" w:themeColor="text1"/>
              </w:rPr>
              <w:t>Operator wyznaczony</w:t>
            </w:r>
            <w:r w:rsidR="00030B65" w:rsidRPr="00067989">
              <w:rPr>
                <w:rFonts w:ascii="Times New Roman" w:hAnsi="Times New Roman" w:cs="Times New Roman"/>
                <w:color w:val="000000" w:themeColor="text1"/>
              </w:rPr>
              <w:t xml:space="preserve"> </w:t>
            </w:r>
            <w:r w:rsidR="005F6337">
              <w:rPr>
                <w:rFonts w:ascii="Times New Roman" w:hAnsi="Times New Roman" w:cs="Times New Roman"/>
                <w:color w:val="000000" w:themeColor="text1"/>
              </w:rPr>
              <w:t>–</w:t>
            </w:r>
            <w:r w:rsidR="00030B65" w:rsidRPr="00067989">
              <w:rPr>
                <w:rFonts w:ascii="Times New Roman" w:hAnsi="Times New Roman" w:cs="Times New Roman"/>
                <w:color w:val="000000" w:themeColor="text1"/>
              </w:rPr>
              <w:t xml:space="preserve"> Poczta Polska S.A.</w:t>
            </w:r>
          </w:p>
        </w:tc>
        <w:tc>
          <w:tcPr>
            <w:tcW w:w="2740" w:type="dxa"/>
            <w:gridSpan w:val="9"/>
            <w:shd w:val="clear" w:color="auto" w:fill="auto"/>
          </w:tcPr>
          <w:p w14:paraId="2A55F675" w14:textId="77777777" w:rsidR="00030B65" w:rsidRPr="00067989" w:rsidRDefault="00030B65" w:rsidP="00067989">
            <w:pPr>
              <w:spacing w:before="60" w:after="60"/>
              <w:rPr>
                <w:rFonts w:ascii="Times New Roman" w:hAnsi="Times New Roman" w:cs="Times New Roman"/>
                <w:color w:val="000000" w:themeColor="text1"/>
              </w:rPr>
            </w:pPr>
            <w:r w:rsidRPr="00067989">
              <w:rPr>
                <w:rFonts w:ascii="Times New Roman" w:hAnsi="Times New Roman" w:cs="Times New Roman"/>
                <w:color w:val="000000" w:themeColor="text1"/>
              </w:rPr>
              <w:t>Przedsiębiorca o ogólnopolskim zasięgu działania zatrudniający ok. 80</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000 osób</w:t>
            </w:r>
          </w:p>
        </w:tc>
        <w:tc>
          <w:tcPr>
            <w:tcW w:w="2410" w:type="dxa"/>
            <w:gridSpan w:val="8"/>
            <w:shd w:val="clear" w:color="auto" w:fill="auto"/>
          </w:tcPr>
          <w:p w14:paraId="3EDCBE8C" w14:textId="77777777" w:rsidR="00030B65" w:rsidRPr="00067989" w:rsidRDefault="00030B65" w:rsidP="00067989">
            <w:pPr>
              <w:spacing w:before="60" w:after="60"/>
              <w:rPr>
                <w:rFonts w:ascii="Times New Roman" w:hAnsi="Times New Roman" w:cs="Times New Roman"/>
                <w:color w:val="000000" w:themeColor="text1"/>
                <w:spacing w:val="-2"/>
              </w:rPr>
            </w:pPr>
            <w:r w:rsidRPr="00067989">
              <w:rPr>
                <w:rFonts w:ascii="Times New Roman" w:hAnsi="Times New Roman" w:cs="Times New Roman"/>
                <w:color w:val="000000" w:themeColor="text1"/>
                <w:spacing w:val="-2"/>
              </w:rPr>
              <w:t>Raport UKE o stanie rynku pocztowego w 2017 rok</w:t>
            </w:r>
            <w:r w:rsidR="00CC1102" w:rsidRPr="00067989">
              <w:rPr>
                <w:rFonts w:ascii="Times New Roman" w:hAnsi="Times New Roman" w:cs="Times New Roman"/>
                <w:color w:val="000000" w:themeColor="text1"/>
                <w:spacing w:val="-2"/>
              </w:rPr>
              <w:t>u</w:t>
            </w:r>
          </w:p>
        </w:tc>
        <w:tc>
          <w:tcPr>
            <w:tcW w:w="3575" w:type="dxa"/>
            <w:gridSpan w:val="9"/>
            <w:shd w:val="clear" w:color="auto" w:fill="auto"/>
          </w:tcPr>
          <w:p w14:paraId="3586C4BF" w14:textId="77777777" w:rsidR="00030B65" w:rsidRPr="00067989" w:rsidRDefault="00030B65" w:rsidP="00067989">
            <w:pPr>
              <w:spacing w:before="60" w:after="60"/>
              <w:rPr>
                <w:rFonts w:ascii="Times New Roman" w:eastAsia="Calibri" w:hAnsi="Times New Roman" w:cs="Times New Roman"/>
                <w:color w:val="000000" w:themeColor="text1"/>
                <w:spacing w:val="-2"/>
              </w:rPr>
            </w:pPr>
            <w:r w:rsidRPr="00067989">
              <w:rPr>
                <w:rFonts w:ascii="Times New Roman" w:eastAsia="Calibri" w:hAnsi="Times New Roman" w:cs="Times New Roman"/>
                <w:color w:val="000000" w:themeColor="text1"/>
                <w:spacing w:val="-2"/>
              </w:rPr>
              <w:t xml:space="preserve">Wpływ projektowanej regulacji na przedsiębiorcę: </w:t>
            </w:r>
          </w:p>
          <w:p w14:paraId="0E369C98" w14:textId="5E04BD56" w:rsidR="00030B65" w:rsidRPr="000E2DF4" w:rsidRDefault="00C716E4" w:rsidP="00067989">
            <w:pPr>
              <w:numPr>
                <w:ilvl w:val="0"/>
                <w:numId w:val="16"/>
              </w:numPr>
              <w:spacing w:before="60" w:after="60"/>
              <w:contextualSpacing/>
              <w:rPr>
                <w:rFonts w:ascii="Times New Roman" w:eastAsia="Calibri" w:hAnsi="Times New Roman" w:cs="Times New Roman"/>
                <w:color w:val="000000" w:themeColor="text1"/>
                <w:spacing w:val="-2"/>
              </w:rPr>
            </w:pPr>
            <w:r w:rsidRPr="00067989">
              <w:rPr>
                <w:rFonts w:ascii="Times New Roman" w:eastAsia="Calibri" w:hAnsi="Times New Roman" w:cs="Times New Roman"/>
                <w:color w:val="000000" w:themeColor="text1"/>
                <w:spacing w:val="-2"/>
              </w:rPr>
              <w:t>subsydiowanie przychodów z usług tradycyjnych przez usługi cyfrowe, co pozwoli na ograniczenie utraty przychodów z</w:t>
            </w:r>
            <w:r w:rsidR="00B20CF8">
              <w:rPr>
                <w:rFonts w:ascii="Times New Roman" w:eastAsia="Calibri" w:hAnsi="Times New Roman" w:cs="Times New Roman"/>
                <w:color w:val="000000" w:themeColor="text1"/>
                <w:spacing w:val="-2"/>
              </w:rPr>
              <w:t> </w:t>
            </w:r>
            <w:r w:rsidRPr="00067989">
              <w:rPr>
                <w:rFonts w:ascii="Times New Roman" w:eastAsia="Calibri" w:hAnsi="Times New Roman" w:cs="Times New Roman"/>
                <w:color w:val="000000" w:themeColor="text1"/>
                <w:spacing w:val="-2"/>
              </w:rPr>
              <w:t>tradycyjnych usług listowych</w:t>
            </w:r>
            <w:r w:rsidR="00493D06" w:rsidRPr="000E2DF4">
              <w:rPr>
                <w:rFonts w:ascii="Times New Roman" w:eastAsia="Calibri" w:hAnsi="Times New Roman" w:cs="Times New Roman"/>
                <w:color w:val="000000" w:themeColor="text1"/>
                <w:spacing w:val="-2"/>
              </w:rPr>
              <w:t>;</w:t>
            </w:r>
          </w:p>
          <w:p w14:paraId="60223873" w14:textId="77777777" w:rsidR="00030B65" w:rsidRPr="000E2DF4" w:rsidRDefault="00030B65" w:rsidP="00067989">
            <w:pPr>
              <w:numPr>
                <w:ilvl w:val="0"/>
                <w:numId w:val="16"/>
              </w:numPr>
              <w:spacing w:before="60" w:after="60"/>
              <w:contextualSpacing/>
              <w:rPr>
                <w:rFonts w:ascii="Times New Roman" w:eastAsia="Calibri" w:hAnsi="Times New Roman" w:cs="Times New Roman"/>
                <w:color w:val="000000" w:themeColor="text1"/>
                <w:spacing w:val="-2"/>
              </w:rPr>
            </w:pPr>
            <w:r w:rsidRPr="000E2DF4">
              <w:rPr>
                <w:rFonts w:ascii="Times New Roman" w:eastAsia="Calibri" w:hAnsi="Times New Roman" w:cs="Times New Roman"/>
                <w:color w:val="000000" w:themeColor="text1"/>
                <w:spacing w:val="-2"/>
              </w:rPr>
              <w:t>planowane przychody</w:t>
            </w:r>
            <w:r w:rsidR="00BE1663" w:rsidRPr="000E2DF4">
              <w:rPr>
                <w:rFonts w:ascii="Times New Roman" w:eastAsia="Calibri" w:hAnsi="Times New Roman" w:cs="Times New Roman"/>
                <w:color w:val="000000" w:themeColor="text1"/>
                <w:spacing w:val="-2"/>
              </w:rPr>
              <w:t xml:space="preserve"> z usługi e-Doręczenia oraz publicznej usługi hybrydowej</w:t>
            </w:r>
            <w:r w:rsidRPr="000E2DF4">
              <w:rPr>
                <w:rFonts w:ascii="Times New Roman" w:eastAsia="Calibri" w:hAnsi="Times New Roman" w:cs="Times New Roman"/>
                <w:color w:val="000000" w:themeColor="text1"/>
                <w:spacing w:val="-2"/>
              </w:rPr>
              <w:t xml:space="preserve"> nie pokryją w całości przychodów uzyskiwanych aktualnie z</w:t>
            </w:r>
            <w:r w:rsidR="00AB04E9">
              <w:rPr>
                <w:rFonts w:ascii="Times New Roman" w:eastAsia="Calibri" w:hAnsi="Times New Roman" w:cs="Times New Roman"/>
                <w:color w:val="000000" w:themeColor="text1"/>
                <w:spacing w:val="-2"/>
              </w:rPr>
              <w:t xml:space="preserve"> </w:t>
            </w:r>
            <w:r w:rsidRPr="000E2DF4">
              <w:rPr>
                <w:rFonts w:ascii="Times New Roman" w:eastAsia="Calibri" w:hAnsi="Times New Roman" w:cs="Times New Roman"/>
                <w:color w:val="000000" w:themeColor="text1"/>
                <w:spacing w:val="-2"/>
              </w:rPr>
              <w:t>tradycyjnych przesyłek listowych</w:t>
            </w:r>
            <w:r w:rsidR="00493D06" w:rsidRPr="000E2DF4">
              <w:rPr>
                <w:rFonts w:ascii="Times New Roman" w:eastAsia="Calibri" w:hAnsi="Times New Roman" w:cs="Times New Roman"/>
                <w:color w:val="000000" w:themeColor="text1"/>
                <w:spacing w:val="-2"/>
              </w:rPr>
              <w:t>;</w:t>
            </w:r>
          </w:p>
          <w:p w14:paraId="1BDC8DB0" w14:textId="77777777" w:rsidR="00030B65" w:rsidRPr="00067989" w:rsidRDefault="00030B65" w:rsidP="00067989">
            <w:pPr>
              <w:numPr>
                <w:ilvl w:val="0"/>
                <w:numId w:val="16"/>
              </w:numPr>
              <w:spacing w:before="60" w:after="60"/>
              <w:contextualSpacing/>
              <w:rPr>
                <w:rFonts w:ascii="Times New Roman" w:eastAsia="Calibri" w:hAnsi="Times New Roman" w:cs="Times New Roman"/>
                <w:color w:val="000000" w:themeColor="text1"/>
                <w:spacing w:val="-2"/>
              </w:rPr>
            </w:pPr>
            <w:r w:rsidRPr="00E42D6D">
              <w:rPr>
                <w:rFonts w:ascii="Times New Roman" w:eastAsia="Calibri" w:hAnsi="Times New Roman" w:cs="Times New Roman"/>
                <w:color w:val="000000" w:themeColor="text1"/>
                <w:spacing w:val="-2"/>
              </w:rPr>
              <w:t>wytworzenie nowych specjalistycznych miejsc pracy,</w:t>
            </w:r>
            <w:r w:rsidR="00BE1663" w:rsidRPr="00080920">
              <w:rPr>
                <w:rFonts w:ascii="Times New Roman" w:eastAsia="Calibri" w:hAnsi="Times New Roman" w:cs="Times New Roman"/>
                <w:color w:val="000000" w:themeColor="text1"/>
                <w:spacing w:val="-2"/>
              </w:rPr>
              <w:t xml:space="preserve"> oraz</w:t>
            </w:r>
            <w:r w:rsidRPr="00067989">
              <w:rPr>
                <w:rFonts w:ascii="Times New Roman" w:eastAsia="Calibri" w:hAnsi="Times New Roman" w:cs="Times New Roman"/>
                <w:color w:val="000000" w:themeColor="text1"/>
                <w:spacing w:val="-2"/>
              </w:rPr>
              <w:t xml:space="preserve"> przekwalifikowanie </w:t>
            </w:r>
            <w:r w:rsidR="00BE1663" w:rsidRPr="00067989">
              <w:rPr>
                <w:rFonts w:ascii="Times New Roman" w:eastAsia="Calibri" w:hAnsi="Times New Roman" w:cs="Times New Roman"/>
                <w:color w:val="000000" w:themeColor="text1"/>
                <w:spacing w:val="-2"/>
              </w:rPr>
              <w:t xml:space="preserve">części </w:t>
            </w:r>
            <w:r w:rsidRPr="00067989">
              <w:rPr>
                <w:rFonts w:ascii="Times New Roman" w:eastAsia="Calibri" w:hAnsi="Times New Roman" w:cs="Times New Roman"/>
                <w:color w:val="000000" w:themeColor="text1"/>
                <w:spacing w:val="-2"/>
              </w:rPr>
              <w:t>pracowników Poczty Polskiej</w:t>
            </w:r>
            <w:r w:rsidR="00BE1663" w:rsidRPr="00067989">
              <w:rPr>
                <w:rFonts w:ascii="Times New Roman" w:eastAsia="Calibri" w:hAnsi="Times New Roman" w:cs="Times New Roman"/>
                <w:color w:val="000000" w:themeColor="text1"/>
                <w:spacing w:val="-2"/>
              </w:rPr>
              <w:t xml:space="preserve"> zatrudnionych przy obsłudze tradycyjnych przesyłek listowych</w:t>
            </w:r>
            <w:r w:rsidR="00493D06" w:rsidRPr="00067989">
              <w:rPr>
                <w:rFonts w:ascii="Times New Roman" w:eastAsia="Calibri" w:hAnsi="Times New Roman" w:cs="Times New Roman"/>
                <w:color w:val="000000" w:themeColor="text1"/>
                <w:spacing w:val="-2"/>
              </w:rPr>
              <w:t>;</w:t>
            </w:r>
          </w:p>
          <w:p w14:paraId="773460B7" w14:textId="77777777" w:rsidR="00030B65" w:rsidRPr="00067989" w:rsidRDefault="00030B65" w:rsidP="00067989">
            <w:pPr>
              <w:numPr>
                <w:ilvl w:val="0"/>
                <w:numId w:val="16"/>
              </w:numPr>
              <w:spacing w:before="60" w:after="60"/>
              <w:contextualSpacing/>
              <w:rPr>
                <w:rFonts w:ascii="Times New Roman" w:eastAsia="Calibri" w:hAnsi="Times New Roman" w:cs="Times New Roman"/>
                <w:color w:val="000000" w:themeColor="text1"/>
                <w:spacing w:val="-2"/>
              </w:rPr>
            </w:pPr>
            <w:r w:rsidRPr="00067989">
              <w:rPr>
                <w:rFonts w:ascii="Times New Roman" w:eastAsia="Calibri" w:hAnsi="Times New Roman" w:cs="Times New Roman"/>
                <w:color w:val="000000" w:themeColor="text1"/>
                <w:spacing w:val="-2"/>
              </w:rPr>
              <w:t>u</w:t>
            </w:r>
            <w:r w:rsidR="00BE1663" w:rsidRPr="00067989">
              <w:rPr>
                <w:rFonts w:ascii="Times New Roman" w:eastAsia="Calibri" w:hAnsi="Times New Roman" w:cs="Times New Roman"/>
                <w:color w:val="000000" w:themeColor="text1"/>
                <w:spacing w:val="-2"/>
              </w:rPr>
              <w:t>dział</w:t>
            </w:r>
            <w:r w:rsidRPr="00067989">
              <w:rPr>
                <w:rFonts w:ascii="Times New Roman" w:eastAsia="Calibri" w:hAnsi="Times New Roman" w:cs="Times New Roman"/>
                <w:color w:val="000000" w:themeColor="text1"/>
                <w:spacing w:val="-2"/>
              </w:rPr>
              <w:t xml:space="preserve"> przedsiębiorc</w:t>
            </w:r>
            <w:r w:rsidR="00BE1663" w:rsidRPr="00067989">
              <w:rPr>
                <w:rFonts w:ascii="Times New Roman" w:eastAsia="Calibri" w:hAnsi="Times New Roman" w:cs="Times New Roman"/>
                <w:color w:val="000000" w:themeColor="text1"/>
                <w:spacing w:val="-2"/>
              </w:rPr>
              <w:t>y</w:t>
            </w:r>
            <w:r w:rsidRPr="00067989">
              <w:rPr>
                <w:rFonts w:ascii="Times New Roman" w:eastAsia="Calibri" w:hAnsi="Times New Roman" w:cs="Times New Roman"/>
                <w:color w:val="000000" w:themeColor="text1"/>
                <w:spacing w:val="-2"/>
              </w:rPr>
              <w:t xml:space="preserve"> w</w:t>
            </w:r>
            <w:r w:rsidR="00AB04E9">
              <w:rPr>
                <w:rFonts w:ascii="Times New Roman" w:eastAsia="Calibri" w:hAnsi="Times New Roman" w:cs="Times New Roman"/>
                <w:color w:val="000000" w:themeColor="text1"/>
                <w:spacing w:val="-2"/>
              </w:rPr>
              <w:t xml:space="preserve"> </w:t>
            </w:r>
            <w:r w:rsidRPr="00067989">
              <w:rPr>
                <w:rFonts w:ascii="Times New Roman" w:eastAsia="Calibri" w:hAnsi="Times New Roman" w:cs="Times New Roman"/>
                <w:color w:val="000000" w:themeColor="text1"/>
                <w:spacing w:val="-2"/>
              </w:rPr>
              <w:t>procesie cyfryzacji państwa, jako kluczowy partner</w:t>
            </w:r>
            <w:r w:rsidR="00493D06" w:rsidRPr="00067989">
              <w:rPr>
                <w:rFonts w:ascii="Times New Roman" w:eastAsia="Calibri" w:hAnsi="Times New Roman" w:cs="Times New Roman"/>
                <w:color w:val="000000" w:themeColor="text1"/>
                <w:spacing w:val="-2"/>
              </w:rPr>
              <w:t>;</w:t>
            </w:r>
          </w:p>
          <w:p w14:paraId="2F6F4D22" w14:textId="77777777" w:rsidR="00030B65" w:rsidRPr="00067989" w:rsidRDefault="00030B65" w:rsidP="008A3FA9">
            <w:pPr>
              <w:numPr>
                <w:ilvl w:val="0"/>
                <w:numId w:val="16"/>
              </w:numPr>
              <w:spacing w:before="60" w:after="60"/>
              <w:contextualSpacing/>
              <w:rPr>
                <w:rStyle w:val="Odwoaniedokomentarza"/>
                <w:rFonts w:ascii="Times New Roman" w:hAnsi="Times New Roman" w:cs="Times New Roman"/>
                <w:color w:val="000000" w:themeColor="text1"/>
                <w:sz w:val="22"/>
                <w:szCs w:val="22"/>
              </w:rPr>
            </w:pPr>
            <w:r w:rsidRPr="00067989">
              <w:rPr>
                <w:rFonts w:ascii="Times New Roman" w:eastAsia="Calibri" w:hAnsi="Times New Roman" w:cs="Times New Roman"/>
                <w:color w:val="000000" w:themeColor="text1"/>
                <w:spacing w:val="-2"/>
              </w:rPr>
              <w:t xml:space="preserve">poniesienie dodatkowych kosztów związanych z dostosowaniem systemu </w:t>
            </w:r>
            <w:r w:rsidR="00BE1663" w:rsidRPr="00067989">
              <w:rPr>
                <w:rFonts w:ascii="Times New Roman" w:eastAsia="Calibri" w:hAnsi="Times New Roman" w:cs="Times New Roman"/>
                <w:color w:val="000000" w:themeColor="text1"/>
                <w:spacing w:val="-2"/>
              </w:rPr>
              <w:t xml:space="preserve">informatycznego </w:t>
            </w:r>
            <w:r w:rsidRPr="00067989">
              <w:rPr>
                <w:rFonts w:ascii="Times New Roman" w:eastAsia="Calibri" w:hAnsi="Times New Roman" w:cs="Times New Roman"/>
                <w:color w:val="000000" w:themeColor="text1"/>
                <w:spacing w:val="-2"/>
              </w:rPr>
              <w:t>oraz jego utrzymania po stronie Poczty Polskiej S.A.</w:t>
            </w:r>
          </w:p>
        </w:tc>
      </w:tr>
      <w:tr w:rsidR="005C3FCE" w:rsidRPr="00067989" w14:paraId="218FBE21" w14:textId="77777777" w:rsidTr="008A3FA9">
        <w:trPr>
          <w:gridAfter w:val="1"/>
          <w:wAfter w:w="61" w:type="dxa"/>
          <w:trHeight w:val="302"/>
          <w:jc w:val="center"/>
        </w:trPr>
        <w:tc>
          <w:tcPr>
            <w:tcW w:w="10566" w:type="dxa"/>
            <w:gridSpan w:val="28"/>
            <w:shd w:val="clear" w:color="auto" w:fill="99CCFF"/>
            <w:vAlign w:val="center"/>
          </w:tcPr>
          <w:p w14:paraId="770F507D" w14:textId="77777777" w:rsidR="006A701A" w:rsidRPr="00067989" w:rsidRDefault="001B3460" w:rsidP="00067989">
            <w:pPr>
              <w:numPr>
                <w:ilvl w:val="0"/>
                <w:numId w:val="1"/>
              </w:numPr>
              <w:spacing w:before="60" w:after="60"/>
              <w:ind w:left="318" w:hanging="284"/>
              <w:rPr>
                <w:rFonts w:ascii="Times New Roman" w:hAnsi="Times New Roman" w:cs="Times New Roman"/>
                <w:b/>
                <w:color w:val="000000" w:themeColor="text1"/>
              </w:rPr>
            </w:pPr>
            <w:r w:rsidRPr="00067989">
              <w:rPr>
                <w:rFonts w:ascii="Times New Roman" w:hAnsi="Times New Roman" w:cs="Times New Roman"/>
                <w:b/>
                <w:color w:val="000000" w:themeColor="text1"/>
              </w:rPr>
              <w:t>Informacje na temat zakresu</w:t>
            </w:r>
            <w:r w:rsidR="0076658F" w:rsidRPr="00067989">
              <w:rPr>
                <w:rFonts w:ascii="Times New Roman" w:hAnsi="Times New Roman" w:cs="Times New Roman"/>
                <w:b/>
                <w:color w:val="000000" w:themeColor="text1"/>
              </w:rPr>
              <w:t>,</w:t>
            </w:r>
            <w:r w:rsidRPr="00067989">
              <w:rPr>
                <w:rFonts w:ascii="Times New Roman" w:hAnsi="Times New Roman" w:cs="Times New Roman"/>
                <w:b/>
                <w:color w:val="000000" w:themeColor="text1"/>
              </w:rPr>
              <w:t xml:space="preserve"> czasu trwania </w:t>
            </w:r>
            <w:r w:rsidR="0076658F" w:rsidRPr="00067989">
              <w:rPr>
                <w:rFonts w:ascii="Times New Roman" w:hAnsi="Times New Roman" w:cs="Times New Roman"/>
                <w:b/>
                <w:color w:val="000000" w:themeColor="text1"/>
              </w:rPr>
              <w:t xml:space="preserve">i podsumowanie wyników </w:t>
            </w:r>
            <w:r w:rsidRPr="00067989">
              <w:rPr>
                <w:rFonts w:ascii="Times New Roman" w:hAnsi="Times New Roman" w:cs="Times New Roman"/>
                <w:b/>
                <w:color w:val="000000" w:themeColor="text1"/>
              </w:rPr>
              <w:t>konsultacji</w:t>
            </w:r>
          </w:p>
        </w:tc>
      </w:tr>
      <w:tr w:rsidR="005C3FCE" w:rsidRPr="00067989" w14:paraId="7090FE5B" w14:textId="77777777" w:rsidTr="008A3FA9">
        <w:trPr>
          <w:gridAfter w:val="1"/>
          <w:wAfter w:w="61" w:type="dxa"/>
          <w:trHeight w:val="342"/>
          <w:jc w:val="center"/>
        </w:trPr>
        <w:tc>
          <w:tcPr>
            <w:tcW w:w="10566" w:type="dxa"/>
            <w:gridSpan w:val="28"/>
            <w:shd w:val="clear" w:color="auto" w:fill="FFFFFF"/>
          </w:tcPr>
          <w:p w14:paraId="227DAF10" w14:textId="77777777" w:rsidR="00FE18E9" w:rsidRPr="00067989" w:rsidRDefault="00FE18E9" w:rsidP="00067989">
            <w:pPr>
              <w:spacing w:before="60" w:after="60"/>
              <w:jc w:val="both"/>
              <w:rPr>
                <w:rFonts w:ascii="Times New Roman" w:hAnsi="Times New Roman" w:cs="Times New Roman"/>
                <w:color w:val="000000" w:themeColor="text1"/>
              </w:rPr>
            </w:pPr>
            <w:r w:rsidRPr="00067989">
              <w:rPr>
                <w:rFonts w:ascii="Times New Roman" w:hAnsi="Times New Roman" w:cs="Times New Roman"/>
                <w:bCs/>
                <w:color w:val="000000" w:themeColor="text1"/>
              </w:rPr>
              <w:t xml:space="preserve">Projekt ustawy o </w:t>
            </w:r>
            <w:r w:rsidR="00845246" w:rsidRPr="00067989">
              <w:rPr>
                <w:rFonts w:ascii="Times New Roman" w:hAnsi="Times New Roman" w:cs="Times New Roman"/>
                <w:bCs/>
                <w:color w:val="000000" w:themeColor="text1"/>
              </w:rPr>
              <w:t>doręczeniach elektronicznych</w:t>
            </w:r>
            <w:r w:rsidRPr="00067989">
              <w:rPr>
                <w:rFonts w:ascii="Times New Roman" w:hAnsi="Times New Roman" w:cs="Times New Roman"/>
                <w:bCs/>
                <w:color w:val="000000" w:themeColor="text1"/>
              </w:rPr>
              <w:t xml:space="preserve"> (poprzedni tytuł: projekt ustawy o elektronizacji doręczeń oraz o zmianie niektórych innych ustaw) </w:t>
            </w:r>
            <w:r w:rsidRPr="00067989">
              <w:rPr>
                <w:rFonts w:ascii="Times New Roman" w:hAnsi="Times New Roman" w:cs="Times New Roman"/>
                <w:color w:val="000000" w:themeColor="text1"/>
              </w:rPr>
              <w:t xml:space="preserve">w dniach 13 lutego oraz 22 lutego 2019 r. został skierowany do konsultacji </w:t>
            </w:r>
            <w:r w:rsidRPr="00067989">
              <w:rPr>
                <w:rFonts w:ascii="Times New Roman" w:hAnsi="Times New Roman" w:cs="Times New Roman"/>
                <w:color w:val="000000" w:themeColor="text1"/>
              </w:rPr>
              <w:lastRenderedPageBreak/>
              <w:t>publicznych i</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 xml:space="preserve">opiniowania poprzez udostępnienie w Biuletynie Informacji Publicznej Rządowego Centrum Legislacji w serwisie „Rządowy Proces Legislacyjny” </w:t>
            </w:r>
            <w:r w:rsidRPr="00067989">
              <w:rPr>
                <w:rFonts w:ascii="Times New Roman" w:hAnsi="Times New Roman" w:cs="Times New Roman"/>
                <w:color w:val="000000" w:themeColor="text1"/>
                <w:spacing w:val="-2"/>
              </w:rPr>
              <w:t>oraz w Biuletynie Informacji Publicznej na stronie podmiotowej Ministra Cyfryzacji</w:t>
            </w:r>
            <w:r w:rsidRPr="00067989">
              <w:rPr>
                <w:rFonts w:ascii="Times New Roman" w:hAnsi="Times New Roman" w:cs="Times New Roman"/>
                <w:color w:val="000000" w:themeColor="text1"/>
              </w:rPr>
              <w:t>, w celu zapoznania się z nim przez wszystkie zainteresowane podmioty oraz przesłany niżej wymienionym instytucjom, a także został rozesłany do zainteresowanych podmiotów.</w:t>
            </w:r>
          </w:p>
          <w:p w14:paraId="4AB1BFB2" w14:textId="77777777" w:rsidR="00FE18E9" w:rsidRPr="009341A8" w:rsidRDefault="00FE18E9" w:rsidP="00067989">
            <w:pPr>
              <w:spacing w:before="60" w:after="60"/>
              <w:jc w:val="both"/>
              <w:rPr>
                <w:rFonts w:ascii="Times New Roman" w:hAnsi="Times New Roman" w:cs="Times New Roman"/>
                <w:bCs/>
                <w:color w:val="000000" w:themeColor="text1"/>
              </w:rPr>
            </w:pPr>
            <w:r w:rsidRPr="00284114">
              <w:rPr>
                <w:rFonts w:ascii="Times New Roman" w:hAnsi="Times New Roman" w:cs="Times New Roman"/>
                <w:color w:val="000000" w:themeColor="text1"/>
                <w:spacing w:val="-2"/>
              </w:rPr>
              <w:t xml:space="preserve">W ramach konsultacji publicznych i opiniowania projekt został skierowany </w:t>
            </w:r>
            <w:r w:rsidRPr="009341A8">
              <w:rPr>
                <w:rFonts w:ascii="Times New Roman" w:hAnsi="Times New Roman" w:cs="Times New Roman"/>
                <w:color w:val="000000" w:themeColor="text1"/>
              </w:rPr>
              <w:t xml:space="preserve">13 lutego 2019 r. </w:t>
            </w:r>
            <w:r w:rsidRPr="009341A8">
              <w:rPr>
                <w:rFonts w:ascii="Times New Roman" w:hAnsi="Times New Roman" w:cs="Times New Roman"/>
                <w:color w:val="000000" w:themeColor="text1"/>
                <w:spacing w:val="-2"/>
              </w:rPr>
              <w:t>na 14 dni do następujących podmiotów:</w:t>
            </w:r>
          </w:p>
          <w:p w14:paraId="2013E310"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9341A8">
              <w:rPr>
                <w:rFonts w:ascii="Times New Roman" w:hAnsi="Times New Roman" w:cs="Times New Roman"/>
                <w:color w:val="000000" w:themeColor="text1"/>
                <w:lang w:eastAsia="pl-PL"/>
              </w:rPr>
              <w:t>1)</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Prezes Urzędu Komunikacji Elektronicznej</w:t>
            </w:r>
            <w:r w:rsidR="00493D06" w:rsidRPr="00067989">
              <w:rPr>
                <w:rFonts w:ascii="Times New Roman" w:hAnsi="Times New Roman" w:cs="Times New Roman"/>
                <w:color w:val="000000" w:themeColor="text1"/>
                <w:lang w:eastAsia="pl-PL"/>
              </w:rPr>
              <w:t>;</w:t>
            </w:r>
          </w:p>
          <w:p w14:paraId="35FA96A8"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2)</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Prezes Urzędu Regulacji Energetyki</w:t>
            </w:r>
            <w:r w:rsidR="00493D06" w:rsidRPr="00067989">
              <w:rPr>
                <w:rFonts w:ascii="Times New Roman" w:hAnsi="Times New Roman" w:cs="Times New Roman"/>
                <w:color w:val="000000" w:themeColor="text1"/>
                <w:lang w:eastAsia="pl-PL"/>
              </w:rPr>
              <w:t>;</w:t>
            </w:r>
          </w:p>
          <w:p w14:paraId="69728D8F"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3)</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Prezes Urzędu Ochrony Konkurencji i Konsumentów</w:t>
            </w:r>
            <w:r w:rsidR="00493D06" w:rsidRPr="00067989">
              <w:rPr>
                <w:rFonts w:ascii="Times New Roman" w:hAnsi="Times New Roman" w:cs="Times New Roman"/>
                <w:color w:val="000000" w:themeColor="text1"/>
                <w:lang w:eastAsia="pl-PL"/>
              </w:rPr>
              <w:t>;</w:t>
            </w:r>
          </w:p>
          <w:p w14:paraId="6AADA1AE"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4)</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Prezes Urzędu Ochrony Danych Osobowych</w:t>
            </w:r>
            <w:r w:rsidR="00493D06" w:rsidRPr="00067989">
              <w:rPr>
                <w:rFonts w:ascii="Times New Roman" w:hAnsi="Times New Roman" w:cs="Times New Roman"/>
                <w:color w:val="000000" w:themeColor="text1"/>
                <w:lang w:eastAsia="pl-PL"/>
              </w:rPr>
              <w:t>;</w:t>
            </w:r>
          </w:p>
          <w:p w14:paraId="22207E48"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5)</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Prezes Głównego Urzędu Statystycznego</w:t>
            </w:r>
            <w:r w:rsidR="00493D06" w:rsidRPr="00067989">
              <w:rPr>
                <w:rFonts w:ascii="Times New Roman" w:hAnsi="Times New Roman" w:cs="Times New Roman"/>
                <w:color w:val="000000" w:themeColor="text1"/>
                <w:lang w:eastAsia="pl-PL"/>
              </w:rPr>
              <w:t>;</w:t>
            </w:r>
          </w:p>
          <w:p w14:paraId="5399637A"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6)</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Główny Geodeta Kraju</w:t>
            </w:r>
            <w:r w:rsidR="00493D06" w:rsidRPr="00067989">
              <w:rPr>
                <w:rFonts w:ascii="Times New Roman" w:hAnsi="Times New Roman" w:cs="Times New Roman"/>
                <w:color w:val="000000" w:themeColor="text1"/>
                <w:lang w:eastAsia="pl-PL"/>
              </w:rPr>
              <w:t>;</w:t>
            </w:r>
          </w:p>
          <w:p w14:paraId="3E8A188F"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7)</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Prezes Urzędu Zamówień Publicznych</w:t>
            </w:r>
            <w:r w:rsidR="00493D06" w:rsidRPr="00067989">
              <w:rPr>
                <w:rFonts w:ascii="Times New Roman" w:hAnsi="Times New Roman" w:cs="Times New Roman"/>
                <w:color w:val="000000" w:themeColor="text1"/>
                <w:lang w:eastAsia="pl-PL"/>
              </w:rPr>
              <w:t>;</w:t>
            </w:r>
          </w:p>
          <w:p w14:paraId="52DD0C9A"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8)</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Główny Inspektor Sanitarny</w:t>
            </w:r>
            <w:r w:rsidR="00493D06" w:rsidRPr="00067989">
              <w:rPr>
                <w:rFonts w:ascii="Times New Roman" w:hAnsi="Times New Roman" w:cs="Times New Roman"/>
                <w:color w:val="000000" w:themeColor="text1"/>
                <w:lang w:eastAsia="pl-PL"/>
              </w:rPr>
              <w:t>;</w:t>
            </w:r>
          </w:p>
          <w:p w14:paraId="053943F2"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9)</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Główny Inspektor Nadzoru Budowlanego</w:t>
            </w:r>
            <w:r w:rsidR="00493D06" w:rsidRPr="00067989">
              <w:rPr>
                <w:rFonts w:ascii="Times New Roman" w:hAnsi="Times New Roman" w:cs="Times New Roman"/>
                <w:color w:val="000000" w:themeColor="text1"/>
                <w:lang w:eastAsia="pl-PL"/>
              </w:rPr>
              <w:t>;</w:t>
            </w:r>
          </w:p>
          <w:p w14:paraId="00F03FC8"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10)</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Prezes Urzędu Dozoru Technicznego</w:t>
            </w:r>
            <w:r w:rsidR="00493D06" w:rsidRPr="00067989">
              <w:rPr>
                <w:rFonts w:ascii="Times New Roman" w:hAnsi="Times New Roman" w:cs="Times New Roman"/>
                <w:color w:val="000000" w:themeColor="text1"/>
                <w:lang w:eastAsia="pl-PL"/>
              </w:rPr>
              <w:t>;</w:t>
            </w:r>
          </w:p>
          <w:p w14:paraId="1BCB9D39"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11)</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Naczelny Dyrektor Archiwów Państwowych</w:t>
            </w:r>
            <w:r w:rsidR="00493D06" w:rsidRPr="00067989">
              <w:rPr>
                <w:rFonts w:ascii="Times New Roman" w:hAnsi="Times New Roman" w:cs="Times New Roman"/>
                <w:color w:val="000000" w:themeColor="text1"/>
                <w:lang w:eastAsia="pl-PL"/>
              </w:rPr>
              <w:t>;</w:t>
            </w:r>
          </w:p>
          <w:p w14:paraId="6D5B44B5"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12)</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Generalny Inspektor Ochrony Środowiska</w:t>
            </w:r>
            <w:r w:rsidR="00493D06" w:rsidRPr="00067989">
              <w:rPr>
                <w:rFonts w:ascii="Times New Roman" w:hAnsi="Times New Roman" w:cs="Times New Roman"/>
                <w:color w:val="000000" w:themeColor="text1"/>
                <w:lang w:eastAsia="pl-PL"/>
              </w:rPr>
              <w:t>;</w:t>
            </w:r>
          </w:p>
          <w:p w14:paraId="6167D783"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13)</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Prezes Naczelnego Sądu Administracyjnego</w:t>
            </w:r>
            <w:r w:rsidR="00493D06" w:rsidRPr="00067989">
              <w:rPr>
                <w:rFonts w:ascii="Times New Roman" w:hAnsi="Times New Roman" w:cs="Times New Roman"/>
                <w:color w:val="000000" w:themeColor="text1"/>
                <w:lang w:eastAsia="pl-PL"/>
              </w:rPr>
              <w:t>;</w:t>
            </w:r>
          </w:p>
          <w:p w14:paraId="67C3B9A5"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14)</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Prezes Zakładu Ubezpieczeń Społecznych</w:t>
            </w:r>
            <w:r w:rsidR="00493D06" w:rsidRPr="00067989">
              <w:rPr>
                <w:rFonts w:ascii="Times New Roman" w:hAnsi="Times New Roman" w:cs="Times New Roman"/>
                <w:color w:val="000000" w:themeColor="text1"/>
                <w:lang w:eastAsia="pl-PL"/>
              </w:rPr>
              <w:t>;</w:t>
            </w:r>
          </w:p>
          <w:p w14:paraId="5AB5CED9"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15)</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Prezes Kasy Rolniczego Ubezpieczenia Społecznego</w:t>
            </w:r>
            <w:r w:rsidR="00493D06" w:rsidRPr="00067989">
              <w:rPr>
                <w:rFonts w:ascii="Times New Roman" w:hAnsi="Times New Roman" w:cs="Times New Roman"/>
                <w:color w:val="000000" w:themeColor="text1"/>
                <w:lang w:eastAsia="pl-PL"/>
              </w:rPr>
              <w:t>;</w:t>
            </w:r>
          </w:p>
          <w:p w14:paraId="0BCD47DB"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16)</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Szef Agencji Bezpieczeństwa Wewnętrznego</w:t>
            </w:r>
            <w:r w:rsidR="00493D06" w:rsidRPr="00067989">
              <w:rPr>
                <w:rFonts w:ascii="Times New Roman" w:hAnsi="Times New Roman" w:cs="Times New Roman"/>
                <w:color w:val="000000" w:themeColor="text1"/>
                <w:lang w:eastAsia="pl-PL"/>
              </w:rPr>
              <w:t>;</w:t>
            </w:r>
          </w:p>
          <w:p w14:paraId="5D4A5B0C"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17)</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Szef Agencji Wywiadu</w:t>
            </w:r>
            <w:r w:rsidR="00493D06" w:rsidRPr="00067989">
              <w:rPr>
                <w:rFonts w:ascii="Times New Roman" w:hAnsi="Times New Roman" w:cs="Times New Roman"/>
                <w:color w:val="000000" w:themeColor="text1"/>
                <w:lang w:eastAsia="pl-PL"/>
              </w:rPr>
              <w:t>;</w:t>
            </w:r>
          </w:p>
          <w:p w14:paraId="0893C7EF"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18)</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Szef Centralnego Biura Antykorupcyjnego</w:t>
            </w:r>
            <w:r w:rsidR="00493D06" w:rsidRPr="00067989">
              <w:rPr>
                <w:rFonts w:ascii="Times New Roman" w:hAnsi="Times New Roman" w:cs="Times New Roman"/>
                <w:color w:val="000000" w:themeColor="text1"/>
                <w:lang w:eastAsia="pl-PL"/>
              </w:rPr>
              <w:t>;</w:t>
            </w:r>
          </w:p>
          <w:p w14:paraId="2869D6DF"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19)</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Szef Służby Kontrwywiadu Wojskowego</w:t>
            </w:r>
            <w:r w:rsidR="00493D06" w:rsidRPr="00067989">
              <w:rPr>
                <w:rFonts w:ascii="Times New Roman" w:hAnsi="Times New Roman" w:cs="Times New Roman"/>
                <w:color w:val="000000" w:themeColor="text1"/>
                <w:lang w:eastAsia="pl-PL"/>
              </w:rPr>
              <w:t>;</w:t>
            </w:r>
          </w:p>
          <w:p w14:paraId="7F64E194"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20)</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Szef Służby Wywiadu Wojskowego</w:t>
            </w:r>
            <w:r w:rsidR="00493D06" w:rsidRPr="00067989">
              <w:rPr>
                <w:rFonts w:ascii="Times New Roman" w:hAnsi="Times New Roman" w:cs="Times New Roman"/>
                <w:color w:val="000000" w:themeColor="text1"/>
                <w:lang w:eastAsia="pl-PL"/>
              </w:rPr>
              <w:t>;</w:t>
            </w:r>
          </w:p>
          <w:p w14:paraId="5C2EF049"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21)</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Prezes Sądu Najwyższego</w:t>
            </w:r>
            <w:r w:rsidR="00493D06" w:rsidRPr="00067989">
              <w:rPr>
                <w:rFonts w:ascii="Times New Roman" w:hAnsi="Times New Roman" w:cs="Times New Roman"/>
                <w:color w:val="000000" w:themeColor="text1"/>
                <w:lang w:eastAsia="pl-PL"/>
              </w:rPr>
              <w:t>;</w:t>
            </w:r>
          </w:p>
          <w:p w14:paraId="0FC514BD"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22)</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Prezes Agencji Restrukturyzacji i Modernizacji Rolnictwa</w:t>
            </w:r>
            <w:r w:rsidR="00493D06" w:rsidRPr="00067989">
              <w:rPr>
                <w:rFonts w:ascii="Times New Roman" w:hAnsi="Times New Roman" w:cs="Times New Roman"/>
                <w:color w:val="000000" w:themeColor="text1"/>
                <w:lang w:eastAsia="pl-PL"/>
              </w:rPr>
              <w:t>;</w:t>
            </w:r>
          </w:p>
          <w:p w14:paraId="16B93F93"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23)</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Polska Izba Informatyki i Telekomunikacji</w:t>
            </w:r>
            <w:r w:rsidR="00493D06" w:rsidRPr="00067989">
              <w:rPr>
                <w:rFonts w:ascii="Times New Roman" w:hAnsi="Times New Roman" w:cs="Times New Roman"/>
                <w:color w:val="000000" w:themeColor="text1"/>
                <w:lang w:eastAsia="pl-PL"/>
              </w:rPr>
              <w:t>;</w:t>
            </w:r>
          </w:p>
          <w:p w14:paraId="5BC8A49F"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24)</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Krajowa Izba Gospodarcza Elektroniki i Telekomunikacji</w:t>
            </w:r>
            <w:r w:rsidR="00493D06" w:rsidRPr="00067989">
              <w:rPr>
                <w:rFonts w:ascii="Times New Roman" w:hAnsi="Times New Roman" w:cs="Times New Roman"/>
                <w:color w:val="000000" w:themeColor="text1"/>
                <w:lang w:eastAsia="pl-PL"/>
              </w:rPr>
              <w:t>;</w:t>
            </w:r>
          </w:p>
          <w:p w14:paraId="3B6046C5"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25)</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Polska Izba Komunikacji Elektronicznej</w:t>
            </w:r>
            <w:r w:rsidR="00493D06" w:rsidRPr="00067989">
              <w:rPr>
                <w:rFonts w:ascii="Times New Roman" w:hAnsi="Times New Roman" w:cs="Times New Roman"/>
                <w:color w:val="000000" w:themeColor="text1"/>
                <w:lang w:eastAsia="pl-PL"/>
              </w:rPr>
              <w:t>;</w:t>
            </w:r>
          </w:p>
          <w:p w14:paraId="7787D9B1"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26)</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Krajowa Izba Gospodarcza</w:t>
            </w:r>
            <w:r w:rsidR="00493D06" w:rsidRPr="00067989">
              <w:rPr>
                <w:rFonts w:ascii="Times New Roman" w:hAnsi="Times New Roman" w:cs="Times New Roman"/>
                <w:color w:val="000000" w:themeColor="text1"/>
                <w:lang w:eastAsia="pl-PL"/>
              </w:rPr>
              <w:t>;</w:t>
            </w:r>
          </w:p>
          <w:p w14:paraId="31B74B3F"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27)</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Krajowa Izba Komunikacji Internetowej</w:t>
            </w:r>
            <w:r w:rsidR="00493D06" w:rsidRPr="00067989">
              <w:rPr>
                <w:rFonts w:ascii="Times New Roman" w:hAnsi="Times New Roman" w:cs="Times New Roman"/>
                <w:color w:val="000000" w:themeColor="text1"/>
                <w:lang w:eastAsia="pl-PL"/>
              </w:rPr>
              <w:t>;</w:t>
            </w:r>
          </w:p>
          <w:p w14:paraId="5FCE71BF"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28)</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Polska Izba Radiodyfuzji Cyfrowej</w:t>
            </w:r>
            <w:r w:rsidR="00493D06" w:rsidRPr="00067989">
              <w:rPr>
                <w:rFonts w:ascii="Times New Roman" w:hAnsi="Times New Roman" w:cs="Times New Roman"/>
                <w:color w:val="000000" w:themeColor="text1"/>
                <w:lang w:eastAsia="pl-PL"/>
              </w:rPr>
              <w:t>;</w:t>
            </w:r>
          </w:p>
          <w:p w14:paraId="0DEE9FA1"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29</w:t>
            </w:r>
            <w:r w:rsidR="00067989" w:rsidRPr="00067989">
              <w:rPr>
                <w:rFonts w:ascii="Times New Roman" w:hAnsi="Times New Roman" w:cs="Times New Roman"/>
                <w:color w:val="000000" w:themeColor="text1"/>
                <w:lang w:eastAsia="pl-PL"/>
              </w:rPr>
              <w:t>)</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Polska Izba Handlu</w:t>
            </w:r>
            <w:r w:rsidR="00493D06" w:rsidRPr="00067989">
              <w:rPr>
                <w:rFonts w:ascii="Times New Roman" w:hAnsi="Times New Roman" w:cs="Times New Roman"/>
                <w:color w:val="000000" w:themeColor="text1"/>
                <w:lang w:eastAsia="pl-PL"/>
              </w:rPr>
              <w:t>;</w:t>
            </w:r>
          </w:p>
          <w:p w14:paraId="166EA4E7"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30</w:t>
            </w:r>
            <w:r w:rsidR="00067989" w:rsidRPr="00067989">
              <w:rPr>
                <w:rFonts w:ascii="Times New Roman" w:hAnsi="Times New Roman" w:cs="Times New Roman"/>
                <w:color w:val="000000" w:themeColor="text1"/>
                <w:lang w:eastAsia="pl-PL"/>
              </w:rPr>
              <w:t>)</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Związek Banków Polskich</w:t>
            </w:r>
            <w:r w:rsidR="00493D06" w:rsidRPr="00067989">
              <w:rPr>
                <w:rFonts w:ascii="Times New Roman" w:hAnsi="Times New Roman" w:cs="Times New Roman"/>
                <w:color w:val="000000" w:themeColor="text1"/>
                <w:lang w:eastAsia="pl-PL"/>
              </w:rPr>
              <w:t>;</w:t>
            </w:r>
          </w:p>
          <w:p w14:paraId="2DB8FB59"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31</w:t>
            </w:r>
            <w:r w:rsidR="00067989" w:rsidRPr="00067989">
              <w:rPr>
                <w:rFonts w:ascii="Times New Roman" w:hAnsi="Times New Roman" w:cs="Times New Roman"/>
                <w:color w:val="000000" w:themeColor="text1"/>
                <w:lang w:eastAsia="pl-PL"/>
              </w:rPr>
              <w:t>)</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Fundacja Bezpieczna Cyberprzestrzeń</w:t>
            </w:r>
            <w:r w:rsidR="00493D06" w:rsidRPr="00067989">
              <w:rPr>
                <w:rFonts w:ascii="Times New Roman" w:hAnsi="Times New Roman" w:cs="Times New Roman"/>
                <w:color w:val="000000" w:themeColor="text1"/>
                <w:lang w:eastAsia="pl-PL"/>
              </w:rPr>
              <w:t>;</w:t>
            </w:r>
          </w:p>
          <w:p w14:paraId="2C8F5F79"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32</w:t>
            </w:r>
            <w:r w:rsidR="00067989" w:rsidRPr="00067989">
              <w:rPr>
                <w:rFonts w:ascii="Times New Roman" w:hAnsi="Times New Roman" w:cs="Times New Roman"/>
                <w:color w:val="000000" w:themeColor="text1"/>
                <w:lang w:eastAsia="pl-PL"/>
              </w:rPr>
              <w:t>)</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Polskie Towarzystwo Informatyczne</w:t>
            </w:r>
            <w:r w:rsidR="00493D06" w:rsidRPr="00067989">
              <w:rPr>
                <w:rFonts w:ascii="Times New Roman" w:hAnsi="Times New Roman" w:cs="Times New Roman"/>
                <w:color w:val="000000" w:themeColor="text1"/>
                <w:lang w:eastAsia="pl-PL"/>
              </w:rPr>
              <w:t>;</w:t>
            </w:r>
          </w:p>
          <w:p w14:paraId="134E6C24"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33</w:t>
            </w:r>
            <w:r w:rsidR="00067989" w:rsidRPr="00067989">
              <w:rPr>
                <w:rFonts w:ascii="Times New Roman" w:hAnsi="Times New Roman" w:cs="Times New Roman"/>
                <w:color w:val="000000" w:themeColor="text1"/>
                <w:lang w:eastAsia="pl-PL"/>
              </w:rPr>
              <w:t>)</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Fundacja Nowoczesna Polska</w:t>
            </w:r>
            <w:r w:rsidR="00493D06" w:rsidRPr="00067989">
              <w:rPr>
                <w:rFonts w:ascii="Times New Roman" w:hAnsi="Times New Roman" w:cs="Times New Roman"/>
                <w:color w:val="000000" w:themeColor="text1"/>
                <w:lang w:eastAsia="pl-PL"/>
              </w:rPr>
              <w:t>;</w:t>
            </w:r>
          </w:p>
          <w:p w14:paraId="429769FC"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34</w:t>
            </w:r>
            <w:r w:rsidR="00067989" w:rsidRPr="00067989">
              <w:rPr>
                <w:rFonts w:ascii="Times New Roman" w:hAnsi="Times New Roman" w:cs="Times New Roman"/>
                <w:color w:val="000000" w:themeColor="text1"/>
                <w:lang w:eastAsia="pl-PL"/>
              </w:rPr>
              <w:t>)</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Fundacja Projekt Polska</w:t>
            </w:r>
            <w:r w:rsidR="00493D06" w:rsidRPr="00067989">
              <w:rPr>
                <w:rFonts w:ascii="Times New Roman" w:hAnsi="Times New Roman" w:cs="Times New Roman"/>
                <w:color w:val="000000" w:themeColor="text1"/>
                <w:lang w:eastAsia="pl-PL"/>
              </w:rPr>
              <w:t>;</w:t>
            </w:r>
          </w:p>
          <w:p w14:paraId="45C9B845"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35)</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Stowarzyszenie Inżynierów Telekomunikacji</w:t>
            </w:r>
            <w:r w:rsidR="00493D06" w:rsidRPr="00067989">
              <w:rPr>
                <w:rFonts w:ascii="Times New Roman" w:hAnsi="Times New Roman" w:cs="Times New Roman"/>
                <w:color w:val="000000" w:themeColor="text1"/>
                <w:lang w:eastAsia="pl-PL"/>
              </w:rPr>
              <w:t>;</w:t>
            </w:r>
          </w:p>
          <w:p w14:paraId="66AF1318"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36)</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Fundacja Panoptykon</w:t>
            </w:r>
            <w:r w:rsidR="00493D06" w:rsidRPr="00067989">
              <w:rPr>
                <w:rFonts w:ascii="Times New Roman" w:hAnsi="Times New Roman" w:cs="Times New Roman"/>
                <w:color w:val="000000" w:themeColor="text1"/>
                <w:lang w:eastAsia="pl-PL"/>
              </w:rPr>
              <w:t>;</w:t>
            </w:r>
          </w:p>
          <w:p w14:paraId="657C6C5D"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37</w:t>
            </w:r>
            <w:r w:rsidR="00067989" w:rsidRPr="00067989">
              <w:rPr>
                <w:rFonts w:ascii="Times New Roman" w:hAnsi="Times New Roman" w:cs="Times New Roman"/>
                <w:color w:val="000000" w:themeColor="text1"/>
                <w:lang w:eastAsia="pl-PL"/>
              </w:rPr>
              <w:t>)</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Stowarzyszenie Naukowe Centrum Prawno</w:t>
            </w:r>
            <w:r w:rsidR="005F6337">
              <w:rPr>
                <w:rFonts w:ascii="Times New Roman" w:hAnsi="Times New Roman" w:cs="Times New Roman"/>
                <w:color w:val="000000" w:themeColor="text1"/>
                <w:lang w:eastAsia="pl-PL"/>
              </w:rPr>
              <w:t>-</w:t>
            </w:r>
            <w:r w:rsidRPr="00067989">
              <w:rPr>
                <w:rFonts w:ascii="Times New Roman" w:hAnsi="Times New Roman" w:cs="Times New Roman"/>
                <w:color w:val="000000" w:themeColor="text1"/>
                <w:lang w:eastAsia="pl-PL"/>
              </w:rPr>
              <w:t>Informatyczne</w:t>
            </w:r>
            <w:r w:rsidR="00493D06" w:rsidRPr="00067989">
              <w:rPr>
                <w:rFonts w:ascii="Times New Roman" w:hAnsi="Times New Roman" w:cs="Times New Roman"/>
                <w:color w:val="000000" w:themeColor="text1"/>
                <w:lang w:eastAsia="pl-PL"/>
              </w:rPr>
              <w:t>;</w:t>
            </w:r>
          </w:p>
          <w:p w14:paraId="71561428"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38</w:t>
            </w:r>
            <w:r w:rsidR="00067989" w:rsidRPr="00067989">
              <w:rPr>
                <w:rFonts w:ascii="Times New Roman" w:hAnsi="Times New Roman" w:cs="Times New Roman"/>
                <w:color w:val="000000" w:themeColor="text1"/>
                <w:lang w:eastAsia="pl-PL"/>
              </w:rPr>
              <w:t>)</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Forum Przewoźników Ekspresowych</w:t>
            </w:r>
            <w:r w:rsidR="00493D06" w:rsidRPr="00067989">
              <w:rPr>
                <w:rFonts w:ascii="Times New Roman" w:hAnsi="Times New Roman" w:cs="Times New Roman"/>
                <w:color w:val="000000" w:themeColor="text1"/>
                <w:lang w:eastAsia="pl-PL"/>
              </w:rPr>
              <w:t>;</w:t>
            </w:r>
          </w:p>
          <w:p w14:paraId="0E5043B6"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39)</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Ogólnopolski Związek Pracodawców Niepublicznych Operatorów Pocztowych</w:t>
            </w:r>
            <w:r w:rsidR="00493D06" w:rsidRPr="00067989">
              <w:rPr>
                <w:rFonts w:ascii="Times New Roman" w:hAnsi="Times New Roman" w:cs="Times New Roman"/>
                <w:color w:val="000000" w:themeColor="text1"/>
                <w:lang w:eastAsia="pl-PL"/>
              </w:rPr>
              <w:t>;</w:t>
            </w:r>
          </w:p>
          <w:p w14:paraId="3842564A"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40)</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Stowarzyszenie „Archiwizjoner”</w:t>
            </w:r>
            <w:r w:rsidR="00493D06" w:rsidRPr="00067989">
              <w:rPr>
                <w:rFonts w:ascii="Times New Roman" w:hAnsi="Times New Roman" w:cs="Times New Roman"/>
                <w:color w:val="000000" w:themeColor="text1"/>
                <w:lang w:eastAsia="pl-PL"/>
              </w:rPr>
              <w:t>;</w:t>
            </w:r>
          </w:p>
          <w:p w14:paraId="63F51F0F" w14:textId="460C3DC5"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41)</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Centrum Badań Problemów Prawnych i Ekonomicznych Komunikacji Elektronicznej</w:t>
            </w:r>
          </w:p>
          <w:p w14:paraId="4DB57BE8" w14:textId="57F1A389" w:rsidR="00FE18E9" w:rsidRPr="00284114" w:rsidRDefault="00FE18E9" w:rsidP="001B514F">
            <w:pPr>
              <w:autoSpaceDE w:val="0"/>
              <w:autoSpaceDN w:val="0"/>
              <w:adjustRightInd w:val="0"/>
              <w:spacing w:before="60" w:after="60"/>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Uniwersytetu Wrocławskiego</w:t>
            </w:r>
            <w:r w:rsidR="00493D06" w:rsidRPr="00067989">
              <w:rPr>
                <w:rFonts w:ascii="Times New Roman" w:hAnsi="Times New Roman" w:cs="Times New Roman"/>
                <w:color w:val="000000" w:themeColor="text1"/>
                <w:lang w:eastAsia="pl-PL"/>
              </w:rPr>
              <w:t>;</w:t>
            </w:r>
            <w:r w:rsidR="00930114">
              <w:rPr>
                <w:rFonts w:ascii="Times New Roman" w:hAnsi="Times New Roman" w:cs="Times New Roman"/>
                <w:color w:val="000000" w:themeColor="text1"/>
                <w:lang w:eastAsia="pl-PL"/>
              </w:rPr>
              <w:t xml:space="preserve"> </w:t>
            </w:r>
          </w:p>
          <w:p w14:paraId="465F5DFB"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284114">
              <w:rPr>
                <w:rFonts w:ascii="Times New Roman" w:hAnsi="Times New Roman" w:cs="Times New Roman"/>
                <w:color w:val="000000" w:themeColor="text1"/>
                <w:lang w:eastAsia="pl-PL"/>
              </w:rPr>
              <w:t>42</w:t>
            </w:r>
            <w:r w:rsidR="00067989" w:rsidRPr="00284114">
              <w:rPr>
                <w:rFonts w:ascii="Times New Roman" w:hAnsi="Times New Roman" w:cs="Times New Roman"/>
                <w:color w:val="000000" w:themeColor="text1"/>
                <w:lang w:eastAsia="pl-PL"/>
              </w:rPr>
              <w:t>)</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Ogólnopolski Związek Zawodowy Pracowników Administracji Publicznej</w:t>
            </w:r>
            <w:r w:rsidR="00493D06" w:rsidRPr="00067989">
              <w:rPr>
                <w:rFonts w:ascii="Times New Roman" w:hAnsi="Times New Roman" w:cs="Times New Roman"/>
                <w:color w:val="000000" w:themeColor="text1"/>
                <w:lang w:eastAsia="pl-PL"/>
              </w:rPr>
              <w:t>;</w:t>
            </w:r>
          </w:p>
          <w:p w14:paraId="53A532D6"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43</w:t>
            </w:r>
            <w:r w:rsidR="00067989" w:rsidRPr="00067989">
              <w:rPr>
                <w:rFonts w:ascii="Times New Roman" w:hAnsi="Times New Roman" w:cs="Times New Roman"/>
                <w:color w:val="000000" w:themeColor="text1"/>
                <w:lang w:eastAsia="pl-PL"/>
              </w:rPr>
              <w:t>)</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Polska Rada Biznesu</w:t>
            </w:r>
            <w:r w:rsidR="00493D06" w:rsidRPr="00067989">
              <w:rPr>
                <w:rFonts w:ascii="Times New Roman" w:hAnsi="Times New Roman" w:cs="Times New Roman"/>
                <w:color w:val="000000" w:themeColor="text1"/>
                <w:lang w:eastAsia="pl-PL"/>
              </w:rPr>
              <w:t>;</w:t>
            </w:r>
          </w:p>
          <w:p w14:paraId="039C0E9E"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lastRenderedPageBreak/>
              <w:t>44</w:t>
            </w:r>
            <w:r w:rsidR="00067989" w:rsidRPr="00067989">
              <w:rPr>
                <w:rFonts w:ascii="Times New Roman" w:hAnsi="Times New Roman" w:cs="Times New Roman"/>
                <w:color w:val="000000" w:themeColor="text1"/>
                <w:lang w:eastAsia="pl-PL"/>
              </w:rPr>
              <w:t>)</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Polska Izba Ochrony Osób i Mienia</w:t>
            </w:r>
            <w:r w:rsidR="00493D06" w:rsidRPr="00067989">
              <w:rPr>
                <w:rFonts w:ascii="Times New Roman" w:hAnsi="Times New Roman" w:cs="Times New Roman"/>
                <w:color w:val="000000" w:themeColor="text1"/>
                <w:lang w:eastAsia="pl-PL"/>
              </w:rPr>
              <w:t>;</w:t>
            </w:r>
          </w:p>
          <w:p w14:paraId="14E972D5"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45</w:t>
            </w:r>
            <w:r w:rsidR="00067989" w:rsidRPr="00067989">
              <w:rPr>
                <w:rFonts w:ascii="Times New Roman" w:hAnsi="Times New Roman" w:cs="Times New Roman"/>
                <w:color w:val="000000" w:themeColor="text1"/>
                <w:lang w:eastAsia="pl-PL"/>
              </w:rPr>
              <w:t>)</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Polska Izba Paliw Płynnych</w:t>
            </w:r>
            <w:r w:rsidR="00493D06" w:rsidRPr="00067989">
              <w:rPr>
                <w:rFonts w:ascii="Times New Roman" w:hAnsi="Times New Roman" w:cs="Times New Roman"/>
                <w:color w:val="000000" w:themeColor="text1"/>
                <w:lang w:eastAsia="pl-PL"/>
              </w:rPr>
              <w:t>;</w:t>
            </w:r>
          </w:p>
          <w:p w14:paraId="5AE70807"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46</w:t>
            </w:r>
            <w:r w:rsidR="00067989" w:rsidRPr="00067989">
              <w:rPr>
                <w:rFonts w:ascii="Times New Roman" w:hAnsi="Times New Roman" w:cs="Times New Roman"/>
                <w:color w:val="000000" w:themeColor="text1"/>
                <w:lang w:eastAsia="pl-PL"/>
              </w:rPr>
              <w:t>)</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Polska Izba Pośredników Ubezpieczeniowych i Finansowych</w:t>
            </w:r>
            <w:r w:rsidR="00493D06" w:rsidRPr="00067989">
              <w:rPr>
                <w:rFonts w:ascii="Times New Roman" w:hAnsi="Times New Roman" w:cs="Times New Roman"/>
                <w:color w:val="000000" w:themeColor="text1"/>
                <w:lang w:eastAsia="pl-PL"/>
              </w:rPr>
              <w:t>;</w:t>
            </w:r>
          </w:p>
          <w:p w14:paraId="6C2BECA7"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47</w:t>
            </w:r>
            <w:r w:rsidR="00067989" w:rsidRPr="00067989">
              <w:rPr>
                <w:rFonts w:ascii="Times New Roman" w:hAnsi="Times New Roman" w:cs="Times New Roman"/>
                <w:color w:val="000000" w:themeColor="text1"/>
                <w:lang w:eastAsia="pl-PL"/>
              </w:rPr>
              <w:t>)</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Polska Izba Przemysłowo-Handlowa Budownictwa</w:t>
            </w:r>
            <w:r w:rsidR="00493D06" w:rsidRPr="00067989">
              <w:rPr>
                <w:rFonts w:ascii="Times New Roman" w:hAnsi="Times New Roman" w:cs="Times New Roman"/>
                <w:color w:val="000000" w:themeColor="text1"/>
                <w:lang w:eastAsia="pl-PL"/>
              </w:rPr>
              <w:t>;</w:t>
            </w:r>
          </w:p>
          <w:p w14:paraId="6C22A306" w14:textId="6C7A6F4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48</w:t>
            </w:r>
            <w:r w:rsidR="00067989" w:rsidRPr="00067989">
              <w:rPr>
                <w:rFonts w:ascii="Times New Roman" w:hAnsi="Times New Roman" w:cs="Times New Roman"/>
                <w:color w:val="000000" w:themeColor="text1"/>
                <w:lang w:eastAsia="pl-PL"/>
              </w:rPr>
              <w:t>)</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Polska Izb</w:t>
            </w:r>
            <w:r w:rsidR="00C77D4D">
              <w:rPr>
                <w:rFonts w:ascii="Times New Roman" w:hAnsi="Times New Roman" w:cs="Times New Roman"/>
                <w:color w:val="000000" w:themeColor="text1"/>
                <w:lang w:eastAsia="pl-PL"/>
              </w:rPr>
              <w:t>a</w:t>
            </w:r>
            <w:r w:rsidRPr="00067989">
              <w:rPr>
                <w:rFonts w:ascii="Times New Roman" w:hAnsi="Times New Roman" w:cs="Times New Roman"/>
                <w:color w:val="000000" w:themeColor="text1"/>
                <w:lang w:eastAsia="pl-PL"/>
              </w:rPr>
              <w:t xml:space="preserve"> Przemysłu Chemicznego</w:t>
            </w:r>
            <w:r w:rsidR="00493D06" w:rsidRPr="00067989">
              <w:rPr>
                <w:rFonts w:ascii="Times New Roman" w:hAnsi="Times New Roman" w:cs="Times New Roman"/>
                <w:color w:val="000000" w:themeColor="text1"/>
                <w:lang w:eastAsia="pl-PL"/>
              </w:rPr>
              <w:t>;</w:t>
            </w:r>
          </w:p>
          <w:p w14:paraId="07D50DCD"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49</w:t>
            </w:r>
            <w:r w:rsidR="00067989" w:rsidRPr="00067989">
              <w:rPr>
                <w:rFonts w:ascii="Times New Roman" w:hAnsi="Times New Roman" w:cs="Times New Roman"/>
                <w:color w:val="000000" w:themeColor="text1"/>
                <w:lang w:eastAsia="pl-PL"/>
              </w:rPr>
              <w:t>)</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Polska Izba Przemysłu Farmaceutycznego i Wyrobów Medycznych Polfarmed</w:t>
            </w:r>
            <w:r w:rsidR="00493D06" w:rsidRPr="00067989">
              <w:rPr>
                <w:rFonts w:ascii="Times New Roman" w:hAnsi="Times New Roman" w:cs="Times New Roman"/>
                <w:color w:val="000000" w:themeColor="text1"/>
                <w:lang w:eastAsia="pl-PL"/>
              </w:rPr>
              <w:t>;</w:t>
            </w:r>
          </w:p>
          <w:p w14:paraId="137F2540"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50</w:t>
            </w:r>
            <w:r w:rsidR="00067989" w:rsidRPr="00067989">
              <w:rPr>
                <w:rFonts w:ascii="Times New Roman" w:hAnsi="Times New Roman" w:cs="Times New Roman"/>
                <w:color w:val="000000" w:themeColor="text1"/>
                <w:lang w:eastAsia="pl-PL"/>
              </w:rPr>
              <w:t>)</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Polska Izba Rzeczoznawstwa Majątkowego</w:t>
            </w:r>
            <w:r w:rsidR="00493D06" w:rsidRPr="00067989">
              <w:rPr>
                <w:rFonts w:ascii="Times New Roman" w:hAnsi="Times New Roman" w:cs="Times New Roman"/>
                <w:color w:val="000000" w:themeColor="text1"/>
                <w:lang w:eastAsia="pl-PL"/>
              </w:rPr>
              <w:t>;</w:t>
            </w:r>
          </w:p>
          <w:p w14:paraId="0FC4CF6F"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51</w:t>
            </w:r>
            <w:r w:rsidR="00067989" w:rsidRPr="00067989">
              <w:rPr>
                <w:rFonts w:ascii="Times New Roman" w:hAnsi="Times New Roman" w:cs="Times New Roman"/>
                <w:color w:val="000000" w:themeColor="text1"/>
                <w:lang w:eastAsia="pl-PL"/>
              </w:rPr>
              <w:t>)</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Polska Izba Ubezpieczeń</w:t>
            </w:r>
            <w:r w:rsidR="00493D06" w:rsidRPr="00067989">
              <w:rPr>
                <w:rFonts w:ascii="Times New Roman" w:hAnsi="Times New Roman" w:cs="Times New Roman"/>
                <w:color w:val="000000" w:themeColor="text1"/>
                <w:lang w:eastAsia="pl-PL"/>
              </w:rPr>
              <w:t>;</w:t>
            </w:r>
          </w:p>
          <w:p w14:paraId="0C569E3C" w14:textId="3878EC2F"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52</w:t>
            </w:r>
            <w:r w:rsidR="00067989" w:rsidRPr="00067989">
              <w:rPr>
                <w:rFonts w:ascii="Times New Roman" w:hAnsi="Times New Roman" w:cs="Times New Roman"/>
                <w:color w:val="000000" w:themeColor="text1"/>
                <w:lang w:eastAsia="pl-PL"/>
              </w:rPr>
              <w:t>)</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Polska Izb</w:t>
            </w:r>
            <w:r w:rsidR="00E41D35">
              <w:rPr>
                <w:rFonts w:ascii="Times New Roman" w:hAnsi="Times New Roman" w:cs="Times New Roman"/>
                <w:color w:val="000000" w:themeColor="text1"/>
                <w:lang w:eastAsia="pl-PL"/>
              </w:rPr>
              <w:t>a</w:t>
            </w:r>
            <w:r w:rsidRPr="00067989">
              <w:rPr>
                <w:rFonts w:ascii="Times New Roman" w:hAnsi="Times New Roman" w:cs="Times New Roman"/>
                <w:color w:val="000000" w:themeColor="text1"/>
                <w:lang w:eastAsia="pl-PL"/>
              </w:rPr>
              <w:t xml:space="preserve"> Cła, Logistyki i Spedycji</w:t>
            </w:r>
            <w:r w:rsidR="00493D06" w:rsidRPr="00067989">
              <w:rPr>
                <w:rFonts w:ascii="Times New Roman" w:hAnsi="Times New Roman" w:cs="Times New Roman"/>
                <w:color w:val="000000" w:themeColor="text1"/>
                <w:lang w:eastAsia="pl-PL"/>
              </w:rPr>
              <w:t>;</w:t>
            </w:r>
          </w:p>
          <w:p w14:paraId="72010D28"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53</w:t>
            </w:r>
            <w:r w:rsidR="00067989" w:rsidRPr="00067989">
              <w:rPr>
                <w:rFonts w:ascii="Times New Roman" w:hAnsi="Times New Roman" w:cs="Times New Roman"/>
                <w:color w:val="000000" w:themeColor="text1"/>
                <w:lang w:eastAsia="pl-PL"/>
              </w:rPr>
              <w:t>)</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Polska Izba Gospodarcza Eksporterów, Importerów i Kooperacji</w:t>
            </w:r>
            <w:r w:rsidR="00493D06" w:rsidRPr="00067989">
              <w:rPr>
                <w:rFonts w:ascii="Times New Roman" w:hAnsi="Times New Roman" w:cs="Times New Roman"/>
                <w:color w:val="000000" w:themeColor="text1"/>
                <w:lang w:eastAsia="pl-PL"/>
              </w:rPr>
              <w:t>;</w:t>
            </w:r>
          </w:p>
          <w:p w14:paraId="2D629B90"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54</w:t>
            </w:r>
            <w:r w:rsidR="00067989" w:rsidRPr="00067989">
              <w:rPr>
                <w:rFonts w:ascii="Times New Roman" w:hAnsi="Times New Roman" w:cs="Times New Roman"/>
                <w:color w:val="000000" w:themeColor="text1"/>
                <w:lang w:eastAsia="pl-PL"/>
              </w:rPr>
              <w:t>)</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Polska Izba Gospodarcza Transportu Samochodowego i Spedycji</w:t>
            </w:r>
            <w:r w:rsidR="00493D06" w:rsidRPr="00067989">
              <w:rPr>
                <w:rFonts w:ascii="Times New Roman" w:hAnsi="Times New Roman" w:cs="Times New Roman"/>
                <w:color w:val="000000" w:themeColor="text1"/>
                <w:lang w:eastAsia="pl-PL"/>
              </w:rPr>
              <w:t>;</w:t>
            </w:r>
          </w:p>
          <w:p w14:paraId="3AF6A9AC"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55</w:t>
            </w:r>
            <w:r w:rsidR="00067989" w:rsidRPr="00067989">
              <w:rPr>
                <w:rFonts w:ascii="Times New Roman" w:hAnsi="Times New Roman" w:cs="Times New Roman"/>
                <w:color w:val="000000" w:themeColor="text1"/>
                <w:lang w:eastAsia="pl-PL"/>
              </w:rPr>
              <w:t>)</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Polska Izba Gospodarki Odpadami</w:t>
            </w:r>
            <w:r w:rsidR="00493D06" w:rsidRPr="00067989">
              <w:rPr>
                <w:rFonts w:ascii="Times New Roman" w:hAnsi="Times New Roman" w:cs="Times New Roman"/>
                <w:color w:val="000000" w:themeColor="text1"/>
                <w:lang w:eastAsia="pl-PL"/>
              </w:rPr>
              <w:t>;</w:t>
            </w:r>
          </w:p>
          <w:p w14:paraId="23D7F477"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56</w:t>
            </w:r>
            <w:r w:rsidR="00067989" w:rsidRPr="00067989">
              <w:rPr>
                <w:rFonts w:ascii="Times New Roman" w:hAnsi="Times New Roman" w:cs="Times New Roman"/>
                <w:color w:val="000000" w:themeColor="text1"/>
                <w:lang w:eastAsia="pl-PL"/>
              </w:rPr>
              <w:t>)</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Polska Izba Inżynierów Budownictwa</w:t>
            </w:r>
            <w:r w:rsidR="00493D06" w:rsidRPr="00067989">
              <w:rPr>
                <w:rFonts w:ascii="Times New Roman" w:hAnsi="Times New Roman" w:cs="Times New Roman"/>
                <w:color w:val="000000" w:themeColor="text1"/>
                <w:lang w:eastAsia="pl-PL"/>
              </w:rPr>
              <w:t>;</w:t>
            </w:r>
          </w:p>
          <w:p w14:paraId="2ECA4FED"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57</w:t>
            </w:r>
            <w:r w:rsidR="00067989" w:rsidRPr="00067989">
              <w:rPr>
                <w:rFonts w:ascii="Times New Roman" w:hAnsi="Times New Roman" w:cs="Times New Roman"/>
                <w:color w:val="000000" w:themeColor="text1"/>
                <w:lang w:eastAsia="pl-PL"/>
              </w:rPr>
              <w:t>)</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Polskie Towarzystwo Elektrociepłowni Zawodowych</w:t>
            </w:r>
            <w:r w:rsidR="00493D06" w:rsidRPr="00067989">
              <w:rPr>
                <w:rFonts w:ascii="Times New Roman" w:hAnsi="Times New Roman" w:cs="Times New Roman"/>
                <w:color w:val="000000" w:themeColor="text1"/>
                <w:lang w:eastAsia="pl-PL"/>
              </w:rPr>
              <w:t>;</w:t>
            </w:r>
          </w:p>
          <w:p w14:paraId="2268F0A5"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58)</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Polskie Towarzystwo Przemysłu i Rozdziału Energii Elektrycznej</w:t>
            </w:r>
            <w:r w:rsidR="00493D06" w:rsidRPr="00067989">
              <w:rPr>
                <w:rFonts w:ascii="Times New Roman" w:hAnsi="Times New Roman" w:cs="Times New Roman"/>
                <w:color w:val="000000" w:themeColor="text1"/>
                <w:lang w:eastAsia="pl-PL"/>
              </w:rPr>
              <w:t>;</w:t>
            </w:r>
          </w:p>
          <w:p w14:paraId="2EE4B09A"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59)</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Stowarzyszenie Agencji Zatrudnienia</w:t>
            </w:r>
            <w:r w:rsidR="00493D06" w:rsidRPr="00067989">
              <w:rPr>
                <w:rFonts w:ascii="Times New Roman" w:hAnsi="Times New Roman" w:cs="Times New Roman"/>
                <w:color w:val="000000" w:themeColor="text1"/>
                <w:lang w:eastAsia="pl-PL"/>
              </w:rPr>
              <w:t>;</w:t>
            </w:r>
          </w:p>
          <w:p w14:paraId="1657C270"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60)</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Stowarzyszenie Archiwistów Polskich</w:t>
            </w:r>
            <w:r w:rsidR="00493D06" w:rsidRPr="00067989">
              <w:rPr>
                <w:rFonts w:ascii="Times New Roman" w:hAnsi="Times New Roman" w:cs="Times New Roman"/>
                <w:color w:val="000000" w:themeColor="text1"/>
                <w:lang w:eastAsia="pl-PL"/>
              </w:rPr>
              <w:t>;</w:t>
            </w:r>
          </w:p>
          <w:p w14:paraId="3FCB08E5"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61)</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Stowarzyszenie Eksporterów Polskich</w:t>
            </w:r>
            <w:r w:rsidR="00493D06" w:rsidRPr="00067989">
              <w:rPr>
                <w:rFonts w:ascii="Times New Roman" w:hAnsi="Times New Roman" w:cs="Times New Roman"/>
                <w:color w:val="000000" w:themeColor="text1"/>
                <w:lang w:eastAsia="pl-PL"/>
              </w:rPr>
              <w:t>;</w:t>
            </w:r>
          </w:p>
          <w:p w14:paraId="6B211A99"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62)</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Stowarzyszenie Emitentów Giełdowych</w:t>
            </w:r>
            <w:r w:rsidR="00493D06" w:rsidRPr="00067989">
              <w:rPr>
                <w:rFonts w:ascii="Times New Roman" w:hAnsi="Times New Roman" w:cs="Times New Roman"/>
                <w:color w:val="000000" w:themeColor="text1"/>
                <w:lang w:eastAsia="pl-PL"/>
              </w:rPr>
              <w:t>;</w:t>
            </w:r>
          </w:p>
          <w:p w14:paraId="70063E83"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63)</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Stowarzyszenie Geodetów Polskich</w:t>
            </w:r>
            <w:r w:rsidR="00493D06" w:rsidRPr="00067989">
              <w:rPr>
                <w:rFonts w:ascii="Times New Roman" w:hAnsi="Times New Roman" w:cs="Times New Roman"/>
                <w:color w:val="000000" w:themeColor="text1"/>
                <w:lang w:eastAsia="pl-PL"/>
              </w:rPr>
              <w:t>;</w:t>
            </w:r>
          </w:p>
          <w:p w14:paraId="3A992D30"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64)</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Stowarzyszenie Konsumentów Polskich</w:t>
            </w:r>
            <w:r w:rsidR="00493D06" w:rsidRPr="00067989">
              <w:rPr>
                <w:rFonts w:ascii="Times New Roman" w:hAnsi="Times New Roman" w:cs="Times New Roman"/>
                <w:color w:val="000000" w:themeColor="text1"/>
                <w:lang w:eastAsia="pl-PL"/>
              </w:rPr>
              <w:t>;</w:t>
            </w:r>
          </w:p>
          <w:p w14:paraId="21675F2F"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65)</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Stowarzyszenie Księgowych w Polsce</w:t>
            </w:r>
            <w:r w:rsidR="00493D06" w:rsidRPr="00067989">
              <w:rPr>
                <w:rFonts w:ascii="Times New Roman" w:hAnsi="Times New Roman" w:cs="Times New Roman"/>
                <w:color w:val="000000" w:themeColor="text1"/>
                <w:lang w:eastAsia="pl-PL"/>
              </w:rPr>
              <w:t>;</w:t>
            </w:r>
          </w:p>
          <w:p w14:paraId="15BB5243"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66)</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Stowarzyszenie Polskich Brokerów Polska Izba Brokerów</w:t>
            </w:r>
            <w:r w:rsidR="00493D06" w:rsidRPr="00067989">
              <w:rPr>
                <w:rFonts w:ascii="Times New Roman" w:hAnsi="Times New Roman" w:cs="Times New Roman"/>
                <w:color w:val="000000" w:themeColor="text1"/>
                <w:lang w:eastAsia="pl-PL"/>
              </w:rPr>
              <w:t>;</w:t>
            </w:r>
          </w:p>
          <w:p w14:paraId="4E4F930E"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67)</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Stowarzyszenie Polskich Energetyków</w:t>
            </w:r>
            <w:r w:rsidR="00493D06" w:rsidRPr="00067989">
              <w:rPr>
                <w:rFonts w:ascii="Times New Roman" w:hAnsi="Times New Roman" w:cs="Times New Roman"/>
                <w:color w:val="000000" w:themeColor="text1"/>
                <w:lang w:eastAsia="pl-PL"/>
              </w:rPr>
              <w:t>;</w:t>
            </w:r>
          </w:p>
          <w:p w14:paraId="5DC95B32"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68)</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Zrzeszenie Prawników Polskich</w:t>
            </w:r>
            <w:r w:rsidR="00493D06" w:rsidRPr="00067989">
              <w:rPr>
                <w:rFonts w:ascii="Times New Roman" w:hAnsi="Times New Roman" w:cs="Times New Roman"/>
                <w:color w:val="000000" w:themeColor="text1"/>
                <w:lang w:eastAsia="pl-PL"/>
              </w:rPr>
              <w:t>;</w:t>
            </w:r>
          </w:p>
          <w:p w14:paraId="10BC8893"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69)</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Izba Gospodarcza "Wodociągi Polskie”</w:t>
            </w:r>
            <w:r w:rsidR="00493D06" w:rsidRPr="00067989">
              <w:rPr>
                <w:rFonts w:ascii="Times New Roman" w:hAnsi="Times New Roman" w:cs="Times New Roman"/>
                <w:color w:val="000000" w:themeColor="text1"/>
                <w:lang w:eastAsia="pl-PL"/>
              </w:rPr>
              <w:t>;</w:t>
            </w:r>
          </w:p>
          <w:p w14:paraId="2BD02919"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70)</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Izba Gospodarcza „Apteka Polska</w:t>
            </w:r>
            <w:r w:rsidR="00493D06" w:rsidRPr="00067989">
              <w:rPr>
                <w:rFonts w:ascii="Times New Roman" w:hAnsi="Times New Roman" w:cs="Times New Roman"/>
                <w:color w:val="000000" w:themeColor="text1"/>
                <w:lang w:eastAsia="pl-PL"/>
              </w:rPr>
              <w:t>;</w:t>
            </w:r>
          </w:p>
          <w:p w14:paraId="6BC578AC"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71)</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Izba Gospodarcza Ciepłownictwo Polskie</w:t>
            </w:r>
            <w:r w:rsidR="00493D06" w:rsidRPr="00067989">
              <w:rPr>
                <w:rFonts w:ascii="Times New Roman" w:hAnsi="Times New Roman" w:cs="Times New Roman"/>
                <w:color w:val="000000" w:themeColor="text1"/>
                <w:lang w:eastAsia="pl-PL"/>
              </w:rPr>
              <w:t>;</w:t>
            </w:r>
          </w:p>
          <w:p w14:paraId="11B36176"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72)</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Izba Gospodarcza Gazownictwa</w:t>
            </w:r>
            <w:r w:rsidR="00493D06" w:rsidRPr="00067989">
              <w:rPr>
                <w:rFonts w:ascii="Times New Roman" w:hAnsi="Times New Roman" w:cs="Times New Roman"/>
                <w:color w:val="000000" w:themeColor="text1"/>
                <w:lang w:eastAsia="pl-PL"/>
              </w:rPr>
              <w:t>;</w:t>
            </w:r>
          </w:p>
          <w:p w14:paraId="29AEB2D3"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73)</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Izba Przemysłowo</w:t>
            </w:r>
            <w:r w:rsidR="005F6337">
              <w:rPr>
                <w:rFonts w:ascii="Times New Roman" w:hAnsi="Times New Roman" w:cs="Times New Roman"/>
                <w:color w:val="000000" w:themeColor="text1"/>
                <w:lang w:eastAsia="pl-PL"/>
              </w:rPr>
              <w:t>-</w:t>
            </w:r>
            <w:r w:rsidRPr="00067989">
              <w:rPr>
                <w:rFonts w:ascii="Times New Roman" w:hAnsi="Times New Roman" w:cs="Times New Roman"/>
                <w:color w:val="000000" w:themeColor="text1"/>
                <w:lang w:eastAsia="pl-PL"/>
              </w:rPr>
              <w:t>Handlowa Inwestorów Zagranicznych w Polsce</w:t>
            </w:r>
            <w:r w:rsidR="00493D06" w:rsidRPr="00067989">
              <w:rPr>
                <w:rFonts w:ascii="Times New Roman" w:hAnsi="Times New Roman" w:cs="Times New Roman"/>
                <w:color w:val="000000" w:themeColor="text1"/>
                <w:lang w:eastAsia="pl-PL"/>
              </w:rPr>
              <w:t>;</w:t>
            </w:r>
          </w:p>
          <w:p w14:paraId="2E0F2304"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74)</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Izba Zarządzających Funduszami i Aktywami</w:t>
            </w:r>
            <w:r w:rsidR="00493D06" w:rsidRPr="00067989">
              <w:rPr>
                <w:rFonts w:ascii="Times New Roman" w:hAnsi="Times New Roman" w:cs="Times New Roman"/>
                <w:color w:val="000000" w:themeColor="text1"/>
                <w:lang w:eastAsia="pl-PL"/>
              </w:rPr>
              <w:t>;</w:t>
            </w:r>
          </w:p>
          <w:p w14:paraId="15BF2C8B"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75)</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Naczelna Rada Adwokacka</w:t>
            </w:r>
            <w:r w:rsidR="00493D06" w:rsidRPr="00067989">
              <w:rPr>
                <w:rFonts w:ascii="Times New Roman" w:hAnsi="Times New Roman" w:cs="Times New Roman"/>
                <w:color w:val="000000" w:themeColor="text1"/>
                <w:lang w:eastAsia="pl-PL"/>
              </w:rPr>
              <w:t>;</w:t>
            </w:r>
          </w:p>
          <w:p w14:paraId="621C8D09"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76)</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Naczelna Rada Zrzeszeń Handlu i Usług</w:t>
            </w:r>
            <w:r w:rsidR="00493D06" w:rsidRPr="00067989">
              <w:rPr>
                <w:rFonts w:ascii="Times New Roman" w:hAnsi="Times New Roman" w:cs="Times New Roman"/>
                <w:color w:val="000000" w:themeColor="text1"/>
                <w:lang w:eastAsia="pl-PL"/>
              </w:rPr>
              <w:t>;</w:t>
            </w:r>
          </w:p>
          <w:p w14:paraId="7C5B897A"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77)</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Polski Komitet Normalizacyjny</w:t>
            </w:r>
            <w:r w:rsidR="00493D06" w:rsidRPr="00067989">
              <w:rPr>
                <w:rFonts w:ascii="Times New Roman" w:hAnsi="Times New Roman" w:cs="Times New Roman"/>
                <w:color w:val="000000" w:themeColor="text1"/>
                <w:lang w:eastAsia="pl-PL"/>
              </w:rPr>
              <w:t>;</w:t>
            </w:r>
          </w:p>
          <w:p w14:paraId="5EB60D25"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78)</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Geodezyjna Izba Gospodarcza</w:t>
            </w:r>
            <w:r w:rsidR="00493D06" w:rsidRPr="00067989">
              <w:rPr>
                <w:rFonts w:ascii="Times New Roman" w:hAnsi="Times New Roman" w:cs="Times New Roman"/>
                <w:color w:val="000000" w:themeColor="text1"/>
                <w:lang w:eastAsia="pl-PL"/>
              </w:rPr>
              <w:t>;</w:t>
            </w:r>
          </w:p>
          <w:p w14:paraId="09234027"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79)</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Górnicza Izba Przemysłowo-Handlowa</w:t>
            </w:r>
            <w:r w:rsidR="00493D06" w:rsidRPr="00067989">
              <w:rPr>
                <w:rFonts w:ascii="Times New Roman" w:hAnsi="Times New Roman" w:cs="Times New Roman"/>
                <w:color w:val="000000" w:themeColor="text1"/>
                <w:lang w:eastAsia="pl-PL"/>
              </w:rPr>
              <w:t>;</w:t>
            </w:r>
          </w:p>
          <w:p w14:paraId="2860C760"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80)</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Hutnicza Izba Przemysłowo</w:t>
            </w:r>
            <w:r w:rsidR="005F6337">
              <w:rPr>
                <w:rFonts w:ascii="Times New Roman" w:hAnsi="Times New Roman" w:cs="Times New Roman"/>
                <w:color w:val="000000" w:themeColor="text1"/>
                <w:lang w:eastAsia="pl-PL"/>
              </w:rPr>
              <w:t>-</w:t>
            </w:r>
            <w:r w:rsidRPr="00067989">
              <w:rPr>
                <w:rFonts w:ascii="Times New Roman" w:hAnsi="Times New Roman" w:cs="Times New Roman"/>
                <w:color w:val="000000" w:themeColor="text1"/>
                <w:lang w:eastAsia="pl-PL"/>
              </w:rPr>
              <w:t>Handlowa</w:t>
            </w:r>
            <w:r w:rsidR="00493D06" w:rsidRPr="00067989">
              <w:rPr>
                <w:rFonts w:ascii="Times New Roman" w:hAnsi="Times New Roman" w:cs="Times New Roman"/>
                <w:color w:val="000000" w:themeColor="text1"/>
                <w:lang w:eastAsia="pl-PL"/>
              </w:rPr>
              <w:t>;</w:t>
            </w:r>
          </w:p>
          <w:p w14:paraId="23CD71FD"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81)</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Izba Domów Maklerskich</w:t>
            </w:r>
            <w:r w:rsidR="00493D06" w:rsidRPr="00067989">
              <w:rPr>
                <w:rFonts w:ascii="Times New Roman" w:hAnsi="Times New Roman" w:cs="Times New Roman"/>
                <w:color w:val="000000" w:themeColor="text1"/>
                <w:lang w:eastAsia="pl-PL"/>
              </w:rPr>
              <w:t>;</w:t>
            </w:r>
          </w:p>
          <w:p w14:paraId="1B9AAEA9"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82)</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Krajowa Izba Biopaliw</w:t>
            </w:r>
            <w:r w:rsidR="00493D06" w:rsidRPr="00067989">
              <w:rPr>
                <w:rFonts w:ascii="Times New Roman" w:hAnsi="Times New Roman" w:cs="Times New Roman"/>
                <w:color w:val="000000" w:themeColor="text1"/>
                <w:lang w:eastAsia="pl-PL"/>
              </w:rPr>
              <w:t>;</w:t>
            </w:r>
          </w:p>
          <w:p w14:paraId="182B4245"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83)</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Krajowa Izba Gospodarcza Elektroniki i Telekomunikacji</w:t>
            </w:r>
            <w:r w:rsidR="00493D06" w:rsidRPr="00067989">
              <w:rPr>
                <w:rFonts w:ascii="Times New Roman" w:hAnsi="Times New Roman" w:cs="Times New Roman"/>
                <w:color w:val="000000" w:themeColor="text1"/>
                <w:lang w:eastAsia="pl-PL"/>
              </w:rPr>
              <w:t>;</w:t>
            </w:r>
          </w:p>
          <w:p w14:paraId="4E99FF5F"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84)</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Krajowa Izba Gospodarki Morskiej</w:t>
            </w:r>
            <w:r w:rsidR="00493D06" w:rsidRPr="00067989">
              <w:rPr>
                <w:rFonts w:ascii="Times New Roman" w:hAnsi="Times New Roman" w:cs="Times New Roman"/>
                <w:color w:val="000000" w:themeColor="text1"/>
                <w:lang w:eastAsia="pl-PL"/>
              </w:rPr>
              <w:t>;</w:t>
            </w:r>
          </w:p>
          <w:p w14:paraId="04E6C318" w14:textId="1A4566A0"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85)</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Krajowa Izb</w:t>
            </w:r>
            <w:r w:rsidR="00A51196">
              <w:rPr>
                <w:rFonts w:ascii="Times New Roman" w:hAnsi="Times New Roman" w:cs="Times New Roman"/>
                <w:color w:val="000000" w:themeColor="text1"/>
                <w:lang w:eastAsia="pl-PL"/>
              </w:rPr>
              <w:t>a</w:t>
            </w:r>
            <w:r w:rsidRPr="00067989">
              <w:rPr>
                <w:rFonts w:ascii="Times New Roman" w:hAnsi="Times New Roman" w:cs="Times New Roman"/>
                <w:color w:val="000000" w:themeColor="text1"/>
                <w:lang w:eastAsia="pl-PL"/>
              </w:rPr>
              <w:t xml:space="preserve"> Gospodarki Odpadami</w:t>
            </w:r>
            <w:r w:rsidR="00493D06" w:rsidRPr="00067989">
              <w:rPr>
                <w:rFonts w:ascii="Times New Roman" w:hAnsi="Times New Roman" w:cs="Times New Roman"/>
                <w:color w:val="000000" w:themeColor="text1"/>
                <w:lang w:eastAsia="pl-PL"/>
              </w:rPr>
              <w:t>;</w:t>
            </w:r>
          </w:p>
          <w:p w14:paraId="23D7328F"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86)</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Krajowa Izba Rozliczeniowa</w:t>
            </w:r>
            <w:r w:rsidR="00493D06" w:rsidRPr="00067989">
              <w:rPr>
                <w:rFonts w:ascii="Times New Roman" w:hAnsi="Times New Roman" w:cs="Times New Roman"/>
                <w:color w:val="000000" w:themeColor="text1"/>
                <w:lang w:eastAsia="pl-PL"/>
              </w:rPr>
              <w:t>;</w:t>
            </w:r>
          </w:p>
          <w:p w14:paraId="11BB4C54"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87)</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Krajowa Rada Spółdzielcza</w:t>
            </w:r>
            <w:r w:rsidR="00493D06" w:rsidRPr="00067989">
              <w:rPr>
                <w:rFonts w:ascii="Times New Roman" w:hAnsi="Times New Roman" w:cs="Times New Roman"/>
                <w:color w:val="000000" w:themeColor="text1"/>
                <w:lang w:eastAsia="pl-PL"/>
              </w:rPr>
              <w:t>;</w:t>
            </w:r>
          </w:p>
          <w:p w14:paraId="596BE4B7"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88)</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Towarzystwo Gospodarcze Polskie Elektrownie</w:t>
            </w:r>
            <w:r w:rsidR="00493D06" w:rsidRPr="00067989">
              <w:rPr>
                <w:rFonts w:ascii="Times New Roman" w:hAnsi="Times New Roman" w:cs="Times New Roman"/>
                <w:color w:val="000000" w:themeColor="text1"/>
                <w:lang w:eastAsia="pl-PL"/>
              </w:rPr>
              <w:t>;</w:t>
            </w:r>
          </w:p>
          <w:p w14:paraId="1B323525"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89)</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Towarzystwo Obrotu Energią</w:t>
            </w:r>
            <w:r w:rsidR="00493D06" w:rsidRPr="00067989">
              <w:rPr>
                <w:rFonts w:ascii="Times New Roman" w:hAnsi="Times New Roman" w:cs="Times New Roman"/>
                <w:color w:val="000000" w:themeColor="text1"/>
                <w:lang w:eastAsia="pl-PL"/>
              </w:rPr>
              <w:t>;</w:t>
            </w:r>
          </w:p>
          <w:p w14:paraId="702D9F29"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90)</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Związek Maklerów i Doradców</w:t>
            </w:r>
            <w:r w:rsidR="00493D06" w:rsidRPr="00067989">
              <w:rPr>
                <w:rFonts w:ascii="Times New Roman" w:hAnsi="Times New Roman" w:cs="Times New Roman"/>
                <w:color w:val="000000" w:themeColor="text1"/>
                <w:lang w:eastAsia="pl-PL"/>
              </w:rPr>
              <w:t>;</w:t>
            </w:r>
          </w:p>
          <w:p w14:paraId="213FD61E"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91)</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Związek Przedsiębiorstw Leasingowych</w:t>
            </w:r>
            <w:r w:rsidR="00493D06" w:rsidRPr="00067989">
              <w:rPr>
                <w:rFonts w:ascii="Times New Roman" w:hAnsi="Times New Roman" w:cs="Times New Roman"/>
                <w:color w:val="000000" w:themeColor="text1"/>
                <w:lang w:eastAsia="pl-PL"/>
              </w:rPr>
              <w:t>;</w:t>
            </w:r>
          </w:p>
          <w:p w14:paraId="2905F7DE"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92)</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Polska Agencja Informacji i Inwestycji Zagranicznych</w:t>
            </w:r>
            <w:r w:rsidR="00493D06" w:rsidRPr="00067989">
              <w:rPr>
                <w:rFonts w:ascii="Times New Roman" w:hAnsi="Times New Roman" w:cs="Times New Roman"/>
                <w:color w:val="000000" w:themeColor="text1"/>
                <w:lang w:eastAsia="pl-PL"/>
              </w:rPr>
              <w:t>;</w:t>
            </w:r>
          </w:p>
          <w:p w14:paraId="6502D79D"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93)</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Polska Agencja Rozwoju Przedsiębiorczości</w:t>
            </w:r>
            <w:r w:rsidR="00493D06" w:rsidRPr="00067989">
              <w:rPr>
                <w:rFonts w:ascii="Times New Roman" w:hAnsi="Times New Roman" w:cs="Times New Roman"/>
                <w:color w:val="000000" w:themeColor="text1"/>
                <w:lang w:eastAsia="pl-PL"/>
              </w:rPr>
              <w:t>;</w:t>
            </w:r>
          </w:p>
          <w:p w14:paraId="39168551"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lastRenderedPageBreak/>
              <w:t>94)</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Polska Federacja Rynku Nieruchomości</w:t>
            </w:r>
            <w:r w:rsidR="00493D06" w:rsidRPr="00067989">
              <w:rPr>
                <w:rFonts w:ascii="Times New Roman" w:hAnsi="Times New Roman" w:cs="Times New Roman"/>
                <w:color w:val="000000" w:themeColor="text1"/>
                <w:lang w:eastAsia="pl-PL"/>
              </w:rPr>
              <w:t>;</w:t>
            </w:r>
          </w:p>
          <w:p w14:paraId="300541C1"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95)</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Polska Federacja Stowarzyszeń Rzeczoznawców Majątkowych</w:t>
            </w:r>
            <w:r w:rsidR="00493D06" w:rsidRPr="00067989">
              <w:rPr>
                <w:rFonts w:ascii="Times New Roman" w:hAnsi="Times New Roman" w:cs="Times New Roman"/>
                <w:color w:val="000000" w:themeColor="text1"/>
                <w:lang w:eastAsia="pl-PL"/>
              </w:rPr>
              <w:t>;</w:t>
            </w:r>
          </w:p>
          <w:p w14:paraId="54B84DF9"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96)</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Instytut Logistyki i Magazynowania</w:t>
            </w:r>
            <w:r w:rsidR="00493D06" w:rsidRPr="00067989">
              <w:rPr>
                <w:rFonts w:ascii="Times New Roman" w:hAnsi="Times New Roman" w:cs="Times New Roman"/>
                <w:color w:val="000000" w:themeColor="text1"/>
                <w:lang w:eastAsia="pl-PL"/>
              </w:rPr>
              <w:t>;</w:t>
            </w:r>
          </w:p>
          <w:p w14:paraId="3D942086"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97)</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Polska Organizacja Gazu Płynnego</w:t>
            </w:r>
            <w:r w:rsidR="00493D06" w:rsidRPr="00067989">
              <w:rPr>
                <w:rFonts w:ascii="Times New Roman" w:hAnsi="Times New Roman" w:cs="Times New Roman"/>
                <w:color w:val="000000" w:themeColor="text1"/>
                <w:lang w:eastAsia="pl-PL"/>
              </w:rPr>
              <w:t>;</w:t>
            </w:r>
          </w:p>
          <w:p w14:paraId="76B09110"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98)</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Polska Organizacja Handlu i Dystrybucji</w:t>
            </w:r>
            <w:r w:rsidR="00493D06" w:rsidRPr="00067989">
              <w:rPr>
                <w:rFonts w:ascii="Times New Roman" w:hAnsi="Times New Roman" w:cs="Times New Roman"/>
                <w:color w:val="000000" w:themeColor="text1"/>
                <w:lang w:eastAsia="pl-PL"/>
              </w:rPr>
              <w:t>;</w:t>
            </w:r>
          </w:p>
          <w:p w14:paraId="6EBA1197"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99)</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Krajowa Izba Biegłych Rewidentów</w:t>
            </w:r>
            <w:r w:rsidR="00493D06" w:rsidRPr="00067989">
              <w:rPr>
                <w:rFonts w:ascii="Times New Roman" w:hAnsi="Times New Roman" w:cs="Times New Roman"/>
                <w:color w:val="000000" w:themeColor="text1"/>
                <w:lang w:eastAsia="pl-PL"/>
              </w:rPr>
              <w:t>;</w:t>
            </w:r>
          </w:p>
          <w:p w14:paraId="7341B494"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100)</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Krajowa Izba Doradców Podatkowych</w:t>
            </w:r>
            <w:r w:rsidR="00493D06" w:rsidRPr="00067989">
              <w:rPr>
                <w:rFonts w:ascii="Times New Roman" w:hAnsi="Times New Roman" w:cs="Times New Roman"/>
                <w:color w:val="000000" w:themeColor="text1"/>
                <w:lang w:eastAsia="pl-PL"/>
              </w:rPr>
              <w:t>;</w:t>
            </w:r>
          </w:p>
          <w:p w14:paraId="3AB9932B"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101)</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Krajowa Izba Doradców Restrukturyzacyjnych</w:t>
            </w:r>
            <w:r w:rsidR="00493D06" w:rsidRPr="00067989">
              <w:rPr>
                <w:rFonts w:ascii="Times New Roman" w:hAnsi="Times New Roman" w:cs="Times New Roman"/>
                <w:color w:val="000000" w:themeColor="text1"/>
                <w:lang w:eastAsia="pl-PL"/>
              </w:rPr>
              <w:t>;</w:t>
            </w:r>
          </w:p>
          <w:p w14:paraId="7C4FA6C5"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102)</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Krajowa Izba Rozliczeniowa</w:t>
            </w:r>
            <w:r w:rsidR="00493D06" w:rsidRPr="00067989">
              <w:rPr>
                <w:rFonts w:ascii="Times New Roman" w:hAnsi="Times New Roman" w:cs="Times New Roman"/>
                <w:color w:val="000000" w:themeColor="text1"/>
                <w:lang w:eastAsia="pl-PL"/>
              </w:rPr>
              <w:t>;</w:t>
            </w:r>
          </w:p>
          <w:p w14:paraId="16BDBEB7"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103)</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Krajowa Rada Izb Rolniczych</w:t>
            </w:r>
            <w:r w:rsidR="00493D06" w:rsidRPr="00067989">
              <w:rPr>
                <w:rFonts w:ascii="Times New Roman" w:hAnsi="Times New Roman" w:cs="Times New Roman"/>
                <w:color w:val="000000" w:themeColor="text1"/>
                <w:lang w:eastAsia="pl-PL"/>
              </w:rPr>
              <w:t>;</w:t>
            </w:r>
          </w:p>
          <w:p w14:paraId="084A42BB"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104)</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Krajowa Rada Komornicza</w:t>
            </w:r>
            <w:r w:rsidR="00493D06" w:rsidRPr="00067989">
              <w:rPr>
                <w:rFonts w:ascii="Times New Roman" w:hAnsi="Times New Roman" w:cs="Times New Roman"/>
                <w:color w:val="000000" w:themeColor="text1"/>
                <w:lang w:eastAsia="pl-PL"/>
              </w:rPr>
              <w:t>;</w:t>
            </w:r>
          </w:p>
          <w:p w14:paraId="23EEC804"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105)</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Krajowa Rada Notarialna</w:t>
            </w:r>
            <w:r w:rsidR="00493D06" w:rsidRPr="00067989">
              <w:rPr>
                <w:rFonts w:ascii="Times New Roman" w:hAnsi="Times New Roman" w:cs="Times New Roman"/>
                <w:color w:val="000000" w:themeColor="text1"/>
                <w:lang w:eastAsia="pl-PL"/>
              </w:rPr>
              <w:t>;</w:t>
            </w:r>
          </w:p>
          <w:p w14:paraId="1A7C1141"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106)</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Krajowa Rada Radców Prawnych</w:t>
            </w:r>
            <w:r w:rsidR="00493D06" w:rsidRPr="00067989">
              <w:rPr>
                <w:rFonts w:ascii="Times New Roman" w:hAnsi="Times New Roman" w:cs="Times New Roman"/>
                <w:color w:val="000000" w:themeColor="text1"/>
                <w:lang w:eastAsia="pl-PL"/>
              </w:rPr>
              <w:t>;</w:t>
            </w:r>
          </w:p>
          <w:p w14:paraId="24AEAF40"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107)</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Krajowa Rada Sądownictwa</w:t>
            </w:r>
            <w:r w:rsidR="00493D06" w:rsidRPr="00067989">
              <w:rPr>
                <w:rFonts w:ascii="Times New Roman" w:hAnsi="Times New Roman" w:cs="Times New Roman"/>
                <w:color w:val="000000" w:themeColor="text1"/>
                <w:lang w:eastAsia="pl-PL"/>
              </w:rPr>
              <w:t>;</w:t>
            </w:r>
          </w:p>
          <w:p w14:paraId="5C85EC69"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108)</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Krajowy Związek Rolników Kółek i Organizacji Rolniczych</w:t>
            </w:r>
            <w:r w:rsidR="00493D06" w:rsidRPr="00067989">
              <w:rPr>
                <w:rFonts w:ascii="Times New Roman" w:hAnsi="Times New Roman" w:cs="Times New Roman"/>
                <w:color w:val="000000" w:themeColor="text1"/>
                <w:lang w:eastAsia="pl-PL"/>
              </w:rPr>
              <w:t>;</w:t>
            </w:r>
          </w:p>
          <w:p w14:paraId="18CB60E6"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109)</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Poczta Polska</w:t>
            </w:r>
            <w:r w:rsidR="00493D06" w:rsidRPr="00067989">
              <w:rPr>
                <w:rFonts w:ascii="Times New Roman" w:hAnsi="Times New Roman" w:cs="Times New Roman"/>
                <w:color w:val="000000" w:themeColor="text1"/>
                <w:lang w:eastAsia="pl-PL"/>
              </w:rPr>
              <w:t>;</w:t>
            </w:r>
          </w:p>
          <w:p w14:paraId="4D51087B"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110)</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Instytut Pocztowy</w:t>
            </w:r>
            <w:r w:rsidR="00493D06" w:rsidRPr="00067989">
              <w:rPr>
                <w:rFonts w:ascii="Times New Roman" w:hAnsi="Times New Roman" w:cs="Times New Roman"/>
                <w:color w:val="000000" w:themeColor="text1"/>
                <w:lang w:eastAsia="pl-PL"/>
              </w:rPr>
              <w:t>;</w:t>
            </w:r>
          </w:p>
          <w:p w14:paraId="38BF47FA"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111</w:t>
            </w:r>
            <w:r w:rsidR="00067989" w:rsidRPr="00067989">
              <w:rPr>
                <w:rFonts w:ascii="Times New Roman" w:hAnsi="Times New Roman" w:cs="Times New Roman"/>
                <w:color w:val="000000" w:themeColor="text1"/>
                <w:lang w:eastAsia="pl-PL"/>
              </w:rPr>
              <w:t>)</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Krajowy Ośrodek Wsparcia Rolnictwa</w:t>
            </w:r>
            <w:r w:rsidR="00493D06" w:rsidRPr="00067989">
              <w:rPr>
                <w:rFonts w:ascii="Times New Roman" w:hAnsi="Times New Roman" w:cs="Times New Roman"/>
                <w:color w:val="000000" w:themeColor="text1"/>
                <w:lang w:eastAsia="pl-PL"/>
              </w:rPr>
              <w:t>;</w:t>
            </w:r>
          </w:p>
          <w:p w14:paraId="1D390DE0"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112)</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Stowarzyszenie Sędziów Polskich „Iustitia”</w:t>
            </w:r>
            <w:r w:rsidR="00493D06" w:rsidRPr="00067989">
              <w:rPr>
                <w:rFonts w:ascii="Times New Roman" w:hAnsi="Times New Roman" w:cs="Times New Roman"/>
                <w:color w:val="000000" w:themeColor="text1"/>
                <w:lang w:eastAsia="pl-PL"/>
              </w:rPr>
              <w:t>;</w:t>
            </w:r>
          </w:p>
          <w:p w14:paraId="30D60BDD"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113)</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Europejskie Centrum Konsumenckie</w:t>
            </w:r>
            <w:r w:rsidR="00493D06" w:rsidRPr="00067989">
              <w:rPr>
                <w:rFonts w:ascii="Times New Roman" w:hAnsi="Times New Roman" w:cs="Times New Roman"/>
                <w:color w:val="000000" w:themeColor="text1"/>
                <w:lang w:eastAsia="pl-PL"/>
              </w:rPr>
              <w:t>;</w:t>
            </w:r>
          </w:p>
          <w:p w14:paraId="1E91EDB0"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114)</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Federacja – Porozumienie Polskiego Rynku Nieruchomości</w:t>
            </w:r>
            <w:r w:rsidR="00493D06" w:rsidRPr="00067989">
              <w:rPr>
                <w:rFonts w:ascii="Times New Roman" w:hAnsi="Times New Roman" w:cs="Times New Roman"/>
                <w:color w:val="000000" w:themeColor="text1"/>
                <w:lang w:eastAsia="pl-PL"/>
              </w:rPr>
              <w:t>;</w:t>
            </w:r>
          </w:p>
          <w:p w14:paraId="5F582897"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115)</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Fundacja Małych i Średnich Przedsiębiorstw</w:t>
            </w:r>
            <w:r w:rsidR="00493D06" w:rsidRPr="00067989">
              <w:rPr>
                <w:rFonts w:ascii="Times New Roman" w:hAnsi="Times New Roman" w:cs="Times New Roman"/>
                <w:color w:val="000000" w:themeColor="text1"/>
                <w:lang w:eastAsia="pl-PL"/>
              </w:rPr>
              <w:t>;</w:t>
            </w:r>
          </w:p>
          <w:p w14:paraId="541A16C6"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116)</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Instytut Badań nad Demokracją i Przedsiębiorstwem Prywatnym</w:t>
            </w:r>
            <w:r w:rsidR="00493D06" w:rsidRPr="00067989">
              <w:rPr>
                <w:rFonts w:ascii="Times New Roman" w:hAnsi="Times New Roman" w:cs="Times New Roman"/>
                <w:color w:val="000000" w:themeColor="text1"/>
                <w:lang w:eastAsia="pl-PL"/>
              </w:rPr>
              <w:t>;</w:t>
            </w:r>
          </w:p>
          <w:p w14:paraId="07E895AE"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117)</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Kongres Budownictwa</w:t>
            </w:r>
            <w:r w:rsidR="00493D06" w:rsidRPr="00067989">
              <w:rPr>
                <w:rFonts w:ascii="Times New Roman" w:hAnsi="Times New Roman" w:cs="Times New Roman"/>
                <w:color w:val="000000" w:themeColor="text1"/>
                <w:lang w:eastAsia="pl-PL"/>
              </w:rPr>
              <w:t>;</w:t>
            </w:r>
          </w:p>
          <w:p w14:paraId="00C2EF55"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118)</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Krajowa Federacja Konsumentów</w:t>
            </w:r>
            <w:r w:rsidR="00493D06" w:rsidRPr="00067989">
              <w:rPr>
                <w:rFonts w:ascii="Times New Roman" w:hAnsi="Times New Roman" w:cs="Times New Roman"/>
                <w:color w:val="000000" w:themeColor="text1"/>
                <w:lang w:eastAsia="pl-PL"/>
              </w:rPr>
              <w:t>;</w:t>
            </w:r>
          </w:p>
          <w:p w14:paraId="51644F6B"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119)</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Krajowy Związek Rolników Kółek i Organizacji Rolniczych</w:t>
            </w:r>
            <w:r w:rsidR="00493D06" w:rsidRPr="00067989">
              <w:rPr>
                <w:rFonts w:ascii="Times New Roman" w:hAnsi="Times New Roman" w:cs="Times New Roman"/>
                <w:color w:val="000000" w:themeColor="text1"/>
                <w:lang w:eastAsia="pl-PL"/>
              </w:rPr>
              <w:t>;</w:t>
            </w:r>
          </w:p>
          <w:p w14:paraId="104796EA"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120)</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Dolnośląski Urząd Wojewódzki</w:t>
            </w:r>
            <w:r w:rsidR="00493D06" w:rsidRPr="00067989">
              <w:rPr>
                <w:rFonts w:ascii="Times New Roman" w:hAnsi="Times New Roman" w:cs="Times New Roman"/>
                <w:color w:val="000000" w:themeColor="text1"/>
                <w:lang w:eastAsia="pl-PL"/>
              </w:rPr>
              <w:t>;</w:t>
            </w:r>
          </w:p>
          <w:p w14:paraId="25754230"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121)</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Kujawsko-Pomorski Urząd Wojewódzki</w:t>
            </w:r>
            <w:r w:rsidR="00493D06" w:rsidRPr="00067989">
              <w:rPr>
                <w:rFonts w:ascii="Times New Roman" w:hAnsi="Times New Roman" w:cs="Times New Roman"/>
                <w:color w:val="000000" w:themeColor="text1"/>
                <w:lang w:eastAsia="pl-PL"/>
              </w:rPr>
              <w:t>;</w:t>
            </w:r>
          </w:p>
          <w:p w14:paraId="1E78E13D"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122)</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Lubelski Urząd Wojewódzki</w:t>
            </w:r>
            <w:r w:rsidR="00493D06" w:rsidRPr="00067989">
              <w:rPr>
                <w:rFonts w:ascii="Times New Roman" w:hAnsi="Times New Roman" w:cs="Times New Roman"/>
                <w:color w:val="000000" w:themeColor="text1"/>
                <w:lang w:eastAsia="pl-PL"/>
              </w:rPr>
              <w:t>;</w:t>
            </w:r>
          </w:p>
          <w:p w14:paraId="1E65A4AC"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123)</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Lubuski Urząd Wojewódzki</w:t>
            </w:r>
            <w:r w:rsidR="00493D06" w:rsidRPr="00067989">
              <w:rPr>
                <w:rFonts w:ascii="Times New Roman" w:hAnsi="Times New Roman" w:cs="Times New Roman"/>
                <w:color w:val="000000" w:themeColor="text1"/>
                <w:lang w:eastAsia="pl-PL"/>
              </w:rPr>
              <w:t>;</w:t>
            </w:r>
          </w:p>
          <w:p w14:paraId="3C6B2736"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124)</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Łódzki Urząd Wojewódzki</w:t>
            </w:r>
            <w:r w:rsidR="00493D06" w:rsidRPr="00067989">
              <w:rPr>
                <w:rFonts w:ascii="Times New Roman" w:hAnsi="Times New Roman" w:cs="Times New Roman"/>
                <w:color w:val="000000" w:themeColor="text1"/>
                <w:lang w:eastAsia="pl-PL"/>
              </w:rPr>
              <w:t>;</w:t>
            </w:r>
          </w:p>
          <w:p w14:paraId="75CC1C74"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125)</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Małopolski Urząd Wojewódzki</w:t>
            </w:r>
            <w:r w:rsidR="00493D06" w:rsidRPr="00067989">
              <w:rPr>
                <w:rFonts w:ascii="Times New Roman" w:hAnsi="Times New Roman" w:cs="Times New Roman"/>
                <w:color w:val="000000" w:themeColor="text1"/>
                <w:lang w:eastAsia="pl-PL"/>
              </w:rPr>
              <w:t>;</w:t>
            </w:r>
          </w:p>
          <w:p w14:paraId="326C862D"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126)</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Mazowiecki Urząd Wojewódzki</w:t>
            </w:r>
            <w:r w:rsidR="00493D06" w:rsidRPr="00067989">
              <w:rPr>
                <w:rFonts w:ascii="Times New Roman" w:hAnsi="Times New Roman" w:cs="Times New Roman"/>
                <w:color w:val="000000" w:themeColor="text1"/>
                <w:lang w:eastAsia="pl-PL"/>
              </w:rPr>
              <w:t>;</w:t>
            </w:r>
          </w:p>
          <w:p w14:paraId="086445E4"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127)</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Śląski Urząd Wojewódzki</w:t>
            </w:r>
            <w:r w:rsidR="00493D06" w:rsidRPr="00067989">
              <w:rPr>
                <w:rFonts w:ascii="Times New Roman" w:hAnsi="Times New Roman" w:cs="Times New Roman"/>
                <w:color w:val="000000" w:themeColor="text1"/>
                <w:lang w:eastAsia="pl-PL"/>
              </w:rPr>
              <w:t>;</w:t>
            </w:r>
          </w:p>
          <w:p w14:paraId="09D9F1A1"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128)</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Świętokrzyski Urząd Wojewódzki</w:t>
            </w:r>
            <w:r w:rsidR="00493D06" w:rsidRPr="00067989">
              <w:rPr>
                <w:rFonts w:ascii="Times New Roman" w:hAnsi="Times New Roman" w:cs="Times New Roman"/>
                <w:color w:val="000000" w:themeColor="text1"/>
                <w:lang w:eastAsia="pl-PL"/>
              </w:rPr>
              <w:t>;</w:t>
            </w:r>
          </w:p>
          <w:p w14:paraId="09177101"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129)</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Opolski Urząd Wojewódzki</w:t>
            </w:r>
            <w:r w:rsidR="00493D06" w:rsidRPr="00067989">
              <w:rPr>
                <w:rFonts w:ascii="Times New Roman" w:hAnsi="Times New Roman" w:cs="Times New Roman"/>
                <w:color w:val="000000" w:themeColor="text1"/>
                <w:lang w:eastAsia="pl-PL"/>
              </w:rPr>
              <w:t>;</w:t>
            </w:r>
          </w:p>
          <w:p w14:paraId="6356D9BA"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130)</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Podkarpacki Urząd Wojewódzki</w:t>
            </w:r>
            <w:r w:rsidR="00493D06" w:rsidRPr="00067989">
              <w:rPr>
                <w:rFonts w:ascii="Times New Roman" w:hAnsi="Times New Roman" w:cs="Times New Roman"/>
                <w:color w:val="000000" w:themeColor="text1"/>
                <w:lang w:eastAsia="pl-PL"/>
              </w:rPr>
              <w:t>;</w:t>
            </w:r>
          </w:p>
          <w:p w14:paraId="15EB8E6A" w14:textId="77777777" w:rsidR="00FE18E9" w:rsidRPr="00067989"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131)</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Podlaski Urząd Wojewódzki</w:t>
            </w:r>
            <w:r w:rsidR="00493D06" w:rsidRPr="00067989">
              <w:rPr>
                <w:rFonts w:ascii="Times New Roman" w:hAnsi="Times New Roman" w:cs="Times New Roman"/>
                <w:color w:val="000000" w:themeColor="text1"/>
                <w:lang w:eastAsia="pl-PL"/>
              </w:rPr>
              <w:t>;</w:t>
            </w:r>
          </w:p>
          <w:p w14:paraId="08C323D2" w14:textId="77777777" w:rsidR="00FE18E9" w:rsidRPr="00284114"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067989">
              <w:rPr>
                <w:rFonts w:ascii="Times New Roman" w:hAnsi="Times New Roman" w:cs="Times New Roman"/>
                <w:color w:val="000000" w:themeColor="text1"/>
                <w:lang w:eastAsia="pl-PL"/>
              </w:rPr>
              <w:t>132)</w:t>
            </w:r>
            <w:r w:rsidR="00067989">
              <w:rPr>
                <w:rFonts w:ascii="Times New Roman" w:hAnsi="Times New Roman" w:cs="Times New Roman"/>
                <w:color w:val="000000" w:themeColor="text1"/>
                <w:lang w:eastAsia="pl-PL"/>
              </w:rPr>
              <w:tab/>
            </w:r>
            <w:r w:rsidRPr="00067989">
              <w:rPr>
                <w:rFonts w:ascii="Times New Roman" w:hAnsi="Times New Roman" w:cs="Times New Roman"/>
                <w:color w:val="000000" w:themeColor="text1"/>
                <w:lang w:eastAsia="pl-PL"/>
              </w:rPr>
              <w:t>Pomorski Urząd Wojewódzki</w:t>
            </w:r>
            <w:r w:rsidR="00493D06" w:rsidRPr="00067989">
              <w:rPr>
                <w:rFonts w:ascii="Times New Roman" w:hAnsi="Times New Roman" w:cs="Times New Roman"/>
                <w:color w:val="000000" w:themeColor="text1"/>
                <w:lang w:eastAsia="pl-PL"/>
              </w:rPr>
              <w:t>;</w:t>
            </w:r>
          </w:p>
          <w:p w14:paraId="4141E251" w14:textId="737EBEAC" w:rsidR="00FE18E9" w:rsidRPr="00284114"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284114">
              <w:rPr>
                <w:rFonts w:ascii="Times New Roman" w:hAnsi="Times New Roman" w:cs="Times New Roman"/>
                <w:color w:val="000000" w:themeColor="text1"/>
                <w:lang w:eastAsia="pl-PL"/>
              </w:rPr>
              <w:t>133)</w:t>
            </w:r>
            <w:r w:rsidR="00284114">
              <w:rPr>
                <w:rFonts w:ascii="Times New Roman" w:hAnsi="Times New Roman" w:cs="Times New Roman"/>
                <w:color w:val="000000" w:themeColor="text1"/>
                <w:lang w:eastAsia="pl-PL"/>
              </w:rPr>
              <w:tab/>
            </w:r>
            <w:r w:rsidRPr="00284114">
              <w:rPr>
                <w:rFonts w:ascii="Times New Roman" w:hAnsi="Times New Roman" w:cs="Times New Roman"/>
                <w:color w:val="000000" w:themeColor="text1"/>
                <w:lang w:eastAsia="pl-PL"/>
              </w:rPr>
              <w:t>Warmińsko</w:t>
            </w:r>
            <w:r w:rsidR="005F6337">
              <w:rPr>
                <w:rFonts w:ascii="Times New Roman" w:hAnsi="Times New Roman" w:cs="Times New Roman"/>
                <w:color w:val="000000" w:themeColor="text1"/>
                <w:lang w:eastAsia="pl-PL"/>
              </w:rPr>
              <w:t>-</w:t>
            </w:r>
            <w:r w:rsidRPr="00284114">
              <w:rPr>
                <w:rFonts w:ascii="Times New Roman" w:hAnsi="Times New Roman" w:cs="Times New Roman"/>
                <w:color w:val="000000" w:themeColor="text1"/>
                <w:lang w:eastAsia="pl-PL"/>
              </w:rPr>
              <w:t>Mazurski Urząd Wojewódzki</w:t>
            </w:r>
            <w:r w:rsidR="00493D06" w:rsidRPr="00284114">
              <w:rPr>
                <w:rFonts w:ascii="Times New Roman" w:hAnsi="Times New Roman" w:cs="Times New Roman"/>
                <w:color w:val="000000" w:themeColor="text1"/>
                <w:lang w:eastAsia="pl-PL"/>
              </w:rPr>
              <w:t>;</w:t>
            </w:r>
          </w:p>
          <w:p w14:paraId="17940BA7" w14:textId="77777777" w:rsidR="00FE18E9" w:rsidRPr="00284114"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284114">
              <w:rPr>
                <w:rFonts w:ascii="Times New Roman" w:hAnsi="Times New Roman" w:cs="Times New Roman"/>
                <w:color w:val="000000" w:themeColor="text1"/>
                <w:lang w:eastAsia="pl-PL"/>
              </w:rPr>
              <w:t>134)</w:t>
            </w:r>
            <w:r w:rsidR="00284114">
              <w:rPr>
                <w:rFonts w:ascii="Times New Roman" w:hAnsi="Times New Roman" w:cs="Times New Roman"/>
                <w:color w:val="000000" w:themeColor="text1"/>
                <w:lang w:eastAsia="pl-PL"/>
              </w:rPr>
              <w:tab/>
            </w:r>
            <w:r w:rsidRPr="00284114">
              <w:rPr>
                <w:rFonts w:ascii="Times New Roman" w:hAnsi="Times New Roman" w:cs="Times New Roman"/>
                <w:color w:val="000000" w:themeColor="text1"/>
                <w:lang w:eastAsia="pl-PL"/>
              </w:rPr>
              <w:t>Wielkopolski Urząd Wojewódzki</w:t>
            </w:r>
            <w:r w:rsidR="00493D06" w:rsidRPr="00284114">
              <w:rPr>
                <w:rFonts w:ascii="Times New Roman" w:hAnsi="Times New Roman" w:cs="Times New Roman"/>
                <w:color w:val="000000" w:themeColor="text1"/>
                <w:lang w:eastAsia="pl-PL"/>
              </w:rPr>
              <w:t>;</w:t>
            </w:r>
          </w:p>
          <w:p w14:paraId="258FD16C" w14:textId="77777777" w:rsidR="00FE18E9" w:rsidRPr="00284114"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284114">
              <w:rPr>
                <w:rFonts w:ascii="Times New Roman" w:hAnsi="Times New Roman" w:cs="Times New Roman"/>
                <w:color w:val="000000" w:themeColor="text1"/>
                <w:lang w:eastAsia="pl-PL"/>
              </w:rPr>
              <w:t>135)</w:t>
            </w:r>
            <w:r w:rsidR="00284114">
              <w:rPr>
                <w:rFonts w:ascii="Times New Roman" w:hAnsi="Times New Roman" w:cs="Times New Roman"/>
                <w:color w:val="000000" w:themeColor="text1"/>
                <w:lang w:eastAsia="pl-PL"/>
              </w:rPr>
              <w:tab/>
            </w:r>
            <w:r w:rsidRPr="00284114">
              <w:rPr>
                <w:rFonts w:ascii="Times New Roman" w:hAnsi="Times New Roman" w:cs="Times New Roman"/>
                <w:color w:val="000000" w:themeColor="text1"/>
                <w:lang w:eastAsia="pl-PL"/>
              </w:rPr>
              <w:t>Zachodniopomorski Urząd Wojewódzki</w:t>
            </w:r>
            <w:r w:rsidR="00493D06" w:rsidRPr="00284114">
              <w:rPr>
                <w:rFonts w:ascii="Times New Roman" w:hAnsi="Times New Roman" w:cs="Times New Roman"/>
                <w:color w:val="000000" w:themeColor="text1"/>
                <w:lang w:eastAsia="pl-PL"/>
              </w:rPr>
              <w:t>;</w:t>
            </w:r>
          </w:p>
          <w:p w14:paraId="1961E837" w14:textId="77777777" w:rsidR="00FE18E9" w:rsidRPr="00284114"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284114">
              <w:rPr>
                <w:rFonts w:ascii="Times New Roman" w:hAnsi="Times New Roman" w:cs="Times New Roman"/>
                <w:color w:val="000000" w:themeColor="text1"/>
                <w:lang w:eastAsia="pl-PL"/>
              </w:rPr>
              <w:t>136)</w:t>
            </w:r>
            <w:r w:rsidR="00284114">
              <w:rPr>
                <w:rFonts w:ascii="Times New Roman" w:hAnsi="Times New Roman" w:cs="Times New Roman"/>
                <w:color w:val="000000" w:themeColor="text1"/>
                <w:lang w:eastAsia="pl-PL"/>
              </w:rPr>
              <w:tab/>
            </w:r>
            <w:r w:rsidRPr="00284114">
              <w:rPr>
                <w:rFonts w:ascii="Times New Roman" w:hAnsi="Times New Roman" w:cs="Times New Roman"/>
                <w:color w:val="000000" w:themeColor="text1"/>
                <w:lang w:eastAsia="pl-PL"/>
              </w:rPr>
              <w:t>Unia Metropolii Polskich</w:t>
            </w:r>
            <w:r w:rsidR="00493D06" w:rsidRPr="00284114">
              <w:rPr>
                <w:rFonts w:ascii="Times New Roman" w:hAnsi="Times New Roman" w:cs="Times New Roman"/>
                <w:color w:val="000000" w:themeColor="text1"/>
                <w:lang w:eastAsia="pl-PL"/>
              </w:rPr>
              <w:t>;</w:t>
            </w:r>
          </w:p>
          <w:p w14:paraId="5C164080" w14:textId="77777777" w:rsidR="00FE18E9" w:rsidRPr="00284114"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284114">
              <w:rPr>
                <w:rFonts w:ascii="Times New Roman" w:hAnsi="Times New Roman" w:cs="Times New Roman"/>
                <w:color w:val="000000" w:themeColor="text1"/>
                <w:lang w:eastAsia="pl-PL"/>
              </w:rPr>
              <w:t>137)</w:t>
            </w:r>
            <w:r w:rsidR="00284114">
              <w:rPr>
                <w:rFonts w:ascii="Times New Roman" w:hAnsi="Times New Roman" w:cs="Times New Roman"/>
                <w:color w:val="000000" w:themeColor="text1"/>
                <w:lang w:eastAsia="pl-PL"/>
              </w:rPr>
              <w:tab/>
            </w:r>
            <w:r w:rsidRPr="00284114">
              <w:rPr>
                <w:rFonts w:ascii="Times New Roman" w:hAnsi="Times New Roman" w:cs="Times New Roman"/>
                <w:color w:val="000000" w:themeColor="text1"/>
                <w:lang w:eastAsia="pl-PL"/>
              </w:rPr>
              <w:t>Unia Miasteczek Polskich</w:t>
            </w:r>
            <w:r w:rsidR="00493D06" w:rsidRPr="00284114">
              <w:rPr>
                <w:rFonts w:ascii="Times New Roman" w:hAnsi="Times New Roman" w:cs="Times New Roman"/>
                <w:color w:val="000000" w:themeColor="text1"/>
                <w:lang w:eastAsia="pl-PL"/>
              </w:rPr>
              <w:t>;</w:t>
            </w:r>
          </w:p>
          <w:p w14:paraId="5CB54305" w14:textId="77777777" w:rsidR="00FE18E9" w:rsidRPr="00284114"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284114">
              <w:rPr>
                <w:rFonts w:ascii="Times New Roman" w:hAnsi="Times New Roman" w:cs="Times New Roman"/>
                <w:color w:val="000000" w:themeColor="text1"/>
                <w:lang w:eastAsia="pl-PL"/>
              </w:rPr>
              <w:t>138)</w:t>
            </w:r>
            <w:r w:rsidR="00284114">
              <w:rPr>
                <w:rFonts w:ascii="Times New Roman" w:hAnsi="Times New Roman" w:cs="Times New Roman"/>
                <w:color w:val="000000" w:themeColor="text1"/>
                <w:lang w:eastAsia="pl-PL"/>
              </w:rPr>
              <w:tab/>
            </w:r>
            <w:r w:rsidRPr="00284114">
              <w:rPr>
                <w:rFonts w:ascii="Times New Roman" w:hAnsi="Times New Roman" w:cs="Times New Roman"/>
                <w:color w:val="000000" w:themeColor="text1"/>
                <w:lang w:eastAsia="pl-PL"/>
              </w:rPr>
              <w:t>Związek Gmin Wiejskich Rzeczypospolitej Polskiej</w:t>
            </w:r>
            <w:r w:rsidR="00493D06" w:rsidRPr="00284114">
              <w:rPr>
                <w:rFonts w:ascii="Times New Roman" w:hAnsi="Times New Roman" w:cs="Times New Roman"/>
                <w:color w:val="000000" w:themeColor="text1"/>
                <w:lang w:eastAsia="pl-PL"/>
              </w:rPr>
              <w:t>;</w:t>
            </w:r>
          </w:p>
          <w:p w14:paraId="30D8EC76" w14:textId="77777777" w:rsidR="00FE18E9" w:rsidRPr="00284114"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284114">
              <w:rPr>
                <w:rFonts w:ascii="Times New Roman" w:hAnsi="Times New Roman" w:cs="Times New Roman"/>
                <w:color w:val="000000" w:themeColor="text1"/>
                <w:lang w:eastAsia="pl-PL"/>
              </w:rPr>
              <w:t>139)</w:t>
            </w:r>
            <w:r w:rsidR="00284114">
              <w:rPr>
                <w:rFonts w:ascii="Times New Roman" w:hAnsi="Times New Roman" w:cs="Times New Roman"/>
                <w:color w:val="000000" w:themeColor="text1"/>
                <w:lang w:eastAsia="pl-PL"/>
              </w:rPr>
              <w:tab/>
            </w:r>
            <w:r w:rsidRPr="00284114">
              <w:rPr>
                <w:rFonts w:ascii="Times New Roman" w:hAnsi="Times New Roman" w:cs="Times New Roman"/>
                <w:color w:val="000000" w:themeColor="text1"/>
                <w:lang w:eastAsia="pl-PL"/>
              </w:rPr>
              <w:t>Związek Miast Polskich</w:t>
            </w:r>
            <w:r w:rsidR="00493D06" w:rsidRPr="00284114">
              <w:rPr>
                <w:rFonts w:ascii="Times New Roman" w:hAnsi="Times New Roman" w:cs="Times New Roman"/>
                <w:color w:val="000000" w:themeColor="text1"/>
                <w:lang w:eastAsia="pl-PL"/>
              </w:rPr>
              <w:t>;</w:t>
            </w:r>
          </w:p>
          <w:p w14:paraId="0CF435F3" w14:textId="77777777" w:rsidR="00FE18E9" w:rsidRPr="00284114"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284114">
              <w:rPr>
                <w:rFonts w:ascii="Times New Roman" w:hAnsi="Times New Roman" w:cs="Times New Roman"/>
                <w:color w:val="000000" w:themeColor="text1"/>
                <w:lang w:eastAsia="pl-PL"/>
              </w:rPr>
              <w:t>140</w:t>
            </w:r>
            <w:r w:rsidR="00284114" w:rsidRPr="00284114">
              <w:rPr>
                <w:rFonts w:ascii="Times New Roman" w:hAnsi="Times New Roman" w:cs="Times New Roman"/>
                <w:color w:val="000000" w:themeColor="text1"/>
                <w:lang w:eastAsia="pl-PL"/>
              </w:rPr>
              <w:t>)</w:t>
            </w:r>
            <w:r w:rsidR="00284114">
              <w:rPr>
                <w:rFonts w:ascii="Times New Roman" w:hAnsi="Times New Roman" w:cs="Times New Roman"/>
                <w:color w:val="000000" w:themeColor="text1"/>
                <w:lang w:eastAsia="pl-PL"/>
              </w:rPr>
              <w:tab/>
            </w:r>
            <w:r w:rsidRPr="00284114">
              <w:rPr>
                <w:rFonts w:ascii="Times New Roman" w:hAnsi="Times New Roman" w:cs="Times New Roman"/>
                <w:color w:val="000000" w:themeColor="text1"/>
                <w:lang w:eastAsia="pl-PL"/>
              </w:rPr>
              <w:t>Związek Powiatów Polskich</w:t>
            </w:r>
            <w:r w:rsidR="00493D06" w:rsidRPr="00284114">
              <w:rPr>
                <w:rFonts w:ascii="Times New Roman" w:hAnsi="Times New Roman" w:cs="Times New Roman"/>
                <w:color w:val="000000" w:themeColor="text1"/>
                <w:lang w:eastAsia="pl-PL"/>
              </w:rPr>
              <w:t>;</w:t>
            </w:r>
          </w:p>
          <w:p w14:paraId="0FC65EE8" w14:textId="77777777" w:rsidR="00FE18E9" w:rsidRPr="00284114"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284114">
              <w:rPr>
                <w:rFonts w:ascii="Times New Roman" w:hAnsi="Times New Roman" w:cs="Times New Roman"/>
                <w:color w:val="000000" w:themeColor="text1"/>
                <w:lang w:eastAsia="pl-PL"/>
              </w:rPr>
              <w:t>141</w:t>
            </w:r>
            <w:r w:rsidR="00284114" w:rsidRPr="00284114">
              <w:rPr>
                <w:rFonts w:ascii="Times New Roman" w:hAnsi="Times New Roman" w:cs="Times New Roman"/>
                <w:color w:val="000000" w:themeColor="text1"/>
                <w:lang w:eastAsia="pl-PL"/>
              </w:rPr>
              <w:t>)</w:t>
            </w:r>
            <w:r w:rsidR="00284114">
              <w:rPr>
                <w:rFonts w:ascii="Times New Roman" w:hAnsi="Times New Roman" w:cs="Times New Roman"/>
                <w:color w:val="000000" w:themeColor="text1"/>
                <w:lang w:eastAsia="pl-PL"/>
              </w:rPr>
              <w:tab/>
            </w:r>
            <w:r w:rsidRPr="00284114">
              <w:rPr>
                <w:rFonts w:ascii="Times New Roman" w:hAnsi="Times New Roman" w:cs="Times New Roman"/>
                <w:color w:val="000000" w:themeColor="text1"/>
                <w:lang w:eastAsia="pl-PL"/>
              </w:rPr>
              <w:t>Związek Województw Rzeczypospolitej Polskiej</w:t>
            </w:r>
            <w:r w:rsidR="00493D06" w:rsidRPr="00284114">
              <w:rPr>
                <w:rFonts w:ascii="Times New Roman" w:hAnsi="Times New Roman" w:cs="Times New Roman"/>
                <w:color w:val="000000" w:themeColor="text1"/>
                <w:lang w:eastAsia="pl-PL"/>
              </w:rPr>
              <w:t>;</w:t>
            </w:r>
          </w:p>
          <w:p w14:paraId="4833A387" w14:textId="77777777" w:rsidR="00FE18E9" w:rsidRPr="009341A8" w:rsidRDefault="00FE18E9" w:rsidP="009341A8">
            <w:pPr>
              <w:spacing w:before="60" w:after="60"/>
              <w:jc w:val="both"/>
              <w:rPr>
                <w:rFonts w:ascii="Times New Roman" w:hAnsi="Times New Roman" w:cs="Times New Roman"/>
                <w:color w:val="000000" w:themeColor="text1"/>
                <w:lang w:eastAsia="pl-PL"/>
              </w:rPr>
            </w:pPr>
            <w:r w:rsidRPr="00284114">
              <w:rPr>
                <w:rFonts w:ascii="Times New Roman" w:hAnsi="Times New Roman" w:cs="Times New Roman"/>
                <w:color w:val="000000" w:themeColor="text1"/>
                <w:lang w:eastAsia="pl-PL"/>
              </w:rPr>
              <w:t>oraz</w:t>
            </w:r>
            <w:r w:rsidRPr="00284114">
              <w:rPr>
                <w:rFonts w:ascii="Times New Roman" w:hAnsi="Times New Roman" w:cs="Times New Roman"/>
                <w:color w:val="000000" w:themeColor="text1"/>
              </w:rPr>
              <w:t xml:space="preserve"> </w:t>
            </w:r>
            <w:r w:rsidRPr="009341A8">
              <w:rPr>
                <w:rFonts w:ascii="Times New Roman" w:hAnsi="Times New Roman" w:cs="Times New Roman"/>
                <w:color w:val="000000" w:themeColor="text1"/>
                <w:spacing w:val="-2"/>
              </w:rPr>
              <w:t>na 21 dni do następujących podmiotów</w:t>
            </w:r>
            <w:r w:rsidRPr="009341A8">
              <w:rPr>
                <w:rFonts w:ascii="Times New Roman" w:hAnsi="Times New Roman" w:cs="Times New Roman"/>
                <w:color w:val="000000" w:themeColor="text1"/>
                <w:lang w:eastAsia="pl-PL"/>
              </w:rPr>
              <w:t>:</w:t>
            </w:r>
          </w:p>
          <w:p w14:paraId="00154332" w14:textId="77777777" w:rsidR="00FE18E9" w:rsidRPr="00284114"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9341A8">
              <w:rPr>
                <w:rFonts w:ascii="Times New Roman" w:hAnsi="Times New Roman" w:cs="Times New Roman"/>
                <w:color w:val="000000" w:themeColor="text1"/>
                <w:lang w:eastAsia="pl-PL"/>
              </w:rPr>
              <w:t>1</w:t>
            </w:r>
            <w:r w:rsidR="00284114" w:rsidRPr="009341A8">
              <w:rPr>
                <w:rFonts w:ascii="Times New Roman" w:hAnsi="Times New Roman" w:cs="Times New Roman"/>
                <w:color w:val="000000" w:themeColor="text1"/>
                <w:lang w:eastAsia="pl-PL"/>
              </w:rPr>
              <w:t>)</w:t>
            </w:r>
            <w:r w:rsidR="00284114">
              <w:rPr>
                <w:rFonts w:ascii="Times New Roman" w:hAnsi="Times New Roman" w:cs="Times New Roman"/>
                <w:color w:val="000000" w:themeColor="text1"/>
                <w:lang w:eastAsia="pl-PL"/>
              </w:rPr>
              <w:tab/>
            </w:r>
            <w:r w:rsidRPr="00284114">
              <w:rPr>
                <w:rFonts w:ascii="Times New Roman" w:hAnsi="Times New Roman" w:cs="Times New Roman"/>
                <w:color w:val="000000" w:themeColor="text1"/>
                <w:lang w:eastAsia="pl-PL"/>
              </w:rPr>
              <w:t>Rada Dialogu Społecznego</w:t>
            </w:r>
            <w:r w:rsidR="00493D06" w:rsidRPr="00284114">
              <w:rPr>
                <w:rFonts w:ascii="Times New Roman" w:hAnsi="Times New Roman" w:cs="Times New Roman"/>
                <w:color w:val="000000" w:themeColor="text1"/>
                <w:lang w:eastAsia="pl-PL"/>
              </w:rPr>
              <w:t>;</w:t>
            </w:r>
          </w:p>
          <w:p w14:paraId="4ABF7DC6" w14:textId="77777777" w:rsidR="00FE18E9" w:rsidRPr="00284114"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284114">
              <w:rPr>
                <w:rFonts w:ascii="Times New Roman" w:hAnsi="Times New Roman" w:cs="Times New Roman"/>
                <w:color w:val="000000" w:themeColor="text1"/>
                <w:lang w:eastAsia="pl-PL"/>
              </w:rPr>
              <w:lastRenderedPageBreak/>
              <w:t>2</w:t>
            </w:r>
            <w:r w:rsidR="00284114" w:rsidRPr="00284114">
              <w:rPr>
                <w:rFonts w:ascii="Times New Roman" w:hAnsi="Times New Roman" w:cs="Times New Roman"/>
                <w:color w:val="000000" w:themeColor="text1"/>
                <w:lang w:eastAsia="pl-PL"/>
              </w:rPr>
              <w:t>)</w:t>
            </w:r>
            <w:r w:rsidR="00284114">
              <w:rPr>
                <w:rFonts w:ascii="Times New Roman" w:hAnsi="Times New Roman" w:cs="Times New Roman"/>
                <w:color w:val="000000" w:themeColor="text1"/>
                <w:lang w:eastAsia="pl-PL"/>
              </w:rPr>
              <w:tab/>
            </w:r>
            <w:r w:rsidRPr="00284114">
              <w:rPr>
                <w:rFonts w:ascii="Times New Roman" w:hAnsi="Times New Roman" w:cs="Times New Roman"/>
                <w:color w:val="000000" w:themeColor="text1"/>
                <w:lang w:eastAsia="pl-PL"/>
              </w:rPr>
              <w:t>Business Centre Club – Związku Pracodawców</w:t>
            </w:r>
            <w:r w:rsidR="00493D06" w:rsidRPr="00284114">
              <w:rPr>
                <w:rFonts w:ascii="Times New Roman" w:hAnsi="Times New Roman" w:cs="Times New Roman"/>
                <w:color w:val="000000" w:themeColor="text1"/>
                <w:lang w:eastAsia="pl-PL"/>
              </w:rPr>
              <w:t>;</w:t>
            </w:r>
          </w:p>
          <w:p w14:paraId="2F490001" w14:textId="77777777" w:rsidR="00FE18E9" w:rsidRPr="00284114"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284114">
              <w:rPr>
                <w:rFonts w:ascii="Times New Roman" w:hAnsi="Times New Roman" w:cs="Times New Roman"/>
                <w:color w:val="000000" w:themeColor="text1"/>
                <w:lang w:eastAsia="pl-PL"/>
              </w:rPr>
              <w:t>3</w:t>
            </w:r>
            <w:r w:rsidR="00284114" w:rsidRPr="00284114">
              <w:rPr>
                <w:rFonts w:ascii="Times New Roman" w:hAnsi="Times New Roman" w:cs="Times New Roman"/>
                <w:color w:val="000000" w:themeColor="text1"/>
                <w:lang w:eastAsia="pl-PL"/>
              </w:rPr>
              <w:t>)</w:t>
            </w:r>
            <w:r w:rsidR="00284114">
              <w:rPr>
                <w:rFonts w:ascii="Times New Roman" w:hAnsi="Times New Roman" w:cs="Times New Roman"/>
                <w:color w:val="000000" w:themeColor="text1"/>
                <w:lang w:eastAsia="pl-PL"/>
              </w:rPr>
              <w:tab/>
            </w:r>
            <w:r w:rsidRPr="00284114">
              <w:rPr>
                <w:rFonts w:ascii="Times New Roman" w:hAnsi="Times New Roman" w:cs="Times New Roman"/>
                <w:color w:val="000000" w:themeColor="text1"/>
                <w:lang w:eastAsia="pl-PL"/>
              </w:rPr>
              <w:t>Niezależny Samorządny Związek Zawodowy „Solidarność”</w:t>
            </w:r>
            <w:r w:rsidR="00493D06" w:rsidRPr="00284114">
              <w:rPr>
                <w:rFonts w:ascii="Times New Roman" w:hAnsi="Times New Roman" w:cs="Times New Roman"/>
                <w:color w:val="000000" w:themeColor="text1"/>
                <w:lang w:eastAsia="pl-PL"/>
              </w:rPr>
              <w:t>;</w:t>
            </w:r>
          </w:p>
          <w:p w14:paraId="1E91FD22" w14:textId="77777777" w:rsidR="00FE18E9" w:rsidRPr="00284114"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284114">
              <w:rPr>
                <w:rFonts w:ascii="Times New Roman" w:hAnsi="Times New Roman" w:cs="Times New Roman"/>
                <w:color w:val="000000" w:themeColor="text1"/>
                <w:lang w:eastAsia="pl-PL"/>
              </w:rPr>
              <w:t>4</w:t>
            </w:r>
            <w:r w:rsidR="00284114" w:rsidRPr="00284114">
              <w:rPr>
                <w:rFonts w:ascii="Times New Roman" w:hAnsi="Times New Roman" w:cs="Times New Roman"/>
                <w:color w:val="000000" w:themeColor="text1"/>
                <w:lang w:eastAsia="pl-PL"/>
              </w:rPr>
              <w:t>)</w:t>
            </w:r>
            <w:r w:rsidR="00284114">
              <w:rPr>
                <w:rFonts w:ascii="Times New Roman" w:hAnsi="Times New Roman" w:cs="Times New Roman"/>
                <w:color w:val="000000" w:themeColor="text1"/>
                <w:lang w:eastAsia="pl-PL"/>
              </w:rPr>
              <w:tab/>
            </w:r>
            <w:r w:rsidRPr="00284114">
              <w:rPr>
                <w:rFonts w:ascii="Times New Roman" w:hAnsi="Times New Roman" w:cs="Times New Roman"/>
                <w:color w:val="000000" w:themeColor="text1"/>
                <w:lang w:eastAsia="pl-PL"/>
              </w:rPr>
              <w:t>Ogólnopolskie Porozumienie Związków Zawodowych</w:t>
            </w:r>
            <w:r w:rsidR="00493D06" w:rsidRPr="00284114">
              <w:rPr>
                <w:rFonts w:ascii="Times New Roman" w:hAnsi="Times New Roman" w:cs="Times New Roman"/>
                <w:color w:val="000000" w:themeColor="text1"/>
                <w:lang w:eastAsia="pl-PL"/>
              </w:rPr>
              <w:t>;</w:t>
            </w:r>
          </w:p>
          <w:p w14:paraId="61A8C1DD" w14:textId="77777777" w:rsidR="00FE18E9" w:rsidRPr="00284114"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284114">
              <w:rPr>
                <w:rFonts w:ascii="Times New Roman" w:hAnsi="Times New Roman" w:cs="Times New Roman"/>
                <w:color w:val="000000" w:themeColor="text1"/>
                <w:lang w:eastAsia="pl-PL"/>
              </w:rPr>
              <w:t>5</w:t>
            </w:r>
            <w:r w:rsidR="00284114" w:rsidRPr="00284114">
              <w:rPr>
                <w:rFonts w:ascii="Times New Roman" w:hAnsi="Times New Roman" w:cs="Times New Roman"/>
                <w:color w:val="000000" w:themeColor="text1"/>
                <w:lang w:eastAsia="pl-PL"/>
              </w:rPr>
              <w:t>)</w:t>
            </w:r>
            <w:r w:rsidR="00284114">
              <w:rPr>
                <w:rFonts w:ascii="Times New Roman" w:hAnsi="Times New Roman" w:cs="Times New Roman"/>
                <w:color w:val="000000" w:themeColor="text1"/>
                <w:lang w:eastAsia="pl-PL"/>
              </w:rPr>
              <w:tab/>
            </w:r>
            <w:r w:rsidRPr="00284114">
              <w:rPr>
                <w:rFonts w:ascii="Times New Roman" w:hAnsi="Times New Roman" w:cs="Times New Roman"/>
                <w:color w:val="000000" w:themeColor="text1"/>
                <w:lang w:eastAsia="pl-PL"/>
              </w:rPr>
              <w:t>Forum Związków Zawodowych</w:t>
            </w:r>
            <w:r w:rsidR="00493D06" w:rsidRPr="00284114">
              <w:rPr>
                <w:rFonts w:ascii="Times New Roman" w:hAnsi="Times New Roman" w:cs="Times New Roman"/>
                <w:color w:val="000000" w:themeColor="text1"/>
                <w:lang w:eastAsia="pl-PL"/>
              </w:rPr>
              <w:t>;</w:t>
            </w:r>
          </w:p>
          <w:p w14:paraId="22222430" w14:textId="77777777" w:rsidR="00FE18E9" w:rsidRPr="00284114"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284114">
              <w:rPr>
                <w:rFonts w:ascii="Times New Roman" w:hAnsi="Times New Roman" w:cs="Times New Roman"/>
                <w:color w:val="000000" w:themeColor="text1"/>
                <w:lang w:eastAsia="pl-PL"/>
              </w:rPr>
              <w:t>6</w:t>
            </w:r>
            <w:r w:rsidR="00284114" w:rsidRPr="00284114">
              <w:rPr>
                <w:rFonts w:ascii="Times New Roman" w:hAnsi="Times New Roman" w:cs="Times New Roman"/>
                <w:color w:val="000000" w:themeColor="text1"/>
                <w:lang w:eastAsia="pl-PL"/>
              </w:rPr>
              <w:t>)</w:t>
            </w:r>
            <w:r w:rsidR="00284114">
              <w:rPr>
                <w:rFonts w:ascii="Times New Roman" w:hAnsi="Times New Roman" w:cs="Times New Roman"/>
                <w:color w:val="000000" w:themeColor="text1"/>
                <w:lang w:eastAsia="pl-PL"/>
              </w:rPr>
              <w:tab/>
            </w:r>
            <w:r w:rsidRPr="00284114">
              <w:rPr>
                <w:rFonts w:ascii="Times New Roman" w:hAnsi="Times New Roman" w:cs="Times New Roman"/>
                <w:color w:val="000000" w:themeColor="text1"/>
                <w:lang w:eastAsia="pl-PL"/>
              </w:rPr>
              <w:t>Pracodawcy Rzeczypospolitej Polskiej</w:t>
            </w:r>
            <w:r w:rsidR="00493D06" w:rsidRPr="00284114">
              <w:rPr>
                <w:rFonts w:ascii="Times New Roman" w:hAnsi="Times New Roman" w:cs="Times New Roman"/>
                <w:color w:val="000000" w:themeColor="text1"/>
                <w:lang w:eastAsia="pl-PL"/>
              </w:rPr>
              <w:t>;</w:t>
            </w:r>
          </w:p>
          <w:p w14:paraId="12D3044E" w14:textId="77777777" w:rsidR="00FE18E9" w:rsidRPr="00284114"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284114">
              <w:rPr>
                <w:rFonts w:ascii="Times New Roman" w:hAnsi="Times New Roman" w:cs="Times New Roman"/>
                <w:color w:val="000000" w:themeColor="text1"/>
                <w:lang w:eastAsia="pl-PL"/>
              </w:rPr>
              <w:t>7)</w:t>
            </w:r>
            <w:r w:rsidR="00284114">
              <w:rPr>
                <w:rFonts w:ascii="Times New Roman" w:hAnsi="Times New Roman" w:cs="Times New Roman"/>
                <w:color w:val="000000" w:themeColor="text1"/>
                <w:lang w:eastAsia="pl-PL"/>
              </w:rPr>
              <w:tab/>
            </w:r>
            <w:r w:rsidRPr="00284114">
              <w:rPr>
                <w:rFonts w:ascii="Times New Roman" w:hAnsi="Times New Roman" w:cs="Times New Roman"/>
                <w:color w:val="000000" w:themeColor="text1"/>
                <w:lang w:eastAsia="pl-PL"/>
              </w:rPr>
              <w:t>Konfederacja Lewiatan</w:t>
            </w:r>
            <w:r w:rsidR="00493D06" w:rsidRPr="00284114">
              <w:rPr>
                <w:rFonts w:ascii="Times New Roman" w:hAnsi="Times New Roman" w:cs="Times New Roman"/>
                <w:color w:val="000000" w:themeColor="text1"/>
                <w:lang w:eastAsia="pl-PL"/>
              </w:rPr>
              <w:t>;</w:t>
            </w:r>
          </w:p>
          <w:p w14:paraId="4458E706" w14:textId="77777777" w:rsidR="00FE18E9" w:rsidRPr="00284114"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284114">
              <w:rPr>
                <w:rFonts w:ascii="Times New Roman" w:hAnsi="Times New Roman" w:cs="Times New Roman"/>
                <w:color w:val="000000" w:themeColor="text1"/>
                <w:lang w:eastAsia="pl-PL"/>
              </w:rPr>
              <w:t>8)</w:t>
            </w:r>
            <w:r w:rsidR="00284114">
              <w:rPr>
                <w:rFonts w:ascii="Times New Roman" w:hAnsi="Times New Roman" w:cs="Times New Roman"/>
                <w:color w:val="000000" w:themeColor="text1"/>
                <w:lang w:eastAsia="pl-PL"/>
              </w:rPr>
              <w:tab/>
            </w:r>
            <w:r w:rsidRPr="00284114">
              <w:rPr>
                <w:rFonts w:ascii="Times New Roman" w:hAnsi="Times New Roman" w:cs="Times New Roman"/>
                <w:color w:val="000000" w:themeColor="text1"/>
                <w:lang w:eastAsia="pl-PL"/>
              </w:rPr>
              <w:t>Związek Przedsiębiorców i Pracodawców</w:t>
            </w:r>
            <w:r w:rsidR="00493D06" w:rsidRPr="00284114">
              <w:rPr>
                <w:rFonts w:ascii="Times New Roman" w:hAnsi="Times New Roman" w:cs="Times New Roman"/>
                <w:color w:val="000000" w:themeColor="text1"/>
                <w:lang w:eastAsia="pl-PL"/>
              </w:rPr>
              <w:t>;</w:t>
            </w:r>
          </w:p>
          <w:p w14:paraId="21A39DFC" w14:textId="77777777" w:rsidR="00FE18E9" w:rsidRPr="00284114"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284114">
              <w:rPr>
                <w:rFonts w:ascii="Times New Roman" w:hAnsi="Times New Roman" w:cs="Times New Roman"/>
                <w:color w:val="000000" w:themeColor="text1"/>
                <w:lang w:eastAsia="pl-PL"/>
              </w:rPr>
              <w:t>9)</w:t>
            </w:r>
            <w:r w:rsidR="00284114">
              <w:rPr>
                <w:rFonts w:ascii="Times New Roman" w:hAnsi="Times New Roman" w:cs="Times New Roman"/>
                <w:color w:val="000000" w:themeColor="text1"/>
                <w:lang w:eastAsia="pl-PL"/>
              </w:rPr>
              <w:tab/>
            </w:r>
            <w:r w:rsidRPr="00284114">
              <w:rPr>
                <w:rFonts w:ascii="Times New Roman" w:hAnsi="Times New Roman" w:cs="Times New Roman"/>
                <w:color w:val="000000" w:themeColor="text1"/>
                <w:lang w:eastAsia="pl-PL"/>
              </w:rPr>
              <w:t>Związek Rzemiosła Polskiego</w:t>
            </w:r>
            <w:r w:rsidR="00493D06" w:rsidRPr="00284114">
              <w:rPr>
                <w:rFonts w:ascii="Times New Roman" w:hAnsi="Times New Roman" w:cs="Times New Roman"/>
                <w:color w:val="000000" w:themeColor="text1"/>
                <w:lang w:eastAsia="pl-PL"/>
              </w:rPr>
              <w:t>;</w:t>
            </w:r>
          </w:p>
          <w:p w14:paraId="1CF086FE" w14:textId="77777777" w:rsidR="00FE18E9" w:rsidRPr="00284114"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284114">
              <w:rPr>
                <w:rFonts w:ascii="Times New Roman" w:hAnsi="Times New Roman" w:cs="Times New Roman"/>
                <w:color w:val="000000" w:themeColor="text1"/>
                <w:lang w:eastAsia="pl-PL"/>
              </w:rPr>
              <w:t>10)</w:t>
            </w:r>
            <w:r w:rsidR="00284114">
              <w:rPr>
                <w:rFonts w:ascii="Times New Roman" w:hAnsi="Times New Roman" w:cs="Times New Roman"/>
                <w:color w:val="000000" w:themeColor="text1"/>
                <w:lang w:eastAsia="pl-PL"/>
              </w:rPr>
              <w:tab/>
            </w:r>
            <w:r w:rsidRPr="00284114">
              <w:rPr>
                <w:rFonts w:ascii="Times New Roman" w:hAnsi="Times New Roman" w:cs="Times New Roman"/>
                <w:color w:val="000000" w:themeColor="text1"/>
                <w:lang w:eastAsia="pl-PL"/>
              </w:rPr>
              <w:t>Zrzeszenie Związków Zawodowych Energetyków</w:t>
            </w:r>
            <w:r w:rsidR="00493D06" w:rsidRPr="00284114">
              <w:rPr>
                <w:rFonts w:ascii="Times New Roman" w:hAnsi="Times New Roman" w:cs="Times New Roman"/>
                <w:color w:val="000000" w:themeColor="text1"/>
                <w:lang w:eastAsia="pl-PL"/>
              </w:rPr>
              <w:t>;</w:t>
            </w:r>
          </w:p>
          <w:p w14:paraId="52778BD3" w14:textId="77777777" w:rsidR="00FE18E9" w:rsidRPr="00284114"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284114">
              <w:rPr>
                <w:rFonts w:ascii="Times New Roman" w:hAnsi="Times New Roman" w:cs="Times New Roman"/>
                <w:color w:val="000000" w:themeColor="text1"/>
                <w:lang w:eastAsia="pl-PL"/>
              </w:rPr>
              <w:t>11)</w:t>
            </w:r>
            <w:r w:rsidR="00284114">
              <w:rPr>
                <w:rFonts w:ascii="Times New Roman" w:hAnsi="Times New Roman" w:cs="Times New Roman"/>
                <w:color w:val="000000" w:themeColor="text1"/>
                <w:lang w:eastAsia="pl-PL"/>
              </w:rPr>
              <w:tab/>
            </w:r>
            <w:r w:rsidRPr="00284114">
              <w:rPr>
                <w:rFonts w:ascii="Times New Roman" w:hAnsi="Times New Roman" w:cs="Times New Roman"/>
                <w:color w:val="000000" w:themeColor="text1"/>
                <w:lang w:eastAsia="pl-PL"/>
              </w:rPr>
              <w:t>Polski Związek Pracodawców Budownictwa</w:t>
            </w:r>
            <w:r w:rsidR="00493D06" w:rsidRPr="00284114">
              <w:rPr>
                <w:rFonts w:ascii="Times New Roman" w:hAnsi="Times New Roman" w:cs="Times New Roman"/>
                <w:color w:val="000000" w:themeColor="text1"/>
                <w:lang w:eastAsia="pl-PL"/>
              </w:rPr>
              <w:t>;</w:t>
            </w:r>
          </w:p>
          <w:p w14:paraId="4F3BF76A" w14:textId="77777777" w:rsidR="00FE18E9" w:rsidRPr="00284114"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284114">
              <w:rPr>
                <w:rFonts w:ascii="Times New Roman" w:hAnsi="Times New Roman" w:cs="Times New Roman"/>
                <w:color w:val="000000" w:themeColor="text1"/>
                <w:lang w:eastAsia="pl-PL"/>
              </w:rPr>
              <w:t>12)</w:t>
            </w:r>
            <w:r w:rsidR="00284114">
              <w:rPr>
                <w:rFonts w:ascii="Times New Roman" w:hAnsi="Times New Roman" w:cs="Times New Roman"/>
                <w:color w:val="000000" w:themeColor="text1"/>
                <w:lang w:eastAsia="pl-PL"/>
              </w:rPr>
              <w:tab/>
            </w:r>
            <w:r w:rsidRPr="00284114">
              <w:rPr>
                <w:rFonts w:ascii="Times New Roman" w:hAnsi="Times New Roman" w:cs="Times New Roman"/>
                <w:color w:val="000000" w:themeColor="text1"/>
                <w:lang w:eastAsia="pl-PL"/>
              </w:rPr>
              <w:t>Związek Pracodawców Mediów Publicznych</w:t>
            </w:r>
            <w:r w:rsidR="00493D06" w:rsidRPr="00284114">
              <w:rPr>
                <w:rFonts w:ascii="Times New Roman" w:hAnsi="Times New Roman" w:cs="Times New Roman"/>
                <w:color w:val="000000" w:themeColor="text1"/>
                <w:lang w:eastAsia="pl-PL"/>
              </w:rPr>
              <w:t>;</w:t>
            </w:r>
          </w:p>
          <w:p w14:paraId="4A8F8E93" w14:textId="77777777" w:rsidR="00FE18E9" w:rsidRPr="00284114"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284114">
              <w:rPr>
                <w:rFonts w:ascii="Times New Roman" w:hAnsi="Times New Roman" w:cs="Times New Roman"/>
                <w:color w:val="000000" w:themeColor="text1"/>
                <w:lang w:eastAsia="pl-PL"/>
              </w:rPr>
              <w:t>13)</w:t>
            </w:r>
            <w:r w:rsidR="00284114">
              <w:rPr>
                <w:rFonts w:ascii="Times New Roman" w:hAnsi="Times New Roman" w:cs="Times New Roman"/>
                <w:color w:val="000000" w:themeColor="text1"/>
                <w:lang w:eastAsia="pl-PL"/>
              </w:rPr>
              <w:tab/>
            </w:r>
            <w:r w:rsidRPr="00284114">
              <w:rPr>
                <w:rFonts w:ascii="Times New Roman" w:hAnsi="Times New Roman" w:cs="Times New Roman"/>
                <w:color w:val="000000" w:themeColor="text1"/>
                <w:lang w:eastAsia="pl-PL"/>
              </w:rPr>
              <w:t>Związek Przedsiębiorców i Pracodawców</w:t>
            </w:r>
            <w:r w:rsidR="00493D06" w:rsidRPr="00284114">
              <w:rPr>
                <w:rFonts w:ascii="Times New Roman" w:hAnsi="Times New Roman" w:cs="Times New Roman"/>
                <w:color w:val="000000" w:themeColor="text1"/>
                <w:lang w:eastAsia="pl-PL"/>
              </w:rPr>
              <w:t>;</w:t>
            </w:r>
          </w:p>
          <w:p w14:paraId="005D7AEB" w14:textId="77777777" w:rsidR="00FE18E9" w:rsidRPr="00284114" w:rsidRDefault="00FE18E9" w:rsidP="008A3FA9">
            <w:pPr>
              <w:autoSpaceDE w:val="0"/>
              <w:autoSpaceDN w:val="0"/>
              <w:adjustRightInd w:val="0"/>
              <w:spacing w:before="60" w:after="60"/>
              <w:ind w:left="504" w:hanging="504"/>
              <w:rPr>
                <w:rFonts w:ascii="Times New Roman" w:hAnsi="Times New Roman" w:cs="Times New Roman"/>
                <w:color w:val="000000" w:themeColor="text1"/>
                <w:lang w:eastAsia="pl-PL"/>
              </w:rPr>
            </w:pPr>
            <w:r w:rsidRPr="00284114">
              <w:rPr>
                <w:rFonts w:ascii="Times New Roman" w:hAnsi="Times New Roman" w:cs="Times New Roman"/>
                <w:color w:val="000000" w:themeColor="text1"/>
                <w:lang w:eastAsia="pl-PL"/>
              </w:rPr>
              <w:t>14)</w:t>
            </w:r>
            <w:r w:rsidR="00284114">
              <w:rPr>
                <w:rFonts w:ascii="Times New Roman" w:hAnsi="Times New Roman" w:cs="Times New Roman"/>
                <w:color w:val="000000" w:themeColor="text1"/>
                <w:lang w:eastAsia="pl-PL"/>
              </w:rPr>
              <w:tab/>
            </w:r>
            <w:r w:rsidRPr="00284114">
              <w:rPr>
                <w:rFonts w:ascii="Times New Roman" w:hAnsi="Times New Roman" w:cs="Times New Roman"/>
                <w:color w:val="000000" w:themeColor="text1"/>
                <w:lang w:eastAsia="pl-PL"/>
              </w:rPr>
              <w:t>Forum Związków Zawodowych</w:t>
            </w:r>
            <w:r w:rsidR="00493D06" w:rsidRPr="00284114">
              <w:rPr>
                <w:rFonts w:ascii="Times New Roman" w:hAnsi="Times New Roman" w:cs="Times New Roman"/>
                <w:color w:val="000000" w:themeColor="text1"/>
                <w:lang w:eastAsia="pl-PL"/>
              </w:rPr>
              <w:t>.</w:t>
            </w:r>
          </w:p>
          <w:p w14:paraId="1D4130DC" w14:textId="6065AF50" w:rsidR="00FE18E9" w:rsidRPr="00284114" w:rsidRDefault="00FE18E9" w:rsidP="009341A8">
            <w:pPr>
              <w:spacing w:before="60" w:after="60"/>
              <w:jc w:val="both"/>
              <w:rPr>
                <w:rFonts w:ascii="Times New Roman" w:hAnsi="Times New Roman" w:cs="Times New Roman"/>
                <w:color w:val="000000" w:themeColor="text1"/>
                <w:lang w:eastAsia="pl-PL"/>
              </w:rPr>
            </w:pPr>
            <w:r w:rsidRPr="00284114">
              <w:rPr>
                <w:rFonts w:ascii="Times New Roman" w:hAnsi="Times New Roman" w:cs="Times New Roman"/>
                <w:bCs/>
                <w:color w:val="000000" w:themeColor="text1"/>
                <w:lang w:eastAsia="pl-PL"/>
              </w:rPr>
              <w:t xml:space="preserve">Ponadto </w:t>
            </w:r>
            <w:r w:rsidRPr="00284114">
              <w:rPr>
                <w:rFonts w:ascii="Times New Roman" w:hAnsi="Times New Roman" w:cs="Times New Roman"/>
                <w:color w:val="000000" w:themeColor="text1"/>
                <w:lang w:eastAsia="pl-PL"/>
              </w:rPr>
              <w:t>w dniu 22 lutego 2019 r.</w:t>
            </w:r>
            <w:r w:rsidRPr="00284114">
              <w:rPr>
                <w:rFonts w:ascii="Times New Roman" w:hAnsi="Times New Roman" w:cs="Times New Roman"/>
                <w:color w:val="000000" w:themeColor="text1"/>
              </w:rPr>
              <w:t xml:space="preserve"> projekt został skierowany </w:t>
            </w:r>
            <w:r w:rsidRPr="00284114">
              <w:rPr>
                <w:rFonts w:ascii="Times New Roman" w:hAnsi="Times New Roman" w:cs="Times New Roman"/>
                <w:color w:val="000000" w:themeColor="text1"/>
                <w:spacing w:val="-2"/>
              </w:rPr>
              <w:t>na 14 dni do następujących podmiotów</w:t>
            </w:r>
            <w:r w:rsidRPr="00284114">
              <w:rPr>
                <w:rFonts w:ascii="Times New Roman" w:hAnsi="Times New Roman" w:cs="Times New Roman"/>
                <w:color w:val="000000" w:themeColor="text1"/>
                <w:lang w:eastAsia="pl-PL"/>
              </w:rPr>
              <w:t>:</w:t>
            </w:r>
          </w:p>
          <w:p w14:paraId="68FC3732" w14:textId="77777777" w:rsidR="00FE18E9" w:rsidRPr="00284114" w:rsidRDefault="00FE18E9" w:rsidP="008A3FA9">
            <w:pPr>
              <w:autoSpaceDE w:val="0"/>
              <w:autoSpaceDN w:val="0"/>
              <w:adjustRightInd w:val="0"/>
              <w:spacing w:before="60" w:after="60"/>
              <w:ind w:left="448" w:hanging="448"/>
              <w:rPr>
                <w:rFonts w:ascii="Times New Roman" w:hAnsi="Times New Roman" w:cs="Times New Roman"/>
                <w:color w:val="000000" w:themeColor="text1"/>
                <w:lang w:eastAsia="pl-PL"/>
              </w:rPr>
            </w:pPr>
            <w:r w:rsidRPr="00284114">
              <w:rPr>
                <w:rFonts w:ascii="Times New Roman" w:hAnsi="Times New Roman" w:cs="Times New Roman"/>
                <w:color w:val="000000" w:themeColor="text1"/>
                <w:lang w:eastAsia="pl-PL"/>
              </w:rPr>
              <w:t>1)</w:t>
            </w:r>
            <w:r w:rsidR="00284114">
              <w:rPr>
                <w:rFonts w:ascii="Times New Roman" w:hAnsi="Times New Roman" w:cs="Times New Roman"/>
                <w:color w:val="000000" w:themeColor="text1"/>
                <w:lang w:eastAsia="pl-PL"/>
              </w:rPr>
              <w:tab/>
            </w:r>
            <w:r w:rsidRPr="00284114">
              <w:rPr>
                <w:rFonts w:ascii="Times New Roman" w:hAnsi="Times New Roman" w:cs="Times New Roman"/>
                <w:color w:val="000000" w:themeColor="text1"/>
                <w:lang w:eastAsia="pl-PL"/>
              </w:rPr>
              <w:t>FedEx Express Polska Sp. z o.o.</w:t>
            </w:r>
            <w:r w:rsidR="00493D06" w:rsidRPr="00284114">
              <w:rPr>
                <w:rFonts w:ascii="Times New Roman" w:hAnsi="Times New Roman" w:cs="Times New Roman"/>
                <w:color w:val="000000" w:themeColor="text1"/>
                <w:lang w:eastAsia="pl-PL"/>
              </w:rPr>
              <w:t>;</w:t>
            </w:r>
          </w:p>
          <w:p w14:paraId="2EDE6822" w14:textId="77777777" w:rsidR="00FE18E9" w:rsidRPr="00284114" w:rsidRDefault="00FE18E9" w:rsidP="008A3FA9">
            <w:pPr>
              <w:autoSpaceDE w:val="0"/>
              <w:autoSpaceDN w:val="0"/>
              <w:adjustRightInd w:val="0"/>
              <w:spacing w:before="60" w:after="60"/>
              <w:ind w:left="448" w:hanging="448"/>
              <w:rPr>
                <w:rFonts w:ascii="Times New Roman" w:hAnsi="Times New Roman" w:cs="Times New Roman"/>
                <w:color w:val="000000" w:themeColor="text1"/>
                <w:lang w:eastAsia="pl-PL"/>
              </w:rPr>
            </w:pPr>
            <w:r w:rsidRPr="00284114">
              <w:rPr>
                <w:rFonts w:ascii="Times New Roman" w:hAnsi="Times New Roman" w:cs="Times New Roman"/>
                <w:color w:val="000000" w:themeColor="text1"/>
                <w:lang w:eastAsia="pl-PL"/>
              </w:rPr>
              <w:t>2)</w:t>
            </w:r>
            <w:r w:rsidR="00284114">
              <w:rPr>
                <w:rFonts w:ascii="Times New Roman" w:hAnsi="Times New Roman" w:cs="Times New Roman"/>
                <w:color w:val="000000" w:themeColor="text1"/>
                <w:lang w:eastAsia="pl-PL"/>
              </w:rPr>
              <w:tab/>
            </w:r>
            <w:r w:rsidRPr="00284114">
              <w:rPr>
                <w:rFonts w:ascii="Times New Roman" w:hAnsi="Times New Roman" w:cs="Times New Roman"/>
                <w:color w:val="000000" w:themeColor="text1"/>
                <w:lang w:eastAsia="pl-PL"/>
              </w:rPr>
              <w:t>Dystrybucja Polska Sp. z o.o.</w:t>
            </w:r>
            <w:r w:rsidR="00493D06" w:rsidRPr="00284114">
              <w:rPr>
                <w:rFonts w:ascii="Times New Roman" w:hAnsi="Times New Roman" w:cs="Times New Roman"/>
                <w:color w:val="000000" w:themeColor="text1"/>
                <w:lang w:eastAsia="pl-PL"/>
              </w:rPr>
              <w:t>;</w:t>
            </w:r>
          </w:p>
          <w:p w14:paraId="254DBA91" w14:textId="77777777" w:rsidR="00FE18E9" w:rsidRPr="00284114" w:rsidRDefault="00FE18E9" w:rsidP="008A3FA9">
            <w:pPr>
              <w:autoSpaceDE w:val="0"/>
              <w:autoSpaceDN w:val="0"/>
              <w:adjustRightInd w:val="0"/>
              <w:spacing w:before="60" w:after="60"/>
              <w:ind w:left="448" w:hanging="448"/>
              <w:rPr>
                <w:rFonts w:ascii="Times New Roman" w:hAnsi="Times New Roman" w:cs="Times New Roman"/>
                <w:color w:val="000000" w:themeColor="text1"/>
                <w:lang w:val="en-US" w:eastAsia="pl-PL"/>
              </w:rPr>
            </w:pPr>
            <w:r w:rsidRPr="00284114">
              <w:rPr>
                <w:rFonts w:ascii="Times New Roman" w:hAnsi="Times New Roman" w:cs="Times New Roman"/>
                <w:color w:val="000000" w:themeColor="text1"/>
                <w:lang w:val="en-US" w:eastAsia="pl-PL"/>
              </w:rPr>
              <w:t>3)</w:t>
            </w:r>
            <w:r w:rsidR="00284114" w:rsidRPr="008A3FA9">
              <w:rPr>
                <w:rFonts w:ascii="Times New Roman" w:hAnsi="Times New Roman" w:cs="Times New Roman"/>
                <w:color w:val="000000" w:themeColor="text1"/>
                <w:lang w:val="en-US" w:eastAsia="pl-PL"/>
              </w:rPr>
              <w:tab/>
            </w:r>
            <w:r w:rsidRPr="00284114">
              <w:rPr>
                <w:rFonts w:ascii="Times New Roman" w:hAnsi="Times New Roman" w:cs="Times New Roman"/>
                <w:color w:val="000000" w:themeColor="text1"/>
                <w:lang w:val="en-US" w:eastAsia="pl-PL"/>
              </w:rPr>
              <w:t>General Logistics Systems Poland Sp. z o.o.</w:t>
            </w:r>
            <w:r w:rsidR="00493D06" w:rsidRPr="00284114">
              <w:rPr>
                <w:rFonts w:ascii="Times New Roman" w:hAnsi="Times New Roman" w:cs="Times New Roman"/>
                <w:color w:val="000000" w:themeColor="text1"/>
                <w:lang w:val="en-US" w:eastAsia="pl-PL"/>
              </w:rPr>
              <w:t>;</w:t>
            </w:r>
          </w:p>
          <w:p w14:paraId="31FB1AD4" w14:textId="77777777" w:rsidR="00FE18E9" w:rsidRPr="00284114" w:rsidRDefault="00FE18E9" w:rsidP="008A3FA9">
            <w:pPr>
              <w:autoSpaceDE w:val="0"/>
              <w:autoSpaceDN w:val="0"/>
              <w:adjustRightInd w:val="0"/>
              <w:spacing w:before="60" w:after="60"/>
              <w:ind w:left="448" w:hanging="448"/>
              <w:rPr>
                <w:rFonts w:ascii="Times New Roman" w:hAnsi="Times New Roman" w:cs="Times New Roman"/>
                <w:color w:val="000000" w:themeColor="text1"/>
                <w:lang w:val="en-US" w:eastAsia="pl-PL"/>
              </w:rPr>
            </w:pPr>
            <w:r w:rsidRPr="00284114">
              <w:rPr>
                <w:rFonts w:ascii="Times New Roman" w:hAnsi="Times New Roman" w:cs="Times New Roman"/>
                <w:color w:val="000000" w:themeColor="text1"/>
                <w:lang w:val="en-US" w:eastAsia="pl-PL"/>
              </w:rPr>
              <w:t>4)</w:t>
            </w:r>
            <w:r w:rsidR="00284114" w:rsidRPr="008A3FA9">
              <w:rPr>
                <w:rFonts w:ascii="Times New Roman" w:hAnsi="Times New Roman" w:cs="Times New Roman"/>
                <w:color w:val="000000" w:themeColor="text1"/>
                <w:lang w:val="en-US" w:eastAsia="pl-PL"/>
              </w:rPr>
              <w:tab/>
            </w:r>
            <w:r w:rsidRPr="00284114">
              <w:rPr>
                <w:rFonts w:ascii="Times New Roman" w:hAnsi="Times New Roman" w:cs="Times New Roman"/>
                <w:color w:val="000000" w:themeColor="text1"/>
                <w:lang w:val="en-US" w:eastAsia="pl-PL"/>
              </w:rPr>
              <w:t>ABC Direct Contact Sp</w:t>
            </w:r>
            <w:r w:rsidR="00493D06" w:rsidRPr="00284114">
              <w:rPr>
                <w:rFonts w:ascii="Times New Roman" w:hAnsi="Times New Roman" w:cs="Times New Roman"/>
                <w:color w:val="000000" w:themeColor="text1"/>
                <w:lang w:val="en-US" w:eastAsia="pl-PL"/>
              </w:rPr>
              <w:t>.</w:t>
            </w:r>
            <w:r w:rsidRPr="00284114">
              <w:rPr>
                <w:rFonts w:ascii="Times New Roman" w:hAnsi="Times New Roman" w:cs="Times New Roman"/>
                <w:color w:val="000000" w:themeColor="text1"/>
                <w:lang w:val="en-US" w:eastAsia="pl-PL"/>
              </w:rPr>
              <w:t xml:space="preserve"> z o.o.</w:t>
            </w:r>
            <w:r w:rsidR="00493D06" w:rsidRPr="00284114">
              <w:rPr>
                <w:rFonts w:ascii="Times New Roman" w:hAnsi="Times New Roman" w:cs="Times New Roman"/>
                <w:color w:val="000000" w:themeColor="text1"/>
                <w:lang w:val="en-US" w:eastAsia="pl-PL"/>
              </w:rPr>
              <w:t>;</w:t>
            </w:r>
          </w:p>
          <w:p w14:paraId="0940FBCE" w14:textId="77777777" w:rsidR="00FE18E9" w:rsidRPr="00284114" w:rsidRDefault="00FE18E9" w:rsidP="008A3FA9">
            <w:pPr>
              <w:autoSpaceDE w:val="0"/>
              <w:autoSpaceDN w:val="0"/>
              <w:adjustRightInd w:val="0"/>
              <w:spacing w:before="60" w:after="60"/>
              <w:ind w:left="448" w:hanging="448"/>
              <w:rPr>
                <w:rFonts w:ascii="Times New Roman" w:hAnsi="Times New Roman" w:cs="Times New Roman"/>
                <w:color w:val="000000" w:themeColor="text1"/>
                <w:lang w:val="en-US" w:eastAsia="pl-PL"/>
              </w:rPr>
            </w:pPr>
            <w:r w:rsidRPr="00284114">
              <w:rPr>
                <w:rFonts w:ascii="Times New Roman" w:hAnsi="Times New Roman" w:cs="Times New Roman"/>
                <w:color w:val="000000" w:themeColor="text1"/>
                <w:lang w:val="en-US" w:eastAsia="pl-PL"/>
              </w:rPr>
              <w:t>5)</w:t>
            </w:r>
            <w:r w:rsidR="00284114" w:rsidRPr="008A3FA9">
              <w:rPr>
                <w:rFonts w:ascii="Times New Roman" w:hAnsi="Times New Roman" w:cs="Times New Roman"/>
                <w:color w:val="000000" w:themeColor="text1"/>
                <w:lang w:val="en-US" w:eastAsia="pl-PL"/>
              </w:rPr>
              <w:tab/>
            </w:r>
            <w:r w:rsidRPr="00284114">
              <w:rPr>
                <w:rFonts w:ascii="Times New Roman" w:hAnsi="Times New Roman" w:cs="Times New Roman"/>
                <w:color w:val="000000" w:themeColor="text1"/>
                <w:lang w:val="en-US" w:eastAsia="pl-PL"/>
              </w:rPr>
              <w:t>RGW Express Sp. z o.o.</w:t>
            </w:r>
            <w:r w:rsidR="00861379" w:rsidRPr="00284114">
              <w:rPr>
                <w:rFonts w:ascii="Times New Roman" w:hAnsi="Times New Roman" w:cs="Times New Roman"/>
                <w:color w:val="000000" w:themeColor="text1"/>
                <w:lang w:val="en-US" w:eastAsia="pl-PL"/>
              </w:rPr>
              <w:t>;</w:t>
            </w:r>
          </w:p>
          <w:p w14:paraId="1D08B793" w14:textId="77777777" w:rsidR="00FE18E9" w:rsidRPr="00164516" w:rsidRDefault="00FE18E9" w:rsidP="008A3FA9">
            <w:pPr>
              <w:autoSpaceDE w:val="0"/>
              <w:autoSpaceDN w:val="0"/>
              <w:adjustRightInd w:val="0"/>
              <w:spacing w:before="60" w:after="60"/>
              <w:ind w:left="448" w:hanging="448"/>
              <w:rPr>
                <w:rFonts w:ascii="Times New Roman" w:hAnsi="Times New Roman" w:cs="Times New Roman"/>
                <w:color w:val="000000" w:themeColor="text1"/>
                <w:lang w:eastAsia="pl-PL"/>
              </w:rPr>
            </w:pPr>
            <w:r w:rsidRPr="00164516">
              <w:rPr>
                <w:rFonts w:ascii="Times New Roman" w:hAnsi="Times New Roman" w:cs="Times New Roman"/>
                <w:color w:val="000000" w:themeColor="text1"/>
                <w:lang w:eastAsia="pl-PL"/>
              </w:rPr>
              <w:t>6)</w:t>
            </w:r>
            <w:r w:rsidR="00284114" w:rsidRPr="00164516">
              <w:rPr>
                <w:rFonts w:ascii="Times New Roman" w:hAnsi="Times New Roman" w:cs="Times New Roman"/>
                <w:color w:val="000000" w:themeColor="text1"/>
                <w:lang w:eastAsia="pl-PL"/>
              </w:rPr>
              <w:tab/>
            </w:r>
            <w:r w:rsidRPr="00164516">
              <w:rPr>
                <w:rFonts w:ascii="Times New Roman" w:hAnsi="Times New Roman" w:cs="Times New Roman"/>
                <w:color w:val="000000" w:themeColor="text1"/>
                <w:lang w:eastAsia="pl-PL"/>
              </w:rPr>
              <w:t>Agap Sp. z o.o.</w:t>
            </w:r>
            <w:r w:rsidR="00861379" w:rsidRPr="00164516">
              <w:rPr>
                <w:rFonts w:ascii="Times New Roman" w:hAnsi="Times New Roman" w:cs="Times New Roman"/>
                <w:color w:val="000000" w:themeColor="text1"/>
                <w:lang w:eastAsia="pl-PL"/>
              </w:rPr>
              <w:t>;</w:t>
            </w:r>
          </w:p>
          <w:p w14:paraId="72773C8B" w14:textId="77777777" w:rsidR="00FE18E9" w:rsidRPr="00284114" w:rsidRDefault="00FE18E9" w:rsidP="008A3FA9">
            <w:pPr>
              <w:autoSpaceDE w:val="0"/>
              <w:autoSpaceDN w:val="0"/>
              <w:adjustRightInd w:val="0"/>
              <w:spacing w:before="60" w:after="60"/>
              <w:ind w:left="448" w:hanging="448"/>
              <w:rPr>
                <w:rFonts w:ascii="Times New Roman" w:hAnsi="Times New Roman" w:cs="Times New Roman"/>
                <w:color w:val="000000" w:themeColor="text1"/>
                <w:lang w:eastAsia="pl-PL"/>
              </w:rPr>
            </w:pPr>
            <w:r w:rsidRPr="00284114">
              <w:rPr>
                <w:rFonts w:ascii="Times New Roman" w:hAnsi="Times New Roman" w:cs="Times New Roman"/>
                <w:color w:val="000000" w:themeColor="text1"/>
                <w:lang w:eastAsia="pl-PL"/>
              </w:rPr>
              <w:t>7)</w:t>
            </w:r>
            <w:r w:rsidR="00284114" w:rsidRPr="008A3FA9">
              <w:rPr>
                <w:rFonts w:ascii="Times New Roman" w:hAnsi="Times New Roman" w:cs="Times New Roman"/>
                <w:color w:val="000000" w:themeColor="text1"/>
                <w:lang w:eastAsia="pl-PL"/>
              </w:rPr>
              <w:tab/>
            </w:r>
            <w:r w:rsidRPr="00284114">
              <w:rPr>
                <w:rFonts w:ascii="Times New Roman" w:hAnsi="Times New Roman" w:cs="Times New Roman"/>
                <w:color w:val="000000" w:themeColor="text1"/>
                <w:lang w:eastAsia="pl-PL"/>
              </w:rPr>
              <w:t>DPD Polska Sp. z o.o.</w:t>
            </w:r>
            <w:r w:rsidR="00861379" w:rsidRPr="00284114">
              <w:rPr>
                <w:rFonts w:ascii="Times New Roman" w:hAnsi="Times New Roman" w:cs="Times New Roman"/>
                <w:color w:val="000000" w:themeColor="text1"/>
                <w:lang w:eastAsia="pl-PL"/>
              </w:rPr>
              <w:t>;</w:t>
            </w:r>
          </w:p>
          <w:p w14:paraId="635A9EE6" w14:textId="77777777" w:rsidR="00FE18E9" w:rsidRPr="00284114" w:rsidRDefault="00FE18E9" w:rsidP="008A3FA9">
            <w:pPr>
              <w:autoSpaceDE w:val="0"/>
              <w:autoSpaceDN w:val="0"/>
              <w:adjustRightInd w:val="0"/>
              <w:spacing w:before="60" w:after="60"/>
              <w:ind w:left="448" w:hanging="448"/>
              <w:rPr>
                <w:rFonts w:ascii="Times New Roman" w:hAnsi="Times New Roman" w:cs="Times New Roman"/>
                <w:color w:val="000000" w:themeColor="text1"/>
                <w:lang w:val="en-US" w:eastAsia="pl-PL"/>
              </w:rPr>
            </w:pPr>
            <w:r w:rsidRPr="00284114">
              <w:rPr>
                <w:rFonts w:ascii="Times New Roman" w:hAnsi="Times New Roman" w:cs="Times New Roman"/>
                <w:color w:val="000000" w:themeColor="text1"/>
                <w:lang w:val="en-US" w:eastAsia="pl-PL"/>
              </w:rPr>
              <w:t>8)</w:t>
            </w:r>
            <w:r w:rsidR="00284114">
              <w:rPr>
                <w:rFonts w:ascii="Times New Roman" w:hAnsi="Times New Roman" w:cs="Times New Roman"/>
                <w:color w:val="000000" w:themeColor="text1"/>
                <w:lang w:val="en-US" w:eastAsia="pl-PL"/>
              </w:rPr>
              <w:tab/>
            </w:r>
            <w:r w:rsidRPr="00284114">
              <w:rPr>
                <w:rFonts w:ascii="Times New Roman" w:hAnsi="Times New Roman" w:cs="Times New Roman"/>
                <w:color w:val="000000" w:themeColor="text1"/>
                <w:lang w:val="en-US" w:eastAsia="pl-PL"/>
              </w:rPr>
              <w:t>DHL Express (Poland) Sp. z o.o.</w:t>
            </w:r>
            <w:r w:rsidR="00861379" w:rsidRPr="00284114">
              <w:rPr>
                <w:rFonts w:ascii="Times New Roman" w:hAnsi="Times New Roman" w:cs="Times New Roman"/>
                <w:color w:val="000000" w:themeColor="text1"/>
                <w:lang w:val="en-US" w:eastAsia="pl-PL"/>
              </w:rPr>
              <w:t>;</w:t>
            </w:r>
          </w:p>
          <w:p w14:paraId="268EC7E1" w14:textId="77777777" w:rsidR="00FE18E9" w:rsidRPr="009341A8" w:rsidRDefault="00FE18E9" w:rsidP="008A3FA9">
            <w:pPr>
              <w:autoSpaceDE w:val="0"/>
              <w:autoSpaceDN w:val="0"/>
              <w:adjustRightInd w:val="0"/>
              <w:spacing w:before="60" w:after="60"/>
              <w:ind w:left="448" w:hanging="448"/>
              <w:rPr>
                <w:rFonts w:ascii="Times New Roman" w:hAnsi="Times New Roman" w:cs="Times New Roman"/>
                <w:color w:val="000000" w:themeColor="text1"/>
                <w:lang w:val="en-US" w:eastAsia="pl-PL"/>
              </w:rPr>
            </w:pPr>
            <w:r w:rsidRPr="00284114">
              <w:rPr>
                <w:rFonts w:ascii="Times New Roman" w:hAnsi="Times New Roman" w:cs="Times New Roman"/>
                <w:color w:val="000000" w:themeColor="text1"/>
                <w:lang w:val="en-US" w:eastAsia="pl-PL"/>
              </w:rPr>
              <w:t>9)</w:t>
            </w:r>
            <w:r w:rsidR="009341A8">
              <w:rPr>
                <w:rFonts w:ascii="Times New Roman" w:hAnsi="Times New Roman" w:cs="Times New Roman"/>
                <w:color w:val="000000" w:themeColor="text1"/>
                <w:lang w:val="en-US" w:eastAsia="pl-PL"/>
              </w:rPr>
              <w:tab/>
            </w:r>
            <w:r w:rsidRPr="009341A8">
              <w:rPr>
                <w:rFonts w:ascii="Times New Roman" w:hAnsi="Times New Roman" w:cs="Times New Roman"/>
                <w:color w:val="000000" w:themeColor="text1"/>
                <w:lang w:val="en-US" w:eastAsia="pl-PL"/>
              </w:rPr>
              <w:t>World Courier (Poland) Sp. z o.o</w:t>
            </w:r>
            <w:r w:rsidR="00861379" w:rsidRPr="009341A8">
              <w:rPr>
                <w:rFonts w:ascii="Times New Roman" w:hAnsi="Times New Roman" w:cs="Times New Roman"/>
                <w:color w:val="000000" w:themeColor="text1"/>
                <w:lang w:val="en-US" w:eastAsia="pl-PL"/>
              </w:rPr>
              <w:t>;</w:t>
            </w:r>
          </w:p>
          <w:p w14:paraId="4E96D2E9" w14:textId="77777777" w:rsidR="00FE18E9" w:rsidRPr="009341A8" w:rsidRDefault="00FE18E9" w:rsidP="008A3FA9">
            <w:pPr>
              <w:autoSpaceDE w:val="0"/>
              <w:autoSpaceDN w:val="0"/>
              <w:adjustRightInd w:val="0"/>
              <w:spacing w:before="60" w:after="60"/>
              <w:ind w:left="448" w:hanging="448"/>
              <w:rPr>
                <w:rFonts w:ascii="Times New Roman" w:hAnsi="Times New Roman" w:cs="Times New Roman"/>
                <w:color w:val="000000" w:themeColor="text1"/>
                <w:lang w:val="en-US" w:eastAsia="pl-PL"/>
              </w:rPr>
            </w:pPr>
            <w:r w:rsidRPr="009341A8">
              <w:rPr>
                <w:rFonts w:ascii="Times New Roman" w:hAnsi="Times New Roman" w:cs="Times New Roman"/>
                <w:color w:val="000000" w:themeColor="text1"/>
                <w:lang w:val="en-US" w:eastAsia="pl-PL"/>
              </w:rPr>
              <w:t>10</w:t>
            </w:r>
            <w:r w:rsidR="009341A8" w:rsidRPr="009341A8">
              <w:rPr>
                <w:rFonts w:ascii="Times New Roman" w:hAnsi="Times New Roman" w:cs="Times New Roman"/>
                <w:color w:val="000000" w:themeColor="text1"/>
                <w:lang w:val="en-US" w:eastAsia="pl-PL"/>
              </w:rPr>
              <w:t>)</w:t>
            </w:r>
            <w:r w:rsidR="009341A8">
              <w:rPr>
                <w:rFonts w:ascii="Times New Roman" w:hAnsi="Times New Roman" w:cs="Times New Roman"/>
                <w:color w:val="000000" w:themeColor="text1"/>
                <w:lang w:val="en-US" w:eastAsia="pl-PL"/>
              </w:rPr>
              <w:tab/>
            </w:r>
            <w:r w:rsidRPr="009341A8">
              <w:rPr>
                <w:rFonts w:ascii="Times New Roman" w:hAnsi="Times New Roman" w:cs="Times New Roman"/>
                <w:color w:val="000000" w:themeColor="text1"/>
                <w:lang w:val="en-US" w:eastAsia="pl-PL"/>
              </w:rPr>
              <w:t>TNT Express Worldwide (Poland) Sp. z o.o.</w:t>
            </w:r>
          </w:p>
          <w:p w14:paraId="0B261C20" w14:textId="77777777" w:rsidR="00FE18E9" w:rsidRPr="009341A8" w:rsidRDefault="00FE18E9" w:rsidP="008A3FA9">
            <w:pPr>
              <w:autoSpaceDE w:val="0"/>
              <w:autoSpaceDN w:val="0"/>
              <w:adjustRightInd w:val="0"/>
              <w:spacing w:before="60" w:after="60"/>
              <w:ind w:left="448" w:hanging="448"/>
              <w:rPr>
                <w:rFonts w:ascii="Times New Roman" w:hAnsi="Times New Roman" w:cs="Times New Roman"/>
                <w:color w:val="000000" w:themeColor="text1"/>
                <w:lang w:eastAsia="pl-PL"/>
              </w:rPr>
            </w:pPr>
            <w:r w:rsidRPr="009341A8">
              <w:rPr>
                <w:rFonts w:ascii="Times New Roman" w:hAnsi="Times New Roman" w:cs="Times New Roman"/>
                <w:color w:val="000000" w:themeColor="text1"/>
                <w:lang w:eastAsia="pl-PL"/>
              </w:rPr>
              <w:t>11</w:t>
            </w:r>
            <w:r w:rsidR="009341A8" w:rsidRPr="009341A8">
              <w:rPr>
                <w:rFonts w:ascii="Times New Roman" w:hAnsi="Times New Roman" w:cs="Times New Roman"/>
                <w:color w:val="000000" w:themeColor="text1"/>
                <w:lang w:eastAsia="pl-PL"/>
              </w:rPr>
              <w:t>)</w:t>
            </w:r>
            <w:r w:rsidR="009341A8">
              <w:rPr>
                <w:rFonts w:ascii="Times New Roman" w:hAnsi="Times New Roman" w:cs="Times New Roman"/>
                <w:color w:val="000000" w:themeColor="text1"/>
                <w:lang w:eastAsia="pl-PL"/>
              </w:rPr>
              <w:tab/>
            </w:r>
            <w:r w:rsidRPr="009341A8">
              <w:rPr>
                <w:rFonts w:ascii="Times New Roman" w:hAnsi="Times New Roman" w:cs="Times New Roman"/>
                <w:color w:val="000000" w:themeColor="text1"/>
                <w:lang w:eastAsia="pl-PL"/>
              </w:rPr>
              <w:t>POLAMER Sp. z o.o.</w:t>
            </w:r>
            <w:r w:rsidR="00861379" w:rsidRPr="009341A8">
              <w:rPr>
                <w:rFonts w:ascii="Times New Roman" w:hAnsi="Times New Roman" w:cs="Times New Roman"/>
                <w:color w:val="000000" w:themeColor="text1"/>
                <w:lang w:eastAsia="pl-PL"/>
              </w:rPr>
              <w:t>;</w:t>
            </w:r>
          </w:p>
          <w:p w14:paraId="5011A52E" w14:textId="77777777" w:rsidR="00FE18E9" w:rsidRPr="009341A8" w:rsidRDefault="00FE18E9" w:rsidP="008A3FA9">
            <w:pPr>
              <w:autoSpaceDE w:val="0"/>
              <w:autoSpaceDN w:val="0"/>
              <w:adjustRightInd w:val="0"/>
              <w:spacing w:before="60" w:after="60"/>
              <w:ind w:left="448" w:hanging="448"/>
              <w:rPr>
                <w:rFonts w:ascii="Times New Roman" w:hAnsi="Times New Roman" w:cs="Times New Roman"/>
                <w:color w:val="000000" w:themeColor="text1"/>
                <w:lang w:eastAsia="pl-PL"/>
              </w:rPr>
            </w:pPr>
            <w:r w:rsidRPr="009341A8">
              <w:rPr>
                <w:rFonts w:ascii="Times New Roman" w:hAnsi="Times New Roman" w:cs="Times New Roman"/>
                <w:color w:val="000000" w:themeColor="text1"/>
                <w:lang w:eastAsia="pl-PL"/>
              </w:rPr>
              <w:t>12</w:t>
            </w:r>
            <w:r w:rsidR="009341A8" w:rsidRPr="009341A8">
              <w:rPr>
                <w:rFonts w:ascii="Times New Roman" w:hAnsi="Times New Roman" w:cs="Times New Roman"/>
                <w:color w:val="000000" w:themeColor="text1"/>
                <w:lang w:eastAsia="pl-PL"/>
              </w:rPr>
              <w:t>)</w:t>
            </w:r>
            <w:r w:rsidR="009341A8">
              <w:rPr>
                <w:rFonts w:ascii="Times New Roman" w:hAnsi="Times New Roman" w:cs="Times New Roman"/>
                <w:color w:val="000000" w:themeColor="text1"/>
                <w:lang w:eastAsia="pl-PL"/>
              </w:rPr>
              <w:tab/>
            </w:r>
            <w:r w:rsidRPr="009341A8">
              <w:rPr>
                <w:rFonts w:ascii="Times New Roman" w:hAnsi="Times New Roman" w:cs="Times New Roman"/>
                <w:color w:val="000000" w:themeColor="text1"/>
                <w:lang w:eastAsia="pl-PL"/>
              </w:rPr>
              <w:t>InPost Paczkomaty Sp. z o.o.</w:t>
            </w:r>
            <w:r w:rsidR="00861379" w:rsidRPr="009341A8">
              <w:rPr>
                <w:rFonts w:ascii="Times New Roman" w:hAnsi="Times New Roman" w:cs="Times New Roman"/>
                <w:color w:val="000000" w:themeColor="text1"/>
                <w:lang w:eastAsia="pl-PL"/>
              </w:rPr>
              <w:t>;</w:t>
            </w:r>
          </w:p>
          <w:p w14:paraId="4FFAC055" w14:textId="77777777" w:rsidR="00FE18E9" w:rsidRPr="009341A8" w:rsidRDefault="00FE18E9" w:rsidP="008A3FA9">
            <w:pPr>
              <w:autoSpaceDE w:val="0"/>
              <w:autoSpaceDN w:val="0"/>
              <w:adjustRightInd w:val="0"/>
              <w:spacing w:before="60" w:after="60"/>
              <w:ind w:left="448" w:hanging="448"/>
              <w:rPr>
                <w:rFonts w:ascii="Times New Roman" w:hAnsi="Times New Roman" w:cs="Times New Roman"/>
                <w:color w:val="000000" w:themeColor="text1"/>
                <w:lang w:eastAsia="pl-PL"/>
              </w:rPr>
            </w:pPr>
            <w:r w:rsidRPr="009341A8">
              <w:rPr>
                <w:rFonts w:ascii="Times New Roman" w:hAnsi="Times New Roman" w:cs="Times New Roman"/>
                <w:color w:val="000000" w:themeColor="text1"/>
                <w:lang w:eastAsia="pl-PL"/>
              </w:rPr>
              <w:t>13</w:t>
            </w:r>
            <w:r w:rsidR="009341A8" w:rsidRPr="009341A8">
              <w:rPr>
                <w:rFonts w:ascii="Times New Roman" w:hAnsi="Times New Roman" w:cs="Times New Roman"/>
                <w:color w:val="000000" w:themeColor="text1"/>
                <w:lang w:eastAsia="pl-PL"/>
              </w:rPr>
              <w:t>)</w:t>
            </w:r>
            <w:r w:rsidR="009341A8">
              <w:rPr>
                <w:rFonts w:ascii="Times New Roman" w:hAnsi="Times New Roman" w:cs="Times New Roman"/>
                <w:color w:val="000000" w:themeColor="text1"/>
                <w:lang w:eastAsia="pl-PL"/>
              </w:rPr>
              <w:tab/>
            </w:r>
            <w:r w:rsidRPr="009341A8">
              <w:rPr>
                <w:rFonts w:ascii="Times New Roman" w:hAnsi="Times New Roman" w:cs="Times New Roman"/>
                <w:color w:val="000000" w:themeColor="text1"/>
                <w:lang w:eastAsia="pl-PL"/>
              </w:rPr>
              <w:t>TWOJA POCZTA S.A.</w:t>
            </w:r>
            <w:r w:rsidR="00861379" w:rsidRPr="009341A8">
              <w:rPr>
                <w:rFonts w:ascii="Times New Roman" w:hAnsi="Times New Roman" w:cs="Times New Roman"/>
                <w:color w:val="000000" w:themeColor="text1"/>
                <w:lang w:eastAsia="pl-PL"/>
              </w:rPr>
              <w:t>;</w:t>
            </w:r>
          </w:p>
          <w:p w14:paraId="61B168EC" w14:textId="77777777" w:rsidR="00FE18E9" w:rsidRPr="009341A8" w:rsidRDefault="00FE18E9" w:rsidP="008A3FA9">
            <w:pPr>
              <w:autoSpaceDE w:val="0"/>
              <w:autoSpaceDN w:val="0"/>
              <w:adjustRightInd w:val="0"/>
              <w:spacing w:before="60" w:after="60"/>
              <w:ind w:left="448" w:hanging="448"/>
              <w:rPr>
                <w:rFonts w:ascii="Times New Roman" w:hAnsi="Times New Roman" w:cs="Times New Roman"/>
                <w:color w:val="000000" w:themeColor="text1"/>
                <w:lang w:eastAsia="pl-PL"/>
              </w:rPr>
            </w:pPr>
            <w:r w:rsidRPr="009341A8">
              <w:rPr>
                <w:rFonts w:ascii="Times New Roman" w:hAnsi="Times New Roman" w:cs="Times New Roman"/>
                <w:color w:val="000000" w:themeColor="text1"/>
                <w:lang w:eastAsia="pl-PL"/>
              </w:rPr>
              <w:t>14</w:t>
            </w:r>
            <w:r w:rsidR="009341A8" w:rsidRPr="009341A8">
              <w:rPr>
                <w:rFonts w:ascii="Times New Roman" w:hAnsi="Times New Roman" w:cs="Times New Roman"/>
                <w:color w:val="000000" w:themeColor="text1"/>
                <w:lang w:eastAsia="pl-PL"/>
              </w:rPr>
              <w:t>)</w:t>
            </w:r>
            <w:r w:rsidR="009341A8">
              <w:rPr>
                <w:rFonts w:ascii="Times New Roman" w:hAnsi="Times New Roman" w:cs="Times New Roman"/>
                <w:color w:val="000000" w:themeColor="text1"/>
                <w:lang w:eastAsia="pl-PL"/>
              </w:rPr>
              <w:tab/>
            </w:r>
            <w:r w:rsidRPr="009341A8">
              <w:rPr>
                <w:rFonts w:ascii="Times New Roman" w:hAnsi="Times New Roman" w:cs="Times New Roman"/>
                <w:color w:val="000000" w:themeColor="text1"/>
                <w:lang w:eastAsia="pl-PL"/>
              </w:rPr>
              <w:t>InPost Finanse Sp. z o.o.</w:t>
            </w:r>
            <w:r w:rsidR="00861379" w:rsidRPr="009341A8">
              <w:rPr>
                <w:rFonts w:ascii="Times New Roman" w:hAnsi="Times New Roman" w:cs="Times New Roman"/>
                <w:color w:val="000000" w:themeColor="text1"/>
                <w:lang w:eastAsia="pl-PL"/>
              </w:rPr>
              <w:t>;</w:t>
            </w:r>
          </w:p>
          <w:p w14:paraId="6E132316" w14:textId="77777777" w:rsidR="00FE18E9" w:rsidRPr="00164516" w:rsidRDefault="00FE18E9" w:rsidP="008A3FA9">
            <w:pPr>
              <w:autoSpaceDE w:val="0"/>
              <w:autoSpaceDN w:val="0"/>
              <w:adjustRightInd w:val="0"/>
              <w:spacing w:before="60" w:after="60"/>
              <w:ind w:left="448" w:hanging="448"/>
              <w:rPr>
                <w:rFonts w:ascii="Times New Roman" w:hAnsi="Times New Roman" w:cs="Times New Roman"/>
                <w:color w:val="000000" w:themeColor="text1"/>
                <w:lang w:val="en-US" w:eastAsia="pl-PL"/>
              </w:rPr>
            </w:pPr>
            <w:r w:rsidRPr="00164516">
              <w:rPr>
                <w:rFonts w:ascii="Times New Roman" w:hAnsi="Times New Roman" w:cs="Times New Roman"/>
                <w:color w:val="000000" w:themeColor="text1"/>
                <w:lang w:val="en-US" w:eastAsia="pl-PL"/>
              </w:rPr>
              <w:t>15</w:t>
            </w:r>
            <w:r w:rsidR="009341A8" w:rsidRPr="00164516">
              <w:rPr>
                <w:rFonts w:ascii="Times New Roman" w:hAnsi="Times New Roman" w:cs="Times New Roman"/>
                <w:color w:val="000000" w:themeColor="text1"/>
                <w:lang w:val="en-US" w:eastAsia="pl-PL"/>
              </w:rPr>
              <w:t>)</w:t>
            </w:r>
            <w:r w:rsidR="009341A8" w:rsidRPr="008A3FA9">
              <w:rPr>
                <w:rFonts w:ascii="Times New Roman" w:hAnsi="Times New Roman" w:cs="Times New Roman"/>
                <w:color w:val="000000" w:themeColor="text1"/>
                <w:lang w:val="en-US" w:eastAsia="pl-PL"/>
              </w:rPr>
              <w:tab/>
            </w:r>
            <w:r w:rsidRPr="00164516">
              <w:rPr>
                <w:rFonts w:ascii="Times New Roman" w:hAnsi="Times New Roman" w:cs="Times New Roman"/>
                <w:color w:val="000000" w:themeColor="text1"/>
                <w:lang w:val="en-US" w:eastAsia="pl-PL"/>
              </w:rPr>
              <w:t>RUCH S.A.</w:t>
            </w:r>
            <w:r w:rsidR="00861379" w:rsidRPr="00164516">
              <w:rPr>
                <w:rFonts w:ascii="Times New Roman" w:hAnsi="Times New Roman" w:cs="Times New Roman"/>
                <w:color w:val="000000" w:themeColor="text1"/>
                <w:lang w:val="en-US" w:eastAsia="pl-PL"/>
              </w:rPr>
              <w:t>;</w:t>
            </w:r>
          </w:p>
          <w:p w14:paraId="6F35FEC5" w14:textId="77777777" w:rsidR="00FE18E9" w:rsidRPr="00164516" w:rsidRDefault="00FE18E9" w:rsidP="008A3FA9">
            <w:pPr>
              <w:autoSpaceDE w:val="0"/>
              <w:autoSpaceDN w:val="0"/>
              <w:adjustRightInd w:val="0"/>
              <w:spacing w:before="60" w:after="60"/>
              <w:ind w:left="448" w:hanging="448"/>
              <w:rPr>
                <w:rFonts w:ascii="Times New Roman" w:hAnsi="Times New Roman" w:cs="Times New Roman"/>
                <w:color w:val="000000" w:themeColor="text1"/>
                <w:lang w:val="en-US" w:eastAsia="pl-PL"/>
              </w:rPr>
            </w:pPr>
            <w:r w:rsidRPr="00164516">
              <w:rPr>
                <w:rFonts w:ascii="Times New Roman" w:hAnsi="Times New Roman" w:cs="Times New Roman"/>
                <w:color w:val="000000" w:themeColor="text1"/>
                <w:lang w:val="en-US" w:eastAsia="pl-PL"/>
              </w:rPr>
              <w:t>16</w:t>
            </w:r>
            <w:r w:rsidR="009341A8" w:rsidRPr="00164516">
              <w:rPr>
                <w:rFonts w:ascii="Times New Roman" w:hAnsi="Times New Roman" w:cs="Times New Roman"/>
                <w:color w:val="000000" w:themeColor="text1"/>
                <w:lang w:val="en-US" w:eastAsia="pl-PL"/>
              </w:rPr>
              <w:t>)</w:t>
            </w:r>
            <w:r w:rsidR="009341A8" w:rsidRPr="008A3FA9">
              <w:rPr>
                <w:rFonts w:ascii="Times New Roman" w:hAnsi="Times New Roman" w:cs="Times New Roman"/>
                <w:color w:val="000000" w:themeColor="text1"/>
                <w:lang w:val="en-US" w:eastAsia="pl-PL"/>
              </w:rPr>
              <w:tab/>
            </w:r>
            <w:r w:rsidRPr="00164516">
              <w:rPr>
                <w:rFonts w:ascii="Times New Roman" w:hAnsi="Times New Roman" w:cs="Times New Roman"/>
                <w:color w:val="000000" w:themeColor="text1"/>
                <w:lang w:val="en-US" w:eastAsia="pl-PL"/>
              </w:rPr>
              <w:t>X-PRESS COURIERS Sp. z o.o.</w:t>
            </w:r>
            <w:r w:rsidR="00861379" w:rsidRPr="00164516">
              <w:rPr>
                <w:rFonts w:ascii="Times New Roman" w:hAnsi="Times New Roman" w:cs="Times New Roman"/>
                <w:color w:val="000000" w:themeColor="text1"/>
                <w:lang w:val="en-US" w:eastAsia="pl-PL"/>
              </w:rPr>
              <w:t>;</w:t>
            </w:r>
          </w:p>
          <w:p w14:paraId="057BCE78" w14:textId="77777777" w:rsidR="00FE18E9" w:rsidRPr="009341A8" w:rsidRDefault="00FE18E9" w:rsidP="008A3FA9">
            <w:pPr>
              <w:autoSpaceDE w:val="0"/>
              <w:autoSpaceDN w:val="0"/>
              <w:adjustRightInd w:val="0"/>
              <w:spacing w:before="60" w:after="60"/>
              <w:ind w:left="448" w:hanging="448"/>
              <w:rPr>
                <w:rFonts w:ascii="Times New Roman" w:hAnsi="Times New Roman" w:cs="Times New Roman"/>
                <w:color w:val="000000" w:themeColor="text1"/>
                <w:lang w:eastAsia="pl-PL"/>
              </w:rPr>
            </w:pPr>
            <w:r w:rsidRPr="009341A8">
              <w:rPr>
                <w:rFonts w:ascii="Times New Roman" w:hAnsi="Times New Roman" w:cs="Times New Roman"/>
                <w:color w:val="000000" w:themeColor="text1"/>
                <w:lang w:eastAsia="pl-PL"/>
              </w:rPr>
              <w:t>17</w:t>
            </w:r>
            <w:r w:rsidR="009341A8" w:rsidRPr="009341A8">
              <w:rPr>
                <w:rFonts w:ascii="Times New Roman" w:hAnsi="Times New Roman" w:cs="Times New Roman"/>
                <w:color w:val="000000" w:themeColor="text1"/>
                <w:lang w:eastAsia="pl-PL"/>
              </w:rPr>
              <w:t>)</w:t>
            </w:r>
            <w:r w:rsidR="009341A8">
              <w:rPr>
                <w:rFonts w:ascii="Times New Roman" w:hAnsi="Times New Roman" w:cs="Times New Roman"/>
                <w:color w:val="000000" w:themeColor="text1"/>
                <w:lang w:eastAsia="pl-PL"/>
              </w:rPr>
              <w:tab/>
            </w:r>
            <w:r w:rsidRPr="009341A8">
              <w:rPr>
                <w:rFonts w:ascii="Times New Roman" w:hAnsi="Times New Roman" w:cs="Times New Roman"/>
                <w:color w:val="000000" w:themeColor="text1"/>
                <w:lang w:eastAsia="pl-PL"/>
              </w:rPr>
              <w:t>GEIS PARCEL PL Sp. z o.o.</w:t>
            </w:r>
            <w:r w:rsidR="00861379" w:rsidRPr="009341A8">
              <w:rPr>
                <w:rFonts w:ascii="Times New Roman" w:hAnsi="Times New Roman" w:cs="Times New Roman"/>
                <w:color w:val="000000" w:themeColor="text1"/>
                <w:lang w:eastAsia="pl-PL"/>
              </w:rPr>
              <w:t>;</w:t>
            </w:r>
          </w:p>
          <w:p w14:paraId="79AC91A7" w14:textId="77777777" w:rsidR="00FE18E9" w:rsidRPr="009341A8" w:rsidRDefault="00FE18E9" w:rsidP="008A3FA9">
            <w:pPr>
              <w:autoSpaceDE w:val="0"/>
              <w:autoSpaceDN w:val="0"/>
              <w:adjustRightInd w:val="0"/>
              <w:spacing w:before="60" w:after="60"/>
              <w:ind w:left="448" w:hanging="448"/>
              <w:rPr>
                <w:rFonts w:ascii="Times New Roman" w:hAnsi="Times New Roman" w:cs="Times New Roman"/>
                <w:color w:val="000000" w:themeColor="text1"/>
                <w:lang w:eastAsia="pl-PL"/>
              </w:rPr>
            </w:pPr>
            <w:r w:rsidRPr="009341A8">
              <w:rPr>
                <w:rFonts w:ascii="Times New Roman" w:hAnsi="Times New Roman" w:cs="Times New Roman"/>
                <w:color w:val="000000" w:themeColor="text1"/>
                <w:lang w:eastAsia="pl-PL"/>
              </w:rPr>
              <w:t>18</w:t>
            </w:r>
            <w:r w:rsidR="009341A8" w:rsidRPr="009341A8">
              <w:rPr>
                <w:rFonts w:ascii="Times New Roman" w:hAnsi="Times New Roman" w:cs="Times New Roman"/>
                <w:color w:val="000000" w:themeColor="text1"/>
                <w:lang w:eastAsia="pl-PL"/>
              </w:rPr>
              <w:t>)</w:t>
            </w:r>
            <w:r w:rsidR="009341A8">
              <w:rPr>
                <w:rFonts w:ascii="Times New Roman" w:hAnsi="Times New Roman" w:cs="Times New Roman"/>
                <w:color w:val="000000" w:themeColor="text1"/>
                <w:lang w:eastAsia="pl-PL"/>
              </w:rPr>
              <w:tab/>
            </w:r>
            <w:r w:rsidRPr="009341A8">
              <w:rPr>
                <w:rFonts w:ascii="Times New Roman" w:hAnsi="Times New Roman" w:cs="Times New Roman"/>
                <w:color w:val="000000" w:themeColor="text1"/>
                <w:lang w:eastAsia="pl-PL"/>
              </w:rPr>
              <w:t>SPEEDMAIL Sp. z o.o.</w:t>
            </w:r>
            <w:r w:rsidR="00861379" w:rsidRPr="009341A8">
              <w:rPr>
                <w:rFonts w:ascii="Times New Roman" w:hAnsi="Times New Roman" w:cs="Times New Roman"/>
                <w:color w:val="000000" w:themeColor="text1"/>
                <w:lang w:eastAsia="pl-PL"/>
              </w:rPr>
              <w:t>;</w:t>
            </w:r>
          </w:p>
          <w:p w14:paraId="6C5CBF7B" w14:textId="77777777" w:rsidR="00FE18E9" w:rsidRPr="009341A8" w:rsidRDefault="00FE18E9" w:rsidP="008A3FA9">
            <w:pPr>
              <w:autoSpaceDE w:val="0"/>
              <w:autoSpaceDN w:val="0"/>
              <w:adjustRightInd w:val="0"/>
              <w:spacing w:before="60" w:after="60"/>
              <w:ind w:left="448" w:hanging="448"/>
              <w:rPr>
                <w:rFonts w:ascii="Times New Roman" w:hAnsi="Times New Roman" w:cs="Times New Roman"/>
                <w:color w:val="000000" w:themeColor="text1"/>
                <w:lang w:eastAsia="pl-PL"/>
              </w:rPr>
            </w:pPr>
            <w:r w:rsidRPr="009341A8">
              <w:rPr>
                <w:rFonts w:ascii="Times New Roman" w:hAnsi="Times New Roman" w:cs="Times New Roman"/>
                <w:color w:val="000000" w:themeColor="text1"/>
                <w:lang w:eastAsia="pl-PL"/>
              </w:rPr>
              <w:t>19</w:t>
            </w:r>
            <w:r w:rsidR="009341A8" w:rsidRPr="009341A8">
              <w:rPr>
                <w:rFonts w:ascii="Times New Roman" w:hAnsi="Times New Roman" w:cs="Times New Roman"/>
                <w:color w:val="000000" w:themeColor="text1"/>
                <w:lang w:eastAsia="pl-PL"/>
              </w:rPr>
              <w:t>)</w:t>
            </w:r>
            <w:r w:rsidR="009341A8">
              <w:rPr>
                <w:rFonts w:ascii="Times New Roman" w:hAnsi="Times New Roman" w:cs="Times New Roman"/>
                <w:color w:val="000000" w:themeColor="text1"/>
                <w:lang w:eastAsia="pl-PL"/>
              </w:rPr>
              <w:tab/>
            </w:r>
            <w:r w:rsidRPr="009341A8">
              <w:rPr>
                <w:rFonts w:ascii="Times New Roman" w:hAnsi="Times New Roman" w:cs="Times New Roman"/>
                <w:color w:val="000000" w:themeColor="text1"/>
                <w:lang w:eastAsia="pl-PL"/>
              </w:rPr>
              <w:t>DPD Strefa Paczki Sp. z o.o.</w:t>
            </w:r>
            <w:r w:rsidR="00861379" w:rsidRPr="009341A8">
              <w:rPr>
                <w:rFonts w:ascii="Times New Roman" w:hAnsi="Times New Roman" w:cs="Times New Roman"/>
                <w:color w:val="000000" w:themeColor="text1"/>
                <w:lang w:eastAsia="pl-PL"/>
              </w:rPr>
              <w:t>;</w:t>
            </w:r>
          </w:p>
          <w:p w14:paraId="3D2ACFCA" w14:textId="77777777" w:rsidR="00FE18E9" w:rsidRPr="009341A8" w:rsidRDefault="00FE18E9" w:rsidP="008A3FA9">
            <w:pPr>
              <w:autoSpaceDE w:val="0"/>
              <w:autoSpaceDN w:val="0"/>
              <w:adjustRightInd w:val="0"/>
              <w:spacing w:before="60" w:after="60"/>
              <w:ind w:left="448" w:hanging="448"/>
              <w:rPr>
                <w:rFonts w:ascii="Times New Roman" w:hAnsi="Times New Roman" w:cs="Times New Roman"/>
                <w:color w:val="000000" w:themeColor="text1"/>
                <w:lang w:eastAsia="pl-PL"/>
              </w:rPr>
            </w:pPr>
            <w:r w:rsidRPr="009341A8">
              <w:rPr>
                <w:rFonts w:ascii="Times New Roman" w:hAnsi="Times New Roman" w:cs="Times New Roman"/>
                <w:color w:val="000000" w:themeColor="text1"/>
                <w:lang w:eastAsia="pl-PL"/>
              </w:rPr>
              <w:t>20</w:t>
            </w:r>
            <w:r w:rsidR="009341A8" w:rsidRPr="009341A8">
              <w:rPr>
                <w:rFonts w:ascii="Times New Roman" w:hAnsi="Times New Roman" w:cs="Times New Roman"/>
                <w:color w:val="000000" w:themeColor="text1"/>
                <w:lang w:eastAsia="pl-PL"/>
              </w:rPr>
              <w:t>)</w:t>
            </w:r>
            <w:r w:rsidR="009341A8">
              <w:rPr>
                <w:rFonts w:ascii="Times New Roman" w:hAnsi="Times New Roman" w:cs="Times New Roman"/>
                <w:color w:val="000000" w:themeColor="text1"/>
                <w:lang w:eastAsia="pl-PL"/>
              </w:rPr>
              <w:tab/>
            </w:r>
            <w:r w:rsidRPr="009341A8">
              <w:rPr>
                <w:rFonts w:ascii="Times New Roman" w:hAnsi="Times New Roman" w:cs="Times New Roman"/>
                <w:color w:val="000000" w:themeColor="text1"/>
                <w:lang w:eastAsia="pl-PL"/>
              </w:rPr>
              <w:t xml:space="preserve">TRAFFICA </w:t>
            </w:r>
            <w:r w:rsidR="009341A8">
              <w:rPr>
                <w:rFonts w:ascii="Times New Roman" w:hAnsi="Times New Roman" w:cs="Times New Roman"/>
                <w:color w:val="000000" w:themeColor="text1"/>
                <w:lang w:eastAsia="pl-PL"/>
              </w:rPr>
              <w:t>–</w:t>
            </w:r>
            <w:r w:rsidRPr="009341A8">
              <w:rPr>
                <w:rFonts w:ascii="Times New Roman" w:hAnsi="Times New Roman" w:cs="Times New Roman"/>
                <w:color w:val="000000" w:themeColor="text1"/>
                <w:lang w:eastAsia="pl-PL"/>
              </w:rPr>
              <w:t xml:space="preserve"> Geneja, Sierański Sp.j.</w:t>
            </w:r>
            <w:r w:rsidR="00861379" w:rsidRPr="009341A8">
              <w:rPr>
                <w:rFonts w:ascii="Times New Roman" w:hAnsi="Times New Roman" w:cs="Times New Roman"/>
                <w:color w:val="000000" w:themeColor="text1"/>
                <w:lang w:eastAsia="pl-PL"/>
              </w:rPr>
              <w:t>;</w:t>
            </w:r>
          </w:p>
          <w:p w14:paraId="2E7246D6" w14:textId="77777777" w:rsidR="00FE18E9" w:rsidRPr="00164516" w:rsidRDefault="00FE18E9" w:rsidP="008A3FA9">
            <w:pPr>
              <w:autoSpaceDE w:val="0"/>
              <w:autoSpaceDN w:val="0"/>
              <w:adjustRightInd w:val="0"/>
              <w:spacing w:before="60" w:after="60"/>
              <w:ind w:left="448" w:hanging="448"/>
              <w:rPr>
                <w:rFonts w:ascii="Times New Roman" w:hAnsi="Times New Roman" w:cs="Times New Roman"/>
                <w:color w:val="000000" w:themeColor="text1"/>
                <w:lang w:val="en-US" w:eastAsia="pl-PL"/>
              </w:rPr>
            </w:pPr>
            <w:r w:rsidRPr="00164516">
              <w:rPr>
                <w:rFonts w:ascii="Times New Roman" w:hAnsi="Times New Roman" w:cs="Times New Roman"/>
                <w:color w:val="000000" w:themeColor="text1"/>
                <w:lang w:val="en-US" w:eastAsia="pl-PL"/>
              </w:rPr>
              <w:t>21</w:t>
            </w:r>
            <w:r w:rsidR="009341A8" w:rsidRPr="00164516">
              <w:rPr>
                <w:rFonts w:ascii="Times New Roman" w:hAnsi="Times New Roman" w:cs="Times New Roman"/>
                <w:color w:val="000000" w:themeColor="text1"/>
                <w:lang w:val="en-US" w:eastAsia="pl-PL"/>
              </w:rPr>
              <w:t>)</w:t>
            </w:r>
            <w:r w:rsidR="009341A8" w:rsidRPr="008A3FA9">
              <w:rPr>
                <w:rFonts w:ascii="Times New Roman" w:hAnsi="Times New Roman" w:cs="Times New Roman"/>
                <w:color w:val="000000" w:themeColor="text1"/>
                <w:lang w:val="en-US" w:eastAsia="pl-PL"/>
              </w:rPr>
              <w:tab/>
            </w:r>
            <w:r w:rsidRPr="00164516">
              <w:rPr>
                <w:rFonts w:ascii="Times New Roman" w:hAnsi="Times New Roman" w:cs="Times New Roman"/>
                <w:color w:val="000000" w:themeColor="text1"/>
                <w:lang w:val="en-US" w:eastAsia="pl-PL"/>
              </w:rPr>
              <w:t>InPost S.A.</w:t>
            </w:r>
            <w:r w:rsidR="00861379" w:rsidRPr="00164516">
              <w:rPr>
                <w:rFonts w:ascii="Times New Roman" w:hAnsi="Times New Roman" w:cs="Times New Roman"/>
                <w:color w:val="000000" w:themeColor="text1"/>
                <w:lang w:val="en-US" w:eastAsia="pl-PL"/>
              </w:rPr>
              <w:t>;</w:t>
            </w:r>
          </w:p>
          <w:p w14:paraId="71143A09" w14:textId="77777777" w:rsidR="00FE18E9" w:rsidRPr="00164516" w:rsidRDefault="00FE18E9" w:rsidP="008A3FA9">
            <w:pPr>
              <w:autoSpaceDE w:val="0"/>
              <w:autoSpaceDN w:val="0"/>
              <w:adjustRightInd w:val="0"/>
              <w:spacing w:before="60" w:after="60"/>
              <w:ind w:left="448" w:hanging="448"/>
              <w:rPr>
                <w:rFonts w:ascii="Times New Roman" w:hAnsi="Times New Roman" w:cs="Times New Roman"/>
                <w:color w:val="000000" w:themeColor="text1"/>
                <w:lang w:val="en-US" w:eastAsia="pl-PL"/>
              </w:rPr>
            </w:pPr>
            <w:r w:rsidRPr="00164516">
              <w:rPr>
                <w:rFonts w:ascii="Times New Roman" w:hAnsi="Times New Roman" w:cs="Times New Roman"/>
                <w:color w:val="000000" w:themeColor="text1"/>
                <w:lang w:val="en-US" w:eastAsia="pl-PL"/>
              </w:rPr>
              <w:t>22)</w:t>
            </w:r>
            <w:r w:rsidR="009341A8" w:rsidRPr="008A3FA9">
              <w:rPr>
                <w:rFonts w:ascii="Times New Roman" w:hAnsi="Times New Roman" w:cs="Times New Roman"/>
                <w:color w:val="000000" w:themeColor="text1"/>
                <w:lang w:val="en-US" w:eastAsia="pl-PL"/>
              </w:rPr>
              <w:tab/>
            </w:r>
            <w:r w:rsidRPr="00164516">
              <w:rPr>
                <w:rFonts w:ascii="Times New Roman" w:hAnsi="Times New Roman" w:cs="Times New Roman"/>
                <w:color w:val="000000" w:themeColor="text1"/>
                <w:lang w:val="en-US" w:eastAsia="pl-PL"/>
              </w:rPr>
              <w:t>InPost Express Sp. z o.o.</w:t>
            </w:r>
            <w:r w:rsidR="00861379" w:rsidRPr="00164516">
              <w:rPr>
                <w:rFonts w:ascii="Times New Roman" w:hAnsi="Times New Roman" w:cs="Times New Roman"/>
                <w:color w:val="000000" w:themeColor="text1"/>
                <w:lang w:val="en-US" w:eastAsia="pl-PL"/>
              </w:rPr>
              <w:t>;</w:t>
            </w:r>
          </w:p>
          <w:p w14:paraId="30035140" w14:textId="77777777" w:rsidR="00FE18E9" w:rsidRPr="009341A8" w:rsidRDefault="00FE18E9" w:rsidP="008A3FA9">
            <w:pPr>
              <w:autoSpaceDE w:val="0"/>
              <w:autoSpaceDN w:val="0"/>
              <w:adjustRightInd w:val="0"/>
              <w:spacing w:before="60" w:after="60"/>
              <w:ind w:left="448" w:hanging="448"/>
              <w:rPr>
                <w:rFonts w:ascii="Times New Roman" w:hAnsi="Times New Roman" w:cs="Times New Roman"/>
                <w:color w:val="000000" w:themeColor="text1"/>
                <w:lang w:eastAsia="pl-PL"/>
              </w:rPr>
            </w:pPr>
            <w:r w:rsidRPr="009341A8">
              <w:rPr>
                <w:rFonts w:ascii="Times New Roman" w:hAnsi="Times New Roman" w:cs="Times New Roman"/>
                <w:color w:val="000000" w:themeColor="text1"/>
                <w:lang w:eastAsia="pl-PL"/>
              </w:rPr>
              <w:t>23)</w:t>
            </w:r>
            <w:r w:rsidR="009341A8">
              <w:rPr>
                <w:rFonts w:ascii="Times New Roman" w:hAnsi="Times New Roman" w:cs="Times New Roman"/>
                <w:color w:val="000000" w:themeColor="text1"/>
                <w:lang w:eastAsia="pl-PL"/>
              </w:rPr>
              <w:tab/>
            </w:r>
            <w:r w:rsidRPr="009341A8">
              <w:rPr>
                <w:rFonts w:ascii="Times New Roman" w:hAnsi="Times New Roman" w:cs="Times New Roman"/>
                <w:color w:val="000000" w:themeColor="text1"/>
                <w:lang w:eastAsia="pl-PL"/>
              </w:rPr>
              <w:t>DHL Parcel Polska Sp. z o.o.</w:t>
            </w:r>
            <w:r w:rsidR="00861379" w:rsidRPr="009341A8">
              <w:rPr>
                <w:rFonts w:ascii="Times New Roman" w:hAnsi="Times New Roman" w:cs="Times New Roman"/>
                <w:color w:val="000000" w:themeColor="text1"/>
                <w:lang w:eastAsia="pl-PL"/>
              </w:rPr>
              <w:t>;</w:t>
            </w:r>
          </w:p>
          <w:p w14:paraId="0A50BFF9" w14:textId="77777777" w:rsidR="00FE18E9" w:rsidRPr="009341A8" w:rsidRDefault="00FE18E9" w:rsidP="008A3FA9">
            <w:pPr>
              <w:autoSpaceDE w:val="0"/>
              <w:autoSpaceDN w:val="0"/>
              <w:adjustRightInd w:val="0"/>
              <w:spacing w:before="60" w:after="60"/>
              <w:ind w:left="448" w:hanging="448"/>
              <w:rPr>
                <w:rFonts w:ascii="Times New Roman" w:hAnsi="Times New Roman" w:cs="Times New Roman"/>
                <w:color w:val="000000" w:themeColor="text1"/>
                <w:lang w:eastAsia="pl-PL"/>
              </w:rPr>
            </w:pPr>
            <w:r w:rsidRPr="009341A8">
              <w:rPr>
                <w:rFonts w:ascii="Times New Roman" w:hAnsi="Times New Roman" w:cs="Times New Roman"/>
                <w:color w:val="000000" w:themeColor="text1"/>
                <w:lang w:eastAsia="pl-PL"/>
              </w:rPr>
              <w:t>24</w:t>
            </w:r>
            <w:r w:rsidR="009341A8" w:rsidRPr="009341A8">
              <w:rPr>
                <w:rFonts w:ascii="Times New Roman" w:hAnsi="Times New Roman" w:cs="Times New Roman"/>
                <w:color w:val="000000" w:themeColor="text1"/>
                <w:lang w:eastAsia="pl-PL"/>
              </w:rPr>
              <w:t>)</w:t>
            </w:r>
            <w:r w:rsidR="009341A8">
              <w:rPr>
                <w:rFonts w:ascii="Times New Roman" w:hAnsi="Times New Roman" w:cs="Times New Roman"/>
                <w:color w:val="000000" w:themeColor="text1"/>
                <w:lang w:eastAsia="pl-PL"/>
              </w:rPr>
              <w:tab/>
            </w:r>
            <w:r w:rsidRPr="009341A8">
              <w:rPr>
                <w:rFonts w:ascii="Times New Roman" w:hAnsi="Times New Roman" w:cs="Times New Roman"/>
                <w:color w:val="000000" w:themeColor="text1"/>
                <w:lang w:eastAsia="pl-PL"/>
              </w:rPr>
              <w:t>Forum Przewoźników Ekspresowych</w:t>
            </w:r>
            <w:r w:rsidR="00861379" w:rsidRPr="009341A8">
              <w:rPr>
                <w:rFonts w:ascii="Times New Roman" w:hAnsi="Times New Roman" w:cs="Times New Roman"/>
                <w:color w:val="000000" w:themeColor="text1"/>
                <w:lang w:eastAsia="pl-PL"/>
              </w:rPr>
              <w:t>;</w:t>
            </w:r>
          </w:p>
          <w:p w14:paraId="56E15E04" w14:textId="77777777" w:rsidR="00FE18E9" w:rsidRPr="009341A8" w:rsidRDefault="00FE18E9" w:rsidP="008A3FA9">
            <w:pPr>
              <w:autoSpaceDE w:val="0"/>
              <w:autoSpaceDN w:val="0"/>
              <w:adjustRightInd w:val="0"/>
              <w:spacing w:before="60" w:after="60"/>
              <w:ind w:left="448" w:hanging="448"/>
              <w:rPr>
                <w:rFonts w:ascii="Times New Roman" w:hAnsi="Times New Roman" w:cs="Times New Roman"/>
                <w:color w:val="000000" w:themeColor="text1"/>
                <w:lang w:eastAsia="pl-PL"/>
              </w:rPr>
            </w:pPr>
            <w:r w:rsidRPr="009341A8">
              <w:rPr>
                <w:rFonts w:ascii="Times New Roman" w:hAnsi="Times New Roman" w:cs="Times New Roman"/>
                <w:color w:val="000000" w:themeColor="text1"/>
                <w:lang w:eastAsia="pl-PL"/>
              </w:rPr>
              <w:t>25</w:t>
            </w:r>
            <w:r w:rsidR="009341A8" w:rsidRPr="009341A8">
              <w:rPr>
                <w:rFonts w:ascii="Times New Roman" w:hAnsi="Times New Roman" w:cs="Times New Roman"/>
                <w:color w:val="000000" w:themeColor="text1"/>
                <w:lang w:eastAsia="pl-PL"/>
              </w:rPr>
              <w:t>)</w:t>
            </w:r>
            <w:r w:rsidR="009341A8">
              <w:rPr>
                <w:rFonts w:ascii="Times New Roman" w:hAnsi="Times New Roman" w:cs="Times New Roman"/>
                <w:color w:val="000000" w:themeColor="text1"/>
                <w:lang w:eastAsia="pl-PL"/>
              </w:rPr>
              <w:tab/>
            </w:r>
            <w:r w:rsidRPr="009341A8">
              <w:rPr>
                <w:rFonts w:ascii="Times New Roman" w:hAnsi="Times New Roman" w:cs="Times New Roman"/>
                <w:color w:val="000000" w:themeColor="text1"/>
                <w:lang w:eastAsia="pl-PL"/>
              </w:rPr>
              <w:t>Instytut Pocztowy</w:t>
            </w:r>
            <w:r w:rsidR="00861379" w:rsidRPr="009341A8">
              <w:rPr>
                <w:rFonts w:ascii="Times New Roman" w:hAnsi="Times New Roman" w:cs="Times New Roman"/>
                <w:color w:val="000000" w:themeColor="text1"/>
                <w:lang w:eastAsia="pl-PL"/>
              </w:rPr>
              <w:t>;</w:t>
            </w:r>
          </w:p>
          <w:p w14:paraId="1EE09FE3" w14:textId="38038061" w:rsidR="00FE18E9" w:rsidRPr="009341A8" w:rsidRDefault="00FE18E9" w:rsidP="008A3FA9">
            <w:pPr>
              <w:autoSpaceDE w:val="0"/>
              <w:autoSpaceDN w:val="0"/>
              <w:adjustRightInd w:val="0"/>
              <w:spacing w:before="60" w:after="60"/>
              <w:ind w:left="448" w:hanging="448"/>
              <w:rPr>
                <w:rFonts w:ascii="Times New Roman" w:hAnsi="Times New Roman" w:cs="Times New Roman"/>
                <w:color w:val="000000" w:themeColor="text1"/>
                <w:lang w:eastAsia="pl-PL"/>
              </w:rPr>
            </w:pPr>
            <w:r w:rsidRPr="009341A8">
              <w:rPr>
                <w:rFonts w:ascii="Times New Roman" w:hAnsi="Times New Roman" w:cs="Times New Roman"/>
                <w:color w:val="000000" w:themeColor="text1"/>
                <w:lang w:eastAsia="pl-PL"/>
              </w:rPr>
              <w:t>26</w:t>
            </w:r>
            <w:r w:rsidR="009341A8" w:rsidRPr="009341A8">
              <w:rPr>
                <w:rFonts w:ascii="Times New Roman" w:hAnsi="Times New Roman" w:cs="Times New Roman"/>
                <w:color w:val="000000" w:themeColor="text1"/>
                <w:lang w:eastAsia="pl-PL"/>
              </w:rPr>
              <w:t>)</w:t>
            </w:r>
            <w:r w:rsidR="009341A8">
              <w:rPr>
                <w:rFonts w:ascii="Times New Roman" w:hAnsi="Times New Roman" w:cs="Times New Roman"/>
                <w:color w:val="000000" w:themeColor="text1"/>
                <w:lang w:eastAsia="pl-PL"/>
              </w:rPr>
              <w:tab/>
            </w:r>
            <w:r w:rsidRPr="009341A8">
              <w:rPr>
                <w:rFonts w:ascii="Times New Roman" w:hAnsi="Times New Roman" w:cs="Times New Roman"/>
                <w:color w:val="000000" w:themeColor="text1"/>
                <w:lang w:eastAsia="pl-PL"/>
              </w:rPr>
              <w:t>Polska Wytwór</w:t>
            </w:r>
            <w:r w:rsidR="00135D7C">
              <w:rPr>
                <w:rFonts w:ascii="Times New Roman" w:hAnsi="Times New Roman" w:cs="Times New Roman"/>
                <w:color w:val="000000" w:themeColor="text1"/>
                <w:lang w:eastAsia="pl-PL"/>
              </w:rPr>
              <w:t>nia</w:t>
            </w:r>
            <w:r w:rsidRPr="009341A8">
              <w:rPr>
                <w:rFonts w:ascii="Times New Roman" w:hAnsi="Times New Roman" w:cs="Times New Roman"/>
                <w:color w:val="000000" w:themeColor="text1"/>
                <w:lang w:eastAsia="pl-PL"/>
              </w:rPr>
              <w:t xml:space="preserve"> Papierów Wartościowych S.A.</w:t>
            </w:r>
            <w:r w:rsidR="00861379" w:rsidRPr="009341A8">
              <w:rPr>
                <w:rFonts w:ascii="Times New Roman" w:hAnsi="Times New Roman" w:cs="Times New Roman"/>
                <w:color w:val="000000" w:themeColor="text1"/>
                <w:lang w:eastAsia="pl-PL"/>
              </w:rPr>
              <w:t>;</w:t>
            </w:r>
          </w:p>
          <w:p w14:paraId="2A62988A" w14:textId="77777777" w:rsidR="00FE18E9" w:rsidRPr="009341A8" w:rsidRDefault="00FE18E9" w:rsidP="008A3FA9">
            <w:pPr>
              <w:autoSpaceDE w:val="0"/>
              <w:autoSpaceDN w:val="0"/>
              <w:adjustRightInd w:val="0"/>
              <w:spacing w:before="60" w:after="60"/>
              <w:ind w:left="448" w:hanging="448"/>
              <w:rPr>
                <w:rFonts w:ascii="Times New Roman" w:hAnsi="Times New Roman" w:cs="Times New Roman"/>
                <w:color w:val="000000" w:themeColor="text1"/>
                <w:lang w:eastAsia="pl-PL"/>
              </w:rPr>
            </w:pPr>
            <w:r w:rsidRPr="009341A8">
              <w:rPr>
                <w:rFonts w:ascii="Times New Roman" w:hAnsi="Times New Roman" w:cs="Times New Roman"/>
                <w:color w:val="000000" w:themeColor="text1"/>
                <w:lang w:eastAsia="pl-PL"/>
              </w:rPr>
              <w:t>27</w:t>
            </w:r>
            <w:r w:rsidR="009341A8" w:rsidRPr="009341A8">
              <w:rPr>
                <w:rFonts w:ascii="Times New Roman" w:hAnsi="Times New Roman" w:cs="Times New Roman"/>
                <w:color w:val="000000" w:themeColor="text1"/>
                <w:lang w:eastAsia="pl-PL"/>
              </w:rPr>
              <w:t>)</w:t>
            </w:r>
            <w:r w:rsidR="009341A8">
              <w:rPr>
                <w:rFonts w:ascii="Times New Roman" w:hAnsi="Times New Roman" w:cs="Times New Roman"/>
                <w:color w:val="000000" w:themeColor="text1"/>
                <w:lang w:eastAsia="pl-PL"/>
              </w:rPr>
              <w:tab/>
            </w:r>
            <w:r w:rsidRPr="009341A8">
              <w:rPr>
                <w:rFonts w:ascii="Times New Roman" w:hAnsi="Times New Roman" w:cs="Times New Roman"/>
                <w:color w:val="000000" w:themeColor="text1"/>
                <w:lang w:eastAsia="pl-PL"/>
              </w:rPr>
              <w:t>Krajowa Izba Rozliczeniowa S.A.</w:t>
            </w:r>
            <w:r w:rsidR="00861379" w:rsidRPr="009341A8">
              <w:rPr>
                <w:rFonts w:ascii="Times New Roman" w:hAnsi="Times New Roman" w:cs="Times New Roman"/>
                <w:color w:val="000000" w:themeColor="text1"/>
                <w:lang w:eastAsia="pl-PL"/>
              </w:rPr>
              <w:t>;</w:t>
            </w:r>
          </w:p>
          <w:p w14:paraId="2382AE24" w14:textId="77777777" w:rsidR="00FE18E9" w:rsidRPr="009341A8" w:rsidRDefault="00FE18E9" w:rsidP="008A3FA9">
            <w:pPr>
              <w:autoSpaceDE w:val="0"/>
              <w:autoSpaceDN w:val="0"/>
              <w:adjustRightInd w:val="0"/>
              <w:spacing w:before="60" w:after="60"/>
              <w:ind w:left="448" w:hanging="448"/>
              <w:rPr>
                <w:rFonts w:ascii="Times New Roman" w:hAnsi="Times New Roman" w:cs="Times New Roman"/>
                <w:color w:val="000000" w:themeColor="text1"/>
                <w:lang w:eastAsia="pl-PL"/>
              </w:rPr>
            </w:pPr>
            <w:r w:rsidRPr="009341A8">
              <w:rPr>
                <w:rFonts w:ascii="Times New Roman" w:hAnsi="Times New Roman" w:cs="Times New Roman"/>
                <w:color w:val="000000" w:themeColor="text1"/>
                <w:lang w:eastAsia="pl-PL"/>
              </w:rPr>
              <w:t>28</w:t>
            </w:r>
            <w:r w:rsidR="009341A8" w:rsidRPr="009341A8">
              <w:rPr>
                <w:rFonts w:ascii="Times New Roman" w:hAnsi="Times New Roman" w:cs="Times New Roman"/>
                <w:color w:val="000000" w:themeColor="text1"/>
                <w:lang w:eastAsia="pl-PL"/>
              </w:rPr>
              <w:t>)</w:t>
            </w:r>
            <w:r w:rsidR="009341A8">
              <w:rPr>
                <w:rFonts w:ascii="Times New Roman" w:hAnsi="Times New Roman" w:cs="Times New Roman"/>
                <w:color w:val="000000" w:themeColor="text1"/>
                <w:lang w:eastAsia="pl-PL"/>
              </w:rPr>
              <w:tab/>
            </w:r>
            <w:r w:rsidRPr="009341A8">
              <w:rPr>
                <w:rFonts w:ascii="Times New Roman" w:hAnsi="Times New Roman" w:cs="Times New Roman"/>
                <w:color w:val="000000" w:themeColor="text1"/>
                <w:lang w:eastAsia="pl-PL"/>
              </w:rPr>
              <w:t>Enigma Systemy Ochrony Informacji Sp. z o.o.</w:t>
            </w:r>
            <w:r w:rsidR="00861379" w:rsidRPr="009341A8">
              <w:rPr>
                <w:rFonts w:ascii="Times New Roman" w:hAnsi="Times New Roman" w:cs="Times New Roman"/>
                <w:color w:val="000000" w:themeColor="text1"/>
                <w:lang w:eastAsia="pl-PL"/>
              </w:rPr>
              <w:t>;</w:t>
            </w:r>
          </w:p>
          <w:p w14:paraId="675F63E8" w14:textId="77777777" w:rsidR="00FE18E9" w:rsidRPr="009341A8" w:rsidRDefault="00FE18E9" w:rsidP="008A3FA9">
            <w:pPr>
              <w:autoSpaceDE w:val="0"/>
              <w:autoSpaceDN w:val="0"/>
              <w:adjustRightInd w:val="0"/>
              <w:spacing w:before="60" w:after="60"/>
              <w:ind w:left="448" w:hanging="448"/>
              <w:rPr>
                <w:rFonts w:ascii="Times New Roman" w:hAnsi="Times New Roman" w:cs="Times New Roman"/>
                <w:color w:val="000000" w:themeColor="text1"/>
                <w:lang w:eastAsia="pl-PL"/>
              </w:rPr>
            </w:pPr>
            <w:r w:rsidRPr="009341A8">
              <w:rPr>
                <w:rFonts w:ascii="Times New Roman" w:hAnsi="Times New Roman" w:cs="Times New Roman"/>
                <w:color w:val="000000" w:themeColor="text1"/>
                <w:lang w:eastAsia="pl-PL"/>
              </w:rPr>
              <w:t>29</w:t>
            </w:r>
            <w:r w:rsidR="009341A8" w:rsidRPr="009341A8">
              <w:rPr>
                <w:rFonts w:ascii="Times New Roman" w:hAnsi="Times New Roman" w:cs="Times New Roman"/>
                <w:color w:val="000000" w:themeColor="text1"/>
                <w:lang w:eastAsia="pl-PL"/>
              </w:rPr>
              <w:t>)</w:t>
            </w:r>
            <w:r w:rsidR="009341A8">
              <w:rPr>
                <w:rFonts w:ascii="Times New Roman" w:hAnsi="Times New Roman" w:cs="Times New Roman"/>
                <w:color w:val="000000" w:themeColor="text1"/>
                <w:lang w:eastAsia="pl-PL"/>
              </w:rPr>
              <w:tab/>
            </w:r>
            <w:r w:rsidRPr="009341A8">
              <w:rPr>
                <w:rFonts w:ascii="Times New Roman" w:hAnsi="Times New Roman" w:cs="Times New Roman"/>
                <w:color w:val="000000" w:themeColor="text1"/>
                <w:lang w:eastAsia="pl-PL"/>
              </w:rPr>
              <w:t>EuroCert Sp. z o.o.</w:t>
            </w:r>
            <w:r w:rsidR="00861379" w:rsidRPr="009341A8">
              <w:rPr>
                <w:rFonts w:ascii="Times New Roman" w:hAnsi="Times New Roman" w:cs="Times New Roman"/>
                <w:color w:val="000000" w:themeColor="text1"/>
                <w:lang w:eastAsia="pl-PL"/>
              </w:rPr>
              <w:t>;</w:t>
            </w:r>
          </w:p>
          <w:p w14:paraId="5188AA66" w14:textId="77777777" w:rsidR="00FE18E9" w:rsidRPr="009341A8" w:rsidRDefault="00FE18E9" w:rsidP="008A3FA9">
            <w:pPr>
              <w:autoSpaceDE w:val="0"/>
              <w:autoSpaceDN w:val="0"/>
              <w:adjustRightInd w:val="0"/>
              <w:spacing w:before="60" w:after="60"/>
              <w:ind w:left="448" w:hanging="448"/>
              <w:rPr>
                <w:rFonts w:ascii="Times New Roman" w:hAnsi="Times New Roman" w:cs="Times New Roman"/>
                <w:color w:val="000000" w:themeColor="text1"/>
                <w:lang w:val="en-US" w:eastAsia="pl-PL"/>
              </w:rPr>
            </w:pPr>
            <w:r w:rsidRPr="009341A8">
              <w:rPr>
                <w:rFonts w:ascii="Times New Roman" w:hAnsi="Times New Roman" w:cs="Times New Roman"/>
                <w:color w:val="000000" w:themeColor="text1"/>
                <w:lang w:val="en-US" w:eastAsia="pl-PL"/>
              </w:rPr>
              <w:t>30</w:t>
            </w:r>
            <w:r w:rsidR="009341A8" w:rsidRPr="009341A8">
              <w:rPr>
                <w:rFonts w:ascii="Times New Roman" w:hAnsi="Times New Roman" w:cs="Times New Roman"/>
                <w:color w:val="000000" w:themeColor="text1"/>
                <w:lang w:val="en-US" w:eastAsia="pl-PL"/>
              </w:rPr>
              <w:t>)</w:t>
            </w:r>
            <w:r w:rsidR="009341A8">
              <w:rPr>
                <w:rFonts w:ascii="Times New Roman" w:hAnsi="Times New Roman" w:cs="Times New Roman"/>
                <w:color w:val="000000" w:themeColor="text1"/>
                <w:lang w:val="en-US" w:eastAsia="pl-PL"/>
              </w:rPr>
              <w:tab/>
            </w:r>
            <w:r w:rsidRPr="009341A8">
              <w:rPr>
                <w:rFonts w:ascii="Times New Roman" w:hAnsi="Times New Roman" w:cs="Times New Roman"/>
                <w:color w:val="000000" w:themeColor="text1"/>
                <w:lang w:val="en-US" w:eastAsia="pl-PL"/>
              </w:rPr>
              <w:t>Asseco Data Systems S.A.</w:t>
            </w:r>
            <w:r w:rsidR="00861379" w:rsidRPr="009341A8">
              <w:rPr>
                <w:rFonts w:ascii="Times New Roman" w:hAnsi="Times New Roman" w:cs="Times New Roman"/>
                <w:color w:val="000000" w:themeColor="text1"/>
                <w:lang w:val="en-US" w:eastAsia="pl-PL"/>
              </w:rPr>
              <w:t>;</w:t>
            </w:r>
          </w:p>
          <w:p w14:paraId="02FDF336" w14:textId="77777777" w:rsidR="00FE18E9" w:rsidRPr="009341A8" w:rsidRDefault="00FE18E9" w:rsidP="008A3FA9">
            <w:pPr>
              <w:autoSpaceDE w:val="0"/>
              <w:autoSpaceDN w:val="0"/>
              <w:adjustRightInd w:val="0"/>
              <w:spacing w:before="60" w:after="60"/>
              <w:ind w:left="448" w:hanging="448"/>
              <w:rPr>
                <w:rFonts w:ascii="Times New Roman" w:hAnsi="Times New Roman" w:cs="Times New Roman"/>
                <w:color w:val="000000" w:themeColor="text1"/>
                <w:lang w:eastAsia="pl-PL"/>
              </w:rPr>
            </w:pPr>
            <w:r w:rsidRPr="009341A8">
              <w:rPr>
                <w:rFonts w:ascii="Times New Roman" w:hAnsi="Times New Roman" w:cs="Times New Roman"/>
                <w:color w:val="000000" w:themeColor="text1"/>
                <w:lang w:eastAsia="pl-PL"/>
              </w:rPr>
              <w:t>31</w:t>
            </w:r>
            <w:r w:rsidR="009341A8" w:rsidRPr="009341A8">
              <w:rPr>
                <w:rFonts w:ascii="Times New Roman" w:hAnsi="Times New Roman" w:cs="Times New Roman"/>
                <w:color w:val="000000" w:themeColor="text1"/>
                <w:lang w:eastAsia="pl-PL"/>
              </w:rPr>
              <w:t>)</w:t>
            </w:r>
            <w:r w:rsidR="009341A8">
              <w:rPr>
                <w:rFonts w:ascii="Times New Roman" w:hAnsi="Times New Roman" w:cs="Times New Roman"/>
                <w:color w:val="000000" w:themeColor="text1"/>
                <w:lang w:eastAsia="pl-PL"/>
              </w:rPr>
              <w:tab/>
            </w:r>
            <w:r w:rsidRPr="009341A8">
              <w:rPr>
                <w:rFonts w:ascii="Times New Roman" w:hAnsi="Times New Roman" w:cs="Times New Roman"/>
                <w:color w:val="000000" w:themeColor="text1"/>
                <w:lang w:eastAsia="pl-PL"/>
              </w:rPr>
              <w:t>Madkom S.A.</w:t>
            </w:r>
            <w:r w:rsidR="00861379" w:rsidRPr="009341A8">
              <w:rPr>
                <w:rFonts w:ascii="Times New Roman" w:hAnsi="Times New Roman" w:cs="Times New Roman"/>
                <w:color w:val="000000" w:themeColor="text1"/>
                <w:lang w:eastAsia="pl-PL"/>
              </w:rPr>
              <w:t>;</w:t>
            </w:r>
          </w:p>
          <w:p w14:paraId="6367FE29" w14:textId="77777777" w:rsidR="00FE18E9" w:rsidRPr="009341A8" w:rsidRDefault="00FE18E9" w:rsidP="008A3FA9">
            <w:pPr>
              <w:autoSpaceDE w:val="0"/>
              <w:autoSpaceDN w:val="0"/>
              <w:adjustRightInd w:val="0"/>
              <w:spacing w:before="60" w:after="60"/>
              <w:ind w:left="448" w:hanging="448"/>
              <w:rPr>
                <w:rFonts w:ascii="Times New Roman" w:hAnsi="Times New Roman" w:cs="Times New Roman"/>
                <w:color w:val="000000" w:themeColor="text1"/>
                <w:lang w:eastAsia="pl-PL"/>
              </w:rPr>
            </w:pPr>
            <w:r w:rsidRPr="009341A8">
              <w:rPr>
                <w:rFonts w:ascii="Times New Roman" w:hAnsi="Times New Roman" w:cs="Times New Roman"/>
                <w:color w:val="000000" w:themeColor="text1"/>
                <w:lang w:eastAsia="pl-PL"/>
              </w:rPr>
              <w:t>32</w:t>
            </w:r>
            <w:r w:rsidR="009341A8" w:rsidRPr="009341A8">
              <w:rPr>
                <w:rFonts w:ascii="Times New Roman" w:hAnsi="Times New Roman" w:cs="Times New Roman"/>
                <w:color w:val="000000" w:themeColor="text1"/>
                <w:lang w:eastAsia="pl-PL"/>
              </w:rPr>
              <w:t>)</w:t>
            </w:r>
            <w:r w:rsidR="009341A8">
              <w:rPr>
                <w:rFonts w:ascii="Times New Roman" w:hAnsi="Times New Roman" w:cs="Times New Roman"/>
                <w:color w:val="000000" w:themeColor="text1"/>
                <w:lang w:eastAsia="pl-PL"/>
              </w:rPr>
              <w:tab/>
            </w:r>
            <w:r w:rsidRPr="009341A8">
              <w:rPr>
                <w:rFonts w:ascii="Times New Roman" w:hAnsi="Times New Roman" w:cs="Times New Roman"/>
                <w:color w:val="000000" w:themeColor="text1"/>
                <w:lang w:eastAsia="pl-PL"/>
              </w:rPr>
              <w:t>Orange Polska S.A.</w:t>
            </w:r>
            <w:r w:rsidR="00861379" w:rsidRPr="009341A8">
              <w:rPr>
                <w:rFonts w:ascii="Times New Roman" w:hAnsi="Times New Roman" w:cs="Times New Roman"/>
                <w:color w:val="000000" w:themeColor="text1"/>
                <w:lang w:eastAsia="pl-PL"/>
              </w:rPr>
              <w:t>;</w:t>
            </w:r>
          </w:p>
          <w:p w14:paraId="278E56CC" w14:textId="77777777" w:rsidR="00FE18E9" w:rsidRPr="009341A8" w:rsidRDefault="00FE18E9" w:rsidP="008A3FA9">
            <w:pPr>
              <w:autoSpaceDE w:val="0"/>
              <w:autoSpaceDN w:val="0"/>
              <w:adjustRightInd w:val="0"/>
              <w:spacing w:before="60" w:after="60"/>
              <w:ind w:left="448" w:hanging="448"/>
              <w:rPr>
                <w:rFonts w:ascii="Times New Roman" w:hAnsi="Times New Roman" w:cs="Times New Roman"/>
                <w:color w:val="000000" w:themeColor="text1"/>
                <w:lang w:eastAsia="pl-PL"/>
              </w:rPr>
            </w:pPr>
            <w:r w:rsidRPr="009341A8">
              <w:rPr>
                <w:rFonts w:ascii="Times New Roman" w:hAnsi="Times New Roman" w:cs="Times New Roman"/>
                <w:color w:val="000000" w:themeColor="text1"/>
                <w:lang w:eastAsia="pl-PL"/>
              </w:rPr>
              <w:t>33</w:t>
            </w:r>
            <w:r w:rsidR="009341A8" w:rsidRPr="009341A8">
              <w:rPr>
                <w:rFonts w:ascii="Times New Roman" w:hAnsi="Times New Roman" w:cs="Times New Roman"/>
                <w:color w:val="000000" w:themeColor="text1"/>
                <w:lang w:eastAsia="pl-PL"/>
              </w:rPr>
              <w:t>)</w:t>
            </w:r>
            <w:r w:rsidR="009341A8">
              <w:rPr>
                <w:rFonts w:ascii="Times New Roman" w:hAnsi="Times New Roman" w:cs="Times New Roman"/>
                <w:color w:val="000000" w:themeColor="text1"/>
                <w:lang w:eastAsia="pl-PL"/>
              </w:rPr>
              <w:tab/>
            </w:r>
            <w:r w:rsidRPr="009341A8">
              <w:rPr>
                <w:rFonts w:ascii="Times New Roman" w:hAnsi="Times New Roman" w:cs="Times New Roman"/>
                <w:color w:val="000000" w:themeColor="text1"/>
                <w:lang w:eastAsia="pl-PL"/>
              </w:rPr>
              <w:t>T Mobile Polska S.A.</w:t>
            </w:r>
            <w:r w:rsidR="00861379" w:rsidRPr="009341A8">
              <w:rPr>
                <w:rFonts w:ascii="Times New Roman" w:hAnsi="Times New Roman" w:cs="Times New Roman"/>
                <w:color w:val="000000" w:themeColor="text1"/>
                <w:lang w:eastAsia="pl-PL"/>
              </w:rPr>
              <w:t>;</w:t>
            </w:r>
          </w:p>
          <w:p w14:paraId="1AA489CF" w14:textId="77777777" w:rsidR="00FE18E9" w:rsidRPr="009341A8" w:rsidRDefault="00FE18E9" w:rsidP="008A3FA9">
            <w:pPr>
              <w:autoSpaceDE w:val="0"/>
              <w:autoSpaceDN w:val="0"/>
              <w:adjustRightInd w:val="0"/>
              <w:spacing w:before="60" w:after="60"/>
              <w:ind w:left="448" w:hanging="448"/>
              <w:rPr>
                <w:rFonts w:ascii="Times New Roman" w:hAnsi="Times New Roman" w:cs="Times New Roman"/>
                <w:color w:val="000000" w:themeColor="text1"/>
                <w:lang w:eastAsia="pl-PL"/>
              </w:rPr>
            </w:pPr>
            <w:r w:rsidRPr="009341A8">
              <w:rPr>
                <w:rFonts w:ascii="Times New Roman" w:hAnsi="Times New Roman" w:cs="Times New Roman"/>
                <w:color w:val="000000" w:themeColor="text1"/>
                <w:lang w:eastAsia="pl-PL"/>
              </w:rPr>
              <w:t>34)</w:t>
            </w:r>
            <w:r w:rsidR="009341A8">
              <w:rPr>
                <w:rFonts w:ascii="Times New Roman" w:hAnsi="Times New Roman" w:cs="Times New Roman"/>
                <w:color w:val="000000" w:themeColor="text1"/>
                <w:lang w:eastAsia="pl-PL"/>
              </w:rPr>
              <w:tab/>
            </w:r>
            <w:r w:rsidRPr="009341A8">
              <w:rPr>
                <w:rFonts w:ascii="Times New Roman" w:hAnsi="Times New Roman" w:cs="Times New Roman"/>
                <w:color w:val="000000" w:themeColor="text1"/>
                <w:lang w:eastAsia="pl-PL"/>
              </w:rPr>
              <w:t>P4 Sp z o.o.</w:t>
            </w:r>
            <w:r w:rsidR="00861379" w:rsidRPr="009341A8">
              <w:rPr>
                <w:rFonts w:ascii="Times New Roman" w:hAnsi="Times New Roman" w:cs="Times New Roman"/>
                <w:color w:val="000000" w:themeColor="text1"/>
                <w:lang w:eastAsia="pl-PL"/>
              </w:rPr>
              <w:t>;</w:t>
            </w:r>
          </w:p>
          <w:p w14:paraId="3547786E" w14:textId="77777777" w:rsidR="00FE18E9" w:rsidRPr="009341A8" w:rsidRDefault="00FE18E9" w:rsidP="008A3FA9">
            <w:pPr>
              <w:autoSpaceDE w:val="0"/>
              <w:autoSpaceDN w:val="0"/>
              <w:adjustRightInd w:val="0"/>
              <w:spacing w:before="60" w:after="60"/>
              <w:ind w:left="448" w:hanging="448"/>
              <w:rPr>
                <w:rFonts w:ascii="Times New Roman" w:hAnsi="Times New Roman" w:cs="Times New Roman"/>
                <w:color w:val="000000" w:themeColor="text1"/>
                <w:lang w:eastAsia="pl-PL"/>
              </w:rPr>
            </w:pPr>
            <w:r w:rsidRPr="009341A8">
              <w:rPr>
                <w:rFonts w:ascii="Times New Roman" w:hAnsi="Times New Roman" w:cs="Times New Roman"/>
                <w:color w:val="000000" w:themeColor="text1"/>
                <w:lang w:eastAsia="pl-PL"/>
              </w:rPr>
              <w:t>35)</w:t>
            </w:r>
            <w:r w:rsidR="009341A8">
              <w:rPr>
                <w:rFonts w:ascii="Times New Roman" w:hAnsi="Times New Roman" w:cs="Times New Roman"/>
                <w:color w:val="000000" w:themeColor="text1"/>
                <w:lang w:eastAsia="pl-PL"/>
              </w:rPr>
              <w:tab/>
            </w:r>
            <w:r w:rsidRPr="009341A8">
              <w:rPr>
                <w:rFonts w:ascii="Times New Roman" w:hAnsi="Times New Roman" w:cs="Times New Roman"/>
                <w:color w:val="000000" w:themeColor="text1"/>
                <w:lang w:eastAsia="pl-PL"/>
              </w:rPr>
              <w:t>Polkomtel Sp. z o.o.</w:t>
            </w:r>
          </w:p>
          <w:p w14:paraId="11E3F093" w14:textId="77777777" w:rsidR="00FE18E9" w:rsidRPr="000E2DF4" w:rsidRDefault="00FE18E9" w:rsidP="008A3FA9">
            <w:pPr>
              <w:keepNext/>
              <w:spacing w:before="60" w:after="60"/>
              <w:jc w:val="both"/>
              <w:rPr>
                <w:rFonts w:ascii="Times New Roman" w:hAnsi="Times New Roman" w:cs="Times New Roman"/>
                <w:color w:val="000000" w:themeColor="text1"/>
              </w:rPr>
            </w:pPr>
            <w:r w:rsidRPr="009341A8">
              <w:rPr>
                <w:rFonts w:ascii="Times New Roman" w:hAnsi="Times New Roman" w:cs="Times New Roman"/>
                <w:color w:val="000000" w:themeColor="text1"/>
                <w:spacing w:val="-2"/>
              </w:rPr>
              <w:t xml:space="preserve">W ramach konsultacji publicznych i opiniowania zgłoszono szereg uwag do projektu ustawy. Wyjaśnienia do </w:t>
            </w:r>
            <w:r w:rsidRPr="009341A8">
              <w:rPr>
                <w:rFonts w:ascii="Times New Roman" w:hAnsi="Times New Roman" w:cs="Times New Roman"/>
                <w:color w:val="000000" w:themeColor="text1"/>
                <w:spacing w:val="-2"/>
              </w:rPr>
              <w:lastRenderedPageBreak/>
              <w:t xml:space="preserve">zgłoszonych uwag opublikowano przed konferencją na stronie </w:t>
            </w:r>
            <w:r w:rsidR="00A30A67" w:rsidRPr="009341A8">
              <w:rPr>
                <w:rFonts w:ascii="Times New Roman" w:hAnsi="Times New Roman" w:cs="Times New Roman"/>
                <w:color w:val="000000" w:themeColor="text1"/>
                <w:spacing w:val="-2"/>
              </w:rPr>
              <w:t>Rządowego Centrum Legislacji</w:t>
            </w:r>
            <w:r w:rsidRPr="009341A8">
              <w:rPr>
                <w:rFonts w:ascii="Times New Roman" w:hAnsi="Times New Roman" w:cs="Times New Roman"/>
                <w:color w:val="000000" w:themeColor="text1"/>
                <w:spacing w:val="-2"/>
              </w:rPr>
              <w:t>, w zakładce „</w:t>
            </w:r>
            <w:r w:rsidRPr="000E2DF4">
              <w:rPr>
                <w:rFonts w:ascii="Times New Roman" w:hAnsi="Times New Roman" w:cs="Times New Roman"/>
                <w:color w:val="000000" w:themeColor="text1"/>
              </w:rPr>
              <w:t>Rządowy Proces Legislacyjny</w:t>
            </w:r>
            <w:r w:rsidRPr="000E2DF4">
              <w:rPr>
                <w:rFonts w:ascii="Times New Roman" w:hAnsi="Times New Roman" w:cs="Times New Roman"/>
                <w:color w:val="000000" w:themeColor="text1"/>
                <w:spacing w:val="-2"/>
              </w:rPr>
              <w:t xml:space="preserve">” oraz w Biuletynie Informacji Publicznej na stronie podmiotowej Ministra Cyfryzacji. W związku z </w:t>
            </w:r>
            <w:r w:rsidR="008D126D" w:rsidRPr="000E2DF4">
              <w:rPr>
                <w:rFonts w:ascii="Times New Roman" w:hAnsi="Times New Roman" w:cs="Times New Roman"/>
                <w:color w:val="000000" w:themeColor="text1"/>
                <w:spacing w:val="-2"/>
              </w:rPr>
              <w:t>uwagami</w:t>
            </w:r>
            <w:r w:rsidRPr="000E2DF4">
              <w:rPr>
                <w:rFonts w:ascii="Times New Roman" w:hAnsi="Times New Roman" w:cs="Times New Roman"/>
                <w:color w:val="000000" w:themeColor="text1"/>
                <w:spacing w:val="-2"/>
              </w:rPr>
              <w:t xml:space="preserve"> przeprowadzono w dniach</w:t>
            </w:r>
            <w:r w:rsidRPr="000E2DF4">
              <w:rPr>
                <w:rFonts w:ascii="Times New Roman" w:hAnsi="Times New Roman" w:cs="Times New Roman"/>
                <w:color w:val="000000" w:themeColor="text1"/>
              </w:rPr>
              <w:t xml:space="preserve"> 16–17 kwietnia 2019 r. konferencję, gdzie omówiono uwagi.</w:t>
            </w:r>
          </w:p>
        </w:tc>
      </w:tr>
      <w:tr w:rsidR="005C3FCE" w:rsidRPr="00067989" w14:paraId="5767A041" w14:textId="77777777" w:rsidTr="008A3FA9">
        <w:trPr>
          <w:gridAfter w:val="1"/>
          <w:wAfter w:w="61" w:type="dxa"/>
          <w:trHeight w:val="363"/>
          <w:jc w:val="center"/>
        </w:trPr>
        <w:tc>
          <w:tcPr>
            <w:tcW w:w="10566" w:type="dxa"/>
            <w:gridSpan w:val="28"/>
            <w:shd w:val="clear" w:color="auto" w:fill="99CCFF"/>
            <w:vAlign w:val="center"/>
          </w:tcPr>
          <w:p w14:paraId="057AE9CA" w14:textId="77777777" w:rsidR="006A701A" w:rsidRPr="00067989" w:rsidRDefault="006A701A" w:rsidP="00067989">
            <w:pPr>
              <w:numPr>
                <w:ilvl w:val="0"/>
                <w:numId w:val="1"/>
              </w:numPr>
              <w:spacing w:before="60" w:after="60"/>
              <w:ind w:left="318" w:hanging="284"/>
              <w:rPr>
                <w:rFonts w:ascii="Times New Roman" w:hAnsi="Times New Roman" w:cs="Times New Roman"/>
                <w:b/>
                <w:color w:val="000000" w:themeColor="text1"/>
              </w:rPr>
            </w:pPr>
            <w:r w:rsidRPr="00067989">
              <w:rPr>
                <w:rFonts w:ascii="Times New Roman" w:hAnsi="Times New Roman" w:cs="Times New Roman"/>
                <w:b/>
                <w:color w:val="000000" w:themeColor="text1"/>
              </w:rPr>
              <w:lastRenderedPageBreak/>
              <w:t>Wpływ na sektor finansów publicznych</w:t>
            </w:r>
          </w:p>
        </w:tc>
      </w:tr>
      <w:tr w:rsidR="005C3FCE" w:rsidRPr="00067989" w14:paraId="54653762" w14:textId="77777777" w:rsidTr="008A3FA9">
        <w:trPr>
          <w:gridAfter w:val="1"/>
          <w:wAfter w:w="61" w:type="dxa"/>
          <w:trHeight w:val="142"/>
          <w:jc w:val="center"/>
        </w:trPr>
        <w:tc>
          <w:tcPr>
            <w:tcW w:w="1888" w:type="dxa"/>
            <w:gridSpan w:val="3"/>
            <w:vMerge w:val="restart"/>
            <w:shd w:val="clear" w:color="auto" w:fill="FFFFFF"/>
          </w:tcPr>
          <w:p w14:paraId="3D7BCE75" w14:textId="77777777" w:rsidR="00260F33" w:rsidRPr="00067989" w:rsidRDefault="00260F33" w:rsidP="00067989">
            <w:pPr>
              <w:spacing w:before="60" w:after="60"/>
              <w:rPr>
                <w:rFonts w:ascii="Times New Roman" w:hAnsi="Times New Roman" w:cs="Times New Roman"/>
                <w:i/>
                <w:color w:val="000000" w:themeColor="text1"/>
              </w:rPr>
            </w:pPr>
          </w:p>
        </w:tc>
        <w:tc>
          <w:tcPr>
            <w:tcW w:w="8678" w:type="dxa"/>
            <w:gridSpan w:val="25"/>
            <w:shd w:val="clear" w:color="auto" w:fill="FFFFFF"/>
          </w:tcPr>
          <w:p w14:paraId="51AC271C" w14:textId="77777777" w:rsidR="00260F33" w:rsidRPr="008A3FA9" w:rsidRDefault="00260F33" w:rsidP="008A3FA9">
            <w:pPr>
              <w:spacing w:before="60" w:after="60"/>
              <w:jc w:val="center"/>
              <w:rPr>
                <w:rFonts w:ascii="Times New Roman" w:hAnsi="Times New Roman" w:cs="Times New Roman"/>
                <w:i/>
                <w:color w:val="000000" w:themeColor="text1"/>
                <w:spacing w:val="-2"/>
                <w:sz w:val="20"/>
                <w:szCs w:val="20"/>
              </w:rPr>
            </w:pPr>
            <w:r w:rsidRPr="008A3FA9">
              <w:rPr>
                <w:rFonts w:ascii="Times New Roman" w:hAnsi="Times New Roman" w:cs="Times New Roman"/>
                <w:color w:val="000000" w:themeColor="text1"/>
                <w:sz w:val="20"/>
                <w:szCs w:val="20"/>
              </w:rPr>
              <w:t>Skutki w okresie 10 lat od wejścia w życie zmian [</w:t>
            </w:r>
            <w:r w:rsidR="00A056CB" w:rsidRPr="008A3FA9">
              <w:rPr>
                <w:rFonts w:ascii="Times New Roman" w:hAnsi="Times New Roman" w:cs="Times New Roman"/>
                <w:color w:val="000000" w:themeColor="text1"/>
                <w:sz w:val="20"/>
                <w:szCs w:val="20"/>
              </w:rPr>
              <w:t xml:space="preserve">mln </w:t>
            </w:r>
            <w:r w:rsidRPr="008A3FA9">
              <w:rPr>
                <w:rFonts w:ascii="Times New Roman" w:hAnsi="Times New Roman" w:cs="Times New Roman"/>
                <w:color w:val="000000" w:themeColor="text1"/>
                <w:sz w:val="20"/>
                <w:szCs w:val="20"/>
              </w:rPr>
              <w:t>zł]</w:t>
            </w:r>
          </w:p>
        </w:tc>
      </w:tr>
      <w:tr w:rsidR="000E2DF4" w:rsidRPr="00067989" w14:paraId="48895AD5" w14:textId="77777777" w:rsidTr="00020AEF">
        <w:trPr>
          <w:gridAfter w:val="2"/>
          <w:wAfter w:w="52" w:type="dxa"/>
          <w:trHeight w:val="862"/>
          <w:jc w:val="center"/>
        </w:trPr>
        <w:tc>
          <w:tcPr>
            <w:tcW w:w="1888" w:type="dxa"/>
            <w:gridSpan w:val="3"/>
            <w:vMerge/>
            <w:shd w:val="clear" w:color="auto" w:fill="FFFFFF"/>
          </w:tcPr>
          <w:p w14:paraId="4A0A9F1D" w14:textId="77777777" w:rsidR="0057668E" w:rsidRPr="00067989" w:rsidRDefault="0057668E">
            <w:pPr>
              <w:spacing w:before="60" w:after="60"/>
              <w:rPr>
                <w:rFonts w:ascii="Times New Roman" w:hAnsi="Times New Roman" w:cs="Times New Roman"/>
                <w:i/>
                <w:color w:val="000000" w:themeColor="text1"/>
              </w:rPr>
            </w:pPr>
          </w:p>
        </w:tc>
        <w:tc>
          <w:tcPr>
            <w:tcW w:w="695" w:type="dxa"/>
            <w:gridSpan w:val="2"/>
            <w:shd w:val="clear" w:color="auto" w:fill="FFFFFF"/>
            <w:vAlign w:val="center"/>
          </w:tcPr>
          <w:p w14:paraId="148706B0" w14:textId="77777777" w:rsidR="0057668E" w:rsidRPr="008A3FA9" w:rsidRDefault="0057668E">
            <w:pPr>
              <w:spacing w:before="60" w:after="60"/>
              <w:jc w:val="center"/>
              <w:rPr>
                <w:rFonts w:ascii="Times New Roman" w:hAnsi="Times New Roman" w:cs="Times New Roman"/>
                <w:b/>
                <w:color w:val="000000" w:themeColor="text1"/>
                <w:sz w:val="20"/>
                <w:szCs w:val="20"/>
              </w:rPr>
            </w:pPr>
            <w:r w:rsidRPr="008A3FA9">
              <w:rPr>
                <w:rFonts w:ascii="Times New Roman" w:hAnsi="Times New Roman" w:cs="Times New Roman"/>
                <w:b/>
                <w:color w:val="000000" w:themeColor="text1"/>
                <w:sz w:val="20"/>
                <w:szCs w:val="20"/>
              </w:rPr>
              <w:t>0</w:t>
            </w:r>
          </w:p>
        </w:tc>
        <w:tc>
          <w:tcPr>
            <w:tcW w:w="696" w:type="dxa"/>
            <w:shd w:val="clear" w:color="auto" w:fill="FFFFFF"/>
            <w:vAlign w:val="center"/>
          </w:tcPr>
          <w:p w14:paraId="1B1837AD" w14:textId="77777777" w:rsidR="0057668E" w:rsidRPr="008A3FA9" w:rsidRDefault="0057668E">
            <w:pPr>
              <w:spacing w:before="60" w:after="60"/>
              <w:jc w:val="center"/>
              <w:rPr>
                <w:rFonts w:ascii="Times New Roman" w:hAnsi="Times New Roman" w:cs="Times New Roman"/>
                <w:b/>
                <w:color w:val="000000" w:themeColor="text1"/>
                <w:sz w:val="20"/>
                <w:szCs w:val="20"/>
              </w:rPr>
            </w:pPr>
            <w:r w:rsidRPr="008A3FA9">
              <w:rPr>
                <w:rFonts w:ascii="Times New Roman" w:hAnsi="Times New Roman" w:cs="Times New Roman"/>
                <w:b/>
                <w:color w:val="000000" w:themeColor="text1"/>
                <w:sz w:val="20"/>
                <w:szCs w:val="20"/>
              </w:rPr>
              <w:t>1</w:t>
            </w:r>
          </w:p>
        </w:tc>
        <w:tc>
          <w:tcPr>
            <w:tcW w:w="696" w:type="dxa"/>
            <w:gridSpan w:val="3"/>
            <w:shd w:val="clear" w:color="auto" w:fill="FFFFFF"/>
            <w:vAlign w:val="center"/>
          </w:tcPr>
          <w:p w14:paraId="0B1CA1FF" w14:textId="77777777" w:rsidR="0057668E" w:rsidRPr="008A3FA9" w:rsidRDefault="0057668E">
            <w:pPr>
              <w:spacing w:before="60" w:after="60"/>
              <w:jc w:val="center"/>
              <w:rPr>
                <w:rFonts w:ascii="Times New Roman" w:hAnsi="Times New Roman" w:cs="Times New Roman"/>
                <w:b/>
                <w:color w:val="000000" w:themeColor="text1"/>
                <w:sz w:val="20"/>
                <w:szCs w:val="20"/>
              </w:rPr>
            </w:pPr>
            <w:r w:rsidRPr="008A3FA9">
              <w:rPr>
                <w:rFonts w:ascii="Times New Roman" w:hAnsi="Times New Roman" w:cs="Times New Roman"/>
                <w:b/>
                <w:color w:val="000000" w:themeColor="text1"/>
                <w:sz w:val="20"/>
                <w:szCs w:val="20"/>
              </w:rPr>
              <w:t>2</w:t>
            </w:r>
          </w:p>
        </w:tc>
        <w:tc>
          <w:tcPr>
            <w:tcW w:w="696" w:type="dxa"/>
            <w:gridSpan w:val="3"/>
            <w:shd w:val="clear" w:color="auto" w:fill="FFFFFF"/>
            <w:vAlign w:val="center"/>
          </w:tcPr>
          <w:p w14:paraId="647F6550" w14:textId="77777777" w:rsidR="0057668E" w:rsidRPr="008A3FA9" w:rsidRDefault="0057668E">
            <w:pPr>
              <w:spacing w:before="60" w:after="60"/>
              <w:jc w:val="center"/>
              <w:rPr>
                <w:rFonts w:ascii="Times New Roman" w:hAnsi="Times New Roman" w:cs="Times New Roman"/>
                <w:b/>
                <w:color w:val="000000" w:themeColor="text1"/>
                <w:sz w:val="20"/>
                <w:szCs w:val="20"/>
              </w:rPr>
            </w:pPr>
            <w:r w:rsidRPr="008A3FA9">
              <w:rPr>
                <w:rFonts w:ascii="Times New Roman" w:hAnsi="Times New Roman" w:cs="Times New Roman"/>
                <w:b/>
                <w:color w:val="000000" w:themeColor="text1"/>
                <w:sz w:val="20"/>
                <w:szCs w:val="20"/>
              </w:rPr>
              <w:t>3</w:t>
            </w:r>
          </w:p>
        </w:tc>
        <w:tc>
          <w:tcPr>
            <w:tcW w:w="696" w:type="dxa"/>
            <w:gridSpan w:val="2"/>
            <w:shd w:val="clear" w:color="auto" w:fill="FFFFFF"/>
            <w:vAlign w:val="center"/>
          </w:tcPr>
          <w:p w14:paraId="065E9851" w14:textId="77777777" w:rsidR="0057668E" w:rsidRPr="008A3FA9" w:rsidRDefault="0057668E">
            <w:pPr>
              <w:spacing w:before="60" w:after="60"/>
              <w:jc w:val="center"/>
              <w:rPr>
                <w:rFonts w:ascii="Times New Roman" w:hAnsi="Times New Roman" w:cs="Times New Roman"/>
                <w:b/>
                <w:color w:val="000000" w:themeColor="text1"/>
                <w:sz w:val="20"/>
                <w:szCs w:val="20"/>
              </w:rPr>
            </w:pPr>
            <w:r w:rsidRPr="008A3FA9">
              <w:rPr>
                <w:rFonts w:ascii="Times New Roman" w:hAnsi="Times New Roman" w:cs="Times New Roman"/>
                <w:b/>
                <w:color w:val="000000" w:themeColor="text1"/>
                <w:sz w:val="20"/>
                <w:szCs w:val="20"/>
              </w:rPr>
              <w:t>4</w:t>
            </w:r>
          </w:p>
        </w:tc>
        <w:tc>
          <w:tcPr>
            <w:tcW w:w="696" w:type="dxa"/>
            <w:gridSpan w:val="2"/>
            <w:shd w:val="clear" w:color="auto" w:fill="FFFFFF"/>
            <w:vAlign w:val="center"/>
          </w:tcPr>
          <w:p w14:paraId="7605FE44" w14:textId="77777777" w:rsidR="0057668E" w:rsidRPr="008A3FA9" w:rsidRDefault="0057668E">
            <w:pPr>
              <w:spacing w:before="60" w:after="60"/>
              <w:jc w:val="center"/>
              <w:rPr>
                <w:rFonts w:ascii="Times New Roman" w:hAnsi="Times New Roman" w:cs="Times New Roman"/>
                <w:b/>
                <w:color w:val="000000" w:themeColor="text1"/>
                <w:sz w:val="20"/>
                <w:szCs w:val="20"/>
              </w:rPr>
            </w:pPr>
            <w:r w:rsidRPr="008A3FA9">
              <w:rPr>
                <w:rFonts w:ascii="Times New Roman" w:hAnsi="Times New Roman" w:cs="Times New Roman"/>
                <w:b/>
                <w:color w:val="000000" w:themeColor="text1"/>
                <w:sz w:val="20"/>
                <w:szCs w:val="20"/>
              </w:rPr>
              <w:t>5</w:t>
            </w:r>
          </w:p>
        </w:tc>
        <w:tc>
          <w:tcPr>
            <w:tcW w:w="696" w:type="dxa"/>
            <w:gridSpan w:val="2"/>
            <w:shd w:val="clear" w:color="auto" w:fill="FFFFFF"/>
            <w:vAlign w:val="center"/>
          </w:tcPr>
          <w:p w14:paraId="5EF8624C" w14:textId="77777777" w:rsidR="0057668E" w:rsidRPr="008A3FA9" w:rsidRDefault="0057668E">
            <w:pPr>
              <w:spacing w:before="60" w:after="60"/>
              <w:jc w:val="center"/>
              <w:rPr>
                <w:rFonts w:ascii="Times New Roman" w:hAnsi="Times New Roman" w:cs="Times New Roman"/>
                <w:b/>
                <w:color w:val="000000" w:themeColor="text1"/>
                <w:sz w:val="20"/>
                <w:szCs w:val="20"/>
              </w:rPr>
            </w:pPr>
            <w:r w:rsidRPr="008A3FA9">
              <w:rPr>
                <w:rFonts w:ascii="Times New Roman" w:hAnsi="Times New Roman" w:cs="Times New Roman"/>
                <w:b/>
                <w:color w:val="000000" w:themeColor="text1"/>
                <w:sz w:val="20"/>
                <w:szCs w:val="20"/>
              </w:rPr>
              <w:t>6</w:t>
            </w:r>
          </w:p>
        </w:tc>
        <w:tc>
          <w:tcPr>
            <w:tcW w:w="696" w:type="dxa"/>
            <w:gridSpan w:val="3"/>
            <w:shd w:val="clear" w:color="auto" w:fill="FFFFFF"/>
            <w:vAlign w:val="center"/>
          </w:tcPr>
          <w:p w14:paraId="79DFF784" w14:textId="77777777" w:rsidR="0057668E" w:rsidRPr="008A3FA9" w:rsidRDefault="0057668E">
            <w:pPr>
              <w:spacing w:before="60" w:after="60"/>
              <w:jc w:val="center"/>
              <w:rPr>
                <w:rFonts w:ascii="Times New Roman" w:hAnsi="Times New Roman" w:cs="Times New Roman"/>
                <w:b/>
                <w:color w:val="000000" w:themeColor="text1"/>
                <w:sz w:val="20"/>
                <w:szCs w:val="20"/>
              </w:rPr>
            </w:pPr>
            <w:r w:rsidRPr="008A3FA9">
              <w:rPr>
                <w:rFonts w:ascii="Times New Roman" w:hAnsi="Times New Roman" w:cs="Times New Roman"/>
                <w:b/>
                <w:color w:val="000000" w:themeColor="text1"/>
                <w:sz w:val="20"/>
                <w:szCs w:val="20"/>
              </w:rPr>
              <w:t>7</w:t>
            </w:r>
          </w:p>
        </w:tc>
        <w:tc>
          <w:tcPr>
            <w:tcW w:w="696" w:type="dxa"/>
            <w:shd w:val="clear" w:color="auto" w:fill="FFFFFF"/>
            <w:vAlign w:val="center"/>
          </w:tcPr>
          <w:p w14:paraId="2027711A" w14:textId="77777777" w:rsidR="0057668E" w:rsidRPr="008A3FA9" w:rsidRDefault="0057668E">
            <w:pPr>
              <w:spacing w:before="60" w:after="60"/>
              <w:jc w:val="center"/>
              <w:rPr>
                <w:rFonts w:ascii="Times New Roman" w:hAnsi="Times New Roman" w:cs="Times New Roman"/>
                <w:b/>
                <w:color w:val="000000" w:themeColor="text1"/>
                <w:sz w:val="20"/>
                <w:szCs w:val="20"/>
              </w:rPr>
            </w:pPr>
            <w:r w:rsidRPr="008A3FA9">
              <w:rPr>
                <w:rFonts w:ascii="Times New Roman" w:hAnsi="Times New Roman" w:cs="Times New Roman"/>
                <w:b/>
                <w:color w:val="000000" w:themeColor="text1"/>
                <w:sz w:val="20"/>
                <w:szCs w:val="20"/>
              </w:rPr>
              <w:t>8</w:t>
            </w:r>
          </w:p>
        </w:tc>
        <w:tc>
          <w:tcPr>
            <w:tcW w:w="696" w:type="dxa"/>
            <w:gridSpan w:val="2"/>
            <w:shd w:val="clear" w:color="auto" w:fill="FFFFFF"/>
            <w:vAlign w:val="center"/>
          </w:tcPr>
          <w:p w14:paraId="242AA686" w14:textId="77777777" w:rsidR="0057668E" w:rsidRPr="008A3FA9" w:rsidRDefault="0057668E">
            <w:pPr>
              <w:spacing w:before="60" w:after="60"/>
              <w:jc w:val="center"/>
              <w:rPr>
                <w:rFonts w:ascii="Times New Roman" w:hAnsi="Times New Roman" w:cs="Times New Roman"/>
                <w:b/>
                <w:color w:val="000000" w:themeColor="text1"/>
                <w:sz w:val="20"/>
                <w:szCs w:val="20"/>
              </w:rPr>
            </w:pPr>
            <w:r w:rsidRPr="008A3FA9">
              <w:rPr>
                <w:rFonts w:ascii="Times New Roman" w:hAnsi="Times New Roman" w:cs="Times New Roman"/>
                <w:b/>
                <w:color w:val="000000" w:themeColor="text1"/>
                <w:sz w:val="20"/>
                <w:szCs w:val="20"/>
              </w:rPr>
              <w:t>9</w:t>
            </w:r>
          </w:p>
        </w:tc>
        <w:tc>
          <w:tcPr>
            <w:tcW w:w="696" w:type="dxa"/>
            <w:gridSpan w:val="2"/>
            <w:shd w:val="clear" w:color="auto" w:fill="FFFFFF"/>
            <w:vAlign w:val="center"/>
          </w:tcPr>
          <w:p w14:paraId="13431F60" w14:textId="77777777" w:rsidR="0057668E" w:rsidRPr="008A3FA9" w:rsidRDefault="0057668E">
            <w:pPr>
              <w:spacing w:before="60" w:after="60"/>
              <w:jc w:val="center"/>
              <w:rPr>
                <w:rFonts w:ascii="Times New Roman" w:hAnsi="Times New Roman" w:cs="Times New Roman"/>
                <w:b/>
                <w:color w:val="000000" w:themeColor="text1"/>
                <w:sz w:val="20"/>
                <w:szCs w:val="20"/>
              </w:rPr>
            </w:pPr>
            <w:r w:rsidRPr="008A3FA9">
              <w:rPr>
                <w:rFonts w:ascii="Times New Roman" w:hAnsi="Times New Roman" w:cs="Times New Roman"/>
                <w:b/>
                <w:color w:val="000000" w:themeColor="text1"/>
                <w:sz w:val="20"/>
                <w:szCs w:val="20"/>
              </w:rPr>
              <w:t>10</w:t>
            </w:r>
          </w:p>
        </w:tc>
        <w:tc>
          <w:tcPr>
            <w:tcW w:w="971" w:type="dxa"/>
            <w:shd w:val="clear" w:color="auto" w:fill="FFFFFF"/>
          </w:tcPr>
          <w:p w14:paraId="11175E4D" w14:textId="77777777" w:rsidR="0057668E" w:rsidRPr="008A3FA9" w:rsidRDefault="0057668E">
            <w:pPr>
              <w:spacing w:before="60" w:after="60"/>
              <w:jc w:val="center"/>
              <w:rPr>
                <w:rFonts w:ascii="Times New Roman" w:hAnsi="Times New Roman" w:cs="Times New Roman"/>
                <w:i/>
                <w:color w:val="000000" w:themeColor="text1"/>
                <w:spacing w:val="-2"/>
                <w:sz w:val="20"/>
                <w:szCs w:val="20"/>
              </w:rPr>
            </w:pPr>
            <w:r w:rsidRPr="008A3FA9">
              <w:rPr>
                <w:rFonts w:ascii="Times New Roman" w:hAnsi="Times New Roman" w:cs="Times New Roman"/>
                <w:color w:val="000000" w:themeColor="text1"/>
                <w:spacing w:val="-2"/>
                <w:sz w:val="20"/>
                <w:szCs w:val="20"/>
              </w:rPr>
              <w:t>Łącznie</w:t>
            </w:r>
            <w:r w:rsidR="00CF5F4F" w:rsidRPr="008A3FA9">
              <w:rPr>
                <w:rFonts w:ascii="Times New Roman" w:hAnsi="Times New Roman" w:cs="Times New Roman"/>
                <w:color w:val="000000" w:themeColor="text1"/>
                <w:spacing w:val="-2"/>
                <w:sz w:val="20"/>
                <w:szCs w:val="20"/>
              </w:rPr>
              <w:t xml:space="preserve"> (0</w:t>
            </w:r>
            <w:r w:rsidR="000E2DF4" w:rsidRPr="008A3FA9">
              <w:rPr>
                <w:rFonts w:ascii="Times New Roman" w:hAnsi="Times New Roman" w:cs="Times New Roman"/>
                <w:color w:val="000000" w:themeColor="text1"/>
                <w:spacing w:val="-2"/>
                <w:sz w:val="20"/>
                <w:szCs w:val="20"/>
              </w:rPr>
              <w:t>–</w:t>
            </w:r>
            <w:r w:rsidR="00CF5F4F" w:rsidRPr="008A3FA9">
              <w:rPr>
                <w:rFonts w:ascii="Times New Roman" w:hAnsi="Times New Roman" w:cs="Times New Roman"/>
                <w:color w:val="000000" w:themeColor="text1"/>
                <w:spacing w:val="-2"/>
                <w:sz w:val="20"/>
                <w:szCs w:val="20"/>
              </w:rPr>
              <w:t>10</w:t>
            </w:r>
            <w:r w:rsidR="00CF5F4F" w:rsidRPr="008A3FA9">
              <w:rPr>
                <w:rFonts w:ascii="Times New Roman" w:hAnsi="Times New Roman" w:cs="Times New Roman"/>
                <w:i/>
                <w:color w:val="000000" w:themeColor="text1"/>
                <w:spacing w:val="-2"/>
                <w:sz w:val="20"/>
                <w:szCs w:val="20"/>
              </w:rPr>
              <w:t>)</w:t>
            </w:r>
          </w:p>
        </w:tc>
      </w:tr>
      <w:tr w:rsidR="000E2DF4" w:rsidRPr="00067989" w14:paraId="7ECDAC33" w14:textId="77777777" w:rsidTr="00020AEF">
        <w:trPr>
          <w:gridAfter w:val="2"/>
          <w:wAfter w:w="52" w:type="dxa"/>
          <w:trHeight w:val="321"/>
          <w:jc w:val="center"/>
        </w:trPr>
        <w:tc>
          <w:tcPr>
            <w:tcW w:w="1888" w:type="dxa"/>
            <w:gridSpan w:val="3"/>
            <w:shd w:val="clear" w:color="auto" w:fill="FFFFFF"/>
            <w:vAlign w:val="center"/>
          </w:tcPr>
          <w:p w14:paraId="586E7352" w14:textId="77777777" w:rsidR="0057668E" w:rsidRPr="00067989" w:rsidRDefault="0057668E" w:rsidP="00067989">
            <w:pPr>
              <w:spacing w:before="60" w:after="60"/>
              <w:rPr>
                <w:rFonts w:ascii="Times New Roman" w:hAnsi="Times New Roman" w:cs="Times New Roman"/>
                <w:color w:val="000000" w:themeColor="text1"/>
              </w:rPr>
            </w:pPr>
            <w:r w:rsidRPr="00067989">
              <w:rPr>
                <w:rFonts w:ascii="Times New Roman" w:hAnsi="Times New Roman" w:cs="Times New Roman"/>
                <w:b/>
                <w:color w:val="000000" w:themeColor="text1"/>
              </w:rPr>
              <w:t>Dochody ogółem</w:t>
            </w:r>
          </w:p>
        </w:tc>
        <w:tc>
          <w:tcPr>
            <w:tcW w:w="695" w:type="dxa"/>
            <w:gridSpan w:val="2"/>
            <w:shd w:val="clear" w:color="auto" w:fill="FFFFFF"/>
            <w:vAlign w:val="center"/>
          </w:tcPr>
          <w:p w14:paraId="204AF7BE" w14:textId="77777777" w:rsidR="0057668E" w:rsidRPr="008A3FA9" w:rsidRDefault="00FA1303" w:rsidP="00067989">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696" w:type="dxa"/>
            <w:shd w:val="clear" w:color="auto" w:fill="FFFFFF"/>
            <w:vAlign w:val="center"/>
          </w:tcPr>
          <w:p w14:paraId="770EFD86" w14:textId="77777777" w:rsidR="0057668E" w:rsidRPr="008A3FA9" w:rsidRDefault="00FA1303" w:rsidP="00067989">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696" w:type="dxa"/>
            <w:gridSpan w:val="3"/>
            <w:shd w:val="clear" w:color="auto" w:fill="FFFFFF"/>
            <w:vAlign w:val="center"/>
          </w:tcPr>
          <w:p w14:paraId="15210527" w14:textId="77777777" w:rsidR="0057668E" w:rsidRPr="008A3FA9" w:rsidRDefault="00FA1303" w:rsidP="00067989">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696" w:type="dxa"/>
            <w:gridSpan w:val="3"/>
            <w:shd w:val="clear" w:color="auto" w:fill="FFFFFF"/>
            <w:vAlign w:val="center"/>
          </w:tcPr>
          <w:p w14:paraId="2ECF6C3B" w14:textId="77777777" w:rsidR="0057668E" w:rsidRPr="008A3FA9" w:rsidRDefault="00FA1303" w:rsidP="00067989">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696" w:type="dxa"/>
            <w:gridSpan w:val="2"/>
            <w:shd w:val="clear" w:color="auto" w:fill="FFFFFF"/>
            <w:vAlign w:val="center"/>
          </w:tcPr>
          <w:p w14:paraId="6677DCB6" w14:textId="77777777" w:rsidR="0057668E" w:rsidRPr="008A3FA9" w:rsidRDefault="00FA1303" w:rsidP="00067989">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696" w:type="dxa"/>
            <w:gridSpan w:val="2"/>
            <w:shd w:val="clear" w:color="auto" w:fill="FFFFFF"/>
            <w:vAlign w:val="center"/>
          </w:tcPr>
          <w:p w14:paraId="1F5B24AF" w14:textId="77777777" w:rsidR="0057668E" w:rsidRPr="008A3FA9" w:rsidRDefault="00FA1303" w:rsidP="00067989">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696" w:type="dxa"/>
            <w:gridSpan w:val="2"/>
            <w:shd w:val="clear" w:color="auto" w:fill="FFFFFF"/>
            <w:vAlign w:val="center"/>
          </w:tcPr>
          <w:p w14:paraId="069B1D01" w14:textId="77777777" w:rsidR="0057668E" w:rsidRPr="008A3FA9" w:rsidRDefault="00FA1303" w:rsidP="00284114">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696" w:type="dxa"/>
            <w:gridSpan w:val="3"/>
            <w:shd w:val="clear" w:color="auto" w:fill="FFFFFF"/>
            <w:vAlign w:val="center"/>
          </w:tcPr>
          <w:p w14:paraId="07B45129" w14:textId="77777777" w:rsidR="0057668E" w:rsidRPr="008A3FA9" w:rsidRDefault="00FA1303" w:rsidP="00284114">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696" w:type="dxa"/>
            <w:shd w:val="clear" w:color="auto" w:fill="FFFFFF"/>
            <w:vAlign w:val="center"/>
          </w:tcPr>
          <w:p w14:paraId="2B9A424D" w14:textId="77777777" w:rsidR="0057668E" w:rsidRPr="008A3FA9" w:rsidRDefault="00FA1303" w:rsidP="00284114">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696" w:type="dxa"/>
            <w:gridSpan w:val="2"/>
            <w:shd w:val="clear" w:color="auto" w:fill="FFFFFF"/>
            <w:vAlign w:val="center"/>
          </w:tcPr>
          <w:p w14:paraId="57EE447C" w14:textId="77777777" w:rsidR="0057668E" w:rsidRPr="008A3FA9" w:rsidRDefault="00FA1303" w:rsidP="00284114">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696" w:type="dxa"/>
            <w:gridSpan w:val="2"/>
            <w:shd w:val="clear" w:color="auto" w:fill="FFFFFF"/>
            <w:vAlign w:val="center"/>
          </w:tcPr>
          <w:p w14:paraId="6AC631F2" w14:textId="77777777" w:rsidR="0057668E" w:rsidRPr="008A3FA9" w:rsidRDefault="00FA1303" w:rsidP="00284114">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971" w:type="dxa"/>
            <w:shd w:val="clear" w:color="auto" w:fill="FFFFFF"/>
          </w:tcPr>
          <w:p w14:paraId="5076F624" w14:textId="77777777" w:rsidR="0057668E" w:rsidRPr="008A3FA9" w:rsidRDefault="00FA1303" w:rsidP="00284114">
            <w:pPr>
              <w:spacing w:before="60" w:after="60"/>
              <w:jc w:val="center"/>
              <w:rPr>
                <w:rFonts w:ascii="Times New Roman" w:hAnsi="Times New Roman" w:cs="Times New Roman"/>
                <w:color w:val="000000" w:themeColor="text1"/>
                <w:spacing w:val="-2"/>
                <w:sz w:val="20"/>
                <w:szCs w:val="20"/>
              </w:rPr>
            </w:pPr>
            <w:r w:rsidRPr="008A3FA9">
              <w:rPr>
                <w:rFonts w:ascii="Times New Roman" w:hAnsi="Times New Roman" w:cs="Times New Roman"/>
                <w:color w:val="000000" w:themeColor="text1"/>
                <w:spacing w:val="-2"/>
                <w:sz w:val="20"/>
                <w:szCs w:val="20"/>
              </w:rPr>
              <w:t>0</w:t>
            </w:r>
          </w:p>
        </w:tc>
      </w:tr>
      <w:tr w:rsidR="000E2DF4" w:rsidRPr="00067989" w14:paraId="6481E682" w14:textId="77777777" w:rsidTr="00020AEF">
        <w:trPr>
          <w:gridAfter w:val="2"/>
          <w:wAfter w:w="52" w:type="dxa"/>
          <w:trHeight w:val="321"/>
          <w:jc w:val="center"/>
        </w:trPr>
        <w:tc>
          <w:tcPr>
            <w:tcW w:w="1888" w:type="dxa"/>
            <w:gridSpan w:val="3"/>
            <w:shd w:val="clear" w:color="auto" w:fill="FFFFFF"/>
            <w:vAlign w:val="center"/>
          </w:tcPr>
          <w:p w14:paraId="33541AA9" w14:textId="77777777" w:rsidR="00FA1303" w:rsidRPr="00067989" w:rsidRDefault="00FA1303" w:rsidP="00067989">
            <w:pPr>
              <w:spacing w:before="60" w:after="60"/>
              <w:rPr>
                <w:rFonts w:ascii="Times New Roman" w:hAnsi="Times New Roman" w:cs="Times New Roman"/>
                <w:color w:val="000000" w:themeColor="text1"/>
              </w:rPr>
            </w:pPr>
            <w:r w:rsidRPr="00067989">
              <w:rPr>
                <w:rFonts w:ascii="Times New Roman" w:hAnsi="Times New Roman" w:cs="Times New Roman"/>
                <w:color w:val="000000" w:themeColor="text1"/>
              </w:rPr>
              <w:t>budżet państwa</w:t>
            </w:r>
          </w:p>
        </w:tc>
        <w:tc>
          <w:tcPr>
            <w:tcW w:w="695" w:type="dxa"/>
            <w:gridSpan w:val="2"/>
            <w:shd w:val="clear" w:color="auto" w:fill="FFFFFF"/>
            <w:vAlign w:val="center"/>
          </w:tcPr>
          <w:p w14:paraId="3C8FA23B" w14:textId="77777777" w:rsidR="00FA1303" w:rsidRPr="008A3FA9" w:rsidRDefault="00FA1303" w:rsidP="00067989">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696" w:type="dxa"/>
            <w:shd w:val="clear" w:color="auto" w:fill="FFFFFF"/>
            <w:vAlign w:val="center"/>
          </w:tcPr>
          <w:p w14:paraId="6D4F8D4B" w14:textId="77777777" w:rsidR="00FA1303" w:rsidRPr="008A3FA9" w:rsidRDefault="00FA1303" w:rsidP="00067989">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696" w:type="dxa"/>
            <w:gridSpan w:val="3"/>
            <w:shd w:val="clear" w:color="auto" w:fill="FFFFFF"/>
            <w:vAlign w:val="center"/>
          </w:tcPr>
          <w:p w14:paraId="1FEC6A9D" w14:textId="77777777" w:rsidR="00FA1303" w:rsidRPr="008A3FA9" w:rsidRDefault="00FA1303" w:rsidP="00067989">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696" w:type="dxa"/>
            <w:gridSpan w:val="3"/>
            <w:shd w:val="clear" w:color="auto" w:fill="FFFFFF"/>
            <w:vAlign w:val="center"/>
          </w:tcPr>
          <w:p w14:paraId="4BC2BFF5" w14:textId="77777777" w:rsidR="00FA1303" w:rsidRPr="008A3FA9" w:rsidRDefault="00FA1303" w:rsidP="00067989">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696" w:type="dxa"/>
            <w:gridSpan w:val="2"/>
            <w:shd w:val="clear" w:color="auto" w:fill="FFFFFF"/>
            <w:vAlign w:val="center"/>
          </w:tcPr>
          <w:p w14:paraId="094AF951" w14:textId="77777777" w:rsidR="00FA1303" w:rsidRPr="008A3FA9" w:rsidRDefault="00FA1303" w:rsidP="00067989">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696" w:type="dxa"/>
            <w:gridSpan w:val="2"/>
            <w:shd w:val="clear" w:color="auto" w:fill="FFFFFF"/>
            <w:vAlign w:val="center"/>
          </w:tcPr>
          <w:p w14:paraId="1C4B4DB4" w14:textId="77777777" w:rsidR="00FA1303" w:rsidRPr="008A3FA9" w:rsidRDefault="00FA1303" w:rsidP="00067989">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696" w:type="dxa"/>
            <w:gridSpan w:val="2"/>
            <w:shd w:val="clear" w:color="auto" w:fill="FFFFFF"/>
            <w:vAlign w:val="center"/>
          </w:tcPr>
          <w:p w14:paraId="0FF0AB7D" w14:textId="77777777" w:rsidR="00FA1303" w:rsidRPr="008A3FA9" w:rsidRDefault="00FA1303" w:rsidP="00284114">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696" w:type="dxa"/>
            <w:gridSpan w:val="3"/>
            <w:shd w:val="clear" w:color="auto" w:fill="FFFFFF"/>
            <w:vAlign w:val="center"/>
          </w:tcPr>
          <w:p w14:paraId="1EEF9DA0" w14:textId="77777777" w:rsidR="00FA1303" w:rsidRPr="008A3FA9" w:rsidRDefault="00FA1303" w:rsidP="00284114">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696" w:type="dxa"/>
            <w:shd w:val="clear" w:color="auto" w:fill="FFFFFF"/>
            <w:vAlign w:val="center"/>
          </w:tcPr>
          <w:p w14:paraId="697EB3FA" w14:textId="77777777" w:rsidR="00FA1303" w:rsidRPr="008A3FA9" w:rsidRDefault="00FA1303" w:rsidP="00284114">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696" w:type="dxa"/>
            <w:gridSpan w:val="2"/>
            <w:shd w:val="clear" w:color="auto" w:fill="FFFFFF"/>
            <w:vAlign w:val="center"/>
          </w:tcPr>
          <w:p w14:paraId="3CCB6825" w14:textId="77777777" w:rsidR="00FA1303" w:rsidRPr="008A3FA9" w:rsidRDefault="00FA1303" w:rsidP="00284114">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696" w:type="dxa"/>
            <w:gridSpan w:val="2"/>
            <w:shd w:val="clear" w:color="auto" w:fill="FFFFFF"/>
            <w:vAlign w:val="center"/>
          </w:tcPr>
          <w:p w14:paraId="6267239D" w14:textId="77777777" w:rsidR="00FA1303" w:rsidRPr="008A3FA9" w:rsidRDefault="00FA1303" w:rsidP="00284114">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971" w:type="dxa"/>
            <w:shd w:val="clear" w:color="auto" w:fill="FFFFFF"/>
          </w:tcPr>
          <w:p w14:paraId="29CE2583" w14:textId="77777777" w:rsidR="00FA1303" w:rsidRPr="008A3FA9" w:rsidRDefault="00FA1303" w:rsidP="00284114">
            <w:pPr>
              <w:spacing w:before="60" w:after="60"/>
              <w:jc w:val="center"/>
              <w:rPr>
                <w:rFonts w:ascii="Times New Roman" w:hAnsi="Times New Roman" w:cs="Times New Roman"/>
                <w:color w:val="000000" w:themeColor="text1"/>
                <w:spacing w:val="-2"/>
                <w:sz w:val="20"/>
                <w:szCs w:val="20"/>
              </w:rPr>
            </w:pPr>
            <w:r w:rsidRPr="008A3FA9">
              <w:rPr>
                <w:rFonts w:ascii="Times New Roman" w:hAnsi="Times New Roman" w:cs="Times New Roman"/>
                <w:color w:val="000000" w:themeColor="text1"/>
                <w:spacing w:val="-2"/>
                <w:sz w:val="20"/>
                <w:szCs w:val="20"/>
              </w:rPr>
              <w:t>0</w:t>
            </w:r>
          </w:p>
        </w:tc>
      </w:tr>
      <w:tr w:rsidR="000E2DF4" w:rsidRPr="00067989" w14:paraId="22F5B47C" w14:textId="77777777" w:rsidTr="00020AEF">
        <w:trPr>
          <w:gridAfter w:val="2"/>
          <w:wAfter w:w="52" w:type="dxa"/>
          <w:trHeight w:val="344"/>
          <w:jc w:val="center"/>
        </w:trPr>
        <w:tc>
          <w:tcPr>
            <w:tcW w:w="1888" w:type="dxa"/>
            <w:gridSpan w:val="3"/>
            <w:shd w:val="clear" w:color="auto" w:fill="FFFFFF"/>
            <w:vAlign w:val="center"/>
          </w:tcPr>
          <w:p w14:paraId="6674F3D9" w14:textId="77777777" w:rsidR="00FA1303" w:rsidRPr="00067989" w:rsidRDefault="00FA1303" w:rsidP="00067989">
            <w:pPr>
              <w:spacing w:before="60" w:after="60"/>
              <w:rPr>
                <w:rFonts w:ascii="Times New Roman" w:hAnsi="Times New Roman" w:cs="Times New Roman"/>
                <w:color w:val="000000" w:themeColor="text1"/>
              </w:rPr>
            </w:pPr>
            <w:r w:rsidRPr="00067989">
              <w:rPr>
                <w:rFonts w:ascii="Times New Roman" w:hAnsi="Times New Roman" w:cs="Times New Roman"/>
                <w:color w:val="000000" w:themeColor="text1"/>
              </w:rPr>
              <w:t>JST</w:t>
            </w:r>
          </w:p>
        </w:tc>
        <w:tc>
          <w:tcPr>
            <w:tcW w:w="695" w:type="dxa"/>
            <w:gridSpan w:val="2"/>
            <w:shd w:val="clear" w:color="auto" w:fill="FFFFFF"/>
            <w:vAlign w:val="center"/>
          </w:tcPr>
          <w:p w14:paraId="2FBBB7E1" w14:textId="77777777" w:rsidR="00FA1303" w:rsidRPr="008A3FA9" w:rsidRDefault="00FA1303" w:rsidP="00067989">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696" w:type="dxa"/>
            <w:shd w:val="clear" w:color="auto" w:fill="FFFFFF"/>
            <w:vAlign w:val="center"/>
          </w:tcPr>
          <w:p w14:paraId="4F8A09BB" w14:textId="77777777" w:rsidR="00FA1303" w:rsidRPr="008A3FA9" w:rsidRDefault="00FA1303" w:rsidP="00067989">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696" w:type="dxa"/>
            <w:gridSpan w:val="3"/>
            <w:shd w:val="clear" w:color="auto" w:fill="FFFFFF"/>
            <w:vAlign w:val="center"/>
          </w:tcPr>
          <w:p w14:paraId="7DA42059" w14:textId="77777777" w:rsidR="00FA1303" w:rsidRPr="008A3FA9" w:rsidRDefault="00FA1303" w:rsidP="00067989">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696" w:type="dxa"/>
            <w:gridSpan w:val="3"/>
            <w:shd w:val="clear" w:color="auto" w:fill="FFFFFF"/>
            <w:vAlign w:val="center"/>
          </w:tcPr>
          <w:p w14:paraId="1C79F93C" w14:textId="77777777" w:rsidR="00FA1303" w:rsidRPr="008A3FA9" w:rsidRDefault="00FA1303" w:rsidP="00067989">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696" w:type="dxa"/>
            <w:gridSpan w:val="2"/>
            <w:shd w:val="clear" w:color="auto" w:fill="FFFFFF"/>
            <w:vAlign w:val="center"/>
          </w:tcPr>
          <w:p w14:paraId="0E5B32DD" w14:textId="77777777" w:rsidR="00FA1303" w:rsidRPr="008A3FA9" w:rsidRDefault="00FA1303" w:rsidP="00067989">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696" w:type="dxa"/>
            <w:gridSpan w:val="2"/>
            <w:shd w:val="clear" w:color="auto" w:fill="FFFFFF"/>
            <w:vAlign w:val="center"/>
          </w:tcPr>
          <w:p w14:paraId="5BBB0760" w14:textId="77777777" w:rsidR="00FA1303" w:rsidRPr="008A3FA9" w:rsidRDefault="00FA1303" w:rsidP="00067989">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696" w:type="dxa"/>
            <w:gridSpan w:val="2"/>
            <w:shd w:val="clear" w:color="auto" w:fill="FFFFFF"/>
            <w:vAlign w:val="center"/>
          </w:tcPr>
          <w:p w14:paraId="3116C578" w14:textId="77777777" w:rsidR="00FA1303" w:rsidRPr="008A3FA9" w:rsidRDefault="00FA1303" w:rsidP="00284114">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696" w:type="dxa"/>
            <w:gridSpan w:val="3"/>
            <w:shd w:val="clear" w:color="auto" w:fill="FFFFFF"/>
            <w:vAlign w:val="center"/>
          </w:tcPr>
          <w:p w14:paraId="51A24D08" w14:textId="77777777" w:rsidR="00FA1303" w:rsidRPr="008A3FA9" w:rsidRDefault="00FA1303" w:rsidP="00284114">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696" w:type="dxa"/>
            <w:shd w:val="clear" w:color="auto" w:fill="FFFFFF"/>
            <w:vAlign w:val="center"/>
          </w:tcPr>
          <w:p w14:paraId="5A720DD6" w14:textId="77777777" w:rsidR="00FA1303" w:rsidRPr="008A3FA9" w:rsidRDefault="00FA1303" w:rsidP="00284114">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696" w:type="dxa"/>
            <w:gridSpan w:val="2"/>
            <w:shd w:val="clear" w:color="auto" w:fill="FFFFFF"/>
            <w:vAlign w:val="center"/>
          </w:tcPr>
          <w:p w14:paraId="6489B417" w14:textId="77777777" w:rsidR="00FA1303" w:rsidRPr="008A3FA9" w:rsidRDefault="00FA1303" w:rsidP="00284114">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696" w:type="dxa"/>
            <w:gridSpan w:val="2"/>
            <w:shd w:val="clear" w:color="auto" w:fill="FFFFFF"/>
            <w:vAlign w:val="center"/>
          </w:tcPr>
          <w:p w14:paraId="11CEBF09" w14:textId="77777777" w:rsidR="00FA1303" w:rsidRPr="008A3FA9" w:rsidRDefault="00FA1303" w:rsidP="00284114">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971" w:type="dxa"/>
            <w:shd w:val="clear" w:color="auto" w:fill="FFFFFF"/>
          </w:tcPr>
          <w:p w14:paraId="4383663B" w14:textId="77777777" w:rsidR="00FA1303" w:rsidRPr="008A3FA9" w:rsidRDefault="00FA1303" w:rsidP="00284114">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pacing w:val="-2"/>
                <w:sz w:val="20"/>
                <w:szCs w:val="20"/>
              </w:rPr>
              <w:t>0</w:t>
            </w:r>
          </w:p>
        </w:tc>
      </w:tr>
      <w:tr w:rsidR="000E2DF4" w:rsidRPr="00067989" w14:paraId="7602759E" w14:textId="77777777" w:rsidTr="00020AEF">
        <w:trPr>
          <w:gridAfter w:val="2"/>
          <w:wAfter w:w="52" w:type="dxa"/>
          <w:trHeight w:val="344"/>
          <w:jc w:val="center"/>
        </w:trPr>
        <w:tc>
          <w:tcPr>
            <w:tcW w:w="1888" w:type="dxa"/>
            <w:gridSpan w:val="3"/>
            <w:shd w:val="clear" w:color="auto" w:fill="FFFFFF"/>
            <w:vAlign w:val="center"/>
          </w:tcPr>
          <w:p w14:paraId="4719C4B9" w14:textId="77777777" w:rsidR="00FA1303" w:rsidRPr="00067989" w:rsidRDefault="00C92A2C" w:rsidP="00067989">
            <w:pPr>
              <w:spacing w:before="60" w:after="60"/>
              <w:rPr>
                <w:rFonts w:ascii="Times New Roman" w:hAnsi="Times New Roman" w:cs="Times New Roman"/>
                <w:color w:val="000000" w:themeColor="text1"/>
              </w:rPr>
            </w:pPr>
            <w:r w:rsidRPr="00067989">
              <w:rPr>
                <w:rFonts w:ascii="Times New Roman" w:hAnsi="Times New Roman" w:cs="Times New Roman"/>
                <w:color w:val="000000" w:themeColor="text1"/>
              </w:rPr>
              <w:t>pozostałe jednostki</w:t>
            </w:r>
          </w:p>
        </w:tc>
        <w:tc>
          <w:tcPr>
            <w:tcW w:w="695" w:type="dxa"/>
            <w:gridSpan w:val="2"/>
            <w:shd w:val="clear" w:color="auto" w:fill="FFFFFF"/>
            <w:vAlign w:val="center"/>
          </w:tcPr>
          <w:p w14:paraId="429CD894" w14:textId="77777777" w:rsidR="00FA1303" w:rsidRPr="008A3FA9" w:rsidRDefault="00FA1303" w:rsidP="00067989">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696" w:type="dxa"/>
            <w:shd w:val="clear" w:color="auto" w:fill="FFFFFF"/>
            <w:vAlign w:val="center"/>
          </w:tcPr>
          <w:p w14:paraId="162D8AC6" w14:textId="77777777" w:rsidR="00FA1303" w:rsidRPr="008A3FA9" w:rsidRDefault="00FA1303" w:rsidP="00067989">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696" w:type="dxa"/>
            <w:gridSpan w:val="3"/>
            <w:shd w:val="clear" w:color="auto" w:fill="FFFFFF"/>
            <w:vAlign w:val="center"/>
          </w:tcPr>
          <w:p w14:paraId="6C317BB5" w14:textId="77777777" w:rsidR="00FA1303" w:rsidRPr="008A3FA9" w:rsidRDefault="00FA1303" w:rsidP="00067989">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696" w:type="dxa"/>
            <w:gridSpan w:val="3"/>
            <w:shd w:val="clear" w:color="auto" w:fill="FFFFFF"/>
            <w:vAlign w:val="center"/>
          </w:tcPr>
          <w:p w14:paraId="4163CE48" w14:textId="77777777" w:rsidR="00FA1303" w:rsidRPr="008A3FA9" w:rsidRDefault="00FA1303" w:rsidP="00067989">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696" w:type="dxa"/>
            <w:gridSpan w:val="2"/>
            <w:shd w:val="clear" w:color="auto" w:fill="FFFFFF"/>
            <w:vAlign w:val="center"/>
          </w:tcPr>
          <w:p w14:paraId="2CED7FFE" w14:textId="77777777" w:rsidR="00FA1303" w:rsidRPr="008A3FA9" w:rsidRDefault="00FA1303" w:rsidP="00067989">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696" w:type="dxa"/>
            <w:gridSpan w:val="2"/>
            <w:shd w:val="clear" w:color="auto" w:fill="FFFFFF"/>
            <w:vAlign w:val="center"/>
          </w:tcPr>
          <w:p w14:paraId="2E53F2F7" w14:textId="77777777" w:rsidR="00FA1303" w:rsidRPr="008A3FA9" w:rsidRDefault="00FA1303" w:rsidP="00067989">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696" w:type="dxa"/>
            <w:gridSpan w:val="2"/>
            <w:shd w:val="clear" w:color="auto" w:fill="FFFFFF"/>
            <w:vAlign w:val="center"/>
          </w:tcPr>
          <w:p w14:paraId="659CB057" w14:textId="77777777" w:rsidR="00FA1303" w:rsidRPr="008A3FA9" w:rsidRDefault="00FA1303" w:rsidP="00284114">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696" w:type="dxa"/>
            <w:gridSpan w:val="3"/>
            <w:shd w:val="clear" w:color="auto" w:fill="FFFFFF"/>
            <w:vAlign w:val="center"/>
          </w:tcPr>
          <w:p w14:paraId="4725E5CD" w14:textId="77777777" w:rsidR="00FA1303" w:rsidRPr="008A3FA9" w:rsidRDefault="00FA1303" w:rsidP="00284114">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696" w:type="dxa"/>
            <w:shd w:val="clear" w:color="auto" w:fill="FFFFFF"/>
            <w:vAlign w:val="center"/>
          </w:tcPr>
          <w:p w14:paraId="13EDCE67" w14:textId="77777777" w:rsidR="00FA1303" w:rsidRPr="008A3FA9" w:rsidRDefault="00FA1303" w:rsidP="00284114">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696" w:type="dxa"/>
            <w:gridSpan w:val="2"/>
            <w:shd w:val="clear" w:color="auto" w:fill="FFFFFF"/>
            <w:vAlign w:val="center"/>
          </w:tcPr>
          <w:p w14:paraId="25141299" w14:textId="77777777" w:rsidR="00FA1303" w:rsidRPr="008A3FA9" w:rsidRDefault="00FA1303" w:rsidP="00284114">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696" w:type="dxa"/>
            <w:gridSpan w:val="2"/>
            <w:shd w:val="clear" w:color="auto" w:fill="FFFFFF"/>
            <w:vAlign w:val="center"/>
          </w:tcPr>
          <w:p w14:paraId="0E1A2E82" w14:textId="77777777" w:rsidR="00FA1303" w:rsidRPr="008A3FA9" w:rsidRDefault="00FA1303" w:rsidP="00284114">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c>
          <w:tcPr>
            <w:tcW w:w="971" w:type="dxa"/>
            <w:shd w:val="clear" w:color="auto" w:fill="FFFFFF"/>
          </w:tcPr>
          <w:p w14:paraId="1D76EA2D" w14:textId="77777777" w:rsidR="00FA1303" w:rsidRPr="008A3FA9" w:rsidRDefault="00FA1303" w:rsidP="00284114">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0</w:t>
            </w:r>
          </w:p>
        </w:tc>
      </w:tr>
      <w:tr w:rsidR="000E2DF4" w:rsidRPr="00067989" w14:paraId="1C3466D7" w14:textId="77777777" w:rsidTr="00020AEF">
        <w:trPr>
          <w:gridAfter w:val="2"/>
          <w:wAfter w:w="52" w:type="dxa"/>
          <w:trHeight w:val="444"/>
          <w:jc w:val="center"/>
        </w:trPr>
        <w:tc>
          <w:tcPr>
            <w:tcW w:w="1888" w:type="dxa"/>
            <w:gridSpan w:val="3"/>
            <w:shd w:val="clear" w:color="auto" w:fill="FFFFFF"/>
            <w:vAlign w:val="center"/>
          </w:tcPr>
          <w:p w14:paraId="57673438" w14:textId="77777777" w:rsidR="000B354A" w:rsidRPr="00067989" w:rsidRDefault="000B354A" w:rsidP="00067989">
            <w:pPr>
              <w:spacing w:before="60" w:after="60"/>
              <w:rPr>
                <w:rFonts w:ascii="Times New Roman" w:hAnsi="Times New Roman" w:cs="Times New Roman"/>
                <w:b/>
                <w:color w:val="000000" w:themeColor="text1"/>
              </w:rPr>
            </w:pPr>
            <w:r w:rsidRPr="00067989">
              <w:rPr>
                <w:rFonts w:ascii="Times New Roman" w:hAnsi="Times New Roman" w:cs="Times New Roman"/>
                <w:b/>
                <w:color w:val="000000" w:themeColor="text1"/>
              </w:rPr>
              <w:t>Wydatki ogółem</w:t>
            </w:r>
          </w:p>
        </w:tc>
        <w:tc>
          <w:tcPr>
            <w:tcW w:w="695" w:type="dxa"/>
            <w:gridSpan w:val="2"/>
            <w:shd w:val="clear" w:color="auto" w:fill="FFFFFF"/>
            <w:vAlign w:val="center"/>
          </w:tcPr>
          <w:p w14:paraId="2D4B3212" w14:textId="77777777" w:rsidR="000B354A" w:rsidRPr="008A3FA9" w:rsidRDefault="000B354A"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7,56</w:t>
            </w:r>
          </w:p>
        </w:tc>
        <w:tc>
          <w:tcPr>
            <w:tcW w:w="696" w:type="dxa"/>
            <w:shd w:val="clear" w:color="auto" w:fill="FFFFFF"/>
            <w:vAlign w:val="center"/>
          </w:tcPr>
          <w:p w14:paraId="38CC9B54" w14:textId="77777777" w:rsidR="000B354A" w:rsidRPr="008A3FA9" w:rsidRDefault="000B354A"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13,21</w:t>
            </w:r>
          </w:p>
        </w:tc>
        <w:tc>
          <w:tcPr>
            <w:tcW w:w="696" w:type="dxa"/>
            <w:gridSpan w:val="3"/>
            <w:shd w:val="clear" w:color="auto" w:fill="FFFFFF"/>
            <w:vAlign w:val="center"/>
          </w:tcPr>
          <w:p w14:paraId="1C6FC799" w14:textId="77777777" w:rsidR="000B354A" w:rsidRPr="008A3FA9" w:rsidRDefault="000B354A"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55,42</w:t>
            </w:r>
          </w:p>
        </w:tc>
        <w:tc>
          <w:tcPr>
            <w:tcW w:w="696" w:type="dxa"/>
            <w:gridSpan w:val="3"/>
            <w:shd w:val="clear" w:color="auto" w:fill="FFFFFF"/>
            <w:vAlign w:val="center"/>
          </w:tcPr>
          <w:p w14:paraId="07490982" w14:textId="77777777" w:rsidR="000B354A" w:rsidRPr="008A3FA9" w:rsidRDefault="000B354A"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81,88</w:t>
            </w:r>
          </w:p>
        </w:tc>
        <w:tc>
          <w:tcPr>
            <w:tcW w:w="696" w:type="dxa"/>
            <w:gridSpan w:val="2"/>
            <w:shd w:val="clear" w:color="auto" w:fill="FFFFFF"/>
            <w:vAlign w:val="center"/>
          </w:tcPr>
          <w:p w14:paraId="17FE7A4C" w14:textId="77777777" w:rsidR="000B354A" w:rsidRPr="008A3FA9" w:rsidRDefault="000B354A"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 xml:space="preserve"> 108,64</w:t>
            </w:r>
            <w:r w:rsidR="00AB04E9" w:rsidRPr="008A3FA9">
              <w:rPr>
                <w:rFonts w:ascii="Times New Roman" w:hAnsi="Times New Roman" w:cs="Times New Roman"/>
                <w:color w:val="000000"/>
                <w:sz w:val="20"/>
                <w:szCs w:val="20"/>
              </w:rPr>
              <w:t xml:space="preserve">  </w:t>
            </w:r>
          </w:p>
        </w:tc>
        <w:tc>
          <w:tcPr>
            <w:tcW w:w="696" w:type="dxa"/>
            <w:gridSpan w:val="2"/>
            <w:shd w:val="clear" w:color="auto" w:fill="FFFFFF"/>
            <w:vAlign w:val="center"/>
          </w:tcPr>
          <w:p w14:paraId="18A686AF" w14:textId="77777777" w:rsidR="000B354A" w:rsidRPr="008A3FA9" w:rsidRDefault="000B354A"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 xml:space="preserve"> 127,23</w:t>
            </w:r>
            <w:r w:rsidR="00AB04E9" w:rsidRPr="008A3FA9">
              <w:rPr>
                <w:rFonts w:ascii="Times New Roman" w:hAnsi="Times New Roman" w:cs="Times New Roman"/>
                <w:color w:val="000000"/>
                <w:sz w:val="20"/>
                <w:szCs w:val="20"/>
              </w:rPr>
              <w:t xml:space="preserve">  </w:t>
            </w:r>
          </w:p>
        </w:tc>
        <w:tc>
          <w:tcPr>
            <w:tcW w:w="696" w:type="dxa"/>
            <w:gridSpan w:val="2"/>
            <w:shd w:val="clear" w:color="auto" w:fill="FFFFFF"/>
            <w:vAlign w:val="center"/>
          </w:tcPr>
          <w:p w14:paraId="4789AF95" w14:textId="77777777" w:rsidR="000B354A" w:rsidRPr="008A3FA9" w:rsidRDefault="000B354A"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 xml:space="preserve"> 152,62</w:t>
            </w:r>
            <w:r w:rsidR="00AB04E9" w:rsidRPr="008A3FA9">
              <w:rPr>
                <w:rFonts w:ascii="Times New Roman" w:hAnsi="Times New Roman" w:cs="Times New Roman"/>
                <w:color w:val="000000"/>
                <w:sz w:val="20"/>
                <w:szCs w:val="20"/>
              </w:rPr>
              <w:t xml:space="preserve">  </w:t>
            </w:r>
          </w:p>
        </w:tc>
        <w:tc>
          <w:tcPr>
            <w:tcW w:w="696" w:type="dxa"/>
            <w:gridSpan w:val="3"/>
            <w:shd w:val="clear" w:color="auto" w:fill="FFFFFF"/>
            <w:vAlign w:val="center"/>
          </w:tcPr>
          <w:p w14:paraId="0821AFF7" w14:textId="77777777" w:rsidR="000B354A" w:rsidRPr="008A3FA9" w:rsidRDefault="000B354A" w:rsidP="008A3FA9">
            <w:pPr>
              <w:spacing w:before="60" w:after="60"/>
              <w:ind w:left="-108" w:right="-122"/>
              <w:rPr>
                <w:rFonts w:ascii="Times New Roman" w:hAnsi="Times New Roman" w:cs="Times New Roman"/>
                <w:color w:val="000000"/>
                <w:sz w:val="20"/>
                <w:szCs w:val="20"/>
              </w:rPr>
            </w:pPr>
            <w:r w:rsidRPr="008A3FA9">
              <w:rPr>
                <w:rFonts w:ascii="Times New Roman" w:hAnsi="Times New Roman" w:cs="Times New Roman"/>
                <w:color w:val="000000"/>
                <w:sz w:val="20"/>
                <w:szCs w:val="20"/>
              </w:rPr>
              <w:t>170,66</w:t>
            </w:r>
          </w:p>
        </w:tc>
        <w:tc>
          <w:tcPr>
            <w:tcW w:w="696" w:type="dxa"/>
            <w:shd w:val="clear" w:color="auto" w:fill="FFFFFF"/>
            <w:vAlign w:val="center"/>
          </w:tcPr>
          <w:p w14:paraId="0F683920" w14:textId="77777777" w:rsidR="000B354A" w:rsidRPr="008A3FA9" w:rsidRDefault="000B354A" w:rsidP="008A3FA9">
            <w:pPr>
              <w:spacing w:before="60" w:after="60"/>
              <w:ind w:left="-108" w:right="-122"/>
              <w:rPr>
                <w:rFonts w:ascii="Times New Roman" w:hAnsi="Times New Roman" w:cs="Times New Roman"/>
                <w:color w:val="000000"/>
                <w:sz w:val="20"/>
                <w:szCs w:val="20"/>
              </w:rPr>
            </w:pPr>
            <w:r w:rsidRPr="008A3FA9">
              <w:rPr>
                <w:rFonts w:ascii="Times New Roman" w:hAnsi="Times New Roman" w:cs="Times New Roman"/>
                <w:color w:val="000000"/>
                <w:sz w:val="20"/>
                <w:szCs w:val="20"/>
              </w:rPr>
              <w:t>188,69</w:t>
            </w:r>
          </w:p>
        </w:tc>
        <w:tc>
          <w:tcPr>
            <w:tcW w:w="696" w:type="dxa"/>
            <w:gridSpan w:val="2"/>
            <w:shd w:val="clear" w:color="auto" w:fill="FFFFFF"/>
            <w:vAlign w:val="center"/>
          </w:tcPr>
          <w:p w14:paraId="2C64426A" w14:textId="77777777" w:rsidR="000B354A" w:rsidRPr="008A3FA9" w:rsidRDefault="000B354A"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195,97</w:t>
            </w:r>
          </w:p>
        </w:tc>
        <w:tc>
          <w:tcPr>
            <w:tcW w:w="696" w:type="dxa"/>
            <w:gridSpan w:val="2"/>
            <w:shd w:val="clear" w:color="auto" w:fill="FFFFFF"/>
            <w:vAlign w:val="center"/>
          </w:tcPr>
          <w:p w14:paraId="1D54A26B" w14:textId="77777777" w:rsidR="000B354A" w:rsidRPr="008A3FA9" w:rsidRDefault="000B354A"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210,58</w:t>
            </w:r>
            <w:r w:rsidR="00AB04E9" w:rsidRPr="008A3FA9">
              <w:rPr>
                <w:rFonts w:ascii="Times New Roman" w:hAnsi="Times New Roman" w:cs="Times New Roman"/>
                <w:color w:val="000000"/>
                <w:sz w:val="20"/>
                <w:szCs w:val="20"/>
              </w:rPr>
              <w:t xml:space="preserve">  </w:t>
            </w:r>
          </w:p>
        </w:tc>
        <w:tc>
          <w:tcPr>
            <w:tcW w:w="971" w:type="dxa"/>
            <w:shd w:val="clear" w:color="auto" w:fill="FFFFFF"/>
            <w:vAlign w:val="center"/>
          </w:tcPr>
          <w:p w14:paraId="52E7A867" w14:textId="77777777" w:rsidR="000B354A" w:rsidRPr="008A3FA9" w:rsidRDefault="000B354A"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1 312,46</w:t>
            </w:r>
            <w:r w:rsidR="00AB04E9" w:rsidRPr="008A3FA9">
              <w:rPr>
                <w:rFonts w:ascii="Times New Roman" w:hAnsi="Times New Roman" w:cs="Times New Roman"/>
                <w:color w:val="000000"/>
                <w:sz w:val="20"/>
                <w:szCs w:val="20"/>
              </w:rPr>
              <w:t xml:space="preserve"> </w:t>
            </w:r>
          </w:p>
        </w:tc>
      </w:tr>
      <w:tr w:rsidR="000E2DF4" w:rsidRPr="00067989" w14:paraId="4ECD59AA" w14:textId="77777777" w:rsidTr="00020AEF">
        <w:trPr>
          <w:gridAfter w:val="2"/>
          <w:wAfter w:w="52" w:type="dxa"/>
          <w:trHeight w:val="330"/>
          <w:jc w:val="center"/>
        </w:trPr>
        <w:tc>
          <w:tcPr>
            <w:tcW w:w="1888" w:type="dxa"/>
            <w:gridSpan w:val="3"/>
            <w:shd w:val="clear" w:color="auto" w:fill="FFFFFF"/>
            <w:vAlign w:val="center"/>
          </w:tcPr>
          <w:p w14:paraId="2159FD68" w14:textId="77777777" w:rsidR="006F44D5" w:rsidRPr="00067989" w:rsidRDefault="006F44D5" w:rsidP="00067989">
            <w:pPr>
              <w:spacing w:before="60" w:after="60"/>
              <w:rPr>
                <w:rFonts w:ascii="Times New Roman" w:hAnsi="Times New Roman" w:cs="Times New Roman"/>
                <w:color w:val="000000" w:themeColor="text1"/>
              </w:rPr>
            </w:pPr>
            <w:r w:rsidRPr="00067989">
              <w:rPr>
                <w:rFonts w:ascii="Times New Roman" w:hAnsi="Times New Roman" w:cs="Times New Roman"/>
                <w:color w:val="000000" w:themeColor="text1"/>
              </w:rPr>
              <w:t>budżet państwa</w:t>
            </w:r>
          </w:p>
        </w:tc>
        <w:tc>
          <w:tcPr>
            <w:tcW w:w="695" w:type="dxa"/>
            <w:gridSpan w:val="2"/>
            <w:shd w:val="clear" w:color="auto" w:fill="FFFFFF"/>
            <w:vAlign w:val="center"/>
          </w:tcPr>
          <w:p w14:paraId="145B3435" w14:textId="77777777" w:rsidR="006F44D5" w:rsidRPr="008A3FA9" w:rsidRDefault="006F44D5"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7,56</w:t>
            </w:r>
          </w:p>
        </w:tc>
        <w:tc>
          <w:tcPr>
            <w:tcW w:w="696" w:type="dxa"/>
            <w:shd w:val="clear" w:color="auto" w:fill="FFFFFF"/>
            <w:vAlign w:val="center"/>
          </w:tcPr>
          <w:p w14:paraId="09EE9C4A" w14:textId="77777777" w:rsidR="006F44D5" w:rsidRPr="008A3FA9" w:rsidRDefault="006F44D5"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13,21</w:t>
            </w:r>
          </w:p>
        </w:tc>
        <w:tc>
          <w:tcPr>
            <w:tcW w:w="696" w:type="dxa"/>
            <w:gridSpan w:val="3"/>
            <w:shd w:val="clear" w:color="auto" w:fill="FFFFFF"/>
            <w:vAlign w:val="center"/>
          </w:tcPr>
          <w:p w14:paraId="21EE7DDB" w14:textId="77777777" w:rsidR="006F44D5" w:rsidRPr="008A3FA9" w:rsidRDefault="006F44D5"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55,42</w:t>
            </w:r>
          </w:p>
        </w:tc>
        <w:tc>
          <w:tcPr>
            <w:tcW w:w="696" w:type="dxa"/>
            <w:gridSpan w:val="3"/>
            <w:shd w:val="clear" w:color="auto" w:fill="FFFFFF"/>
            <w:vAlign w:val="center"/>
          </w:tcPr>
          <w:p w14:paraId="555EEC29" w14:textId="77777777" w:rsidR="006F44D5" w:rsidRPr="008A3FA9" w:rsidRDefault="006F44D5"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81,88</w:t>
            </w:r>
          </w:p>
        </w:tc>
        <w:tc>
          <w:tcPr>
            <w:tcW w:w="696" w:type="dxa"/>
            <w:gridSpan w:val="2"/>
            <w:shd w:val="clear" w:color="auto" w:fill="FFFFFF"/>
            <w:vAlign w:val="center"/>
          </w:tcPr>
          <w:p w14:paraId="3596C42D" w14:textId="77777777" w:rsidR="006F44D5" w:rsidRPr="008A3FA9" w:rsidRDefault="006F44D5"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 xml:space="preserve"> 108,64</w:t>
            </w:r>
            <w:r w:rsidR="00AB04E9" w:rsidRPr="008A3FA9">
              <w:rPr>
                <w:rFonts w:ascii="Times New Roman" w:hAnsi="Times New Roman" w:cs="Times New Roman"/>
                <w:color w:val="000000"/>
                <w:sz w:val="20"/>
                <w:szCs w:val="20"/>
              </w:rPr>
              <w:t xml:space="preserve">  </w:t>
            </w:r>
          </w:p>
        </w:tc>
        <w:tc>
          <w:tcPr>
            <w:tcW w:w="696" w:type="dxa"/>
            <w:gridSpan w:val="2"/>
            <w:shd w:val="clear" w:color="auto" w:fill="FFFFFF"/>
            <w:vAlign w:val="center"/>
          </w:tcPr>
          <w:p w14:paraId="73F0BFAC" w14:textId="77777777" w:rsidR="006F44D5" w:rsidRPr="008A3FA9" w:rsidRDefault="006F44D5"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 xml:space="preserve"> 127,23</w:t>
            </w:r>
            <w:r w:rsidR="00AB04E9" w:rsidRPr="008A3FA9">
              <w:rPr>
                <w:rFonts w:ascii="Times New Roman" w:hAnsi="Times New Roman" w:cs="Times New Roman"/>
                <w:color w:val="000000"/>
                <w:sz w:val="20"/>
                <w:szCs w:val="20"/>
              </w:rPr>
              <w:t xml:space="preserve">  </w:t>
            </w:r>
          </w:p>
        </w:tc>
        <w:tc>
          <w:tcPr>
            <w:tcW w:w="696" w:type="dxa"/>
            <w:gridSpan w:val="2"/>
            <w:shd w:val="clear" w:color="auto" w:fill="FFFFFF"/>
            <w:vAlign w:val="center"/>
          </w:tcPr>
          <w:p w14:paraId="75F614B4" w14:textId="77777777" w:rsidR="006F44D5" w:rsidRPr="008A3FA9" w:rsidRDefault="006F44D5"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 xml:space="preserve"> 152,62</w:t>
            </w:r>
            <w:r w:rsidR="00AB04E9" w:rsidRPr="008A3FA9">
              <w:rPr>
                <w:rFonts w:ascii="Times New Roman" w:hAnsi="Times New Roman" w:cs="Times New Roman"/>
                <w:color w:val="000000"/>
                <w:sz w:val="20"/>
                <w:szCs w:val="20"/>
              </w:rPr>
              <w:t xml:space="preserve">  </w:t>
            </w:r>
          </w:p>
        </w:tc>
        <w:tc>
          <w:tcPr>
            <w:tcW w:w="696" w:type="dxa"/>
            <w:gridSpan w:val="3"/>
            <w:shd w:val="clear" w:color="auto" w:fill="FFFFFF"/>
            <w:vAlign w:val="center"/>
          </w:tcPr>
          <w:p w14:paraId="7C853AE4" w14:textId="77777777" w:rsidR="006F44D5" w:rsidRPr="008A3FA9" w:rsidRDefault="006F44D5" w:rsidP="008A3FA9">
            <w:pPr>
              <w:spacing w:before="60" w:after="60"/>
              <w:ind w:left="-108" w:right="-122"/>
              <w:rPr>
                <w:rFonts w:ascii="Times New Roman" w:hAnsi="Times New Roman" w:cs="Times New Roman"/>
                <w:color w:val="000000"/>
                <w:sz w:val="20"/>
                <w:szCs w:val="20"/>
              </w:rPr>
            </w:pPr>
            <w:r w:rsidRPr="008A3FA9">
              <w:rPr>
                <w:rFonts w:ascii="Times New Roman" w:hAnsi="Times New Roman" w:cs="Times New Roman"/>
                <w:color w:val="000000"/>
                <w:sz w:val="20"/>
                <w:szCs w:val="20"/>
              </w:rPr>
              <w:t>170,66</w:t>
            </w:r>
          </w:p>
        </w:tc>
        <w:tc>
          <w:tcPr>
            <w:tcW w:w="696" w:type="dxa"/>
            <w:shd w:val="clear" w:color="auto" w:fill="FFFFFF"/>
            <w:vAlign w:val="center"/>
          </w:tcPr>
          <w:p w14:paraId="1E3146A0" w14:textId="77777777" w:rsidR="006F44D5" w:rsidRPr="008A3FA9" w:rsidRDefault="006F44D5" w:rsidP="008A3FA9">
            <w:pPr>
              <w:spacing w:before="60" w:after="60"/>
              <w:ind w:left="-108" w:right="-122"/>
              <w:rPr>
                <w:rFonts w:ascii="Times New Roman" w:hAnsi="Times New Roman" w:cs="Times New Roman"/>
                <w:color w:val="000000"/>
                <w:sz w:val="20"/>
                <w:szCs w:val="20"/>
              </w:rPr>
            </w:pPr>
            <w:r w:rsidRPr="008A3FA9">
              <w:rPr>
                <w:rFonts w:ascii="Times New Roman" w:hAnsi="Times New Roman" w:cs="Times New Roman"/>
                <w:color w:val="000000"/>
                <w:sz w:val="20"/>
                <w:szCs w:val="20"/>
              </w:rPr>
              <w:t>188,69</w:t>
            </w:r>
          </w:p>
        </w:tc>
        <w:tc>
          <w:tcPr>
            <w:tcW w:w="696" w:type="dxa"/>
            <w:gridSpan w:val="2"/>
            <w:shd w:val="clear" w:color="auto" w:fill="FFFFFF"/>
            <w:vAlign w:val="center"/>
          </w:tcPr>
          <w:p w14:paraId="636F1D19" w14:textId="77777777" w:rsidR="006F44D5" w:rsidRPr="008A3FA9" w:rsidRDefault="006F44D5"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195,97</w:t>
            </w:r>
          </w:p>
        </w:tc>
        <w:tc>
          <w:tcPr>
            <w:tcW w:w="696" w:type="dxa"/>
            <w:gridSpan w:val="2"/>
            <w:shd w:val="clear" w:color="auto" w:fill="FFFFFF"/>
            <w:vAlign w:val="center"/>
          </w:tcPr>
          <w:p w14:paraId="38BC3208" w14:textId="77777777" w:rsidR="006F44D5" w:rsidRPr="008A3FA9" w:rsidRDefault="006F44D5"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210,58</w:t>
            </w:r>
            <w:r w:rsidR="00AB04E9" w:rsidRPr="008A3FA9">
              <w:rPr>
                <w:rFonts w:ascii="Times New Roman" w:hAnsi="Times New Roman" w:cs="Times New Roman"/>
                <w:color w:val="000000"/>
                <w:sz w:val="20"/>
                <w:szCs w:val="20"/>
              </w:rPr>
              <w:t xml:space="preserve">  </w:t>
            </w:r>
          </w:p>
        </w:tc>
        <w:tc>
          <w:tcPr>
            <w:tcW w:w="971" w:type="dxa"/>
            <w:shd w:val="clear" w:color="auto" w:fill="FFFFFF"/>
            <w:vAlign w:val="center"/>
          </w:tcPr>
          <w:p w14:paraId="26D8309A" w14:textId="77777777" w:rsidR="006F44D5" w:rsidRPr="008A3FA9" w:rsidRDefault="006F44D5"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1 312,46</w:t>
            </w:r>
            <w:r w:rsidR="00AB04E9" w:rsidRPr="008A3FA9">
              <w:rPr>
                <w:rFonts w:ascii="Times New Roman" w:hAnsi="Times New Roman" w:cs="Times New Roman"/>
                <w:color w:val="000000"/>
                <w:sz w:val="20"/>
                <w:szCs w:val="20"/>
              </w:rPr>
              <w:t xml:space="preserve">  </w:t>
            </w:r>
          </w:p>
        </w:tc>
      </w:tr>
      <w:tr w:rsidR="000E2DF4" w:rsidRPr="00067989" w14:paraId="1C11FFB3" w14:textId="77777777" w:rsidTr="00020AEF">
        <w:trPr>
          <w:gridAfter w:val="2"/>
          <w:wAfter w:w="52" w:type="dxa"/>
          <w:trHeight w:val="351"/>
          <w:jc w:val="center"/>
        </w:trPr>
        <w:tc>
          <w:tcPr>
            <w:tcW w:w="1888" w:type="dxa"/>
            <w:gridSpan w:val="3"/>
            <w:shd w:val="clear" w:color="auto" w:fill="FFFFFF"/>
            <w:vAlign w:val="center"/>
          </w:tcPr>
          <w:p w14:paraId="36F5A0CE" w14:textId="77777777" w:rsidR="00DB0B02" w:rsidRPr="00067989" w:rsidRDefault="00DB0B02" w:rsidP="00067989">
            <w:pPr>
              <w:spacing w:before="60" w:after="60"/>
              <w:rPr>
                <w:rFonts w:ascii="Times New Roman" w:hAnsi="Times New Roman" w:cs="Times New Roman"/>
                <w:color w:val="000000" w:themeColor="text1"/>
              </w:rPr>
            </w:pPr>
            <w:r w:rsidRPr="00067989">
              <w:rPr>
                <w:rFonts w:ascii="Times New Roman" w:hAnsi="Times New Roman" w:cs="Times New Roman"/>
                <w:color w:val="000000" w:themeColor="text1"/>
              </w:rPr>
              <w:t>JST</w:t>
            </w:r>
            <w:r w:rsidR="00B61642" w:rsidRPr="00067989">
              <w:rPr>
                <w:rStyle w:val="Odwoanieprzypisudolnego"/>
                <w:rFonts w:ascii="Times New Roman" w:hAnsi="Times New Roman" w:cs="Times New Roman"/>
                <w:color w:val="000000" w:themeColor="text1"/>
              </w:rPr>
              <w:footnoteReference w:id="12"/>
            </w:r>
            <w:r w:rsidR="000E2DF4" w:rsidRPr="008A3FA9">
              <w:rPr>
                <w:rFonts w:ascii="Times New Roman" w:hAnsi="Times New Roman" w:cs="Times New Roman"/>
                <w:color w:val="000000" w:themeColor="text1"/>
                <w:vertAlign w:val="superscript"/>
              </w:rPr>
              <w:t>)</w:t>
            </w:r>
          </w:p>
        </w:tc>
        <w:tc>
          <w:tcPr>
            <w:tcW w:w="695" w:type="dxa"/>
            <w:gridSpan w:val="2"/>
            <w:shd w:val="clear" w:color="auto" w:fill="FFFFFF"/>
            <w:vAlign w:val="center"/>
          </w:tcPr>
          <w:p w14:paraId="0826D4B5" w14:textId="77777777" w:rsidR="00DB0B02" w:rsidRPr="008A3FA9" w:rsidRDefault="00AB04E9" w:rsidP="00067989">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 xml:space="preserve"> </w:t>
            </w:r>
          </w:p>
        </w:tc>
        <w:tc>
          <w:tcPr>
            <w:tcW w:w="696" w:type="dxa"/>
            <w:shd w:val="clear" w:color="auto" w:fill="FFFFFF"/>
            <w:vAlign w:val="center"/>
          </w:tcPr>
          <w:p w14:paraId="54BADD5F" w14:textId="77777777" w:rsidR="00DB0B02" w:rsidRPr="008A3FA9" w:rsidRDefault="00AB04E9" w:rsidP="00067989">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 xml:space="preserve"> </w:t>
            </w:r>
          </w:p>
        </w:tc>
        <w:tc>
          <w:tcPr>
            <w:tcW w:w="696" w:type="dxa"/>
            <w:gridSpan w:val="3"/>
            <w:shd w:val="clear" w:color="auto" w:fill="FFFFFF"/>
            <w:vAlign w:val="center"/>
          </w:tcPr>
          <w:p w14:paraId="1FCB7981" w14:textId="77777777" w:rsidR="00DB0B02" w:rsidRPr="008A3FA9" w:rsidRDefault="00AB04E9" w:rsidP="00067989">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 xml:space="preserve"> </w:t>
            </w:r>
          </w:p>
        </w:tc>
        <w:tc>
          <w:tcPr>
            <w:tcW w:w="696" w:type="dxa"/>
            <w:gridSpan w:val="3"/>
            <w:shd w:val="clear" w:color="auto" w:fill="FFFFFF"/>
            <w:vAlign w:val="center"/>
          </w:tcPr>
          <w:p w14:paraId="5C01043B" w14:textId="77777777" w:rsidR="00DB0B02" w:rsidRPr="008A3FA9" w:rsidRDefault="00AB04E9" w:rsidP="00067989">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 xml:space="preserve"> </w:t>
            </w:r>
          </w:p>
        </w:tc>
        <w:tc>
          <w:tcPr>
            <w:tcW w:w="696" w:type="dxa"/>
            <w:gridSpan w:val="2"/>
            <w:shd w:val="clear" w:color="auto" w:fill="FFFFFF"/>
            <w:vAlign w:val="center"/>
          </w:tcPr>
          <w:p w14:paraId="2E0C3861" w14:textId="77777777" w:rsidR="00DB0B02" w:rsidRPr="008A3FA9" w:rsidRDefault="00AB04E9" w:rsidP="00067989">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 xml:space="preserve"> </w:t>
            </w:r>
          </w:p>
        </w:tc>
        <w:tc>
          <w:tcPr>
            <w:tcW w:w="696" w:type="dxa"/>
            <w:gridSpan w:val="2"/>
            <w:shd w:val="clear" w:color="auto" w:fill="FFFFFF"/>
            <w:vAlign w:val="center"/>
          </w:tcPr>
          <w:p w14:paraId="25DBBF20" w14:textId="77777777" w:rsidR="00DB0B02" w:rsidRPr="008A3FA9" w:rsidRDefault="00AB04E9" w:rsidP="00067989">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 xml:space="preserve"> </w:t>
            </w:r>
          </w:p>
        </w:tc>
        <w:tc>
          <w:tcPr>
            <w:tcW w:w="696" w:type="dxa"/>
            <w:gridSpan w:val="2"/>
            <w:shd w:val="clear" w:color="auto" w:fill="FFFFFF"/>
            <w:vAlign w:val="center"/>
          </w:tcPr>
          <w:p w14:paraId="7A3FF8F3" w14:textId="77777777" w:rsidR="00DB0B02" w:rsidRPr="008A3FA9" w:rsidRDefault="00AB04E9" w:rsidP="00284114">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 xml:space="preserve"> </w:t>
            </w:r>
          </w:p>
        </w:tc>
        <w:tc>
          <w:tcPr>
            <w:tcW w:w="696" w:type="dxa"/>
            <w:gridSpan w:val="3"/>
            <w:shd w:val="clear" w:color="auto" w:fill="FFFFFF"/>
            <w:vAlign w:val="center"/>
          </w:tcPr>
          <w:p w14:paraId="033E89AD" w14:textId="77777777" w:rsidR="00DB0B02" w:rsidRPr="008A3FA9" w:rsidRDefault="00AB04E9" w:rsidP="00284114">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 xml:space="preserve"> </w:t>
            </w:r>
          </w:p>
        </w:tc>
        <w:tc>
          <w:tcPr>
            <w:tcW w:w="696" w:type="dxa"/>
            <w:shd w:val="clear" w:color="auto" w:fill="FFFFFF"/>
            <w:vAlign w:val="center"/>
          </w:tcPr>
          <w:p w14:paraId="11346E05" w14:textId="77777777" w:rsidR="00DB0B02" w:rsidRPr="008A3FA9" w:rsidRDefault="00AB04E9" w:rsidP="00284114">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 xml:space="preserve"> </w:t>
            </w:r>
          </w:p>
        </w:tc>
        <w:tc>
          <w:tcPr>
            <w:tcW w:w="696" w:type="dxa"/>
            <w:gridSpan w:val="2"/>
            <w:shd w:val="clear" w:color="auto" w:fill="FFFFFF"/>
            <w:vAlign w:val="center"/>
          </w:tcPr>
          <w:p w14:paraId="236D63D4" w14:textId="77777777" w:rsidR="00DB0B02" w:rsidRPr="008A3FA9" w:rsidRDefault="00AB04E9" w:rsidP="00284114">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 xml:space="preserve"> </w:t>
            </w:r>
          </w:p>
        </w:tc>
        <w:tc>
          <w:tcPr>
            <w:tcW w:w="696" w:type="dxa"/>
            <w:gridSpan w:val="2"/>
            <w:shd w:val="clear" w:color="auto" w:fill="FFFFFF"/>
            <w:vAlign w:val="center"/>
          </w:tcPr>
          <w:p w14:paraId="369B745D" w14:textId="77777777" w:rsidR="00DB0B02" w:rsidRPr="008A3FA9" w:rsidRDefault="00AB04E9" w:rsidP="00284114">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 xml:space="preserve"> </w:t>
            </w:r>
          </w:p>
        </w:tc>
        <w:tc>
          <w:tcPr>
            <w:tcW w:w="971" w:type="dxa"/>
            <w:shd w:val="clear" w:color="auto" w:fill="FFFFFF"/>
            <w:vAlign w:val="center"/>
          </w:tcPr>
          <w:p w14:paraId="04CBDE0B" w14:textId="77777777" w:rsidR="00DB0B02" w:rsidRPr="008A3FA9" w:rsidRDefault="00DB0B02" w:rsidP="00284114">
            <w:pPr>
              <w:spacing w:before="60" w:after="60"/>
              <w:jc w:val="center"/>
              <w:rPr>
                <w:rFonts w:ascii="Times New Roman" w:hAnsi="Times New Roman" w:cs="Times New Roman"/>
                <w:color w:val="000000" w:themeColor="text1"/>
                <w:sz w:val="20"/>
                <w:szCs w:val="20"/>
              </w:rPr>
            </w:pPr>
          </w:p>
        </w:tc>
      </w:tr>
      <w:tr w:rsidR="000E2DF4" w:rsidRPr="00067989" w14:paraId="6D45F21F" w14:textId="77777777" w:rsidTr="00020AEF">
        <w:trPr>
          <w:gridAfter w:val="2"/>
          <w:wAfter w:w="52" w:type="dxa"/>
          <w:trHeight w:val="351"/>
          <w:jc w:val="center"/>
        </w:trPr>
        <w:tc>
          <w:tcPr>
            <w:tcW w:w="1888" w:type="dxa"/>
            <w:gridSpan w:val="3"/>
            <w:shd w:val="clear" w:color="auto" w:fill="FFFFFF"/>
            <w:vAlign w:val="center"/>
          </w:tcPr>
          <w:p w14:paraId="798B363D" w14:textId="77777777" w:rsidR="00DB0B02" w:rsidRPr="00067989" w:rsidRDefault="00DB0B02" w:rsidP="00067989">
            <w:pPr>
              <w:spacing w:before="60" w:after="60"/>
              <w:rPr>
                <w:rFonts w:ascii="Times New Roman" w:hAnsi="Times New Roman" w:cs="Times New Roman"/>
                <w:color w:val="000000" w:themeColor="text1"/>
              </w:rPr>
            </w:pPr>
            <w:r w:rsidRPr="00067989">
              <w:rPr>
                <w:rFonts w:ascii="Times New Roman" w:hAnsi="Times New Roman" w:cs="Times New Roman"/>
                <w:color w:val="000000" w:themeColor="text1"/>
              </w:rPr>
              <w:t xml:space="preserve">pozostałe jednostki </w:t>
            </w:r>
          </w:p>
        </w:tc>
        <w:tc>
          <w:tcPr>
            <w:tcW w:w="695" w:type="dxa"/>
            <w:gridSpan w:val="2"/>
            <w:shd w:val="clear" w:color="auto" w:fill="FFFFFF"/>
            <w:vAlign w:val="center"/>
          </w:tcPr>
          <w:p w14:paraId="6CACB58C" w14:textId="77777777" w:rsidR="00DB0B02" w:rsidRPr="008A3FA9" w:rsidRDefault="00AB04E9" w:rsidP="00067989">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 xml:space="preserve"> </w:t>
            </w:r>
          </w:p>
        </w:tc>
        <w:tc>
          <w:tcPr>
            <w:tcW w:w="696" w:type="dxa"/>
            <w:shd w:val="clear" w:color="auto" w:fill="FFFFFF"/>
            <w:vAlign w:val="center"/>
          </w:tcPr>
          <w:p w14:paraId="38BDB193" w14:textId="77777777" w:rsidR="00DB0B02" w:rsidRPr="008A3FA9" w:rsidRDefault="00AB04E9" w:rsidP="00067989">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 xml:space="preserve"> </w:t>
            </w:r>
          </w:p>
        </w:tc>
        <w:tc>
          <w:tcPr>
            <w:tcW w:w="696" w:type="dxa"/>
            <w:gridSpan w:val="3"/>
            <w:shd w:val="clear" w:color="auto" w:fill="FFFFFF"/>
            <w:vAlign w:val="center"/>
          </w:tcPr>
          <w:p w14:paraId="605215AA" w14:textId="77777777" w:rsidR="00DB0B02" w:rsidRPr="008A3FA9" w:rsidRDefault="00AB04E9" w:rsidP="00067989">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 xml:space="preserve"> </w:t>
            </w:r>
          </w:p>
        </w:tc>
        <w:tc>
          <w:tcPr>
            <w:tcW w:w="696" w:type="dxa"/>
            <w:gridSpan w:val="3"/>
            <w:shd w:val="clear" w:color="auto" w:fill="FFFFFF"/>
            <w:vAlign w:val="center"/>
          </w:tcPr>
          <w:p w14:paraId="4815FC9D" w14:textId="77777777" w:rsidR="00DB0B02" w:rsidRPr="008A3FA9" w:rsidRDefault="00AB04E9" w:rsidP="00067989">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 xml:space="preserve"> </w:t>
            </w:r>
          </w:p>
        </w:tc>
        <w:tc>
          <w:tcPr>
            <w:tcW w:w="696" w:type="dxa"/>
            <w:gridSpan w:val="2"/>
            <w:shd w:val="clear" w:color="auto" w:fill="FFFFFF"/>
            <w:vAlign w:val="center"/>
          </w:tcPr>
          <w:p w14:paraId="0E88F56B" w14:textId="77777777" w:rsidR="00DB0B02" w:rsidRPr="008A3FA9" w:rsidRDefault="00AB04E9" w:rsidP="00067989">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 xml:space="preserve"> </w:t>
            </w:r>
          </w:p>
        </w:tc>
        <w:tc>
          <w:tcPr>
            <w:tcW w:w="696" w:type="dxa"/>
            <w:gridSpan w:val="2"/>
            <w:shd w:val="clear" w:color="auto" w:fill="FFFFFF"/>
            <w:vAlign w:val="center"/>
          </w:tcPr>
          <w:p w14:paraId="373BD04E" w14:textId="77777777" w:rsidR="00DB0B02" w:rsidRPr="008A3FA9" w:rsidRDefault="00AB04E9" w:rsidP="00067989">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 xml:space="preserve"> </w:t>
            </w:r>
          </w:p>
        </w:tc>
        <w:tc>
          <w:tcPr>
            <w:tcW w:w="696" w:type="dxa"/>
            <w:gridSpan w:val="2"/>
            <w:shd w:val="clear" w:color="auto" w:fill="FFFFFF"/>
            <w:vAlign w:val="center"/>
          </w:tcPr>
          <w:p w14:paraId="0CB3104A" w14:textId="77777777" w:rsidR="00DB0B02" w:rsidRPr="008A3FA9" w:rsidRDefault="00AB04E9" w:rsidP="00284114">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 xml:space="preserve"> </w:t>
            </w:r>
          </w:p>
        </w:tc>
        <w:tc>
          <w:tcPr>
            <w:tcW w:w="696" w:type="dxa"/>
            <w:gridSpan w:val="3"/>
            <w:shd w:val="clear" w:color="auto" w:fill="FFFFFF"/>
            <w:vAlign w:val="center"/>
          </w:tcPr>
          <w:p w14:paraId="4C849317" w14:textId="77777777" w:rsidR="00DB0B02" w:rsidRPr="008A3FA9" w:rsidRDefault="00AB04E9" w:rsidP="00284114">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 xml:space="preserve"> </w:t>
            </w:r>
          </w:p>
        </w:tc>
        <w:tc>
          <w:tcPr>
            <w:tcW w:w="696" w:type="dxa"/>
            <w:shd w:val="clear" w:color="auto" w:fill="FFFFFF"/>
            <w:vAlign w:val="center"/>
          </w:tcPr>
          <w:p w14:paraId="150BB9A4" w14:textId="77777777" w:rsidR="00DB0B02" w:rsidRPr="008A3FA9" w:rsidRDefault="00AB04E9" w:rsidP="00284114">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 xml:space="preserve"> </w:t>
            </w:r>
          </w:p>
        </w:tc>
        <w:tc>
          <w:tcPr>
            <w:tcW w:w="696" w:type="dxa"/>
            <w:gridSpan w:val="2"/>
            <w:shd w:val="clear" w:color="auto" w:fill="FFFFFF"/>
            <w:vAlign w:val="center"/>
          </w:tcPr>
          <w:p w14:paraId="7DDD8BB6" w14:textId="77777777" w:rsidR="00DB0B02" w:rsidRPr="008A3FA9" w:rsidRDefault="00AB04E9" w:rsidP="00284114">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 xml:space="preserve"> </w:t>
            </w:r>
          </w:p>
        </w:tc>
        <w:tc>
          <w:tcPr>
            <w:tcW w:w="696" w:type="dxa"/>
            <w:gridSpan w:val="2"/>
            <w:shd w:val="clear" w:color="auto" w:fill="FFFFFF"/>
            <w:vAlign w:val="center"/>
          </w:tcPr>
          <w:p w14:paraId="3745BBBB" w14:textId="77777777" w:rsidR="00DB0B02" w:rsidRPr="008A3FA9" w:rsidRDefault="00AB04E9" w:rsidP="00284114">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 xml:space="preserve"> </w:t>
            </w:r>
          </w:p>
        </w:tc>
        <w:tc>
          <w:tcPr>
            <w:tcW w:w="971" w:type="dxa"/>
            <w:shd w:val="clear" w:color="auto" w:fill="FFFFFF"/>
            <w:vAlign w:val="center"/>
          </w:tcPr>
          <w:p w14:paraId="093FBD18" w14:textId="77777777" w:rsidR="00DB0B02" w:rsidRPr="008A3FA9" w:rsidRDefault="00DB0B02" w:rsidP="00B41440">
            <w:pPr>
              <w:spacing w:before="60" w:after="60"/>
              <w:jc w:val="center"/>
              <w:rPr>
                <w:rFonts w:ascii="Times New Roman" w:hAnsi="Times New Roman" w:cs="Times New Roman"/>
                <w:color w:val="000000" w:themeColor="text1"/>
                <w:sz w:val="20"/>
                <w:szCs w:val="20"/>
              </w:rPr>
            </w:pPr>
            <w:r w:rsidRPr="008A3FA9">
              <w:rPr>
                <w:rFonts w:ascii="Times New Roman" w:hAnsi="Times New Roman" w:cs="Times New Roman"/>
                <w:color w:val="000000" w:themeColor="text1"/>
                <w:sz w:val="20"/>
                <w:szCs w:val="20"/>
              </w:rPr>
              <w:t>-</w:t>
            </w:r>
          </w:p>
        </w:tc>
      </w:tr>
      <w:tr w:rsidR="000E2DF4" w:rsidRPr="00067989" w14:paraId="46C8C9D8" w14:textId="77777777" w:rsidTr="00020AEF">
        <w:trPr>
          <w:gridAfter w:val="2"/>
          <w:wAfter w:w="52" w:type="dxa"/>
          <w:trHeight w:val="360"/>
          <w:jc w:val="center"/>
        </w:trPr>
        <w:tc>
          <w:tcPr>
            <w:tcW w:w="1888" w:type="dxa"/>
            <w:gridSpan w:val="3"/>
            <w:shd w:val="clear" w:color="auto" w:fill="FFFFFF"/>
            <w:vAlign w:val="center"/>
          </w:tcPr>
          <w:p w14:paraId="2F667624" w14:textId="77777777" w:rsidR="000B354A" w:rsidRPr="00067989" w:rsidRDefault="000B354A" w:rsidP="00067989">
            <w:pPr>
              <w:spacing w:before="60" w:after="60"/>
              <w:rPr>
                <w:rFonts w:ascii="Times New Roman" w:hAnsi="Times New Roman" w:cs="Times New Roman"/>
                <w:color w:val="000000" w:themeColor="text1"/>
              </w:rPr>
            </w:pPr>
            <w:r w:rsidRPr="00067989">
              <w:rPr>
                <w:rFonts w:ascii="Times New Roman" w:hAnsi="Times New Roman" w:cs="Times New Roman"/>
                <w:b/>
                <w:color w:val="000000" w:themeColor="text1"/>
              </w:rPr>
              <w:t>Saldo ogółem</w:t>
            </w:r>
          </w:p>
        </w:tc>
        <w:tc>
          <w:tcPr>
            <w:tcW w:w="695" w:type="dxa"/>
            <w:gridSpan w:val="2"/>
            <w:shd w:val="clear" w:color="auto" w:fill="FFFFFF"/>
            <w:vAlign w:val="center"/>
          </w:tcPr>
          <w:p w14:paraId="08CF05B1" w14:textId="77777777" w:rsidR="000B354A" w:rsidRPr="008A3FA9" w:rsidRDefault="000B354A"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-7,56</w:t>
            </w:r>
          </w:p>
        </w:tc>
        <w:tc>
          <w:tcPr>
            <w:tcW w:w="696" w:type="dxa"/>
            <w:shd w:val="clear" w:color="auto" w:fill="FFFFFF"/>
            <w:vAlign w:val="center"/>
          </w:tcPr>
          <w:p w14:paraId="091A1D23" w14:textId="77777777" w:rsidR="000B354A" w:rsidRPr="008A3FA9" w:rsidRDefault="000B354A"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-13,21</w:t>
            </w:r>
            <w:r w:rsidR="00AB04E9" w:rsidRPr="008A3FA9">
              <w:rPr>
                <w:rFonts w:ascii="Times New Roman" w:hAnsi="Times New Roman" w:cs="Times New Roman"/>
                <w:color w:val="000000"/>
                <w:sz w:val="20"/>
                <w:szCs w:val="20"/>
              </w:rPr>
              <w:t xml:space="preserve">  </w:t>
            </w:r>
          </w:p>
        </w:tc>
        <w:tc>
          <w:tcPr>
            <w:tcW w:w="696" w:type="dxa"/>
            <w:gridSpan w:val="3"/>
            <w:shd w:val="clear" w:color="auto" w:fill="FFFFFF"/>
            <w:vAlign w:val="center"/>
          </w:tcPr>
          <w:p w14:paraId="49DC8648" w14:textId="77777777" w:rsidR="000B354A" w:rsidRPr="008A3FA9" w:rsidRDefault="000B354A"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-55,42</w:t>
            </w:r>
            <w:r w:rsidR="00AB04E9" w:rsidRPr="008A3FA9">
              <w:rPr>
                <w:rFonts w:ascii="Times New Roman" w:hAnsi="Times New Roman" w:cs="Times New Roman"/>
                <w:color w:val="000000"/>
                <w:sz w:val="20"/>
                <w:szCs w:val="20"/>
              </w:rPr>
              <w:t xml:space="preserve">  </w:t>
            </w:r>
          </w:p>
        </w:tc>
        <w:tc>
          <w:tcPr>
            <w:tcW w:w="696" w:type="dxa"/>
            <w:gridSpan w:val="3"/>
            <w:shd w:val="clear" w:color="auto" w:fill="FFFFFF"/>
            <w:vAlign w:val="center"/>
          </w:tcPr>
          <w:p w14:paraId="2C184555" w14:textId="77777777" w:rsidR="000B354A" w:rsidRPr="008A3FA9" w:rsidRDefault="000B354A"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-81,88</w:t>
            </w:r>
            <w:r w:rsidR="00AB04E9" w:rsidRPr="008A3FA9">
              <w:rPr>
                <w:rFonts w:ascii="Times New Roman" w:hAnsi="Times New Roman" w:cs="Times New Roman"/>
                <w:color w:val="000000"/>
                <w:sz w:val="20"/>
                <w:szCs w:val="20"/>
              </w:rPr>
              <w:t xml:space="preserve">  </w:t>
            </w:r>
          </w:p>
        </w:tc>
        <w:tc>
          <w:tcPr>
            <w:tcW w:w="696" w:type="dxa"/>
            <w:gridSpan w:val="2"/>
            <w:shd w:val="clear" w:color="auto" w:fill="FFFFFF"/>
            <w:vAlign w:val="center"/>
          </w:tcPr>
          <w:p w14:paraId="3A28AB2A" w14:textId="77777777" w:rsidR="000B354A" w:rsidRPr="008A3FA9" w:rsidRDefault="000B354A"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-108,64</w:t>
            </w:r>
            <w:r w:rsidR="00AB04E9" w:rsidRPr="008A3FA9">
              <w:rPr>
                <w:rFonts w:ascii="Times New Roman" w:hAnsi="Times New Roman" w:cs="Times New Roman"/>
                <w:color w:val="000000"/>
                <w:sz w:val="20"/>
                <w:szCs w:val="20"/>
              </w:rPr>
              <w:t xml:space="preserve">  </w:t>
            </w:r>
          </w:p>
        </w:tc>
        <w:tc>
          <w:tcPr>
            <w:tcW w:w="696" w:type="dxa"/>
            <w:gridSpan w:val="2"/>
            <w:shd w:val="clear" w:color="auto" w:fill="FFFFFF"/>
            <w:vAlign w:val="center"/>
          </w:tcPr>
          <w:p w14:paraId="453B4991" w14:textId="77777777" w:rsidR="000B354A" w:rsidRPr="008A3FA9" w:rsidRDefault="000B354A"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-127,23</w:t>
            </w:r>
            <w:r w:rsidR="00AB04E9" w:rsidRPr="008A3FA9">
              <w:rPr>
                <w:rFonts w:ascii="Times New Roman" w:hAnsi="Times New Roman" w:cs="Times New Roman"/>
                <w:color w:val="000000"/>
                <w:sz w:val="20"/>
                <w:szCs w:val="20"/>
              </w:rPr>
              <w:t xml:space="preserve">  </w:t>
            </w:r>
          </w:p>
        </w:tc>
        <w:tc>
          <w:tcPr>
            <w:tcW w:w="696" w:type="dxa"/>
            <w:gridSpan w:val="2"/>
            <w:shd w:val="clear" w:color="auto" w:fill="FFFFFF"/>
            <w:vAlign w:val="center"/>
          </w:tcPr>
          <w:p w14:paraId="0E821B51" w14:textId="77777777" w:rsidR="000B354A" w:rsidRPr="008A3FA9" w:rsidRDefault="000B354A"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-152,62</w:t>
            </w:r>
            <w:r w:rsidR="00AB04E9" w:rsidRPr="008A3FA9">
              <w:rPr>
                <w:rFonts w:ascii="Times New Roman" w:hAnsi="Times New Roman" w:cs="Times New Roman"/>
                <w:color w:val="000000"/>
                <w:sz w:val="20"/>
                <w:szCs w:val="20"/>
              </w:rPr>
              <w:t xml:space="preserve">  </w:t>
            </w:r>
          </w:p>
        </w:tc>
        <w:tc>
          <w:tcPr>
            <w:tcW w:w="696" w:type="dxa"/>
            <w:gridSpan w:val="3"/>
            <w:shd w:val="clear" w:color="auto" w:fill="FFFFFF"/>
            <w:vAlign w:val="center"/>
          </w:tcPr>
          <w:p w14:paraId="305EAB86" w14:textId="77777777" w:rsidR="000B354A" w:rsidRPr="008A3FA9" w:rsidRDefault="000B354A" w:rsidP="008A3FA9">
            <w:pPr>
              <w:spacing w:before="60" w:after="60"/>
              <w:ind w:left="-108" w:right="-122"/>
              <w:rPr>
                <w:rFonts w:ascii="Times New Roman" w:hAnsi="Times New Roman" w:cs="Times New Roman"/>
                <w:color w:val="000000"/>
                <w:sz w:val="20"/>
                <w:szCs w:val="20"/>
              </w:rPr>
            </w:pPr>
            <w:r w:rsidRPr="008A3FA9">
              <w:rPr>
                <w:rFonts w:ascii="Times New Roman" w:hAnsi="Times New Roman" w:cs="Times New Roman"/>
                <w:color w:val="000000"/>
                <w:sz w:val="20"/>
                <w:szCs w:val="20"/>
              </w:rPr>
              <w:t>-170,66</w:t>
            </w:r>
          </w:p>
        </w:tc>
        <w:tc>
          <w:tcPr>
            <w:tcW w:w="696" w:type="dxa"/>
            <w:shd w:val="clear" w:color="auto" w:fill="FFFFFF"/>
            <w:vAlign w:val="center"/>
          </w:tcPr>
          <w:p w14:paraId="3AE6F6E4" w14:textId="77777777" w:rsidR="000B354A" w:rsidRPr="008A3FA9" w:rsidRDefault="000B354A" w:rsidP="008A3FA9">
            <w:pPr>
              <w:spacing w:before="60" w:after="60"/>
              <w:ind w:left="-108" w:right="-122"/>
              <w:rPr>
                <w:rFonts w:ascii="Times New Roman" w:hAnsi="Times New Roman" w:cs="Times New Roman"/>
                <w:color w:val="000000"/>
                <w:sz w:val="20"/>
                <w:szCs w:val="20"/>
              </w:rPr>
            </w:pPr>
            <w:r w:rsidRPr="008A3FA9">
              <w:rPr>
                <w:rFonts w:ascii="Times New Roman" w:hAnsi="Times New Roman" w:cs="Times New Roman"/>
                <w:color w:val="000000"/>
                <w:sz w:val="20"/>
                <w:szCs w:val="20"/>
              </w:rPr>
              <w:t>-188,69</w:t>
            </w:r>
          </w:p>
        </w:tc>
        <w:tc>
          <w:tcPr>
            <w:tcW w:w="696" w:type="dxa"/>
            <w:gridSpan w:val="2"/>
            <w:shd w:val="clear" w:color="auto" w:fill="FFFFFF"/>
            <w:vAlign w:val="center"/>
          </w:tcPr>
          <w:p w14:paraId="499A600B" w14:textId="77777777" w:rsidR="000B354A" w:rsidRPr="008A3FA9" w:rsidRDefault="000B354A"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-195,97</w:t>
            </w:r>
          </w:p>
        </w:tc>
        <w:tc>
          <w:tcPr>
            <w:tcW w:w="696" w:type="dxa"/>
            <w:gridSpan w:val="2"/>
            <w:shd w:val="clear" w:color="auto" w:fill="FFFFFF"/>
            <w:vAlign w:val="center"/>
          </w:tcPr>
          <w:p w14:paraId="42637052" w14:textId="77777777" w:rsidR="000B354A" w:rsidRPr="008A3FA9" w:rsidRDefault="000B354A"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-210,58</w:t>
            </w:r>
            <w:r w:rsidR="00AB04E9" w:rsidRPr="008A3FA9">
              <w:rPr>
                <w:rFonts w:ascii="Times New Roman" w:hAnsi="Times New Roman" w:cs="Times New Roman"/>
                <w:color w:val="000000"/>
                <w:sz w:val="20"/>
                <w:szCs w:val="20"/>
              </w:rPr>
              <w:t xml:space="preserve">  </w:t>
            </w:r>
          </w:p>
        </w:tc>
        <w:tc>
          <w:tcPr>
            <w:tcW w:w="971" w:type="dxa"/>
            <w:shd w:val="clear" w:color="auto" w:fill="FFFFFF"/>
            <w:vAlign w:val="center"/>
          </w:tcPr>
          <w:p w14:paraId="7BD8C9F6" w14:textId="77777777" w:rsidR="000B354A" w:rsidRPr="008A3FA9" w:rsidRDefault="000B354A"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-1 312,46</w:t>
            </w:r>
            <w:r w:rsidR="00AB04E9" w:rsidRPr="008A3FA9">
              <w:rPr>
                <w:rFonts w:ascii="Times New Roman" w:hAnsi="Times New Roman" w:cs="Times New Roman"/>
                <w:color w:val="000000"/>
                <w:sz w:val="20"/>
                <w:szCs w:val="20"/>
              </w:rPr>
              <w:t xml:space="preserve">  </w:t>
            </w:r>
          </w:p>
        </w:tc>
      </w:tr>
      <w:tr w:rsidR="000E2DF4" w:rsidRPr="00067989" w14:paraId="3A5F8A61" w14:textId="77777777" w:rsidTr="00020AEF">
        <w:trPr>
          <w:gridAfter w:val="2"/>
          <w:wAfter w:w="52" w:type="dxa"/>
          <w:trHeight w:val="726"/>
          <w:jc w:val="center"/>
        </w:trPr>
        <w:tc>
          <w:tcPr>
            <w:tcW w:w="1888" w:type="dxa"/>
            <w:gridSpan w:val="3"/>
            <w:shd w:val="clear" w:color="auto" w:fill="FFFFFF"/>
            <w:vAlign w:val="center"/>
          </w:tcPr>
          <w:p w14:paraId="1FF43777" w14:textId="77777777" w:rsidR="000B354A" w:rsidRPr="00067989" w:rsidRDefault="000B354A" w:rsidP="00067989">
            <w:pPr>
              <w:spacing w:before="60" w:after="60"/>
              <w:rPr>
                <w:rFonts w:ascii="Times New Roman" w:hAnsi="Times New Roman" w:cs="Times New Roman"/>
                <w:color w:val="000000" w:themeColor="text1"/>
              </w:rPr>
            </w:pPr>
            <w:r w:rsidRPr="00067989">
              <w:rPr>
                <w:rFonts w:ascii="Times New Roman" w:hAnsi="Times New Roman" w:cs="Times New Roman"/>
                <w:color w:val="000000" w:themeColor="text1"/>
              </w:rPr>
              <w:t>budżet państwa</w:t>
            </w:r>
          </w:p>
        </w:tc>
        <w:tc>
          <w:tcPr>
            <w:tcW w:w="695" w:type="dxa"/>
            <w:gridSpan w:val="2"/>
            <w:shd w:val="clear" w:color="auto" w:fill="FFFFFF"/>
            <w:vAlign w:val="center"/>
          </w:tcPr>
          <w:p w14:paraId="77009B75" w14:textId="77777777" w:rsidR="000B354A" w:rsidRPr="008A3FA9" w:rsidRDefault="000B354A"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-7,56</w:t>
            </w:r>
            <w:r w:rsidR="00AB04E9" w:rsidRPr="008A3FA9">
              <w:rPr>
                <w:rFonts w:ascii="Times New Roman" w:hAnsi="Times New Roman" w:cs="Times New Roman"/>
                <w:color w:val="000000"/>
                <w:sz w:val="20"/>
                <w:szCs w:val="20"/>
              </w:rPr>
              <w:t xml:space="preserve">  </w:t>
            </w:r>
          </w:p>
        </w:tc>
        <w:tc>
          <w:tcPr>
            <w:tcW w:w="696" w:type="dxa"/>
            <w:shd w:val="clear" w:color="auto" w:fill="FFFFFF"/>
            <w:vAlign w:val="center"/>
          </w:tcPr>
          <w:p w14:paraId="6D58BF6D" w14:textId="77777777" w:rsidR="000B354A" w:rsidRPr="008A3FA9" w:rsidRDefault="000B354A"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-13,21</w:t>
            </w:r>
            <w:r w:rsidR="00AB04E9" w:rsidRPr="008A3FA9">
              <w:rPr>
                <w:rFonts w:ascii="Times New Roman" w:hAnsi="Times New Roman" w:cs="Times New Roman"/>
                <w:color w:val="000000"/>
                <w:sz w:val="20"/>
                <w:szCs w:val="20"/>
              </w:rPr>
              <w:t xml:space="preserve">  </w:t>
            </w:r>
          </w:p>
        </w:tc>
        <w:tc>
          <w:tcPr>
            <w:tcW w:w="696" w:type="dxa"/>
            <w:gridSpan w:val="3"/>
            <w:shd w:val="clear" w:color="auto" w:fill="FFFFFF"/>
            <w:vAlign w:val="center"/>
          </w:tcPr>
          <w:p w14:paraId="00B4B668" w14:textId="77777777" w:rsidR="000B354A" w:rsidRPr="008A3FA9" w:rsidRDefault="000B354A"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-55,42</w:t>
            </w:r>
            <w:r w:rsidR="00AB04E9" w:rsidRPr="008A3FA9">
              <w:rPr>
                <w:rFonts w:ascii="Times New Roman" w:hAnsi="Times New Roman" w:cs="Times New Roman"/>
                <w:color w:val="000000"/>
                <w:sz w:val="20"/>
                <w:szCs w:val="20"/>
              </w:rPr>
              <w:t xml:space="preserve">  </w:t>
            </w:r>
          </w:p>
        </w:tc>
        <w:tc>
          <w:tcPr>
            <w:tcW w:w="696" w:type="dxa"/>
            <w:gridSpan w:val="3"/>
            <w:shd w:val="clear" w:color="auto" w:fill="FFFFFF"/>
            <w:vAlign w:val="center"/>
          </w:tcPr>
          <w:p w14:paraId="2FC6665C" w14:textId="77777777" w:rsidR="000B354A" w:rsidRPr="008A3FA9" w:rsidRDefault="000B354A"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-81,88</w:t>
            </w:r>
            <w:r w:rsidR="00AB04E9" w:rsidRPr="008A3FA9">
              <w:rPr>
                <w:rFonts w:ascii="Times New Roman" w:hAnsi="Times New Roman" w:cs="Times New Roman"/>
                <w:color w:val="000000"/>
                <w:sz w:val="20"/>
                <w:szCs w:val="20"/>
              </w:rPr>
              <w:t xml:space="preserve">  </w:t>
            </w:r>
          </w:p>
        </w:tc>
        <w:tc>
          <w:tcPr>
            <w:tcW w:w="696" w:type="dxa"/>
            <w:gridSpan w:val="2"/>
            <w:shd w:val="clear" w:color="auto" w:fill="FFFFFF"/>
            <w:vAlign w:val="center"/>
          </w:tcPr>
          <w:p w14:paraId="6951A233" w14:textId="77777777" w:rsidR="000B354A" w:rsidRPr="008A3FA9" w:rsidRDefault="000B354A"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-108,64</w:t>
            </w:r>
            <w:r w:rsidR="00AB04E9" w:rsidRPr="008A3FA9">
              <w:rPr>
                <w:rFonts w:ascii="Times New Roman" w:hAnsi="Times New Roman" w:cs="Times New Roman"/>
                <w:color w:val="000000"/>
                <w:sz w:val="20"/>
                <w:szCs w:val="20"/>
              </w:rPr>
              <w:t xml:space="preserve">  </w:t>
            </w:r>
          </w:p>
        </w:tc>
        <w:tc>
          <w:tcPr>
            <w:tcW w:w="696" w:type="dxa"/>
            <w:gridSpan w:val="2"/>
            <w:shd w:val="clear" w:color="auto" w:fill="FFFFFF"/>
            <w:vAlign w:val="center"/>
          </w:tcPr>
          <w:p w14:paraId="7BC86E81" w14:textId="77777777" w:rsidR="000B354A" w:rsidRPr="008A3FA9" w:rsidRDefault="000B354A"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-127,23</w:t>
            </w:r>
            <w:r w:rsidR="00AB04E9" w:rsidRPr="008A3FA9">
              <w:rPr>
                <w:rFonts w:ascii="Times New Roman" w:hAnsi="Times New Roman" w:cs="Times New Roman"/>
                <w:color w:val="000000"/>
                <w:sz w:val="20"/>
                <w:szCs w:val="20"/>
              </w:rPr>
              <w:t xml:space="preserve">  </w:t>
            </w:r>
          </w:p>
        </w:tc>
        <w:tc>
          <w:tcPr>
            <w:tcW w:w="696" w:type="dxa"/>
            <w:gridSpan w:val="2"/>
            <w:shd w:val="clear" w:color="auto" w:fill="FFFFFF"/>
            <w:vAlign w:val="center"/>
          </w:tcPr>
          <w:p w14:paraId="534449A4" w14:textId="77777777" w:rsidR="000B354A" w:rsidRPr="008A3FA9" w:rsidRDefault="000B354A"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-152,62</w:t>
            </w:r>
            <w:r w:rsidR="00AB04E9" w:rsidRPr="008A3FA9">
              <w:rPr>
                <w:rFonts w:ascii="Times New Roman" w:hAnsi="Times New Roman" w:cs="Times New Roman"/>
                <w:color w:val="000000"/>
                <w:sz w:val="20"/>
                <w:szCs w:val="20"/>
              </w:rPr>
              <w:t xml:space="preserve">  </w:t>
            </w:r>
          </w:p>
        </w:tc>
        <w:tc>
          <w:tcPr>
            <w:tcW w:w="696" w:type="dxa"/>
            <w:gridSpan w:val="3"/>
            <w:shd w:val="clear" w:color="auto" w:fill="FFFFFF"/>
            <w:vAlign w:val="center"/>
          </w:tcPr>
          <w:p w14:paraId="7DC9FF4D" w14:textId="77777777" w:rsidR="000B354A" w:rsidRPr="008A3FA9" w:rsidRDefault="000B354A" w:rsidP="008A3FA9">
            <w:pPr>
              <w:spacing w:before="60" w:after="60"/>
              <w:ind w:left="-108" w:right="-122"/>
              <w:rPr>
                <w:rFonts w:ascii="Times New Roman" w:hAnsi="Times New Roman" w:cs="Times New Roman"/>
                <w:color w:val="000000"/>
                <w:sz w:val="20"/>
                <w:szCs w:val="20"/>
              </w:rPr>
            </w:pPr>
            <w:r w:rsidRPr="008A3FA9">
              <w:rPr>
                <w:rFonts w:ascii="Times New Roman" w:hAnsi="Times New Roman" w:cs="Times New Roman"/>
                <w:color w:val="000000"/>
                <w:sz w:val="20"/>
                <w:szCs w:val="20"/>
              </w:rPr>
              <w:t>-170,66</w:t>
            </w:r>
          </w:p>
        </w:tc>
        <w:tc>
          <w:tcPr>
            <w:tcW w:w="696" w:type="dxa"/>
            <w:shd w:val="clear" w:color="auto" w:fill="FFFFFF"/>
            <w:vAlign w:val="center"/>
          </w:tcPr>
          <w:p w14:paraId="49542E4C" w14:textId="77777777" w:rsidR="000B354A" w:rsidRPr="008A3FA9" w:rsidRDefault="000B354A" w:rsidP="008A3FA9">
            <w:pPr>
              <w:spacing w:before="60" w:after="60"/>
              <w:ind w:left="-108" w:right="-122"/>
              <w:rPr>
                <w:rFonts w:ascii="Times New Roman" w:hAnsi="Times New Roman" w:cs="Times New Roman"/>
                <w:color w:val="000000"/>
                <w:sz w:val="20"/>
                <w:szCs w:val="20"/>
              </w:rPr>
            </w:pPr>
            <w:r w:rsidRPr="008A3FA9">
              <w:rPr>
                <w:rFonts w:ascii="Times New Roman" w:hAnsi="Times New Roman" w:cs="Times New Roman"/>
                <w:color w:val="000000"/>
                <w:sz w:val="20"/>
                <w:szCs w:val="20"/>
              </w:rPr>
              <w:t>-188,69</w:t>
            </w:r>
          </w:p>
        </w:tc>
        <w:tc>
          <w:tcPr>
            <w:tcW w:w="696" w:type="dxa"/>
            <w:gridSpan w:val="2"/>
            <w:shd w:val="clear" w:color="auto" w:fill="FFFFFF"/>
            <w:vAlign w:val="center"/>
          </w:tcPr>
          <w:p w14:paraId="3D81073B" w14:textId="77777777" w:rsidR="000B354A" w:rsidRPr="008A3FA9" w:rsidRDefault="000B354A"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-195,97</w:t>
            </w:r>
          </w:p>
        </w:tc>
        <w:tc>
          <w:tcPr>
            <w:tcW w:w="696" w:type="dxa"/>
            <w:gridSpan w:val="2"/>
            <w:shd w:val="clear" w:color="auto" w:fill="FFFFFF"/>
            <w:vAlign w:val="center"/>
          </w:tcPr>
          <w:p w14:paraId="19FF324F" w14:textId="77777777" w:rsidR="000B354A" w:rsidRPr="008A3FA9" w:rsidRDefault="000B354A"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-210,58</w:t>
            </w:r>
            <w:r w:rsidR="00AB04E9" w:rsidRPr="008A3FA9">
              <w:rPr>
                <w:rFonts w:ascii="Times New Roman" w:hAnsi="Times New Roman" w:cs="Times New Roman"/>
                <w:color w:val="000000"/>
                <w:sz w:val="20"/>
                <w:szCs w:val="20"/>
              </w:rPr>
              <w:t xml:space="preserve">  </w:t>
            </w:r>
          </w:p>
        </w:tc>
        <w:tc>
          <w:tcPr>
            <w:tcW w:w="971" w:type="dxa"/>
            <w:shd w:val="clear" w:color="auto" w:fill="FFFFFF"/>
            <w:vAlign w:val="center"/>
          </w:tcPr>
          <w:p w14:paraId="6E39CC4D" w14:textId="77777777" w:rsidR="000B354A" w:rsidRPr="008A3FA9" w:rsidRDefault="000B354A"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 xml:space="preserve">-1 312,46 </w:t>
            </w:r>
          </w:p>
        </w:tc>
      </w:tr>
      <w:tr w:rsidR="000E2DF4" w:rsidRPr="00067989" w14:paraId="1C01F607" w14:textId="77777777" w:rsidTr="00020AEF">
        <w:trPr>
          <w:gridAfter w:val="2"/>
          <w:wAfter w:w="52" w:type="dxa"/>
          <w:trHeight w:val="357"/>
          <w:jc w:val="center"/>
        </w:trPr>
        <w:tc>
          <w:tcPr>
            <w:tcW w:w="1888" w:type="dxa"/>
            <w:gridSpan w:val="3"/>
            <w:shd w:val="clear" w:color="auto" w:fill="FFFFFF"/>
            <w:vAlign w:val="center"/>
          </w:tcPr>
          <w:p w14:paraId="7E4C6DFF" w14:textId="77777777" w:rsidR="00DB0B02" w:rsidRPr="00067989" w:rsidRDefault="00DB0B02" w:rsidP="00067989">
            <w:pPr>
              <w:spacing w:before="60" w:after="60"/>
              <w:rPr>
                <w:rFonts w:ascii="Times New Roman" w:hAnsi="Times New Roman" w:cs="Times New Roman"/>
                <w:color w:val="000000" w:themeColor="text1"/>
              </w:rPr>
            </w:pPr>
            <w:r w:rsidRPr="00067989">
              <w:rPr>
                <w:rFonts w:ascii="Times New Roman" w:hAnsi="Times New Roman" w:cs="Times New Roman"/>
                <w:color w:val="000000" w:themeColor="text1"/>
              </w:rPr>
              <w:t>JST</w:t>
            </w:r>
          </w:p>
        </w:tc>
        <w:tc>
          <w:tcPr>
            <w:tcW w:w="695" w:type="dxa"/>
            <w:gridSpan w:val="2"/>
            <w:shd w:val="clear" w:color="auto" w:fill="FFFFFF"/>
            <w:vAlign w:val="center"/>
          </w:tcPr>
          <w:p w14:paraId="5524C9C5" w14:textId="77777777" w:rsidR="00DB0B02" w:rsidRPr="008A3FA9" w:rsidRDefault="00DB0B02"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0</w:t>
            </w:r>
          </w:p>
        </w:tc>
        <w:tc>
          <w:tcPr>
            <w:tcW w:w="696" w:type="dxa"/>
            <w:shd w:val="clear" w:color="auto" w:fill="FFFFFF"/>
            <w:vAlign w:val="center"/>
          </w:tcPr>
          <w:p w14:paraId="7F5D6766" w14:textId="77777777" w:rsidR="00DB0B02" w:rsidRPr="008A3FA9" w:rsidRDefault="00DB0B02"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0</w:t>
            </w:r>
          </w:p>
        </w:tc>
        <w:tc>
          <w:tcPr>
            <w:tcW w:w="696" w:type="dxa"/>
            <w:gridSpan w:val="3"/>
            <w:shd w:val="clear" w:color="auto" w:fill="FFFFFF"/>
            <w:vAlign w:val="center"/>
          </w:tcPr>
          <w:p w14:paraId="3D54B648" w14:textId="77777777" w:rsidR="00DB0B02" w:rsidRPr="008A3FA9" w:rsidRDefault="00DB0B02"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0</w:t>
            </w:r>
          </w:p>
        </w:tc>
        <w:tc>
          <w:tcPr>
            <w:tcW w:w="696" w:type="dxa"/>
            <w:gridSpan w:val="3"/>
            <w:shd w:val="clear" w:color="auto" w:fill="FFFFFF"/>
            <w:vAlign w:val="center"/>
          </w:tcPr>
          <w:p w14:paraId="75E1B64E" w14:textId="77777777" w:rsidR="00DB0B02" w:rsidRPr="008A3FA9" w:rsidRDefault="00DB0B02"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0</w:t>
            </w:r>
          </w:p>
        </w:tc>
        <w:tc>
          <w:tcPr>
            <w:tcW w:w="696" w:type="dxa"/>
            <w:gridSpan w:val="2"/>
            <w:shd w:val="clear" w:color="auto" w:fill="FFFFFF"/>
            <w:vAlign w:val="center"/>
          </w:tcPr>
          <w:p w14:paraId="6F1BB97B" w14:textId="77777777" w:rsidR="00DB0B02" w:rsidRPr="008A3FA9" w:rsidRDefault="00DB0B02"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0</w:t>
            </w:r>
          </w:p>
        </w:tc>
        <w:tc>
          <w:tcPr>
            <w:tcW w:w="696" w:type="dxa"/>
            <w:gridSpan w:val="2"/>
            <w:shd w:val="clear" w:color="auto" w:fill="FFFFFF"/>
            <w:vAlign w:val="center"/>
          </w:tcPr>
          <w:p w14:paraId="15A79A4C" w14:textId="77777777" w:rsidR="00DB0B02" w:rsidRPr="008A3FA9" w:rsidRDefault="00DB0B02"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0</w:t>
            </w:r>
          </w:p>
        </w:tc>
        <w:tc>
          <w:tcPr>
            <w:tcW w:w="696" w:type="dxa"/>
            <w:gridSpan w:val="2"/>
            <w:shd w:val="clear" w:color="auto" w:fill="FFFFFF"/>
            <w:vAlign w:val="center"/>
          </w:tcPr>
          <w:p w14:paraId="59D71DC4" w14:textId="77777777" w:rsidR="00DB0B02" w:rsidRPr="008A3FA9" w:rsidRDefault="00DB0B02"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0</w:t>
            </w:r>
          </w:p>
        </w:tc>
        <w:tc>
          <w:tcPr>
            <w:tcW w:w="696" w:type="dxa"/>
            <w:gridSpan w:val="3"/>
            <w:shd w:val="clear" w:color="auto" w:fill="FFFFFF"/>
            <w:vAlign w:val="center"/>
          </w:tcPr>
          <w:p w14:paraId="2C9DBEF9" w14:textId="77777777" w:rsidR="00DB0B02" w:rsidRPr="008A3FA9" w:rsidRDefault="00DB0B02"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0</w:t>
            </w:r>
          </w:p>
        </w:tc>
        <w:tc>
          <w:tcPr>
            <w:tcW w:w="696" w:type="dxa"/>
            <w:shd w:val="clear" w:color="auto" w:fill="FFFFFF"/>
            <w:vAlign w:val="center"/>
          </w:tcPr>
          <w:p w14:paraId="3AB416F9" w14:textId="77777777" w:rsidR="00DB0B02" w:rsidRPr="008A3FA9" w:rsidRDefault="00DB0B02"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0</w:t>
            </w:r>
          </w:p>
        </w:tc>
        <w:tc>
          <w:tcPr>
            <w:tcW w:w="696" w:type="dxa"/>
            <w:gridSpan w:val="2"/>
            <w:shd w:val="clear" w:color="auto" w:fill="FFFFFF"/>
            <w:vAlign w:val="center"/>
          </w:tcPr>
          <w:p w14:paraId="29E210FF" w14:textId="77777777" w:rsidR="00DB0B02" w:rsidRPr="008A3FA9" w:rsidRDefault="00DB0B02"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0</w:t>
            </w:r>
          </w:p>
        </w:tc>
        <w:tc>
          <w:tcPr>
            <w:tcW w:w="696" w:type="dxa"/>
            <w:gridSpan w:val="2"/>
            <w:shd w:val="clear" w:color="auto" w:fill="FFFFFF"/>
            <w:vAlign w:val="center"/>
          </w:tcPr>
          <w:p w14:paraId="60B2C580" w14:textId="77777777" w:rsidR="00DB0B02" w:rsidRPr="008A3FA9" w:rsidRDefault="00DB0B02"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0</w:t>
            </w:r>
          </w:p>
        </w:tc>
        <w:tc>
          <w:tcPr>
            <w:tcW w:w="971" w:type="dxa"/>
            <w:shd w:val="clear" w:color="auto" w:fill="FFFFFF"/>
          </w:tcPr>
          <w:p w14:paraId="454FA88D" w14:textId="77777777" w:rsidR="00DB0B02" w:rsidRPr="008A3FA9" w:rsidRDefault="00DB0B02"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0</w:t>
            </w:r>
          </w:p>
        </w:tc>
      </w:tr>
      <w:tr w:rsidR="000E2DF4" w:rsidRPr="00067989" w14:paraId="64DC3CAE" w14:textId="77777777" w:rsidTr="00020AEF">
        <w:trPr>
          <w:gridAfter w:val="2"/>
          <w:wAfter w:w="52" w:type="dxa"/>
          <w:trHeight w:val="357"/>
          <w:jc w:val="center"/>
        </w:trPr>
        <w:tc>
          <w:tcPr>
            <w:tcW w:w="1888" w:type="dxa"/>
            <w:gridSpan w:val="3"/>
            <w:shd w:val="clear" w:color="auto" w:fill="FFFFFF"/>
            <w:vAlign w:val="center"/>
          </w:tcPr>
          <w:p w14:paraId="124824FD" w14:textId="77777777" w:rsidR="00DB0B02" w:rsidRPr="00067989" w:rsidRDefault="00DB0B02" w:rsidP="00067989">
            <w:pPr>
              <w:spacing w:before="60" w:after="60"/>
              <w:rPr>
                <w:rFonts w:ascii="Times New Roman" w:hAnsi="Times New Roman" w:cs="Times New Roman"/>
                <w:color w:val="000000" w:themeColor="text1"/>
              </w:rPr>
            </w:pPr>
            <w:r w:rsidRPr="00067989">
              <w:rPr>
                <w:rFonts w:ascii="Times New Roman" w:hAnsi="Times New Roman" w:cs="Times New Roman"/>
                <w:color w:val="000000" w:themeColor="text1"/>
              </w:rPr>
              <w:t xml:space="preserve">pozostałe jednostki </w:t>
            </w:r>
          </w:p>
        </w:tc>
        <w:tc>
          <w:tcPr>
            <w:tcW w:w="695" w:type="dxa"/>
            <w:gridSpan w:val="2"/>
            <w:shd w:val="clear" w:color="auto" w:fill="FFFFFF"/>
            <w:vAlign w:val="center"/>
          </w:tcPr>
          <w:p w14:paraId="74BFCB75" w14:textId="77777777" w:rsidR="00DB0B02" w:rsidRPr="008A3FA9" w:rsidRDefault="00DB0B02"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0</w:t>
            </w:r>
          </w:p>
        </w:tc>
        <w:tc>
          <w:tcPr>
            <w:tcW w:w="696" w:type="dxa"/>
            <w:shd w:val="clear" w:color="auto" w:fill="FFFFFF"/>
            <w:vAlign w:val="center"/>
          </w:tcPr>
          <w:p w14:paraId="7CED47A1" w14:textId="77777777" w:rsidR="00DB0B02" w:rsidRPr="008A3FA9" w:rsidRDefault="00DB0B02"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0</w:t>
            </w:r>
          </w:p>
        </w:tc>
        <w:tc>
          <w:tcPr>
            <w:tcW w:w="696" w:type="dxa"/>
            <w:gridSpan w:val="3"/>
            <w:shd w:val="clear" w:color="auto" w:fill="FFFFFF"/>
            <w:vAlign w:val="center"/>
          </w:tcPr>
          <w:p w14:paraId="35E1DCB5" w14:textId="77777777" w:rsidR="00DB0B02" w:rsidRPr="008A3FA9" w:rsidRDefault="00DB0B02"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0</w:t>
            </w:r>
          </w:p>
        </w:tc>
        <w:tc>
          <w:tcPr>
            <w:tcW w:w="696" w:type="dxa"/>
            <w:gridSpan w:val="3"/>
            <w:shd w:val="clear" w:color="auto" w:fill="FFFFFF"/>
            <w:vAlign w:val="center"/>
          </w:tcPr>
          <w:p w14:paraId="34DCD0EA" w14:textId="77777777" w:rsidR="00DB0B02" w:rsidRPr="008A3FA9" w:rsidRDefault="00DB0B02"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0</w:t>
            </w:r>
          </w:p>
        </w:tc>
        <w:tc>
          <w:tcPr>
            <w:tcW w:w="696" w:type="dxa"/>
            <w:gridSpan w:val="2"/>
            <w:shd w:val="clear" w:color="auto" w:fill="FFFFFF"/>
            <w:vAlign w:val="center"/>
          </w:tcPr>
          <w:p w14:paraId="16476D96" w14:textId="77777777" w:rsidR="00DB0B02" w:rsidRPr="008A3FA9" w:rsidRDefault="00DB0B02"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0</w:t>
            </w:r>
          </w:p>
        </w:tc>
        <w:tc>
          <w:tcPr>
            <w:tcW w:w="696" w:type="dxa"/>
            <w:gridSpan w:val="2"/>
            <w:shd w:val="clear" w:color="auto" w:fill="FFFFFF"/>
            <w:vAlign w:val="center"/>
          </w:tcPr>
          <w:p w14:paraId="4D43DF65" w14:textId="77777777" w:rsidR="00DB0B02" w:rsidRPr="008A3FA9" w:rsidRDefault="00DB0B02"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0</w:t>
            </w:r>
          </w:p>
        </w:tc>
        <w:tc>
          <w:tcPr>
            <w:tcW w:w="696" w:type="dxa"/>
            <w:gridSpan w:val="2"/>
            <w:shd w:val="clear" w:color="auto" w:fill="FFFFFF"/>
            <w:vAlign w:val="center"/>
          </w:tcPr>
          <w:p w14:paraId="3FDDFF9B" w14:textId="77777777" w:rsidR="00DB0B02" w:rsidRPr="008A3FA9" w:rsidRDefault="00DB0B02"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0</w:t>
            </w:r>
          </w:p>
        </w:tc>
        <w:tc>
          <w:tcPr>
            <w:tcW w:w="696" w:type="dxa"/>
            <w:gridSpan w:val="3"/>
            <w:shd w:val="clear" w:color="auto" w:fill="FFFFFF"/>
            <w:vAlign w:val="center"/>
          </w:tcPr>
          <w:p w14:paraId="42A3B5F3" w14:textId="77777777" w:rsidR="00DB0B02" w:rsidRPr="008A3FA9" w:rsidRDefault="00DB0B02"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0</w:t>
            </w:r>
          </w:p>
        </w:tc>
        <w:tc>
          <w:tcPr>
            <w:tcW w:w="696" w:type="dxa"/>
            <w:shd w:val="clear" w:color="auto" w:fill="FFFFFF"/>
            <w:vAlign w:val="center"/>
          </w:tcPr>
          <w:p w14:paraId="1D88008C" w14:textId="77777777" w:rsidR="00DB0B02" w:rsidRPr="008A3FA9" w:rsidRDefault="00DB0B02"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0</w:t>
            </w:r>
          </w:p>
        </w:tc>
        <w:tc>
          <w:tcPr>
            <w:tcW w:w="696" w:type="dxa"/>
            <w:gridSpan w:val="2"/>
            <w:shd w:val="clear" w:color="auto" w:fill="FFFFFF"/>
            <w:vAlign w:val="center"/>
          </w:tcPr>
          <w:p w14:paraId="0589C977" w14:textId="77777777" w:rsidR="00DB0B02" w:rsidRPr="008A3FA9" w:rsidRDefault="00DB0B02"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0</w:t>
            </w:r>
          </w:p>
        </w:tc>
        <w:tc>
          <w:tcPr>
            <w:tcW w:w="696" w:type="dxa"/>
            <w:gridSpan w:val="2"/>
            <w:shd w:val="clear" w:color="auto" w:fill="FFFFFF"/>
            <w:vAlign w:val="center"/>
          </w:tcPr>
          <w:p w14:paraId="12027C1A" w14:textId="77777777" w:rsidR="00DB0B02" w:rsidRPr="008A3FA9" w:rsidRDefault="00DB0B02"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0</w:t>
            </w:r>
          </w:p>
        </w:tc>
        <w:tc>
          <w:tcPr>
            <w:tcW w:w="971" w:type="dxa"/>
            <w:shd w:val="clear" w:color="auto" w:fill="FFFFFF"/>
          </w:tcPr>
          <w:p w14:paraId="045FA8D2" w14:textId="77777777" w:rsidR="00DB0B02" w:rsidRPr="008A3FA9" w:rsidRDefault="00DB0B02" w:rsidP="008A3FA9">
            <w:pPr>
              <w:spacing w:before="60" w:after="60"/>
              <w:ind w:left="-108" w:right="-122"/>
              <w:jc w:val="center"/>
              <w:rPr>
                <w:rFonts w:ascii="Times New Roman" w:hAnsi="Times New Roman" w:cs="Times New Roman"/>
                <w:color w:val="000000"/>
                <w:sz w:val="20"/>
                <w:szCs w:val="20"/>
              </w:rPr>
            </w:pPr>
            <w:r w:rsidRPr="008A3FA9">
              <w:rPr>
                <w:rFonts w:ascii="Times New Roman" w:hAnsi="Times New Roman" w:cs="Times New Roman"/>
                <w:color w:val="000000"/>
                <w:sz w:val="20"/>
                <w:szCs w:val="20"/>
              </w:rPr>
              <w:t>0</w:t>
            </w:r>
          </w:p>
        </w:tc>
      </w:tr>
      <w:tr w:rsidR="00DB0B02" w:rsidRPr="00067989" w14:paraId="6930276E" w14:textId="77777777" w:rsidTr="008A3FA9">
        <w:trPr>
          <w:gridAfter w:val="1"/>
          <w:wAfter w:w="61" w:type="dxa"/>
          <w:trHeight w:val="348"/>
          <w:jc w:val="center"/>
        </w:trPr>
        <w:tc>
          <w:tcPr>
            <w:tcW w:w="1888" w:type="dxa"/>
            <w:gridSpan w:val="3"/>
            <w:shd w:val="clear" w:color="auto" w:fill="FFFFFF"/>
            <w:vAlign w:val="center"/>
          </w:tcPr>
          <w:p w14:paraId="7010C87C" w14:textId="77777777" w:rsidR="00DB0B02" w:rsidRPr="00067989" w:rsidRDefault="00DB0B02" w:rsidP="00067989">
            <w:pPr>
              <w:spacing w:before="60" w:after="60"/>
              <w:rPr>
                <w:rFonts w:ascii="Times New Roman" w:hAnsi="Times New Roman" w:cs="Times New Roman"/>
                <w:color w:val="000000" w:themeColor="text1"/>
              </w:rPr>
            </w:pPr>
            <w:r w:rsidRPr="00067989">
              <w:rPr>
                <w:rFonts w:ascii="Times New Roman" w:hAnsi="Times New Roman" w:cs="Times New Roman"/>
                <w:color w:val="000000" w:themeColor="text1"/>
              </w:rPr>
              <w:t xml:space="preserve">Źródła finansowania </w:t>
            </w:r>
          </w:p>
        </w:tc>
        <w:tc>
          <w:tcPr>
            <w:tcW w:w="8678" w:type="dxa"/>
            <w:gridSpan w:val="25"/>
            <w:shd w:val="clear" w:color="auto" w:fill="FFFFFF"/>
            <w:vAlign w:val="center"/>
          </w:tcPr>
          <w:p w14:paraId="4EE81EC1" w14:textId="77777777" w:rsidR="00DB0B02" w:rsidRPr="00067989" w:rsidRDefault="00DB0B02" w:rsidP="008A3FA9">
            <w:p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Środki pochodzące z budżetu UE (POPC), środki budżetu państwa (budżet krajowy)</w:t>
            </w:r>
            <w:r w:rsidR="00713D4E" w:rsidRPr="0006798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przy założeniu, że dane w tabeli prezentowane są od 2020 r. oraz uwzględniają:</w:t>
            </w:r>
          </w:p>
          <w:p w14:paraId="39F0A68F" w14:textId="77777777" w:rsidR="00DB0B02" w:rsidRPr="000E2DF4" w:rsidRDefault="00DB0B02" w:rsidP="008A3FA9">
            <w:pPr>
              <w:pStyle w:val="Akapitzlist"/>
              <w:numPr>
                <w:ilvl w:val="0"/>
                <w:numId w:val="13"/>
              </w:numPr>
              <w:spacing w:before="60" w:after="60"/>
              <w:ind w:left="360"/>
              <w:jc w:val="both"/>
              <w:rPr>
                <w:rFonts w:ascii="Times New Roman" w:hAnsi="Times New Roman" w:cs="Times New Roman"/>
                <w:color w:val="000000" w:themeColor="text1"/>
              </w:rPr>
            </w:pPr>
            <w:r w:rsidRPr="00067989">
              <w:rPr>
                <w:rFonts w:ascii="Times New Roman" w:hAnsi="Times New Roman" w:cs="Times New Roman"/>
                <w:color w:val="000000" w:themeColor="text1"/>
              </w:rPr>
              <w:t>wdrożenie rozwiązania w latach 2020–2022: 61,63 mln zł (w tym: ze środków UE 52,15 mln zł, ze współfinansowania z budżetu państwa</w:t>
            </w:r>
            <w:r w:rsidRPr="00284114">
              <w:rPr>
                <w:rFonts w:ascii="Times New Roman" w:hAnsi="Times New Roman" w:cs="Times New Roman"/>
                <w:color w:val="000000" w:themeColor="text1"/>
              </w:rPr>
              <w:t xml:space="preserve"> w wysokości 9,48</w:t>
            </w:r>
            <w:r w:rsidR="00A30A67" w:rsidRPr="00284114">
              <w:rPr>
                <w:rFonts w:ascii="Times New Roman" w:hAnsi="Times New Roman" w:cs="Times New Roman"/>
                <w:color w:val="000000" w:themeColor="text1"/>
              </w:rPr>
              <w:t xml:space="preserve"> </w:t>
            </w:r>
            <w:r w:rsidRPr="00284114">
              <w:rPr>
                <w:rFonts w:ascii="Times New Roman" w:hAnsi="Times New Roman" w:cs="Times New Roman"/>
                <w:color w:val="000000" w:themeColor="text1"/>
              </w:rPr>
              <w:t>mln zł:</w:t>
            </w:r>
            <w:r w:rsidR="00AB04E9">
              <w:rPr>
                <w:rFonts w:ascii="Times New Roman" w:hAnsi="Times New Roman" w:cs="Times New Roman"/>
                <w:color w:val="000000" w:themeColor="text1"/>
              </w:rPr>
              <w:t xml:space="preserve"> </w:t>
            </w:r>
            <w:r w:rsidRPr="00284114">
              <w:rPr>
                <w:rFonts w:ascii="Times New Roman" w:hAnsi="Times New Roman" w:cs="Times New Roman"/>
                <w:color w:val="000000" w:themeColor="text1"/>
              </w:rPr>
              <w:t>cz. 27</w:t>
            </w:r>
            <w:r w:rsidR="00A30A67" w:rsidRPr="00284114">
              <w:rPr>
                <w:rFonts w:ascii="Times New Roman" w:hAnsi="Times New Roman" w:cs="Times New Roman"/>
                <w:color w:val="000000" w:themeColor="text1"/>
              </w:rPr>
              <w:t xml:space="preserve"> </w:t>
            </w:r>
            <w:r w:rsidR="005F6337">
              <w:rPr>
                <w:rFonts w:ascii="Times New Roman" w:hAnsi="Times New Roman" w:cs="Times New Roman"/>
                <w:color w:val="000000" w:themeColor="text1"/>
              </w:rPr>
              <w:t>–</w:t>
            </w:r>
            <w:r w:rsidR="00A30A67" w:rsidRPr="00284114">
              <w:rPr>
                <w:rFonts w:ascii="Times New Roman" w:hAnsi="Times New Roman" w:cs="Times New Roman"/>
                <w:color w:val="000000" w:themeColor="text1"/>
              </w:rPr>
              <w:t xml:space="preserve"> </w:t>
            </w:r>
            <w:r w:rsidRPr="00284114">
              <w:rPr>
                <w:rFonts w:ascii="Times New Roman" w:hAnsi="Times New Roman" w:cs="Times New Roman"/>
                <w:color w:val="000000" w:themeColor="text1"/>
              </w:rPr>
              <w:t xml:space="preserve">Informatyzacja </w:t>
            </w:r>
            <w:r w:rsidR="005F6337">
              <w:rPr>
                <w:rFonts w:ascii="Times New Roman" w:hAnsi="Times New Roman" w:cs="Times New Roman"/>
                <w:color w:val="000000" w:themeColor="text1"/>
              </w:rPr>
              <w:t>–</w:t>
            </w:r>
            <w:r w:rsidRPr="00284114">
              <w:rPr>
                <w:rFonts w:ascii="Times New Roman" w:hAnsi="Times New Roman" w:cs="Times New Roman"/>
                <w:color w:val="000000" w:themeColor="text1"/>
              </w:rPr>
              <w:t xml:space="preserve"> 8,07 mln zł; cz. 20 </w:t>
            </w:r>
            <w:r w:rsidR="005F6337">
              <w:rPr>
                <w:rFonts w:ascii="Times New Roman" w:hAnsi="Times New Roman" w:cs="Times New Roman"/>
                <w:color w:val="000000" w:themeColor="text1"/>
              </w:rPr>
              <w:t>–</w:t>
            </w:r>
            <w:r w:rsidRPr="00284114">
              <w:rPr>
                <w:rFonts w:ascii="Times New Roman" w:hAnsi="Times New Roman" w:cs="Times New Roman"/>
                <w:color w:val="000000" w:themeColor="text1"/>
              </w:rPr>
              <w:t xml:space="preserve"> Gospodarka </w:t>
            </w:r>
            <w:r w:rsidR="005F6337">
              <w:rPr>
                <w:rFonts w:ascii="Times New Roman" w:hAnsi="Times New Roman" w:cs="Times New Roman"/>
                <w:color w:val="000000" w:themeColor="text1"/>
              </w:rPr>
              <w:t>–</w:t>
            </w:r>
            <w:r w:rsidRPr="00284114">
              <w:rPr>
                <w:rFonts w:ascii="Times New Roman" w:hAnsi="Times New Roman" w:cs="Times New Roman"/>
                <w:color w:val="000000" w:themeColor="text1"/>
              </w:rPr>
              <w:t xml:space="preserve"> 1,16</w:t>
            </w:r>
            <w:r w:rsidR="00A30A67" w:rsidRPr="00284114">
              <w:rPr>
                <w:rFonts w:ascii="Times New Roman" w:hAnsi="Times New Roman" w:cs="Times New Roman"/>
                <w:color w:val="000000" w:themeColor="text1"/>
              </w:rPr>
              <w:t xml:space="preserve"> </w:t>
            </w:r>
            <w:r w:rsidRPr="00284114">
              <w:rPr>
                <w:rFonts w:ascii="Times New Roman" w:hAnsi="Times New Roman" w:cs="Times New Roman"/>
                <w:color w:val="000000" w:themeColor="text1"/>
              </w:rPr>
              <w:t>mln zł, cz. 76 – Urząd Komunikacji Elektronicznej – 0,25 mln zł).</w:t>
            </w:r>
            <w:r w:rsidR="00AB04E9">
              <w:rPr>
                <w:rFonts w:ascii="Times New Roman" w:hAnsi="Times New Roman" w:cs="Times New Roman"/>
                <w:color w:val="000000" w:themeColor="text1"/>
              </w:rPr>
              <w:t xml:space="preserve"> </w:t>
            </w:r>
            <w:r w:rsidRPr="00284114">
              <w:rPr>
                <w:rFonts w:ascii="Times New Roman" w:hAnsi="Times New Roman" w:cs="Times New Roman"/>
                <w:color w:val="000000" w:themeColor="text1"/>
              </w:rPr>
              <w:t xml:space="preserve">Zakłada się rozpoczęcie realizacji projektu w 2019 r. Na wdrożenie rozwiązania w latach </w:t>
            </w:r>
            <w:r w:rsidRPr="000E2DF4">
              <w:rPr>
                <w:rFonts w:ascii="Times New Roman" w:hAnsi="Times New Roman" w:cs="Times New Roman"/>
                <w:color w:val="000000" w:themeColor="text1"/>
              </w:rPr>
              <w:t>2019–2022: 79,98 mln zł (w tym ze środków UE 67,68 mln zł, z budżetu państwa 12,30 mln zł:</w:t>
            </w:r>
            <w:r w:rsidR="00AB04E9">
              <w:rPr>
                <w:rFonts w:ascii="Times New Roman" w:hAnsi="Times New Roman" w:cs="Times New Roman"/>
                <w:color w:val="000000" w:themeColor="text1"/>
              </w:rPr>
              <w:t xml:space="preserve"> </w:t>
            </w:r>
            <w:r w:rsidRPr="000E2DF4">
              <w:rPr>
                <w:rFonts w:ascii="Times New Roman" w:hAnsi="Times New Roman" w:cs="Times New Roman"/>
                <w:color w:val="000000" w:themeColor="text1"/>
              </w:rPr>
              <w:t>cz. 27 – Informatyzacja – 10,52 mln zł; cz.</w:t>
            </w:r>
            <w:r w:rsidR="00A30A67" w:rsidRPr="000E2DF4">
              <w:rPr>
                <w:rFonts w:ascii="Times New Roman" w:hAnsi="Times New Roman" w:cs="Times New Roman"/>
                <w:color w:val="000000" w:themeColor="text1"/>
              </w:rPr>
              <w:t xml:space="preserve"> </w:t>
            </w:r>
            <w:r w:rsidRPr="000E2DF4">
              <w:rPr>
                <w:rFonts w:ascii="Times New Roman" w:hAnsi="Times New Roman" w:cs="Times New Roman"/>
                <w:color w:val="000000" w:themeColor="text1"/>
              </w:rPr>
              <w:t xml:space="preserve">20 – Gospodarka 1,48 mln zł, cz. 76 – UKE 0,30 mln zł). </w:t>
            </w:r>
            <w:r w:rsidR="00A30A67" w:rsidRPr="000E2DF4">
              <w:rPr>
                <w:rFonts w:ascii="Times New Roman" w:hAnsi="Times New Roman" w:cs="Times New Roman"/>
                <w:color w:val="000000" w:themeColor="text1"/>
              </w:rPr>
              <w:t>F</w:t>
            </w:r>
            <w:r w:rsidRPr="000E2DF4">
              <w:rPr>
                <w:rFonts w:ascii="Times New Roman" w:hAnsi="Times New Roman" w:cs="Times New Roman"/>
                <w:color w:val="000000" w:themeColor="text1"/>
              </w:rPr>
              <w:t>inansowanie utrzymania w okresie 2020</w:t>
            </w:r>
            <w:r w:rsidR="005F6337">
              <w:rPr>
                <w:rFonts w:ascii="Times New Roman" w:hAnsi="Times New Roman" w:cs="Times New Roman"/>
                <w:color w:val="000000" w:themeColor="text1"/>
              </w:rPr>
              <w:t>–</w:t>
            </w:r>
            <w:r w:rsidRPr="000E2DF4">
              <w:rPr>
                <w:rFonts w:ascii="Times New Roman" w:hAnsi="Times New Roman" w:cs="Times New Roman"/>
                <w:color w:val="000000" w:themeColor="text1"/>
              </w:rPr>
              <w:t>2030 przypada 144,78 mln zł (w tym: cz. 27 – Informatyzacja – 120,14 mln zł; cz. 20 – Gospodarka 24,64 mln zł)</w:t>
            </w:r>
            <w:r w:rsidR="00A30A67" w:rsidRPr="000E2DF4">
              <w:rPr>
                <w:rFonts w:ascii="Times New Roman" w:hAnsi="Times New Roman" w:cs="Times New Roman"/>
                <w:color w:val="000000" w:themeColor="text1"/>
              </w:rPr>
              <w:t>,</w:t>
            </w:r>
          </w:p>
          <w:p w14:paraId="60328A9F" w14:textId="77777777" w:rsidR="00DB0B02" w:rsidRPr="007F0EC5" w:rsidRDefault="00DB0B02" w:rsidP="008A3FA9">
            <w:pPr>
              <w:pStyle w:val="Akapitzlist"/>
              <w:numPr>
                <w:ilvl w:val="0"/>
                <w:numId w:val="13"/>
              </w:numPr>
              <w:spacing w:before="60" w:after="60"/>
              <w:ind w:left="360"/>
              <w:jc w:val="both"/>
              <w:rPr>
                <w:rFonts w:ascii="Times New Roman" w:hAnsi="Times New Roman" w:cs="Times New Roman"/>
                <w:color w:val="000000" w:themeColor="text1"/>
              </w:rPr>
            </w:pPr>
            <w:r w:rsidRPr="000E2DF4">
              <w:rPr>
                <w:rFonts w:ascii="Times New Roman" w:hAnsi="Times New Roman" w:cs="Times New Roman"/>
                <w:color w:val="000000" w:themeColor="text1"/>
              </w:rPr>
              <w:t>wybór operatora wyznaczonego w 2025</w:t>
            </w:r>
            <w:r w:rsidR="00A30A67" w:rsidRPr="000E2DF4">
              <w:rPr>
                <w:rFonts w:ascii="Times New Roman" w:hAnsi="Times New Roman" w:cs="Times New Roman"/>
                <w:color w:val="000000" w:themeColor="text1"/>
              </w:rPr>
              <w:t xml:space="preserve"> r.</w:t>
            </w:r>
            <w:r w:rsidRPr="000E2DF4">
              <w:rPr>
                <w:rFonts w:ascii="Times New Roman" w:hAnsi="Times New Roman" w:cs="Times New Roman"/>
                <w:color w:val="000000" w:themeColor="text1"/>
              </w:rPr>
              <w:t xml:space="preserve"> w poszerzonej formule</w:t>
            </w:r>
            <w:r w:rsidR="00AB04E9">
              <w:rPr>
                <w:rFonts w:ascii="Times New Roman" w:hAnsi="Times New Roman" w:cs="Times New Roman"/>
                <w:color w:val="000000" w:themeColor="text1"/>
              </w:rPr>
              <w:t xml:space="preserve"> </w:t>
            </w:r>
            <w:r w:rsidRPr="000E2DF4">
              <w:rPr>
                <w:rFonts w:ascii="Times New Roman" w:hAnsi="Times New Roman" w:cs="Times New Roman"/>
                <w:color w:val="000000" w:themeColor="text1"/>
              </w:rPr>
              <w:t xml:space="preserve">– powołanie interdyscyplinarnego zespołu ekspertów, koszty ekspertyzy: </w:t>
            </w:r>
            <w:r w:rsidR="00D32376" w:rsidRPr="000E2DF4">
              <w:rPr>
                <w:rFonts w:ascii="Times New Roman" w:hAnsi="Times New Roman" w:cs="Times New Roman"/>
                <w:color w:val="000000" w:themeColor="text1"/>
              </w:rPr>
              <w:t>1</w:t>
            </w:r>
            <w:r w:rsidRPr="000E2DF4">
              <w:rPr>
                <w:rFonts w:ascii="Times New Roman" w:hAnsi="Times New Roman" w:cs="Times New Roman"/>
                <w:color w:val="000000" w:themeColor="text1"/>
              </w:rPr>
              <w:t>,</w:t>
            </w:r>
            <w:r w:rsidR="00D32376" w:rsidRPr="000E2DF4">
              <w:rPr>
                <w:rFonts w:ascii="Times New Roman" w:hAnsi="Times New Roman" w:cs="Times New Roman"/>
                <w:color w:val="000000" w:themeColor="text1"/>
              </w:rPr>
              <w:t>93</w:t>
            </w:r>
            <w:r w:rsidRPr="000E2DF4">
              <w:rPr>
                <w:rFonts w:ascii="Times New Roman" w:hAnsi="Times New Roman" w:cs="Times New Roman"/>
                <w:color w:val="000000" w:themeColor="text1"/>
              </w:rPr>
              <w:t xml:space="preserve"> mln zł (cz. 76 – Urząd Komunikacji Elek</w:t>
            </w:r>
            <w:r w:rsidRPr="00E42D6D">
              <w:rPr>
                <w:rFonts w:ascii="Times New Roman" w:hAnsi="Times New Roman" w:cs="Times New Roman"/>
                <w:color w:val="000000" w:themeColor="text1"/>
              </w:rPr>
              <w:t>tronicznej),</w:t>
            </w:r>
          </w:p>
          <w:p w14:paraId="0DFCEB54" w14:textId="77777777" w:rsidR="00DB0B02" w:rsidRPr="00067989" w:rsidRDefault="00DB0B02" w:rsidP="008A3FA9">
            <w:pPr>
              <w:pStyle w:val="Akapitzlist"/>
              <w:numPr>
                <w:ilvl w:val="0"/>
                <w:numId w:val="13"/>
              </w:numPr>
              <w:spacing w:before="60" w:after="60"/>
              <w:ind w:left="360"/>
              <w:jc w:val="both"/>
              <w:rPr>
                <w:rFonts w:ascii="Times New Roman" w:hAnsi="Times New Roman" w:cs="Times New Roman"/>
                <w:color w:val="000000" w:themeColor="text1"/>
              </w:rPr>
            </w:pPr>
            <w:r w:rsidRPr="00080920">
              <w:rPr>
                <w:rFonts w:ascii="Times New Roman" w:hAnsi="Times New Roman" w:cs="Times New Roman"/>
                <w:color w:val="000000" w:themeColor="text1"/>
              </w:rPr>
              <w:t>kontrolę i nadzór nad operatorem wyznaczonym:</w:t>
            </w:r>
            <w:r w:rsidR="00A30A67" w:rsidRPr="0006798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9,97 mln zł (cz. 76 – Urząd Komunikacji Elektronicznej)</w:t>
            </w:r>
            <w:r w:rsidR="00A30A67" w:rsidRPr="00067989">
              <w:rPr>
                <w:rFonts w:ascii="Times New Roman" w:hAnsi="Times New Roman" w:cs="Times New Roman"/>
                <w:color w:val="000000" w:themeColor="text1"/>
              </w:rPr>
              <w:t>,</w:t>
            </w:r>
          </w:p>
          <w:p w14:paraId="3ADCA8C4" w14:textId="77777777" w:rsidR="00F063A6" w:rsidRPr="007F0EC5" w:rsidRDefault="00DB0B02" w:rsidP="008A3FA9">
            <w:pPr>
              <w:pStyle w:val="Akapitzlist"/>
              <w:numPr>
                <w:ilvl w:val="0"/>
                <w:numId w:val="13"/>
              </w:numPr>
              <w:spacing w:before="60" w:after="60"/>
              <w:ind w:left="360"/>
              <w:jc w:val="both"/>
              <w:rPr>
                <w:rFonts w:ascii="Times New Roman" w:hAnsi="Times New Roman" w:cs="Times New Roman"/>
                <w:color w:val="000000" w:themeColor="text1"/>
              </w:rPr>
            </w:pPr>
            <w:r w:rsidRPr="00067989">
              <w:rPr>
                <w:rFonts w:ascii="Times New Roman" w:hAnsi="Times New Roman" w:cs="Times New Roman"/>
                <w:color w:val="000000" w:themeColor="text1"/>
              </w:rPr>
              <w:t xml:space="preserve">dotacja przedmiotowa dla </w:t>
            </w:r>
            <w:r w:rsidR="00A30A67" w:rsidRPr="00067989">
              <w:rPr>
                <w:rFonts w:ascii="Times New Roman" w:hAnsi="Times New Roman" w:cs="Times New Roman"/>
                <w:color w:val="000000" w:themeColor="text1"/>
              </w:rPr>
              <w:t>o</w:t>
            </w:r>
            <w:r w:rsidRPr="00067989">
              <w:rPr>
                <w:rFonts w:ascii="Times New Roman" w:hAnsi="Times New Roman" w:cs="Times New Roman"/>
                <w:color w:val="000000" w:themeColor="text1"/>
              </w:rPr>
              <w:t xml:space="preserve">peratora </w:t>
            </w:r>
            <w:r w:rsidR="00A30A67" w:rsidRPr="00067989">
              <w:rPr>
                <w:rFonts w:ascii="Times New Roman" w:hAnsi="Times New Roman" w:cs="Times New Roman"/>
                <w:color w:val="000000" w:themeColor="text1"/>
              </w:rPr>
              <w:t xml:space="preserve">wyznaczonego </w:t>
            </w:r>
            <w:r w:rsidRPr="00067989">
              <w:rPr>
                <w:rFonts w:ascii="Times New Roman" w:hAnsi="Times New Roman" w:cs="Times New Roman"/>
                <w:color w:val="000000" w:themeColor="text1"/>
              </w:rPr>
              <w:t>z tytułu realizacji transferów od podmiotu niepublicznego do podmiotu publicznego przy użyciu publicznej usługi rejestrowanego doręczenia elektronicznego udzielana będzie z</w:t>
            </w:r>
            <w:r w:rsidR="00B61642" w:rsidRPr="0006798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części 26 budżetu państwa przez ministra właściwego ds. łączności, w</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 xml:space="preserve">łącznej wysokości </w:t>
            </w:r>
            <w:r w:rsidR="00B61642" w:rsidRPr="00067989">
              <w:rPr>
                <w:rFonts w:ascii="Times New Roman" w:hAnsi="Times New Roman" w:cs="Times New Roman"/>
                <w:color w:val="000000" w:themeColor="text1"/>
              </w:rPr>
              <w:t>1</w:t>
            </w:r>
            <w:r w:rsidR="00AB04E9">
              <w:rPr>
                <w:rFonts w:ascii="Times New Roman" w:hAnsi="Times New Roman" w:cs="Times New Roman"/>
                <w:color w:val="000000" w:themeColor="text1"/>
              </w:rPr>
              <w:t xml:space="preserve"> </w:t>
            </w:r>
            <w:r w:rsidR="00B61642" w:rsidRPr="00067989">
              <w:rPr>
                <w:rFonts w:ascii="Times New Roman" w:hAnsi="Times New Roman" w:cs="Times New Roman"/>
                <w:color w:val="000000" w:themeColor="text1"/>
              </w:rPr>
              <w:t>146 mln zł</w:t>
            </w:r>
            <w:r w:rsidR="00B61642" w:rsidRPr="00067989" w:rsidDel="00734323">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w latach 2021</w:t>
            </w:r>
            <w:r w:rsidR="000E2DF4">
              <w:rPr>
                <w:rFonts w:ascii="Times New Roman" w:hAnsi="Times New Roman" w:cs="Times New Roman"/>
                <w:color w:val="000000" w:themeColor="text1"/>
              </w:rPr>
              <w:t>–</w:t>
            </w:r>
            <w:r w:rsidRPr="000E2DF4">
              <w:rPr>
                <w:rFonts w:ascii="Times New Roman" w:hAnsi="Times New Roman" w:cs="Times New Roman"/>
                <w:color w:val="000000" w:themeColor="text1"/>
              </w:rPr>
              <w:t>2030</w:t>
            </w:r>
            <w:r w:rsidR="00A30A67" w:rsidRPr="00E42D6D">
              <w:rPr>
                <w:rFonts w:ascii="Times New Roman" w:hAnsi="Times New Roman" w:cs="Times New Roman"/>
                <w:color w:val="000000" w:themeColor="text1"/>
              </w:rPr>
              <w:t>.</w:t>
            </w:r>
          </w:p>
          <w:p w14:paraId="3E434A55" w14:textId="77777777" w:rsidR="00DB0B02" w:rsidRPr="00067989" w:rsidRDefault="00F063A6" w:rsidP="008A3FA9">
            <w:pPr>
              <w:pStyle w:val="Akapitzlist"/>
              <w:spacing w:before="60" w:after="60"/>
              <w:ind w:left="360"/>
              <w:jc w:val="both"/>
              <w:rPr>
                <w:rFonts w:ascii="Times New Roman" w:hAnsi="Times New Roman" w:cs="Times New Roman"/>
                <w:color w:val="000000" w:themeColor="text1"/>
              </w:rPr>
            </w:pPr>
            <w:r w:rsidRPr="00080920">
              <w:rPr>
                <w:rFonts w:ascii="Times New Roman" w:hAnsi="Times New Roman" w:cs="Times New Roman"/>
                <w:color w:val="000000" w:themeColor="text1"/>
              </w:rPr>
              <w:t xml:space="preserve">Dotacja przedmiotowa </w:t>
            </w:r>
            <w:r w:rsidR="00217523" w:rsidRPr="00067989">
              <w:rPr>
                <w:rFonts w:ascii="Times New Roman" w:hAnsi="Times New Roman" w:cs="Times New Roman"/>
                <w:color w:val="000000" w:themeColor="text1"/>
              </w:rPr>
              <w:t xml:space="preserve">została ujęta w tabeli przedstawiającej skutki wejścia w życie </w:t>
            </w:r>
            <w:r w:rsidRPr="00067989">
              <w:rPr>
                <w:rFonts w:ascii="Times New Roman" w:hAnsi="Times New Roman" w:cs="Times New Roman"/>
                <w:color w:val="000000" w:themeColor="text1"/>
              </w:rPr>
              <w:t>zmian</w:t>
            </w:r>
            <w:r w:rsidR="00DB0B02" w:rsidRPr="00067989">
              <w:rPr>
                <w:rFonts w:ascii="Times New Roman" w:hAnsi="Times New Roman" w:cs="Times New Roman"/>
                <w:color w:val="000000" w:themeColor="text1"/>
              </w:rPr>
              <w:t xml:space="preserve">. </w:t>
            </w:r>
          </w:p>
          <w:p w14:paraId="368784A2" w14:textId="593EFCC8" w:rsidR="00F063A6" w:rsidRPr="00067989" w:rsidRDefault="00F063A6" w:rsidP="008A3FA9">
            <w:pPr>
              <w:spacing w:before="60" w:after="60"/>
              <w:jc w:val="both"/>
              <w:rPr>
                <w:rFonts w:ascii="Times New Roman" w:hAnsi="Times New Roman" w:cs="Times New Roman"/>
                <w:color w:val="000000" w:themeColor="text1"/>
                <w:u w:val="single"/>
              </w:rPr>
            </w:pPr>
            <w:r w:rsidRPr="00067989">
              <w:rPr>
                <w:rFonts w:ascii="Times New Roman" w:hAnsi="Times New Roman" w:cs="Times New Roman"/>
                <w:color w:val="000000" w:themeColor="text1"/>
                <w:u w:val="single"/>
              </w:rPr>
              <w:lastRenderedPageBreak/>
              <w:t>W tabeli zbiorczej prezentowane są wydatki od 2020 r</w:t>
            </w:r>
            <w:r w:rsidR="00A30A67" w:rsidRPr="00067989">
              <w:rPr>
                <w:rFonts w:ascii="Times New Roman" w:hAnsi="Times New Roman" w:cs="Times New Roman"/>
                <w:color w:val="000000" w:themeColor="text1"/>
                <w:u w:val="single"/>
              </w:rPr>
              <w:t>.</w:t>
            </w:r>
            <w:r w:rsidRPr="00067989">
              <w:rPr>
                <w:rFonts w:ascii="Times New Roman" w:hAnsi="Times New Roman" w:cs="Times New Roman"/>
                <w:color w:val="000000" w:themeColor="text1"/>
                <w:u w:val="single"/>
              </w:rPr>
              <w:t xml:space="preserve"> z uwagi na fakt, że ustawa wchodzi w</w:t>
            </w:r>
            <w:r w:rsidR="001B514F">
              <w:rPr>
                <w:rFonts w:ascii="Times New Roman" w:hAnsi="Times New Roman" w:cs="Times New Roman"/>
                <w:color w:val="000000" w:themeColor="text1"/>
                <w:u w:val="single"/>
              </w:rPr>
              <w:t> </w:t>
            </w:r>
            <w:r w:rsidRPr="00067989">
              <w:rPr>
                <w:rFonts w:ascii="Times New Roman" w:hAnsi="Times New Roman" w:cs="Times New Roman"/>
                <w:color w:val="000000" w:themeColor="text1"/>
                <w:u w:val="single"/>
              </w:rPr>
              <w:t>życie w IV kwartale 2020 r</w:t>
            </w:r>
            <w:r w:rsidR="00A30A67" w:rsidRPr="00067989">
              <w:rPr>
                <w:rFonts w:ascii="Times New Roman" w:hAnsi="Times New Roman" w:cs="Times New Roman"/>
                <w:color w:val="000000" w:themeColor="text1"/>
                <w:u w:val="single"/>
              </w:rPr>
              <w:t>.</w:t>
            </w:r>
            <w:r w:rsidR="00EE3C14" w:rsidRPr="00067989">
              <w:rPr>
                <w:rFonts w:ascii="Times New Roman" w:hAnsi="Times New Roman" w:cs="Times New Roman"/>
                <w:color w:val="000000" w:themeColor="text1"/>
                <w:u w:val="single"/>
              </w:rPr>
              <w:t xml:space="preserve"> przy czym dotacja została ujęta od 2021 r. ze względu na to że </w:t>
            </w:r>
            <w:r w:rsidR="00021293" w:rsidRPr="00067989">
              <w:rPr>
                <w:rFonts w:ascii="Times New Roman" w:hAnsi="Times New Roman" w:cs="Times New Roman"/>
                <w:color w:val="000000" w:themeColor="text1"/>
                <w:u w:val="single"/>
              </w:rPr>
              <w:t>operator wyznaczony będzie obowiązany świadczyć</w:t>
            </w:r>
            <w:r w:rsidR="00EE3C14" w:rsidRPr="00067989">
              <w:rPr>
                <w:rFonts w:ascii="Times New Roman" w:hAnsi="Times New Roman" w:cs="Times New Roman"/>
                <w:color w:val="000000" w:themeColor="text1"/>
                <w:u w:val="single"/>
              </w:rPr>
              <w:t xml:space="preserve"> </w:t>
            </w:r>
            <w:r w:rsidR="00021293" w:rsidRPr="00067989">
              <w:rPr>
                <w:rFonts w:ascii="Times New Roman" w:hAnsi="Times New Roman" w:cs="Times New Roman"/>
                <w:color w:val="000000" w:themeColor="text1"/>
                <w:u w:val="single"/>
              </w:rPr>
              <w:t xml:space="preserve">projektowane </w:t>
            </w:r>
            <w:r w:rsidR="00EE3C14" w:rsidRPr="00067989">
              <w:rPr>
                <w:rFonts w:ascii="Times New Roman" w:hAnsi="Times New Roman" w:cs="Times New Roman"/>
                <w:color w:val="000000" w:themeColor="text1"/>
                <w:u w:val="single"/>
              </w:rPr>
              <w:t xml:space="preserve">usługi </w:t>
            </w:r>
            <w:r w:rsidR="00E24720" w:rsidRPr="00067989">
              <w:rPr>
                <w:rFonts w:ascii="Times New Roman" w:hAnsi="Times New Roman" w:cs="Times New Roman"/>
                <w:color w:val="000000" w:themeColor="text1"/>
                <w:u w:val="single"/>
              </w:rPr>
              <w:t xml:space="preserve">od stycznia </w:t>
            </w:r>
            <w:r w:rsidR="00EE3C14" w:rsidRPr="00067989">
              <w:rPr>
                <w:rFonts w:ascii="Times New Roman" w:hAnsi="Times New Roman" w:cs="Times New Roman"/>
                <w:color w:val="000000" w:themeColor="text1"/>
                <w:u w:val="single"/>
              </w:rPr>
              <w:t>2021 r</w:t>
            </w:r>
            <w:r w:rsidRPr="00067989">
              <w:rPr>
                <w:rFonts w:ascii="Times New Roman" w:hAnsi="Times New Roman" w:cs="Times New Roman"/>
                <w:color w:val="000000" w:themeColor="text1"/>
                <w:u w:val="single"/>
              </w:rPr>
              <w:t xml:space="preserve">. </w:t>
            </w:r>
            <w:r w:rsidR="00EE3C14" w:rsidRPr="00067989">
              <w:rPr>
                <w:rFonts w:ascii="Times New Roman" w:hAnsi="Times New Roman" w:cs="Times New Roman"/>
                <w:color w:val="000000" w:themeColor="text1"/>
                <w:u w:val="single"/>
              </w:rPr>
              <w:t>D</w:t>
            </w:r>
            <w:r w:rsidRPr="00067989">
              <w:rPr>
                <w:rFonts w:ascii="Times New Roman" w:hAnsi="Times New Roman" w:cs="Times New Roman"/>
                <w:color w:val="000000" w:themeColor="text1"/>
                <w:u w:val="single"/>
              </w:rPr>
              <w:t>la zagregowanych wielkości w podziale na poszczególne części budżetu państwa zgodnie z</w:t>
            </w:r>
            <w:r w:rsidR="001B514F">
              <w:rPr>
                <w:rFonts w:ascii="Times New Roman" w:hAnsi="Times New Roman" w:cs="Times New Roman"/>
                <w:color w:val="000000" w:themeColor="text1"/>
                <w:u w:val="single"/>
              </w:rPr>
              <w:t> </w:t>
            </w:r>
            <w:r w:rsidRPr="00067989">
              <w:rPr>
                <w:rFonts w:ascii="Times New Roman" w:hAnsi="Times New Roman" w:cs="Times New Roman"/>
                <w:color w:val="000000" w:themeColor="text1"/>
                <w:u w:val="single"/>
              </w:rPr>
              <w:t>regułą wydatkową</w:t>
            </w:r>
            <w:r w:rsidR="001D5A84" w:rsidRPr="00067989">
              <w:rPr>
                <w:rStyle w:val="Odwoanieprzypisudolnego"/>
                <w:rFonts w:ascii="Times New Roman" w:hAnsi="Times New Roman" w:cs="Times New Roman"/>
                <w:color w:val="000000" w:themeColor="text1"/>
                <w:u w:val="single"/>
              </w:rPr>
              <w:footnoteReference w:id="13"/>
            </w:r>
            <w:r w:rsidR="000E2DF4" w:rsidRPr="008A3FA9">
              <w:rPr>
                <w:rFonts w:ascii="Times New Roman" w:hAnsi="Times New Roman" w:cs="Times New Roman"/>
                <w:color w:val="000000" w:themeColor="text1"/>
                <w:vertAlign w:val="superscript"/>
              </w:rPr>
              <w:t>)</w:t>
            </w:r>
            <w:r w:rsidRPr="00067989">
              <w:rPr>
                <w:rFonts w:ascii="Times New Roman" w:hAnsi="Times New Roman" w:cs="Times New Roman"/>
                <w:color w:val="000000" w:themeColor="text1"/>
                <w:u w:val="single"/>
              </w:rPr>
              <w:t xml:space="preserve"> przypada:</w:t>
            </w:r>
          </w:p>
          <w:p w14:paraId="07F807F5" w14:textId="77777777" w:rsidR="00F063A6" w:rsidRPr="00067989" w:rsidRDefault="00F063A6" w:rsidP="00284114">
            <w:pPr>
              <w:pStyle w:val="Akapitzlist"/>
              <w:spacing w:before="60" w:after="60"/>
              <w:rPr>
                <w:rFonts w:ascii="Times New Roman" w:hAnsi="Times New Roman" w:cs="Times New Roman"/>
                <w:color w:val="000000" w:themeColor="text1"/>
                <w:u w:val="single"/>
              </w:rPr>
            </w:pPr>
          </w:p>
          <w:p w14:paraId="5155F1F5" w14:textId="77777777" w:rsidR="00F063A6" w:rsidRPr="00067989" w:rsidRDefault="00D32376" w:rsidP="008A3FA9">
            <w:pPr>
              <w:pStyle w:val="Akapitzlist"/>
              <w:spacing w:before="60" w:after="60"/>
              <w:ind w:left="0"/>
              <w:rPr>
                <w:rFonts w:ascii="Times New Roman" w:hAnsi="Times New Roman" w:cs="Times New Roman"/>
                <w:color w:val="000000" w:themeColor="text1"/>
              </w:rPr>
            </w:pPr>
            <w:r w:rsidRPr="00067989">
              <w:rPr>
                <w:rFonts w:ascii="Times New Roman" w:hAnsi="Times New Roman" w:cs="Times New Roman"/>
                <w:noProof/>
                <w:lang w:eastAsia="pl-PL"/>
              </w:rPr>
              <w:drawing>
                <wp:inline distT="0" distB="0" distL="0" distR="0" wp14:anchorId="6D66B71E" wp14:editId="188BDB4F">
                  <wp:extent cx="5300345" cy="324358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00345" cy="3243580"/>
                          </a:xfrm>
                          <a:prstGeom prst="rect">
                            <a:avLst/>
                          </a:prstGeom>
                        </pic:spPr>
                      </pic:pic>
                    </a:graphicData>
                  </a:graphic>
                </wp:inline>
              </w:drawing>
            </w:r>
          </w:p>
        </w:tc>
      </w:tr>
      <w:tr w:rsidR="00DB0B02" w:rsidRPr="00067989" w14:paraId="2533ABE2" w14:textId="77777777" w:rsidTr="008A3FA9">
        <w:trPr>
          <w:gridAfter w:val="1"/>
          <w:wAfter w:w="61" w:type="dxa"/>
          <w:trHeight w:val="699"/>
          <w:jc w:val="center"/>
        </w:trPr>
        <w:tc>
          <w:tcPr>
            <w:tcW w:w="1888" w:type="dxa"/>
            <w:gridSpan w:val="3"/>
            <w:shd w:val="clear" w:color="auto" w:fill="FFFFFF"/>
          </w:tcPr>
          <w:p w14:paraId="7765A895" w14:textId="77777777" w:rsidR="00DB0B02" w:rsidRPr="00067989" w:rsidRDefault="00DB0B02" w:rsidP="00067989">
            <w:pPr>
              <w:spacing w:before="60" w:after="60"/>
              <w:rPr>
                <w:rFonts w:ascii="Times New Roman" w:hAnsi="Times New Roman" w:cs="Times New Roman"/>
                <w:color w:val="000000" w:themeColor="text1"/>
              </w:rPr>
            </w:pPr>
            <w:r w:rsidRPr="00067989">
              <w:rPr>
                <w:rFonts w:ascii="Times New Roman" w:hAnsi="Times New Roman" w:cs="Times New Roman"/>
                <w:color w:val="000000" w:themeColor="text1"/>
              </w:rPr>
              <w:lastRenderedPageBreak/>
              <w:t>Dodatkowe informacje, w tym wskazanie źródeł danych i przyjętych do obliczeń założeń</w:t>
            </w:r>
          </w:p>
        </w:tc>
        <w:tc>
          <w:tcPr>
            <w:tcW w:w="8678" w:type="dxa"/>
            <w:gridSpan w:val="25"/>
            <w:shd w:val="clear" w:color="auto" w:fill="FFFFFF"/>
          </w:tcPr>
          <w:p w14:paraId="1201657A" w14:textId="77777777" w:rsidR="00DB0B02" w:rsidRPr="00067989" w:rsidRDefault="00DB0B02" w:rsidP="008A3FA9">
            <w:pPr>
              <w:spacing w:before="60" w:after="60"/>
              <w:jc w:val="both"/>
              <w:rPr>
                <w:rFonts w:ascii="Times New Roman" w:hAnsi="Times New Roman" w:cs="Times New Roman"/>
                <w:color w:val="000000" w:themeColor="text1"/>
                <w:u w:val="single"/>
              </w:rPr>
            </w:pPr>
            <w:r w:rsidRPr="00067989">
              <w:rPr>
                <w:rFonts w:ascii="Times New Roman" w:hAnsi="Times New Roman" w:cs="Times New Roman"/>
                <w:color w:val="000000" w:themeColor="text1"/>
                <w:u w:val="single"/>
              </w:rPr>
              <w:t>W wydatkach ogółem zostały ujęte koszty opisane szczegółowo poniżej w punktach 1</w:t>
            </w:r>
            <w:r w:rsidR="005F6337">
              <w:rPr>
                <w:rFonts w:ascii="Times New Roman" w:hAnsi="Times New Roman" w:cs="Times New Roman"/>
                <w:color w:val="000000" w:themeColor="text1"/>
                <w:u w:val="single"/>
              </w:rPr>
              <w:t>–</w:t>
            </w:r>
            <w:r w:rsidRPr="00067989">
              <w:rPr>
                <w:rFonts w:ascii="Times New Roman" w:hAnsi="Times New Roman" w:cs="Times New Roman"/>
                <w:color w:val="000000" w:themeColor="text1"/>
                <w:u w:val="single"/>
              </w:rPr>
              <w:t>4 oraz 6.</w:t>
            </w:r>
          </w:p>
          <w:p w14:paraId="5A9EAAD9" w14:textId="77777777" w:rsidR="00DB0B02" w:rsidRPr="00067989" w:rsidRDefault="00DB0B02" w:rsidP="008A3FA9">
            <w:pPr>
              <w:pStyle w:val="Akapitzlist"/>
              <w:numPr>
                <w:ilvl w:val="0"/>
                <w:numId w:val="4"/>
              </w:numPr>
              <w:spacing w:before="60" w:after="60"/>
              <w:jc w:val="both"/>
              <w:rPr>
                <w:rFonts w:ascii="Times New Roman" w:hAnsi="Times New Roman" w:cs="Times New Roman"/>
                <w:color w:val="000000" w:themeColor="text1"/>
                <w:u w:val="single"/>
              </w:rPr>
            </w:pPr>
            <w:r w:rsidRPr="00067989">
              <w:rPr>
                <w:rFonts w:ascii="Times New Roman" w:hAnsi="Times New Roman" w:cs="Times New Roman"/>
                <w:color w:val="000000" w:themeColor="text1"/>
                <w:u w:val="single"/>
              </w:rPr>
              <w:t>Wydatki na wdrożenie rozwiązania (w strumieniu legislacyjnym i technologicznym) – cz. 27</w:t>
            </w:r>
            <w:r w:rsidR="00BC4340" w:rsidRPr="00067989">
              <w:rPr>
                <w:rFonts w:ascii="Times New Roman" w:hAnsi="Times New Roman" w:cs="Times New Roman"/>
                <w:color w:val="000000" w:themeColor="text1"/>
                <w:u w:val="single"/>
              </w:rPr>
              <w:t xml:space="preserve"> </w:t>
            </w:r>
            <w:r w:rsidR="000E2DF4">
              <w:rPr>
                <w:rFonts w:ascii="Times New Roman" w:hAnsi="Times New Roman" w:cs="Times New Roman"/>
                <w:color w:val="000000" w:themeColor="text1"/>
                <w:u w:val="single"/>
              </w:rPr>
              <w:t>–</w:t>
            </w:r>
            <w:r w:rsidRPr="00067989">
              <w:rPr>
                <w:rFonts w:ascii="Times New Roman" w:hAnsi="Times New Roman" w:cs="Times New Roman"/>
                <w:color w:val="000000" w:themeColor="text1"/>
                <w:u w:val="single"/>
              </w:rPr>
              <w:t xml:space="preserve"> Informatyzacja oraz cz. 20 – Gospodarka oraz cz.76 Urząd Komunikacji Elektronicznej</w:t>
            </w:r>
            <w:r w:rsidR="00BC4340" w:rsidRPr="00067989">
              <w:rPr>
                <w:rFonts w:ascii="Times New Roman" w:hAnsi="Times New Roman" w:cs="Times New Roman"/>
                <w:color w:val="000000" w:themeColor="text1"/>
                <w:u w:val="single"/>
              </w:rPr>
              <w:t>.</w:t>
            </w:r>
          </w:p>
          <w:p w14:paraId="140D2326" w14:textId="77777777" w:rsidR="00DB0B02" w:rsidRPr="00284114" w:rsidRDefault="00DB0B02" w:rsidP="008A3FA9">
            <w:pPr>
              <w:pStyle w:val="Akapitzlist"/>
              <w:spacing w:before="60" w:after="60"/>
              <w:ind w:left="0"/>
              <w:jc w:val="both"/>
              <w:rPr>
                <w:rFonts w:ascii="Times New Roman" w:hAnsi="Times New Roman" w:cs="Times New Roman"/>
                <w:color w:val="000000" w:themeColor="text1"/>
              </w:rPr>
            </w:pPr>
            <w:r w:rsidRPr="00284114">
              <w:rPr>
                <w:rFonts w:ascii="Times New Roman" w:hAnsi="Times New Roman" w:cs="Times New Roman"/>
                <w:color w:val="000000" w:themeColor="text1"/>
              </w:rPr>
              <w:t>Koszt wdrożenia rozwiązania obejmuje koszt:</w:t>
            </w:r>
          </w:p>
          <w:p w14:paraId="570A13E3" w14:textId="77777777" w:rsidR="00DB0B02" w:rsidRPr="00284114" w:rsidRDefault="00DB0B02" w:rsidP="008A3FA9">
            <w:pPr>
              <w:pStyle w:val="Akapitzlist"/>
              <w:numPr>
                <w:ilvl w:val="0"/>
                <w:numId w:val="12"/>
              </w:numPr>
              <w:spacing w:before="60" w:after="60"/>
              <w:jc w:val="both"/>
              <w:rPr>
                <w:rFonts w:ascii="Times New Roman" w:hAnsi="Times New Roman" w:cs="Times New Roman"/>
                <w:color w:val="000000" w:themeColor="text1"/>
              </w:rPr>
            </w:pPr>
            <w:r w:rsidRPr="00284114">
              <w:rPr>
                <w:rFonts w:ascii="Times New Roman" w:hAnsi="Times New Roman" w:cs="Times New Roman"/>
                <w:color w:val="000000" w:themeColor="text1"/>
              </w:rPr>
              <w:t>dostosowania do przepisów prawa umocowujących elektronizację doręczeń,</w:t>
            </w:r>
          </w:p>
          <w:p w14:paraId="38A9D650" w14:textId="77777777" w:rsidR="00DB0B02" w:rsidRPr="000E2DF4" w:rsidRDefault="00DB0B02" w:rsidP="008A3FA9">
            <w:pPr>
              <w:pStyle w:val="Akapitzlist"/>
              <w:numPr>
                <w:ilvl w:val="0"/>
                <w:numId w:val="12"/>
              </w:numPr>
              <w:spacing w:before="60" w:after="60"/>
              <w:jc w:val="both"/>
              <w:rPr>
                <w:rFonts w:ascii="Times New Roman" w:hAnsi="Times New Roman" w:cs="Times New Roman"/>
                <w:color w:val="000000" w:themeColor="text1"/>
              </w:rPr>
            </w:pPr>
            <w:r w:rsidRPr="00284114">
              <w:rPr>
                <w:rFonts w:ascii="Times New Roman" w:hAnsi="Times New Roman" w:cs="Times New Roman"/>
                <w:color w:val="000000" w:themeColor="text1"/>
              </w:rPr>
              <w:t>przygotowania technicznego standardu rejestrowanego doręczania elektronicznego zgodnego z normami technicznymi Europejskiego Instytutu Norm Telekomunikacyjnych zapewniającego interoperacyjność doręczeń świadczonych przez różnych dostawców usług,</w:t>
            </w:r>
          </w:p>
          <w:p w14:paraId="668F95A6" w14:textId="77777777" w:rsidR="00DB0B02" w:rsidRPr="000E2DF4" w:rsidRDefault="00DB0B02" w:rsidP="008A3FA9">
            <w:pPr>
              <w:pStyle w:val="Akapitzlist"/>
              <w:numPr>
                <w:ilvl w:val="0"/>
                <w:numId w:val="12"/>
              </w:numPr>
              <w:spacing w:before="60" w:after="60"/>
              <w:jc w:val="both"/>
              <w:rPr>
                <w:rFonts w:ascii="Times New Roman" w:hAnsi="Times New Roman" w:cs="Times New Roman"/>
                <w:color w:val="000000" w:themeColor="text1"/>
              </w:rPr>
            </w:pPr>
            <w:r w:rsidRPr="000E2DF4">
              <w:rPr>
                <w:rFonts w:ascii="Times New Roman" w:hAnsi="Times New Roman" w:cs="Times New Roman"/>
                <w:color w:val="000000" w:themeColor="text1"/>
              </w:rPr>
              <w:t xml:space="preserve">wytworzenia oprogramowania, </w:t>
            </w:r>
          </w:p>
          <w:p w14:paraId="2D6CF24C" w14:textId="77777777" w:rsidR="00DB0B02" w:rsidRPr="000E2DF4" w:rsidRDefault="00DB0B02" w:rsidP="008A3FA9">
            <w:pPr>
              <w:pStyle w:val="Akapitzlist"/>
              <w:numPr>
                <w:ilvl w:val="0"/>
                <w:numId w:val="12"/>
              </w:numPr>
              <w:spacing w:before="60" w:after="60"/>
              <w:jc w:val="both"/>
              <w:rPr>
                <w:rFonts w:ascii="Times New Roman" w:hAnsi="Times New Roman" w:cs="Times New Roman"/>
                <w:color w:val="000000" w:themeColor="text1"/>
              </w:rPr>
            </w:pPr>
            <w:r w:rsidRPr="000E2DF4">
              <w:rPr>
                <w:rFonts w:ascii="Times New Roman" w:hAnsi="Times New Roman" w:cs="Times New Roman"/>
                <w:color w:val="000000" w:themeColor="text1"/>
              </w:rPr>
              <w:t>zakupu lub</w:t>
            </w:r>
            <w:r w:rsidR="00AB04E9">
              <w:rPr>
                <w:rFonts w:ascii="Times New Roman" w:hAnsi="Times New Roman" w:cs="Times New Roman"/>
                <w:color w:val="000000" w:themeColor="text1"/>
              </w:rPr>
              <w:t xml:space="preserve"> </w:t>
            </w:r>
            <w:r w:rsidRPr="000E2DF4">
              <w:rPr>
                <w:rFonts w:ascii="Times New Roman" w:hAnsi="Times New Roman" w:cs="Times New Roman"/>
                <w:color w:val="000000" w:themeColor="text1"/>
              </w:rPr>
              <w:t>modyfikacji infrastruktury,</w:t>
            </w:r>
          </w:p>
          <w:p w14:paraId="47982427" w14:textId="77777777" w:rsidR="00DB0B02" w:rsidRPr="000E2DF4" w:rsidRDefault="00DB0B02" w:rsidP="008A3FA9">
            <w:pPr>
              <w:pStyle w:val="Akapitzlist"/>
              <w:numPr>
                <w:ilvl w:val="0"/>
                <w:numId w:val="12"/>
              </w:numPr>
              <w:spacing w:before="60" w:after="60"/>
              <w:jc w:val="both"/>
              <w:rPr>
                <w:rFonts w:ascii="Times New Roman" w:hAnsi="Times New Roman" w:cs="Times New Roman"/>
                <w:color w:val="000000" w:themeColor="text1"/>
              </w:rPr>
            </w:pPr>
            <w:r w:rsidRPr="000E2DF4">
              <w:rPr>
                <w:rFonts w:ascii="Times New Roman" w:hAnsi="Times New Roman" w:cs="Times New Roman"/>
                <w:color w:val="000000" w:themeColor="text1"/>
              </w:rPr>
              <w:t>pozostałe koszty (w tym kampania informacyjno-promocyjna, szkolenia i inne).</w:t>
            </w:r>
          </w:p>
          <w:p w14:paraId="32AFBE24" w14:textId="5EAA887B" w:rsidR="00DB0B02" w:rsidRPr="00067989" w:rsidRDefault="00DB0B02" w:rsidP="008A3FA9">
            <w:pPr>
              <w:pStyle w:val="Akapitzlist"/>
              <w:spacing w:before="60" w:after="60"/>
              <w:ind w:left="0"/>
              <w:jc w:val="both"/>
              <w:rPr>
                <w:rFonts w:ascii="Times New Roman" w:hAnsi="Times New Roman" w:cs="Times New Roman"/>
                <w:color w:val="000000" w:themeColor="text1"/>
              </w:rPr>
            </w:pPr>
            <w:r w:rsidRPr="000E2DF4">
              <w:rPr>
                <w:rFonts w:ascii="Times New Roman" w:hAnsi="Times New Roman" w:cs="Times New Roman"/>
                <w:color w:val="000000" w:themeColor="text1"/>
              </w:rPr>
              <w:t>Koszt wytworzenia oprogramowania będzie obejmował utworzenie B</w:t>
            </w:r>
            <w:r w:rsidR="00BC4340" w:rsidRPr="000E2DF4">
              <w:rPr>
                <w:rFonts w:ascii="Times New Roman" w:hAnsi="Times New Roman" w:cs="Times New Roman"/>
                <w:color w:val="000000" w:themeColor="text1"/>
              </w:rPr>
              <w:t xml:space="preserve">AE </w:t>
            </w:r>
            <w:r w:rsidRPr="000E2DF4">
              <w:rPr>
                <w:rFonts w:ascii="Times New Roman" w:hAnsi="Times New Roman" w:cs="Times New Roman"/>
                <w:color w:val="000000" w:themeColor="text1"/>
              </w:rPr>
              <w:t>w ramach rejestrów państwowych, wdrożenie centralnego modułu komunikacyjnego zapewniającego obsługę i</w:t>
            </w:r>
            <w:r w:rsidR="001B514F">
              <w:rPr>
                <w:rFonts w:ascii="Times New Roman" w:hAnsi="Times New Roman" w:cs="Times New Roman"/>
                <w:color w:val="000000" w:themeColor="text1"/>
              </w:rPr>
              <w:t> </w:t>
            </w:r>
            <w:r w:rsidRPr="000E2DF4">
              <w:rPr>
                <w:rFonts w:ascii="Times New Roman" w:hAnsi="Times New Roman" w:cs="Times New Roman"/>
                <w:color w:val="000000" w:themeColor="text1"/>
              </w:rPr>
              <w:t>integrację usługi rejestrowanego doręczenia elektronicznego świadczonej przez operatora wyznaczonego z usługami świadczonymi przez innych kwalifikowanych dostawców, integrację z publiczną usługą hybrydową, integrację z innymi rejestrami publicznymi, e-usługami i</w:t>
            </w:r>
            <w:r w:rsidR="001B514F">
              <w:rPr>
                <w:rFonts w:ascii="Times New Roman" w:hAnsi="Times New Roman" w:cs="Times New Roman"/>
                <w:color w:val="000000" w:themeColor="text1"/>
              </w:rPr>
              <w:t> </w:t>
            </w:r>
            <w:r w:rsidRPr="000E2DF4">
              <w:rPr>
                <w:rFonts w:ascii="Times New Roman" w:hAnsi="Times New Roman" w:cs="Times New Roman"/>
                <w:color w:val="000000" w:themeColor="text1"/>
              </w:rPr>
              <w:t>systemami zarządzania dokumentacją podmiotów publicznych. W kosztach są uwzględnione koszty Ministerstwa Przedsiębiorczości i Technologii związane z wdrożeniem rozwiązania wynikającego z porozumienia partnerskiego oraz koszty udziału U</w:t>
            </w:r>
            <w:r w:rsidR="00BC4340" w:rsidRPr="00E42D6D">
              <w:rPr>
                <w:rFonts w:ascii="Times New Roman" w:hAnsi="Times New Roman" w:cs="Times New Roman"/>
                <w:color w:val="000000" w:themeColor="text1"/>
              </w:rPr>
              <w:t xml:space="preserve">rzędu </w:t>
            </w:r>
            <w:r w:rsidRPr="00E42D6D">
              <w:rPr>
                <w:rFonts w:ascii="Times New Roman" w:hAnsi="Times New Roman" w:cs="Times New Roman"/>
                <w:color w:val="000000" w:themeColor="text1"/>
              </w:rPr>
              <w:t>K</w:t>
            </w:r>
            <w:r w:rsidR="00BC4340" w:rsidRPr="00E42D6D">
              <w:rPr>
                <w:rFonts w:ascii="Times New Roman" w:hAnsi="Times New Roman" w:cs="Times New Roman"/>
                <w:color w:val="000000" w:themeColor="text1"/>
              </w:rPr>
              <w:t xml:space="preserve">omunikacji </w:t>
            </w:r>
            <w:r w:rsidRPr="00080920">
              <w:rPr>
                <w:rFonts w:ascii="Times New Roman" w:hAnsi="Times New Roman" w:cs="Times New Roman"/>
                <w:color w:val="000000" w:themeColor="text1"/>
              </w:rPr>
              <w:t>E</w:t>
            </w:r>
            <w:r w:rsidR="00BC4340" w:rsidRPr="00067989">
              <w:rPr>
                <w:rFonts w:ascii="Times New Roman" w:hAnsi="Times New Roman" w:cs="Times New Roman"/>
                <w:color w:val="000000" w:themeColor="text1"/>
              </w:rPr>
              <w:t>lektronicznej</w:t>
            </w:r>
            <w:r w:rsidRPr="00067989">
              <w:rPr>
                <w:rFonts w:ascii="Times New Roman" w:hAnsi="Times New Roman" w:cs="Times New Roman"/>
                <w:color w:val="000000" w:themeColor="text1"/>
              </w:rPr>
              <w:t xml:space="preserve"> we wdrożeniu (opracowanie standardu publicznej usługi rejestrowanego doręczenia elektronicznego).</w:t>
            </w:r>
          </w:p>
          <w:p w14:paraId="1B1E39FB" w14:textId="77777777" w:rsidR="00DB0B02" w:rsidRPr="00067989" w:rsidRDefault="00DB0B02" w:rsidP="008A3FA9">
            <w:pPr>
              <w:pStyle w:val="Akapitzlist"/>
              <w:spacing w:before="60" w:after="60"/>
              <w:ind w:left="0"/>
              <w:jc w:val="both"/>
              <w:rPr>
                <w:rFonts w:ascii="Times New Roman" w:hAnsi="Times New Roman" w:cs="Times New Roman"/>
                <w:color w:val="000000" w:themeColor="text1"/>
              </w:rPr>
            </w:pPr>
            <w:r w:rsidRPr="00067989">
              <w:rPr>
                <w:rFonts w:ascii="Times New Roman" w:hAnsi="Times New Roman" w:cs="Times New Roman"/>
                <w:color w:val="000000" w:themeColor="text1"/>
              </w:rPr>
              <w:t>Wydatki na wdrożenie z budżetu państwa wyniosą :</w:t>
            </w:r>
          </w:p>
          <w:p w14:paraId="71A30FEC" w14:textId="77777777" w:rsidR="00DB0B02" w:rsidRPr="000E2DF4" w:rsidRDefault="00DB0B02" w:rsidP="008A3FA9">
            <w:pPr>
              <w:pStyle w:val="Akapitzlist"/>
              <w:spacing w:before="60" w:after="60"/>
              <w:ind w:left="0"/>
              <w:jc w:val="both"/>
              <w:rPr>
                <w:rFonts w:ascii="Times New Roman" w:hAnsi="Times New Roman" w:cs="Times New Roman"/>
                <w:color w:val="000000" w:themeColor="text1"/>
              </w:rPr>
            </w:pPr>
            <w:r w:rsidRPr="00067989">
              <w:rPr>
                <w:rFonts w:ascii="Times New Roman" w:hAnsi="Times New Roman" w:cs="Times New Roman"/>
                <w:color w:val="000000" w:themeColor="text1"/>
              </w:rPr>
              <w:t>w 2019</w:t>
            </w:r>
            <w:r w:rsidR="00013DA9" w:rsidRPr="00067989">
              <w:rPr>
                <w:rFonts w:ascii="Times New Roman" w:hAnsi="Times New Roman" w:cs="Times New Roman"/>
                <w:color w:val="000000" w:themeColor="text1"/>
              </w:rPr>
              <w:t xml:space="preserve"> r. </w:t>
            </w:r>
            <w:r w:rsidR="000E2DF4">
              <w:rPr>
                <w:rFonts w:ascii="Times New Roman" w:hAnsi="Times New Roman" w:cs="Times New Roman"/>
                <w:color w:val="000000" w:themeColor="text1"/>
              </w:rPr>
              <w:t>–</w:t>
            </w:r>
            <w:r w:rsidRPr="000E2DF4">
              <w:rPr>
                <w:rFonts w:ascii="Times New Roman" w:hAnsi="Times New Roman" w:cs="Times New Roman"/>
                <w:color w:val="000000" w:themeColor="text1"/>
              </w:rPr>
              <w:t xml:space="preserve"> 2,82 mln zł, w 2020 r</w:t>
            </w:r>
            <w:r w:rsidR="00013DA9" w:rsidRPr="000E2DF4">
              <w:rPr>
                <w:rFonts w:ascii="Times New Roman" w:hAnsi="Times New Roman" w:cs="Times New Roman"/>
                <w:color w:val="000000" w:themeColor="text1"/>
              </w:rPr>
              <w:t>.</w:t>
            </w:r>
            <w:r w:rsidRPr="000E2DF4">
              <w:rPr>
                <w:rFonts w:ascii="Times New Roman" w:hAnsi="Times New Roman" w:cs="Times New Roman"/>
                <w:color w:val="000000" w:themeColor="text1"/>
              </w:rPr>
              <w:t xml:space="preserve"> </w:t>
            </w:r>
            <w:r w:rsidR="000E2DF4">
              <w:rPr>
                <w:rFonts w:ascii="Times New Roman" w:hAnsi="Times New Roman" w:cs="Times New Roman"/>
                <w:color w:val="000000" w:themeColor="text1"/>
              </w:rPr>
              <w:t>–</w:t>
            </w:r>
            <w:r w:rsidR="00013DA9" w:rsidRPr="000E2DF4">
              <w:rPr>
                <w:rFonts w:ascii="Times New Roman" w:hAnsi="Times New Roman" w:cs="Times New Roman"/>
                <w:color w:val="000000" w:themeColor="text1"/>
              </w:rPr>
              <w:t xml:space="preserve"> </w:t>
            </w:r>
            <w:r w:rsidRPr="000E2DF4">
              <w:rPr>
                <w:rFonts w:ascii="Times New Roman" w:hAnsi="Times New Roman" w:cs="Times New Roman"/>
                <w:color w:val="000000" w:themeColor="text1"/>
              </w:rPr>
              <w:t>5,96 mln zł, w 2021 r</w:t>
            </w:r>
            <w:r w:rsidR="00013DA9" w:rsidRPr="000E2DF4">
              <w:rPr>
                <w:rFonts w:ascii="Times New Roman" w:hAnsi="Times New Roman" w:cs="Times New Roman"/>
                <w:color w:val="000000" w:themeColor="text1"/>
              </w:rPr>
              <w:t>.</w:t>
            </w:r>
            <w:r w:rsidRPr="000E2DF4">
              <w:rPr>
                <w:rFonts w:ascii="Times New Roman" w:hAnsi="Times New Roman" w:cs="Times New Roman"/>
                <w:color w:val="000000" w:themeColor="text1"/>
              </w:rPr>
              <w:t xml:space="preserve"> </w:t>
            </w:r>
            <w:r w:rsidR="000E2DF4">
              <w:rPr>
                <w:rFonts w:ascii="Times New Roman" w:hAnsi="Times New Roman" w:cs="Times New Roman"/>
                <w:color w:val="000000" w:themeColor="text1"/>
              </w:rPr>
              <w:t>–</w:t>
            </w:r>
            <w:r w:rsidR="00013DA9" w:rsidRPr="000E2DF4">
              <w:rPr>
                <w:rFonts w:ascii="Times New Roman" w:hAnsi="Times New Roman" w:cs="Times New Roman"/>
                <w:color w:val="000000" w:themeColor="text1"/>
              </w:rPr>
              <w:t xml:space="preserve"> </w:t>
            </w:r>
            <w:r w:rsidRPr="000E2DF4">
              <w:rPr>
                <w:rFonts w:ascii="Times New Roman" w:hAnsi="Times New Roman" w:cs="Times New Roman"/>
                <w:color w:val="000000" w:themeColor="text1"/>
              </w:rPr>
              <w:t xml:space="preserve">2,93 mln zł, w 2022 r. </w:t>
            </w:r>
            <w:r w:rsidR="000E2DF4">
              <w:rPr>
                <w:rFonts w:ascii="Times New Roman" w:hAnsi="Times New Roman" w:cs="Times New Roman"/>
                <w:color w:val="000000" w:themeColor="text1"/>
              </w:rPr>
              <w:t>–</w:t>
            </w:r>
            <w:r w:rsidR="00013DA9" w:rsidRPr="000E2DF4">
              <w:rPr>
                <w:rFonts w:ascii="Times New Roman" w:hAnsi="Times New Roman" w:cs="Times New Roman"/>
                <w:color w:val="000000" w:themeColor="text1"/>
              </w:rPr>
              <w:t xml:space="preserve"> </w:t>
            </w:r>
            <w:r w:rsidRPr="000E2DF4">
              <w:rPr>
                <w:rFonts w:ascii="Times New Roman" w:hAnsi="Times New Roman" w:cs="Times New Roman"/>
                <w:color w:val="000000" w:themeColor="text1"/>
              </w:rPr>
              <w:t>0,59 mln zł</w:t>
            </w:r>
            <w:r w:rsidR="00013DA9" w:rsidRPr="000E2DF4">
              <w:rPr>
                <w:rFonts w:ascii="Times New Roman" w:hAnsi="Times New Roman" w:cs="Times New Roman"/>
                <w:color w:val="000000" w:themeColor="text1"/>
              </w:rPr>
              <w:t>.</w:t>
            </w:r>
          </w:p>
          <w:p w14:paraId="17A6C45A" w14:textId="12BFA03B" w:rsidR="00DB0B02" w:rsidRPr="00067989" w:rsidRDefault="00DB0B02" w:rsidP="000E2DF4">
            <w:pPr>
              <w:pStyle w:val="Akapitzlist"/>
              <w:spacing w:before="60" w:after="60"/>
              <w:ind w:left="0"/>
              <w:jc w:val="both"/>
              <w:rPr>
                <w:rFonts w:ascii="Times New Roman" w:hAnsi="Times New Roman" w:cs="Times New Roman"/>
                <w:color w:val="000000" w:themeColor="text1"/>
              </w:rPr>
            </w:pPr>
            <w:r w:rsidRPr="000E2DF4">
              <w:rPr>
                <w:rFonts w:ascii="Times New Roman" w:hAnsi="Times New Roman" w:cs="Times New Roman"/>
                <w:color w:val="000000" w:themeColor="text1"/>
              </w:rPr>
              <w:t xml:space="preserve">W kosztach wdrożenia nie jest przewidziany koszt ewentualnego dostosowania systemów teleinformatycznych operatora wyznaczonego i zakupu lub modyfikacji infrastruktury operatora wyznaczonego niezbędnej do świadczenia publicznej usługi rejestrowanego doręczenia </w:t>
            </w:r>
            <w:r w:rsidRPr="000E2DF4">
              <w:rPr>
                <w:rFonts w:ascii="Times New Roman" w:hAnsi="Times New Roman" w:cs="Times New Roman"/>
                <w:color w:val="000000" w:themeColor="text1"/>
              </w:rPr>
              <w:lastRenderedPageBreak/>
              <w:t xml:space="preserve">elektronicznego i publicznej usługi hybrydowej. Zakłada się, że ten </w:t>
            </w:r>
            <w:r w:rsidRPr="00E42D6D">
              <w:rPr>
                <w:rFonts w:ascii="Times New Roman" w:hAnsi="Times New Roman" w:cs="Times New Roman"/>
                <w:color w:val="000000" w:themeColor="text1"/>
              </w:rPr>
              <w:t>koszt będzie poniesiony przez operatora wyznaczonego, a pokrywany będzie z opłat pobieranych za świadczenie publicznej usługi rejestrowanego doręczenia elektronicznego (w części objętej opłatami zgodnie z</w:t>
            </w:r>
            <w:r w:rsidR="00AB04E9">
              <w:rPr>
                <w:rFonts w:ascii="Times New Roman" w:hAnsi="Times New Roman" w:cs="Times New Roman"/>
                <w:color w:val="000000" w:themeColor="text1"/>
              </w:rPr>
              <w:t xml:space="preserve"> </w:t>
            </w:r>
            <w:r w:rsidRPr="00080920">
              <w:rPr>
                <w:rFonts w:ascii="Times New Roman" w:hAnsi="Times New Roman" w:cs="Times New Roman"/>
                <w:color w:val="000000" w:themeColor="text1"/>
              </w:rPr>
              <w:t>modelem finansowania usługi) w powiązaniu z publiczną usługą hybrydową. W</w:t>
            </w:r>
            <w:r w:rsidR="001B514F">
              <w:rPr>
                <w:rFonts w:ascii="Times New Roman" w:hAnsi="Times New Roman" w:cs="Times New Roman"/>
                <w:color w:val="000000" w:themeColor="text1"/>
              </w:rPr>
              <w:t> </w:t>
            </w:r>
            <w:r w:rsidRPr="00080920">
              <w:rPr>
                <w:rFonts w:ascii="Times New Roman" w:hAnsi="Times New Roman" w:cs="Times New Roman"/>
                <w:color w:val="000000" w:themeColor="text1"/>
              </w:rPr>
              <w:t>kosztach wdrożeń nie został także ujęty koszty dostosowania systemów informatycznych do zmian prawnych, koszty dostosowania tych systemów do zmian prawnych, technologicznych i</w:t>
            </w:r>
            <w:r w:rsidR="001B514F">
              <w:rPr>
                <w:rFonts w:ascii="Times New Roman" w:hAnsi="Times New Roman" w:cs="Times New Roman"/>
                <w:color w:val="000000" w:themeColor="text1"/>
              </w:rPr>
              <w:t> </w:t>
            </w:r>
            <w:r w:rsidRPr="00080920">
              <w:rPr>
                <w:rFonts w:ascii="Times New Roman" w:hAnsi="Times New Roman" w:cs="Times New Roman"/>
                <w:color w:val="000000" w:themeColor="text1"/>
              </w:rPr>
              <w:t>organizacyjnych zachodzących w otoczeniu powinny</w:t>
            </w:r>
            <w:r w:rsidRPr="00067989">
              <w:rPr>
                <w:rFonts w:ascii="Times New Roman" w:hAnsi="Times New Roman" w:cs="Times New Roman"/>
                <w:color w:val="000000" w:themeColor="text1"/>
              </w:rPr>
              <w:t xml:space="preserve"> pochodzić z bieżących wydatków wszystkich zainteresowanych podmiotów</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w</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 xml:space="preserve">ramach corocznego budżetu, bez możliwości ubiegania się o dodatkowe środki na ten cel. </w:t>
            </w:r>
          </w:p>
          <w:p w14:paraId="73C76EA8" w14:textId="77777777" w:rsidR="00DB0B02" w:rsidRPr="000E2DF4" w:rsidRDefault="00DB0B02" w:rsidP="008A3FA9">
            <w:pPr>
              <w:pStyle w:val="Akapitzlist"/>
              <w:numPr>
                <w:ilvl w:val="0"/>
                <w:numId w:val="4"/>
              </w:numPr>
              <w:spacing w:before="60" w:after="60"/>
              <w:jc w:val="both"/>
              <w:rPr>
                <w:rFonts w:ascii="Times New Roman" w:hAnsi="Times New Roman" w:cs="Times New Roman"/>
                <w:color w:val="000000" w:themeColor="text1"/>
                <w:u w:val="single"/>
              </w:rPr>
            </w:pPr>
            <w:r w:rsidRPr="00067989">
              <w:rPr>
                <w:rFonts w:ascii="Times New Roman" w:hAnsi="Times New Roman" w:cs="Times New Roman"/>
                <w:color w:val="000000" w:themeColor="text1"/>
                <w:u w:val="single"/>
              </w:rPr>
              <w:t>Koszt utrzymania w okresie 0</w:t>
            </w:r>
            <w:r w:rsidR="000E2DF4">
              <w:rPr>
                <w:rFonts w:ascii="Times New Roman" w:hAnsi="Times New Roman" w:cs="Times New Roman"/>
                <w:color w:val="000000" w:themeColor="text1"/>
                <w:u w:val="single"/>
              </w:rPr>
              <w:t>–</w:t>
            </w:r>
            <w:r w:rsidRPr="000E2DF4">
              <w:rPr>
                <w:rFonts w:ascii="Times New Roman" w:hAnsi="Times New Roman" w:cs="Times New Roman"/>
                <w:color w:val="000000" w:themeColor="text1"/>
                <w:u w:val="single"/>
              </w:rPr>
              <w:t>10 lat</w:t>
            </w:r>
            <w:r w:rsidR="00EA3BFE" w:rsidRPr="000E2DF4">
              <w:rPr>
                <w:rFonts w:ascii="Times New Roman" w:hAnsi="Times New Roman" w:cs="Times New Roman"/>
                <w:color w:val="000000" w:themeColor="text1"/>
                <w:u w:val="single"/>
              </w:rPr>
              <w:t xml:space="preserve"> </w:t>
            </w:r>
            <w:r w:rsidRPr="000E2DF4">
              <w:rPr>
                <w:rFonts w:ascii="Times New Roman" w:hAnsi="Times New Roman" w:cs="Times New Roman"/>
                <w:color w:val="000000" w:themeColor="text1"/>
                <w:u w:val="single"/>
              </w:rPr>
              <w:t>– cz. 27</w:t>
            </w:r>
            <w:r w:rsidR="00EA3BFE" w:rsidRPr="000E2DF4">
              <w:rPr>
                <w:rFonts w:ascii="Times New Roman" w:hAnsi="Times New Roman" w:cs="Times New Roman"/>
                <w:color w:val="000000" w:themeColor="text1"/>
                <w:u w:val="single"/>
              </w:rPr>
              <w:t xml:space="preserve"> </w:t>
            </w:r>
            <w:r w:rsidR="000E2DF4">
              <w:rPr>
                <w:rFonts w:ascii="Times New Roman" w:hAnsi="Times New Roman" w:cs="Times New Roman"/>
                <w:color w:val="000000" w:themeColor="text1"/>
                <w:u w:val="single"/>
              </w:rPr>
              <w:t>–</w:t>
            </w:r>
            <w:r w:rsidR="00EA3BFE" w:rsidRPr="000E2DF4">
              <w:rPr>
                <w:rFonts w:ascii="Times New Roman" w:hAnsi="Times New Roman" w:cs="Times New Roman"/>
                <w:color w:val="000000" w:themeColor="text1"/>
                <w:u w:val="single"/>
              </w:rPr>
              <w:t xml:space="preserve"> </w:t>
            </w:r>
            <w:r w:rsidRPr="000E2DF4">
              <w:rPr>
                <w:rFonts w:ascii="Times New Roman" w:hAnsi="Times New Roman" w:cs="Times New Roman"/>
                <w:color w:val="000000" w:themeColor="text1"/>
                <w:u w:val="single"/>
              </w:rPr>
              <w:t>Informatyzacja oraz cz. 20 – Gospodarka</w:t>
            </w:r>
            <w:r w:rsidR="00EA3BFE" w:rsidRPr="000E2DF4">
              <w:rPr>
                <w:rFonts w:ascii="Times New Roman" w:hAnsi="Times New Roman" w:cs="Times New Roman"/>
                <w:color w:val="000000" w:themeColor="text1"/>
                <w:u w:val="single"/>
              </w:rPr>
              <w:t>.</w:t>
            </w:r>
          </w:p>
          <w:p w14:paraId="44ED2B8D" w14:textId="1C43AD57" w:rsidR="00DB0B02" w:rsidRPr="00067989" w:rsidRDefault="00DB0B02" w:rsidP="000E2DF4">
            <w:pPr>
              <w:pStyle w:val="Akapitzlist"/>
              <w:spacing w:before="60" w:after="60"/>
              <w:ind w:left="0"/>
              <w:jc w:val="both"/>
              <w:rPr>
                <w:rFonts w:ascii="Times New Roman" w:hAnsi="Times New Roman" w:cs="Times New Roman"/>
                <w:color w:val="000000" w:themeColor="text1"/>
              </w:rPr>
            </w:pPr>
            <w:r w:rsidRPr="000E2DF4">
              <w:rPr>
                <w:rFonts w:ascii="Times New Roman" w:hAnsi="Times New Roman" w:cs="Times New Roman"/>
                <w:color w:val="000000" w:themeColor="text1"/>
              </w:rPr>
              <w:t>Z uwagi na fakt</w:t>
            </w:r>
            <w:r w:rsidR="00B364A7">
              <w:rPr>
                <w:rFonts w:ascii="Times New Roman" w:hAnsi="Times New Roman" w:cs="Times New Roman"/>
                <w:color w:val="000000" w:themeColor="text1"/>
              </w:rPr>
              <w:t>,</w:t>
            </w:r>
            <w:r w:rsidRPr="000E2DF4">
              <w:rPr>
                <w:rFonts w:ascii="Times New Roman" w:hAnsi="Times New Roman" w:cs="Times New Roman"/>
                <w:color w:val="000000" w:themeColor="text1"/>
              </w:rPr>
              <w:t xml:space="preserve"> iż proces wdrożenia przewiduje wydawanie w poszczególnych przyrostach logicznych komponentów rozwiązania z jednoczesnym użytkowaniem ich produkcyjnie należy zauważyć</w:t>
            </w:r>
            <w:r w:rsidR="00EA3BFE" w:rsidRPr="00E42D6D">
              <w:rPr>
                <w:rFonts w:ascii="Times New Roman" w:hAnsi="Times New Roman" w:cs="Times New Roman"/>
                <w:color w:val="000000" w:themeColor="text1"/>
              </w:rPr>
              <w:t>,</w:t>
            </w:r>
            <w:r w:rsidRPr="00E42D6D">
              <w:rPr>
                <w:rFonts w:ascii="Times New Roman" w:hAnsi="Times New Roman" w:cs="Times New Roman"/>
                <w:color w:val="000000" w:themeColor="text1"/>
              </w:rPr>
              <w:t xml:space="preserve"> że koszty utrzymania pojawią się już w okresie wdrożenia i będą obejmowały wdrożenie roz</w:t>
            </w:r>
            <w:r w:rsidRPr="00067989">
              <w:rPr>
                <w:rFonts w:ascii="Times New Roman" w:hAnsi="Times New Roman" w:cs="Times New Roman"/>
                <w:color w:val="000000" w:themeColor="text1"/>
              </w:rPr>
              <w:t>wiązań zapewniających uzyskanie wysokiej dostępności rozwiązania a także zachowania ciągłości działania publicznej usługi rejestrowanego doręczenia elektronicznego oraz publicznej usługi hybrydowej. Na skutek wejścia w życie ustawy powstanie także konieczność utrzymania ciągłości działania e-usług związanych obecnie z ePUAP przez zastosowanie adapterów umożliwiających integrację ze skrzynkami doręczeń utrzymywanymi przez operatora wyznaczonego. Należy także zauważyć, że</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zostanie rozszerzona lista podmiotów publicznych zobowiązanych do posiadania skrzynek doręczeń w stosunku do obecnego wolumenu skrzynek na ePUAP. Można się zatem spodziewać, że w</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odniesieniu do stanu obecnego zwiększy się wolumen korespondencji przesyłanej i gromadzonej w</w:t>
            </w:r>
            <w:r w:rsidR="001B514F">
              <w:rPr>
                <w:rFonts w:ascii="Times New Roman" w:hAnsi="Times New Roman" w:cs="Times New Roman"/>
                <w:color w:val="000000" w:themeColor="text1"/>
              </w:rPr>
              <w:t> </w:t>
            </w:r>
            <w:r w:rsidRPr="00067989">
              <w:rPr>
                <w:rFonts w:ascii="Times New Roman" w:hAnsi="Times New Roman" w:cs="Times New Roman"/>
                <w:color w:val="000000" w:themeColor="text1"/>
              </w:rPr>
              <w:t>elektronicznych skrzynkach doręczeń.</w:t>
            </w:r>
          </w:p>
          <w:p w14:paraId="59AC9843" w14:textId="77777777" w:rsidR="00DB0B02" w:rsidRPr="00067989" w:rsidRDefault="00DB0B02" w:rsidP="008A3FA9">
            <w:pPr>
              <w:pStyle w:val="Akapitzlist"/>
              <w:spacing w:before="60" w:after="60"/>
              <w:ind w:left="0"/>
              <w:jc w:val="both"/>
              <w:rPr>
                <w:rFonts w:ascii="Times New Roman" w:hAnsi="Times New Roman" w:cs="Times New Roman"/>
                <w:color w:val="000000" w:themeColor="text1"/>
              </w:rPr>
            </w:pPr>
            <w:r w:rsidRPr="00067989">
              <w:rPr>
                <w:rFonts w:ascii="Times New Roman" w:hAnsi="Times New Roman" w:cs="Times New Roman"/>
                <w:color w:val="000000" w:themeColor="text1"/>
              </w:rPr>
              <w:t>Koszty utrzymania wyniosą: w 2020</w:t>
            </w:r>
            <w:r w:rsidR="00EA3BFE" w:rsidRPr="00067989">
              <w:rPr>
                <w:rFonts w:ascii="Times New Roman" w:hAnsi="Times New Roman" w:cs="Times New Roman"/>
                <w:color w:val="000000" w:themeColor="text1"/>
              </w:rPr>
              <w:t xml:space="preserve"> r. </w:t>
            </w:r>
            <w:r w:rsidR="000E2DF4">
              <w:rPr>
                <w:rFonts w:ascii="Times New Roman" w:hAnsi="Times New Roman" w:cs="Times New Roman"/>
                <w:color w:val="000000" w:themeColor="text1"/>
              </w:rPr>
              <w:t>–</w:t>
            </w:r>
            <w:r w:rsidRPr="000E2DF4">
              <w:rPr>
                <w:rFonts w:ascii="Times New Roman" w:hAnsi="Times New Roman" w:cs="Times New Roman"/>
                <w:color w:val="000000" w:themeColor="text1"/>
              </w:rPr>
              <w:t xml:space="preserve"> 0,63 mln zł, w 2021</w:t>
            </w:r>
            <w:r w:rsidR="00EA3BFE" w:rsidRPr="000E2DF4">
              <w:rPr>
                <w:rFonts w:ascii="Times New Roman" w:hAnsi="Times New Roman" w:cs="Times New Roman"/>
                <w:color w:val="000000" w:themeColor="text1"/>
              </w:rPr>
              <w:t xml:space="preserve"> r. </w:t>
            </w:r>
            <w:r w:rsidR="000E2DF4">
              <w:rPr>
                <w:rFonts w:ascii="Times New Roman" w:hAnsi="Times New Roman" w:cs="Times New Roman"/>
                <w:color w:val="000000" w:themeColor="text1"/>
              </w:rPr>
              <w:t>–</w:t>
            </w:r>
            <w:r w:rsidRPr="000E2DF4">
              <w:rPr>
                <w:rFonts w:ascii="Times New Roman" w:hAnsi="Times New Roman" w:cs="Times New Roman"/>
                <w:color w:val="000000" w:themeColor="text1"/>
              </w:rPr>
              <w:t xml:space="preserve"> 1,09 mln zł, </w:t>
            </w:r>
            <w:r w:rsidR="00EA3BFE" w:rsidRPr="000E2DF4">
              <w:rPr>
                <w:rFonts w:ascii="Times New Roman" w:hAnsi="Times New Roman" w:cs="Times New Roman"/>
                <w:color w:val="000000" w:themeColor="text1"/>
              </w:rPr>
              <w:t xml:space="preserve">w </w:t>
            </w:r>
            <w:r w:rsidRPr="000E2DF4">
              <w:rPr>
                <w:rFonts w:ascii="Times New Roman" w:hAnsi="Times New Roman" w:cs="Times New Roman"/>
                <w:color w:val="000000" w:themeColor="text1"/>
              </w:rPr>
              <w:t>2022 r</w:t>
            </w:r>
            <w:r w:rsidR="00EA3BFE" w:rsidRPr="000E2DF4">
              <w:rPr>
                <w:rFonts w:ascii="Times New Roman" w:hAnsi="Times New Roman" w:cs="Times New Roman"/>
                <w:color w:val="000000" w:themeColor="text1"/>
              </w:rPr>
              <w:t xml:space="preserve">. </w:t>
            </w:r>
            <w:r w:rsidR="000E2DF4">
              <w:rPr>
                <w:rFonts w:ascii="Times New Roman" w:hAnsi="Times New Roman" w:cs="Times New Roman"/>
                <w:color w:val="000000" w:themeColor="text1"/>
              </w:rPr>
              <w:t>–</w:t>
            </w:r>
            <w:r w:rsidRPr="000E2DF4">
              <w:rPr>
                <w:rFonts w:ascii="Times New Roman" w:hAnsi="Times New Roman" w:cs="Times New Roman"/>
                <w:color w:val="000000" w:themeColor="text1"/>
              </w:rPr>
              <w:t xml:space="preserve"> 14,56 mln zł, </w:t>
            </w:r>
            <w:r w:rsidR="00EA3BFE" w:rsidRPr="000E2DF4">
              <w:rPr>
                <w:rFonts w:ascii="Times New Roman" w:hAnsi="Times New Roman" w:cs="Times New Roman"/>
                <w:color w:val="000000" w:themeColor="text1"/>
              </w:rPr>
              <w:t xml:space="preserve">w </w:t>
            </w:r>
            <w:r w:rsidRPr="000E2DF4">
              <w:rPr>
                <w:rFonts w:ascii="Times New Roman" w:hAnsi="Times New Roman" w:cs="Times New Roman"/>
                <w:color w:val="000000" w:themeColor="text1"/>
              </w:rPr>
              <w:t>2023 r</w:t>
            </w:r>
            <w:r w:rsidR="00EA3BFE" w:rsidRPr="000E2DF4">
              <w:rPr>
                <w:rFonts w:ascii="Times New Roman" w:hAnsi="Times New Roman" w:cs="Times New Roman"/>
                <w:color w:val="000000" w:themeColor="text1"/>
              </w:rPr>
              <w:t xml:space="preserve">. </w:t>
            </w:r>
            <w:r w:rsidR="000E2DF4">
              <w:rPr>
                <w:rFonts w:ascii="Times New Roman" w:hAnsi="Times New Roman" w:cs="Times New Roman"/>
                <w:color w:val="000000" w:themeColor="text1"/>
              </w:rPr>
              <w:t>–</w:t>
            </w:r>
            <w:r w:rsidRPr="000E2DF4">
              <w:rPr>
                <w:rFonts w:ascii="Times New Roman" w:hAnsi="Times New Roman" w:cs="Times New Roman"/>
                <w:color w:val="000000" w:themeColor="text1"/>
              </w:rPr>
              <w:t xml:space="preserve"> 15,17mln zł, </w:t>
            </w:r>
            <w:r w:rsidR="00EA3BFE" w:rsidRPr="000E2DF4">
              <w:rPr>
                <w:rFonts w:ascii="Times New Roman" w:hAnsi="Times New Roman" w:cs="Times New Roman"/>
                <w:color w:val="000000" w:themeColor="text1"/>
              </w:rPr>
              <w:t xml:space="preserve">w </w:t>
            </w:r>
            <w:r w:rsidRPr="000E2DF4">
              <w:rPr>
                <w:rFonts w:ascii="Times New Roman" w:hAnsi="Times New Roman" w:cs="Times New Roman"/>
                <w:color w:val="000000" w:themeColor="text1"/>
              </w:rPr>
              <w:t>2024 r</w:t>
            </w:r>
            <w:r w:rsidR="00EA3BFE" w:rsidRPr="000E2DF4">
              <w:rPr>
                <w:rFonts w:ascii="Times New Roman" w:hAnsi="Times New Roman" w:cs="Times New Roman"/>
                <w:color w:val="000000" w:themeColor="text1"/>
              </w:rPr>
              <w:t xml:space="preserve">. </w:t>
            </w:r>
            <w:r w:rsidR="000E2DF4">
              <w:rPr>
                <w:rFonts w:ascii="Times New Roman" w:hAnsi="Times New Roman" w:cs="Times New Roman"/>
                <w:color w:val="000000" w:themeColor="text1"/>
              </w:rPr>
              <w:t>–</w:t>
            </w:r>
            <w:r w:rsidRPr="000E2DF4">
              <w:rPr>
                <w:rFonts w:ascii="Times New Roman" w:hAnsi="Times New Roman" w:cs="Times New Roman"/>
                <w:color w:val="000000" w:themeColor="text1"/>
              </w:rPr>
              <w:t xml:space="preserve"> 15,33 mln zł, </w:t>
            </w:r>
            <w:r w:rsidR="00EA3BFE" w:rsidRPr="000E2DF4">
              <w:rPr>
                <w:rFonts w:ascii="Times New Roman" w:hAnsi="Times New Roman" w:cs="Times New Roman"/>
                <w:color w:val="000000" w:themeColor="text1"/>
              </w:rPr>
              <w:t xml:space="preserve">w </w:t>
            </w:r>
            <w:r w:rsidRPr="000E2DF4">
              <w:rPr>
                <w:rFonts w:ascii="Times New Roman" w:hAnsi="Times New Roman" w:cs="Times New Roman"/>
                <w:color w:val="000000" w:themeColor="text1"/>
              </w:rPr>
              <w:t>2025 r</w:t>
            </w:r>
            <w:r w:rsidR="00EA3BFE" w:rsidRPr="000E2DF4">
              <w:rPr>
                <w:rFonts w:ascii="Times New Roman" w:hAnsi="Times New Roman" w:cs="Times New Roman"/>
                <w:color w:val="000000" w:themeColor="text1"/>
              </w:rPr>
              <w:t xml:space="preserve">. </w:t>
            </w:r>
            <w:r w:rsidR="000E2DF4">
              <w:rPr>
                <w:rFonts w:ascii="Times New Roman" w:hAnsi="Times New Roman" w:cs="Times New Roman"/>
                <w:color w:val="000000" w:themeColor="text1"/>
              </w:rPr>
              <w:t>–</w:t>
            </w:r>
            <w:r w:rsidRPr="000E2DF4">
              <w:rPr>
                <w:rFonts w:ascii="Times New Roman" w:hAnsi="Times New Roman" w:cs="Times New Roman"/>
                <w:color w:val="000000" w:themeColor="text1"/>
              </w:rPr>
              <w:t xml:space="preserve"> 15,97 mln zł, </w:t>
            </w:r>
            <w:r w:rsidR="00EA3BFE" w:rsidRPr="000E2DF4">
              <w:rPr>
                <w:rFonts w:ascii="Times New Roman" w:hAnsi="Times New Roman" w:cs="Times New Roman"/>
                <w:color w:val="000000" w:themeColor="text1"/>
              </w:rPr>
              <w:t xml:space="preserve">w </w:t>
            </w:r>
            <w:r w:rsidRPr="000E2DF4">
              <w:rPr>
                <w:rFonts w:ascii="Times New Roman" w:hAnsi="Times New Roman" w:cs="Times New Roman"/>
                <w:color w:val="000000" w:themeColor="text1"/>
              </w:rPr>
              <w:t>2026 r</w:t>
            </w:r>
            <w:r w:rsidR="00EA3BFE" w:rsidRPr="000E2DF4">
              <w:rPr>
                <w:rFonts w:ascii="Times New Roman" w:hAnsi="Times New Roman" w:cs="Times New Roman"/>
                <w:color w:val="000000" w:themeColor="text1"/>
              </w:rPr>
              <w:t xml:space="preserve">. </w:t>
            </w:r>
            <w:r w:rsidR="000E2DF4">
              <w:rPr>
                <w:rFonts w:ascii="Times New Roman" w:hAnsi="Times New Roman" w:cs="Times New Roman"/>
                <w:color w:val="000000" w:themeColor="text1"/>
              </w:rPr>
              <w:t>–</w:t>
            </w:r>
            <w:r w:rsidRPr="000E2DF4">
              <w:rPr>
                <w:rFonts w:ascii="Times New Roman" w:hAnsi="Times New Roman" w:cs="Times New Roman"/>
                <w:color w:val="000000" w:themeColor="text1"/>
              </w:rPr>
              <w:t xml:space="preserve"> 16,12 mln zł, </w:t>
            </w:r>
            <w:r w:rsidR="00EA3BFE" w:rsidRPr="000E2DF4">
              <w:rPr>
                <w:rFonts w:ascii="Times New Roman" w:hAnsi="Times New Roman" w:cs="Times New Roman"/>
                <w:color w:val="000000" w:themeColor="text1"/>
              </w:rPr>
              <w:t xml:space="preserve">w </w:t>
            </w:r>
            <w:r w:rsidRPr="000E2DF4">
              <w:rPr>
                <w:rFonts w:ascii="Times New Roman" w:hAnsi="Times New Roman" w:cs="Times New Roman"/>
                <w:color w:val="000000" w:themeColor="text1"/>
              </w:rPr>
              <w:t>2027 r</w:t>
            </w:r>
            <w:r w:rsidR="00EA3BFE" w:rsidRPr="000E2DF4">
              <w:rPr>
                <w:rFonts w:ascii="Times New Roman" w:hAnsi="Times New Roman" w:cs="Times New Roman"/>
                <w:color w:val="000000" w:themeColor="text1"/>
              </w:rPr>
              <w:t xml:space="preserve">. </w:t>
            </w:r>
            <w:r w:rsidR="000E2DF4">
              <w:rPr>
                <w:rFonts w:ascii="Times New Roman" w:hAnsi="Times New Roman" w:cs="Times New Roman"/>
                <w:color w:val="000000" w:themeColor="text1"/>
              </w:rPr>
              <w:t>–</w:t>
            </w:r>
            <w:r w:rsidRPr="000E2DF4">
              <w:rPr>
                <w:rFonts w:ascii="Times New Roman" w:hAnsi="Times New Roman" w:cs="Times New Roman"/>
                <w:color w:val="000000" w:themeColor="text1"/>
              </w:rPr>
              <w:t xml:space="preserve"> 16,27 mln zł, </w:t>
            </w:r>
            <w:r w:rsidR="00EA3BFE" w:rsidRPr="000E2DF4">
              <w:rPr>
                <w:rFonts w:ascii="Times New Roman" w:hAnsi="Times New Roman" w:cs="Times New Roman"/>
                <w:color w:val="000000" w:themeColor="text1"/>
              </w:rPr>
              <w:t xml:space="preserve">w </w:t>
            </w:r>
            <w:r w:rsidRPr="000E2DF4">
              <w:rPr>
                <w:rFonts w:ascii="Times New Roman" w:hAnsi="Times New Roman" w:cs="Times New Roman"/>
                <w:color w:val="000000" w:themeColor="text1"/>
              </w:rPr>
              <w:t>2028 r</w:t>
            </w:r>
            <w:r w:rsidR="00EA3BFE" w:rsidRPr="000E2DF4">
              <w:rPr>
                <w:rFonts w:ascii="Times New Roman" w:hAnsi="Times New Roman" w:cs="Times New Roman"/>
                <w:color w:val="000000" w:themeColor="text1"/>
              </w:rPr>
              <w:t xml:space="preserve">. </w:t>
            </w:r>
            <w:r w:rsidR="000E2DF4">
              <w:rPr>
                <w:rFonts w:ascii="Times New Roman" w:hAnsi="Times New Roman" w:cs="Times New Roman"/>
                <w:color w:val="000000" w:themeColor="text1"/>
              </w:rPr>
              <w:t>–</w:t>
            </w:r>
            <w:r w:rsidRPr="000E2DF4">
              <w:rPr>
                <w:rFonts w:ascii="Times New Roman" w:hAnsi="Times New Roman" w:cs="Times New Roman"/>
                <w:color w:val="000000" w:themeColor="text1"/>
              </w:rPr>
              <w:t xml:space="preserve"> 16,42 mln zł, </w:t>
            </w:r>
            <w:r w:rsidR="00EA3BFE" w:rsidRPr="000E2DF4">
              <w:rPr>
                <w:rFonts w:ascii="Times New Roman" w:hAnsi="Times New Roman" w:cs="Times New Roman"/>
                <w:color w:val="000000" w:themeColor="text1"/>
              </w:rPr>
              <w:t xml:space="preserve">w </w:t>
            </w:r>
            <w:r w:rsidRPr="000E2DF4">
              <w:rPr>
                <w:rFonts w:ascii="Times New Roman" w:hAnsi="Times New Roman" w:cs="Times New Roman"/>
                <w:color w:val="000000" w:themeColor="text1"/>
              </w:rPr>
              <w:t>2029 r</w:t>
            </w:r>
            <w:r w:rsidR="00EA3BFE" w:rsidRPr="000E2DF4">
              <w:rPr>
                <w:rFonts w:ascii="Times New Roman" w:hAnsi="Times New Roman" w:cs="Times New Roman"/>
                <w:color w:val="000000" w:themeColor="text1"/>
              </w:rPr>
              <w:t xml:space="preserve">. </w:t>
            </w:r>
            <w:r w:rsidR="000E2DF4">
              <w:rPr>
                <w:rFonts w:ascii="Times New Roman" w:hAnsi="Times New Roman" w:cs="Times New Roman"/>
                <w:color w:val="000000" w:themeColor="text1"/>
              </w:rPr>
              <w:t>–</w:t>
            </w:r>
            <w:r w:rsidRPr="000E2DF4">
              <w:rPr>
                <w:rFonts w:ascii="Times New Roman" w:hAnsi="Times New Roman" w:cs="Times New Roman"/>
                <w:color w:val="000000" w:themeColor="text1"/>
              </w:rPr>
              <w:t xml:space="preserve"> 16,54 mln zł i </w:t>
            </w:r>
            <w:r w:rsidR="00EA3BFE" w:rsidRPr="000E2DF4">
              <w:rPr>
                <w:rFonts w:ascii="Times New Roman" w:hAnsi="Times New Roman" w:cs="Times New Roman"/>
                <w:color w:val="000000" w:themeColor="text1"/>
              </w:rPr>
              <w:t xml:space="preserve">w </w:t>
            </w:r>
            <w:r w:rsidRPr="000E2DF4">
              <w:rPr>
                <w:rFonts w:ascii="Times New Roman" w:hAnsi="Times New Roman" w:cs="Times New Roman"/>
                <w:color w:val="000000" w:themeColor="text1"/>
              </w:rPr>
              <w:t xml:space="preserve">2030 r. </w:t>
            </w:r>
            <w:r w:rsidR="000E2DF4">
              <w:rPr>
                <w:rFonts w:ascii="Times New Roman" w:hAnsi="Times New Roman" w:cs="Times New Roman"/>
                <w:color w:val="000000" w:themeColor="text1"/>
              </w:rPr>
              <w:t>–</w:t>
            </w:r>
            <w:r w:rsidR="00EA3BFE" w:rsidRPr="000E2DF4">
              <w:rPr>
                <w:rFonts w:ascii="Times New Roman" w:hAnsi="Times New Roman" w:cs="Times New Roman"/>
                <w:color w:val="000000" w:themeColor="text1"/>
              </w:rPr>
              <w:t xml:space="preserve"> </w:t>
            </w:r>
            <w:r w:rsidRPr="000E2DF4">
              <w:rPr>
                <w:rFonts w:ascii="Times New Roman" w:hAnsi="Times New Roman" w:cs="Times New Roman"/>
                <w:color w:val="000000" w:themeColor="text1"/>
              </w:rPr>
              <w:t>16,68 mln zł</w:t>
            </w:r>
            <w:r w:rsidRPr="00067989">
              <w:rPr>
                <w:rStyle w:val="Odwoanieprzypisudolnego"/>
                <w:rFonts w:ascii="Times New Roman" w:hAnsi="Times New Roman" w:cs="Times New Roman"/>
                <w:color w:val="000000" w:themeColor="text1"/>
              </w:rPr>
              <w:footnoteReference w:id="14"/>
            </w:r>
            <w:r w:rsidR="000E2DF4" w:rsidRPr="008A3FA9">
              <w:rPr>
                <w:rFonts w:ascii="Times New Roman" w:hAnsi="Times New Roman" w:cs="Times New Roman"/>
                <w:color w:val="000000" w:themeColor="text1"/>
                <w:vertAlign w:val="superscript"/>
              </w:rPr>
              <w:t>)</w:t>
            </w:r>
            <w:r w:rsidR="00EA3BFE" w:rsidRPr="00067989">
              <w:rPr>
                <w:rFonts w:ascii="Times New Roman" w:hAnsi="Times New Roman" w:cs="Times New Roman"/>
                <w:color w:val="000000" w:themeColor="text1"/>
              </w:rPr>
              <w:t>,</w:t>
            </w:r>
            <w:r w:rsidRPr="00067989">
              <w:rPr>
                <w:rFonts w:ascii="Times New Roman" w:hAnsi="Times New Roman" w:cs="Times New Roman"/>
                <w:color w:val="000000" w:themeColor="text1"/>
              </w:rPr>
              <w:t xml:space="preserve"> w tym:</w:t>
            </w:r>
          </w:p>
          <w:p w14:paraId="4D5A2C96" w14:textId="77777777" w:rsidR="00DB0B02" w:rsidRPr="00067989" w:rsidRDefault="00DB0B02" w:rsidP="008A3FA9">
            <w:pPr>
              <w:pStyle w:val="Akapitzlist"/>
              <w:spacing w:before="60" w:after="60"/>
              <w:ind w:left="0"/>
              <w:jc w:val="both"/>
              <w:rPr>
                <w:rFonts w:ascii="Times New Roman" w:hAnsi="Times New Roman" w:cs="Times New Roman"/>
                <w:color w:val="000000" w:themeColor="text1"/>
              </w:rPr>
            </w:pPr>
            <w:r w:rsidRPr="00067989">
              <w:rPr>
                <w:rFonts w:ascii="Times New Roman" w:hAnsi="Times New Roman" w:cs="Times New Roman"/>
                <w:color w:val="000000" w:themeColor="text1"/>
              </w:rPr>
              <w:t xml:space="preserve">cz. 27 – Informatyzacja </w:t>
            </w:r>
          </w:p>
          <w:p w14:paraId="176D6610" w14:textId="77777777" w:rsidR="00DB0B02" w:rsidRPr="000E2DF4" w:rsidRDefault="00DB0B02" w:rsidP="008A3FA9">
            <w:pPr>
              <w:pStyle w:val="Akapitzlist"/>
              <w:spacing w:before="60" w:after="60"/>
              <w:ind w:left="0"/>
              <w:jc w:val="both"/>
              <w:rPr>
                <w:rFonts w:ascii="Times New Roman" w:hAnsi="Times New Roman" w:cs="Times New Roman"/>
                <w:color w:val="000000" w:themeColor="text1"/>
              </w:rPr>
            </w:pPr>
            <w:r w:rsidRPr="00067989">
              <w:rPr>
                <w:rFonts w:ascii="Times New Roman" w:hAnsi="Times New Roman" w:cs="Times New Roman"/>
                <w:color w:val="000000" w:themeColor="text1"/>
              </w:rPr>
              <w:t xml:space="preserve">w 2020 </w:t>
            </w:r>
            <w:r w:rsidR="002B5478" w:rsidRPr="00067989">
              <w:rPr>
                <w:rFonts w:ascii="Times New Roman" w:hAnsi="Times New Roman" w:cs="Times New Roman"/>
                <w:color w:val="000000" w:themeColor="text1"/>
              </w:rPr>
              <w:t xml:space="preserve">r. </w:t>
            </w:r>
            <w:r w:rsidR="000E2DF4">
              <w:rPr>
                <w:rFonts w:ascii="Times New Roman" w:hAnsi="Times New Roman" w:cs="Times New Roman"/>
                <w:color w:val="000000" w:themeColor="text1"/>
              </w:rPr>
              <w:t>–</w:t>
            </w:r>
            <w:r w:rsidR="002B5478" w:rsidRPr="0006798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 xml:space="preserve">0,63 mln zł, w 2021 </w:t>
            </w:r>
            <w:r w:rsidR="002B5478" w:rsidRPr="00067989">
              <w:rPr>
                <w:rFonts w:ascii="Times New Roman" w:hAnsi="Times New Roman" w:cs="Times New Roman"/>
                <w:color w:val="000000" w:themeColor="text1"/>
              </w:rPr>
              <w:t xml:space="preserve">r. </w:t>
            </w:r>
            <w:r w:rsidR="000E2DF4">
              <w:rPr>
                <w:rFonts w:ascii="Times New Roman" w:hAnsi="Times New Roman" w:cs="Times New Roman"/>
                <w:color w:val="000000" w:themeColor="text1"/>
              </w:rPr>
              <w:t>–</w:t>
            </w:r>
            <w:r w:rsidR="002B5478" w:rsidRPr="0006798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1,09 mln zł, w 2022 r</w:t>
            </w:r>
            <w:r w:rsidR="002B5478" w:rsidRPr="00067989">
              <w:rPr>
                <w:rFonts w:ascii="Times New Roman" w:hAnsi="Times New Roman" w:cs="Times New Roman"/>
                <w:color w:val="000000" w:themeColor="text1"/>
              </w:rPr>
              <w:t xml:space="preserve">. </w:t>
            </w:r>
            <w:r w:rsidR="000E2DF4">
              <w:rPr>
                <w:rFonts w:ascii="Times New Roman" w:hAnsi="Times New Roman" w:cs="Times New Roman"/>
                <w:color w:val="000000" w:themeColor="text1"/>
              </w:rPr>
              <w:t>–</w:t>
            </w:r>
            <w:r w:rsidRPr="00067989">
              <w:rPr>
                <w:rFonts w:ascii="Times New Roman" w:hAnsi="Times New Roman" w:cs="Times New Roman"/>
                <w:color w:val="000000" w:themeColor="text1"/>
              </w:rPr>
              <w:t xml:space="preserve"> 12,15 mln zł, </w:t>
            </w:r>
            <w:r w:rsidR="002B5478" w:rsidRPr="00067989">
              <w:rPr>
                <w:rFonts w:ascii="Times New Roman" w:hAnsi="Times New Roman" w:cs="Times New Roman"/>
                <w:color w:val="000000" w:themeColor="text1"/>
              </w:rPr>
              <w:t xml:space="preserve">w </w:t>
            </w:r>
            <w:r w:rsidRPr="00067989">
              <w:rPr>
                <w:rFonts w:ascii="Times New Roman" w:hAnsi="Times New Roman" w:cs="Times New Roman"/>
                <w:color w:val="000000" w:themeColor="text1"/>
              </w:rPr>
              <w:t>2023 r</w:t>
            </w:r>
            <w:r w:rsidR="002B5478" w:rsidRPr="00067989">
              <w:rPr>
                <w:rFonts w:ascii="Times New Roman" w:hAnsi="Times New Roman" w:cs="Times New Roman"/>
                <w:color w:val="000000" w:themeColor="text1"/>
              </w:rPr>
              <w:t xml:space="preserve">. </w:t>
            </w:r>
            <w:r w:rsidR="000E2DF4">
              <w:rPr>
                <w:rFonts w:ascii="Times New Roman" w:hAnsi="Times New Roman" w:cs="Times New Roman"/>
                <w:color w:val="000000" w:themeColor="text1"/>
              </w:rPr>
              <w:t>–</w:t>
            </w:r>
            <w:r w:rsidRPr="00067989">
              <w:rPr>
                <w:rFonts w:ascii="Times New Roman" w:hAnsi="Times New Roman" w:cs="Times New Roman"/>
                <w:color w:val="000000" w:themeColor="text1"/>
              </w:rPr>
              <w:t xml:space="preserve"> 12,76 mln zł, </w:t>
            </w:r>
            <w:r w:rsidR="002B5478" w:rsidRPr="00284114">
              <w:rPr>
                <w:rFonts w:ascii="Times New Roman" w:hAnsi="Times New Roman" w:cs="Times New Roman"/>
                <w:color w:val="000000" w:themeColor="text1"/>
              </w:rPr>
              <w:t xml:space="preserve">w </w:t>
            </w:r>
            <w:r w:rsidRPr="00284114">
              <w:rPr>
                <w:rFonts w:ascii="Times New Roman" w:hAnsi="Times New Roman" w:cs="Times New Roman"/>
                <w:color w:val="000000" w:themeColor="text1"/>
              </w:rPr>
              <w:t>2024 r</w:t>
            </w:r>
            <w:r w:rsidR="002B5478" w:rsidRPr="00284114">
              <w:rPr>
                <w:rFonts w:ascii="Times New Roman" w:hAnsi="Times New Roman" w:cs="Times New Roman"/>
                <w:color w:val="000000" w:themeColor="text1"/>
              </w:rPr>
              <w:t xml:space="preserve">. </w:t>
            </w:r>
            <w:r w:rsidR="000E2DF4">
              <w:rPr>
                <w:rFonts w:ascii="Times New Roman" w:hAnsi="Times New Roman" w:cs="Times New Roman"/>
                <w:color w:val="000000" w:themeColor="text1"/>
              </w:rPr>
              <w:t>–</w:t>
            </w:r>
            <w:r w:rsidRPr="00284114">
              <w:rPr>
                <w:rFonts w:ascii="Times New Roman" w:hAnsi="Times New Roman" w:cs="Times New Roman"/>
                <w:color w:val="000000" w:themeColor="text1"/>
              </w:rPr>
              <w:t xml:space="preserve"> 12,92 mln zł, </w:t>
            </w:r>
            <w:r w:rsidR="002B5478" w:rsidRPr="00284114">
              <w:rPr>
                <w:rFonts w:ascii="Times New Roman" w:hAnsi="Times New Roman" w:cs="Times New Roman"/>
                <w:color w:val="000000" w:themeColor="text1"/>
              </w:rPr>
              <w:t xml:space="preserve">w </w:t>
            </w:r>
            <w:r w:rsidRPr="00284114">
              <w:rPr>
                <w:rFonts w:ascii="Times New Roman" w:hAnsi="Times New Roman" w:cs="Times New Roman"/>
                <w:color w:val="000000" w:themeColor="text1"/>
              </w:rPr>
              <w:t>2025 r</w:t>
            </w:r>
            <w:r w:rsidR="002B5478" w:rsidRPr="009341A8">
              <w:rPr>
                <w:rFonts w:ascii="Times New Roman" w:hAnsi="Times New Roman" w:cs="Times New Roman"/>
                <w:color w:val="000000" w:themeColor="text1"/>
              </w:rPr>
              <w:t xml:space="preserve">. </w:t>
            </w:r>
            <w:r w:rsidR="000E2DF4">
              <w:rPr>
                <w:rFonts w:ascii="Times New Roman" w:hAnsi="Times New Roman" w:cs="Times New Roman"/>
                <w:color w:val="000000" w:themeColor="text1"/>
              </w:rPr>
              <w:t>–</w:t>
            </w:r>
            <w:r w:rsidRPr="000E2DF4">
              <w:rPr>
                <w:rFonts w:ascii="Times New Roman" w:hAnsi="Times New Roman" w:cs="Times New Roman"/>
                <w:color w:val="000000" w:themeColor="text1"/>
              </w:rPr>
              <w:t xml:space="preserve"> 13,07 mln zł, </w:t>
            </w:r>
            <w:r w:rsidR="002B5478" w:rsidRPr="000E2DF4">
              <w:rPr>
                <w:rFonts w:ascii="Times New Roman" w:hAnsi="Times New Roman" w:cs="Times New Roman"/>
                <w:color w:val="000000" w:themeColor="text1"/>
              </w:rPr>
              <w:t xml:space="preserve">w </w:t>
            </w:r>
            <w:r w:rsidRPr="000E2DF4">
              <w:rPr>
                <w:rFonts w:ascii="Times New Roman" w:hAnsi="Times New Roman" w:cs="Times New Roman"/>
                <w:color w:val="000000" w:themeColor="text1"/>
              </w:rPr>
              <w:t>2026 r</w:t>
            </w:r>
            <w:r w:rsidR="002B5478" w:rsidRPr="000E2DF4">
              <w:rPr>
                <w:rFonts w:ascii="Times New Roman" w:hAnsi="Times New Roman" w:cs="Times New Roman"/>
                <w:color w:val="000000" w:themeColor="text1"/>
              </w:rPr>
              <w:t xml:space="preserve">. </w:t>
            </w:r>
            <w:r w:rsidR="000E2DF4">
              <w:rPr>
                <w:rFonts w:ascii="Times New Roman" w:hAnsi="Times New Roman" w:cs="Times New Roman"/>
                <w:color w:val="000000" w:themeColor="text1"/>
              </w:rPr>
              <w:t>–</w:t>
            </w:r>
            <w:r w:rsidRPr="000E2DF4">
              <w:rPr>
                <w:rFonts w:ascii="Times New Roman" w:hAnsi="Times New Roman" w:cs="Times New Roman"/>
                <w:color w:val="000000" w:themeColor="text1"/>
              </w:rPr>
              <w:t xml:space="preserve"> 13,22 mln zł, </w:t>
            </w:r>
            <w:r w:rsidR="002B5478" w:rsidRPr="000E2DF4">
              <w:rPr>
                <w:rFonts w:ascii="Times New Roman" w:hAnsi="Times New Roman" w:cs="Times New Roman"/>
                <w:color w:val="000000" w:themeColor="text1"/>
              </w:rPr>
              <w:t xml:space="preserve">w </w:t>
            </w:r>
            <w:r w:rsidRPr="000E2DF4">
              <w:rPr>
                <w:rFonts w:ascii="Times New Roman" w:hAnsi="Times New Roman" w:cs="Times New Roman"/>
                <w:color w:val="000000" w:themeColor="text1"/>
              </w:rPr>
              <w:t>2027 r</w:t>
            </w:r>
            <w:r w:rsidR="002B5478" w:rsidRPr="000E2DF4">
              <w:rPr>
                <w:rFonts w:ascii="Times New Roman" w:hAnsi="Times New Roman" w:cs="Times New Roman"/>
                <w:color w:val="000000" w:themeColor="text1"/>
              </w:rPr>
              <w:t xml:space="preserve">. </w:t>
            </w:r>
            <w:r w:rsidR="000E2DF4">
              <w:rPr>
                <w:rFonts w:ascii="Times New Roman" w:hAnsi="Times New Roman" w:cs="Times New Roman"/>
                <w:color w:val="000000" w:themeColor="text1"/>
              </w:rPr>
              <w:t>–</w:t>
            </w:r>
            <w:r w:rsidRPr="000E2DF4">
              <w:rPr>
                <w:rFonts w:ascii="Times New Roman" w:hAnsi="Times New Roman" w:cs="Times New Roman"/>
                <w:color w:val="000000" w:themeColor="text1"/>
              </w:rPr>
              <w:t xml:space="preserve"> 13,37 mln zł, </w:t>
            </w:r>
            <w:r w:rsidR="002B5478" w:rsidRPr="000E2DF4">
              <w:rPr>
                <w:rFonts w:ascii="Times New Roman" w:hAnsi="Times New Roman" w:cs="Times New Roman"/>
                <w:color w:val="000000" w:themeColor="text1"/>
              </w:rPr>
              <w:t xml:space="preserve">w </w:t>
            </w:r>
            <w:r w:rsidRPr="000E2DF4">
              <w:rPr>
                <w:rFonts w:ascii="Times New Roman" w:hAnsi="Times New Roman" w:cs="Times New Roman"/>
                <w:color w:val="000000" w:themeColor="text1"/>
              </w:rPr>
              <w:t>2028 r</w:t>
            </w:r>
            <w:r w:rsidR="002B5478" w:rsidRPr="000E2DF4">
              <w:rPr>
                <w:rFonts w:ascii="Times New Roman" w:hAnsi="Times New Roman" w:cs="Times New Roman"/>
                <w:color w:val="000000" w:themeColor="text1"/>
              </w:rPr>
              <w:t xml:space="preserve">. </w:t>
            </w:r>
            <w:r w:rsidR="000E2DF4">
              <w:rPr>
                <w:rFonts w:ascii="Times New Roman" w:hAnsi="Times New Roman" w:cs="Times New Roman"/>
                <w:color w:val="000000" w:themeColor="text1"/>
              </w:rPr>
              <w:t>–</w:t>
            </w:r>
            <w:r w:rsidRPr="000E2DF4">
              <w:rPr>
                <w:rFonts w:ascii="Times New Roman" w:hAnsi="Times New Roman" w:cs="Times New Roman"/>
                <w:color w:val="000000" w:themeColor="text1"/>
              </w:rPr>
              <w:t xml:space="preserve"> 13,51 mln zł, </w:t>
            </w:r>
            <w:r w:rsidR="002B5478" w:rsidRPr="000E2DF4">
              <w:rPr>
                <w:rFonts w:ascii="Times New Roman" w:hAnsi="Times New Roman" w:cs="Times New Roman"/>
                <w:color w:val="000000" w:themeColor="text1"/>
              </w:rPr>
              <w:t xml:space="preserve">w </w:t>
            </w:r>
            <w:r w:rsidRPr="000E2DF4">
              <w:rPr>
                <w:rFonts w:ascii="Times New Roman" w:hAnsi="Times New Roman" w:cs="Times New Roman"/>
                <w:color w:val="000000" w:themeColor="text1"/>
              </w:rPr>
              <w:t>2029 r</w:t>
            </w:r>
            <w:r w:rsidR="002B5478" w:rsidRPr="000E2DF4">
              <w:rPr>
                <w:rFonts w:ascii="Times New Roman" w:hAnsi="Times New Roman" w:cs="Times New Roman"/>
                <w:color w:val="000000" w:themeColor="text1"/>
              </w:rPr>
              <w:t xml:space="preserve">. </w:t>
            </w:r>
            <w:r w:rsidR="000E2DF4">
              <w:rPr>
                <w:rFonts w:ascii="Times New Roman" w:hAnsi="Times New Roman" w:cs="Times New Roman"/>
                <w:color w:val="000000" w:themeColor="text1"/>
              </w:rPr>
              <w:t>–</w:t>
            </w:r>
            <w:r w:rsidRPr="000E2DF4">
              <w:rPr>
                <w:rFonts w:ascii="Times New Roman" w:hAnsi="Times New Roman" w:cs="Times New Roman"/>
                <w:color w:val="000000" w:themeColor="text1"/>
              </w:rPr>
              <w:t xml:space="preserve"> 13,64 mln zł, w 2030 r</w:t>
            </w:r>
            <w:r w:rsidR="002B5478" w:rsidRPr="000E2DF4">
              <w:rPr>
                <w:rFonts w:ascii="Times New Roman" w:hAnsi="Times New Roman" w:cs="Times New Roman"/>
                <w:color w:val="000000" w:themeColor="text1"/>
              </w:rPr>
              <w:t xml:space="preserve"> </w:t>
            </w:r>
            <w:r w:rsidR="000E2DF4">
              <w:rPr>
                <w:rFonts w:ascii="Times New Roman" w:hAnsi="Times New Roman" w:cs="Times New Roman"/>
                <w:color w:val="000000" w:themeColor="text1"/>
              </w:rPr>
              <w:t xml:space="preserve">– </w:t>
            </w:r>
            <w:r w:rsidRPr="000E2DF4">
              <w:rPr>
                <w:rFonts w:ascii="Times New Roman" w:hAnsi="Times New Roman" w:cs="Times New Roman"/>
                <w:color w:val="000000" w:themeColor="text1"/>
              </w:rPr>
              <w:t>13,78 mln zł</w:t>
            </w:r>
            <w:r w:rsidR="002B5478" w:rsidRPr="000E2DF4">
              <w:rPr>
                <w:rFonts w:ascii="Times New Roman" w:hAnsi="Times New Roman" w:cs="Times New Roman"/>
                <w:color w:val="000000" w:themeColor="text1"/>
              </w:rPr>
              <w:t>,</w:t>
            </w:r>
          </w:p>
          <w:p w14:paraId="5AF1390C" w14:textId="77777777" w:rsidR="00DB0B02" w:rsidRPr="000E2DF4" w:rsidRDefault="00DB0B02" w:rsidP="008A3FA9">
            <w:pPr>
              <w:pStyle w:val="Akapitzlist"/>
              <w:spacing w:before="60" w:after="60"/>
              <w:ind w:left="0"/>
              <w:jc w:val="both"/>
              <w:rPr>
                <w:rFonts w:ascii="Times New Roman" w:hAnsi="Times New Roman" w:cs="Times New Roman"/>
                <w:color w:val="000000" w:themeColor="text1"/>
              </w:rPr>
            </w:pPr>
            <w:r w:rsidRPr="000E2DF4">
              <w:rPr>
                <w:rFonts w:ascii="Times New Roman" w:hAnsi="Times New Roman" w:cs="Times New Roman"/>
                <w:color w:val="000000" w:themeColor="text1"/>
              </w:rPr>
              <w:t xml:space="preserve">cz. 20 – Gospodarka </w:t>
            </w:r>
          </w:p>
          <w:p w14:paraId="732654E7" w14:textId="77777777" w:rsidR="00DB0B02" w:rsidRPr="000E2DF4" w:rsidRDefault="00DB0B02" w:rsidP="008A3FA9">
            <w:pPr>
              <w:pStyle w:val="Akapitzlist"/>
              <w:spacing w:before="60" w:after="60"/>
              <w:ind w:left="0"/>
              <w:jc w:val="both"/>
              <w:rPr>
                <w:rFonts w:ascii="Times New Roman" w:hAnsi="Times New Roman" w:cs="Times New Roman"/>
                <w:color w:val="000000" w:themeColor="text1"/>
              </w:rPr>
            </w:pPr>
            <w:r w:rsidRPr="000E2DF4">
              <w:rPr>
                <w:rFonts w:ascii="Times New Roman" w:hAnsi="Times New Roman" w:cs="Times New Roman"/>
                <w:color w:val="000000" w:themeColor="text1"/>
              </w:rPr>
              <w:t>w 2022 r</w:t>
            </w:r>
            <w:r w:rsidR="002B5478" w:rsidRPr="000E2DF4">
              <w:rPr>
                <w:rFonts w:ascii="Times New Roman" w:hAnsi="Times New Roman" w:cs="Times New Roman"/>
                <w:color w:val="000000" w:themeColor="text1"/>
              </w:rPr>
              <w:t>.</w:t>
            </w:r>
            <w:r w:rsidR="000E2DF4">
              <w:rPr>
                <w:rFonts w:ascii="Times New Roman" w:hAnsi="Times New Roman" w:cs="Times New Roman"/>
                <w:color w:val="000000" w:themeColor="text1"/>
              </w:rPr>
              <w:t>–</w:t>
            </w:r>
            <w:r w:rsidRPr="000E2DF4">
              <w:rPr>
                <w:rFonts w:ascii="Times New Roman" w:hAnsi="Times New Roman" w:cs="Times New Roman"/>
                <w:color w:val="000000" w:themeColor="text1"/>
              </w:rPr>
              <w:t xml:space="preserve"> 2,41 mln zł, </w:t>
            </w:r>
            <w:r w:rsidR="002B5478" w:rsidRPr="000E2DF4">
              <w:rPr>
                <w:rFonts w:ascii="Times New Roman" w:hAnsi="Times New Roman" w:cs="Times New Roman"/>
                <w:color w:val="000000" w:themeColor="text1"/>
              </w:rPr>
              <w:t xml:space="preserve">w </w:t>
            </w:r>
            <w:r w:rsidRPr="000E2DF4">
              <w:rPr>
                <w:rFonts w:ascii="Times New Roman" w:hAnsi="Times New Roman" w:cs="Times New Roman"/>
                <w:color w:val="000000" w:themeColor="text1"/>
              </w:rPr>
              <w:t>2023 r</w:t>
            </w:r>
            <w:r w:rsidR="002B5478" w:rsidRPr="000E2DF4">
              <w:rPr>
                <w:rFonts w:ascii="Times New Roman" w:hAnsi="Times New Roman" w:cs="Times New Roman"/>
                <w:color w:val="000000" w:themeColor="text1"/>
              </w:rPr>
              <w:t xml:space="preserve">. </w:t>
            </w:r>
            <w:r w:rsidR="000E2DF4">
              <w:rPr>
                <w:rFonts w:ascii="Times New Roman" w:hAnsi="Times New Roman" w:cs="Times New Roman"/>
                <w:color w:val="000000" w:themeColor="text1"/>
              </w:rPr>
              <w:t>–</w:t>
            </w:r>
            <w:r w:rsidRPr="000E2DF4">
              <w:rPr>
                <w:rFonts w:ascii="Times New Roman" w:hAnsi="Times New Roman" w:cs="Times New Roman"/>
                <w:color w:val="000000" w:themeColor="text1"/>
              </w:rPr>
              <w:t xml:space="preserve"> 2,41 mln zł, </w:t>
            </w:r>
            <w:r w:rsidR="002B5478" w:rsidRPr="000E2DF4">
              <w:rPr>
                <w:rFonts w:ascii="Times New Roman" w:hAnsi="Times New Roman" w:cs="Times New Roman"/>
                <w:color w:val="000000" w:themeColor="text1"/>
              </w:rPr>
              <w:t xml:space="preserve">w </w:t>
            </w:r>
            <w:r w:rsidRPr="000E2DF4">
              <w:rPr>
                <w:rFonts w:ascii="Times New Roman" w:hAnsi="Times New Roman" w:cs="Times New Roman"/>
                <w:color w:val="000000" w:themeColor="text1"/>
              </w:rPr>
              <w:t>2024 r</w:t>
            </w:r>
            <w:r w:rsidR="002B5478" w:rsidRPr="000E2DF4">
              <w:rPr>
                <w:rFonts w:ascii="Times New Roman" w:hAnsi="Times New Roman" w:cs="Times New Roman"/>
                <w:color w:val="000000" w:themeColor="text1"/>
              </w:rPr>
              <w:t xml:space="preserve">. </w:t>
            </w:r>
            <w:r w:rsidR="000E2DF4">
              <w:rPr>
                <w:rFonts w:ascii="Times New Roman" w:hAnsi="Times New Roman" w:cs="Times New Roman"/>
                <w:color w:val="000000" w:themeColor="text1"/>
              </w:rPr>
              <w:t>–</w:t>
            </w:r>
            <w:r w:rsidRPr="000E2DF4">
              <w:rPr>
                <w:rFonts w:ascii="Times New Roman" w:hAnsi="Times New Roman" w:cs="Times New Roman"/>
                <w:color w:val="000000" w:themeColor="text1"/>
              </w:rPr>
              <w:t xml:space="preserve"> 2,41 mln zł, </w:t>
            </w:r>
            <w:r w:rsidR="002B5478" w:rsidRPr="000E2DF4">
              <w:rPr>
                <w:rFonts w:ascii="Times New Roman" w:hAnsi="Times New Roman" w:cs="Times New Roman"/>
                <w:color w:val="000000" w:themeColor="text1"/>
              </w:rPr>
              <w:t xml:space="preserve">w </w:t>
            </w:r>
            <w:r w:rsidRPr="000E2DF4">
              <w:rPr>
                <w:rFonts w:ascii="Times New Roman" w:hAnsi="Times New Roman" w:cs="Times New Roman"/>
                <w:color w:val="000000" w:themeColor="text1"/>
              </w:rPr>
              <w:t>2025 r</w:t>
            </w:r>
            <w:r w:rsidR="002B5478" w:rsidRPr="000E2DF4">
              <w:rPr>
                <w:rFonts w:ascii="Times New Roman" w:hAnsi="Times New Roman" w:cs="Times New Roman"/>
                <w:color w:val="000000" w:themeColor="text1"/>
              </w:rPr>
              <w:t xml:space="preserve">. </w:t>
            </w:r>
            <w:r w:rsidR="000E2DF4">
              <w:rPr>
                <w:rFonts w:ascii="Times New Roman" w:hAnsi="Times New Roman" w:cs="Times New Roman"/>
                <w:color w:val="000000" w:themeColor="text1"/>
              </w:rPr>
              <w:t>–</w:t>
            </w:r>
            <w:r w:rsidRPr="000E2DF4">
              <w:rPr>
                <w:rFonts w:ascii="Times New Roman" w:hAnsi="Times New Roman" w:cs="Times New Roman"/>
                <w:color w:val="000000" w:themeColor="text1"/>
              </w:rPr>
              <w:t xml:space="preserve"> 2,90 mln zł, </w:t>
            </w:r>
            <w:r w:rsidR="002B5478" w:rsidRPr="000E2DF4">
              <w:rPr>
                <w:rFonts w:ascii="Times New Roman" w:hAnsi="Times New Roman" w:cs="Times New Roman"/>
                <w:color w:val="000000" w:themeColor="text1"/>
              </w:rPr>
              <w:t xml:space="preserve">w </w:t>
            </w:r>
            <w:r w:rsidRPr="000E2DF4">
              <w:rPr>
                <w:rFonts w:ascii="Times New Roman" w:hAnsi="Times New Roman" w:cs="Times New Roman"/>
                <w:color w:val="000000" w:themeColor="text1"/>
              </w:rPr>
              <w:t>2026 r</w:t>
            </w:r>
            <w:r w:rsidR="002B5478" w:rsidRPr="000E2DF4">
              <w:rPr>
                <w:rFonts w:ascii="Times New Roman" w:hAnsi="Times New Roman" w:cs="Times New Roman"/>
                <w:color w:val="000000" w:themeColor="text1"/>
              </w:rPr>
              <w:t xml:space="preserve">. </w:t>
            </w:r>
            <w:r w:rsidR="000E2DF4">
              <w:rPr>
                <w:rFonts w:ascii="Times New Roman" w:hAnsi="Times New Roman" w:cs="Times New Roman"/>
                <w:color w:val="000000" w:themeColor="text1"/>
              </w:rPr>
              <w:t>–</w:t>
            </w:r>
            <w:r w:rsidRPr="000E2DF4">
              <w:rPr>
                <w:rFonts w:ascii="Times New Roman" w:hAnsi="Times New Roman" w:cs="Times New Roman"/>
                <w:color w:val="000000" w:themeColor="text1"/>
              </w:rPr>
              <w:t xml:space="preserve"> 2,90 mln zł, </w:t>
            </w:r>
            <w:r w:rsidR="002B5478" w:rsidRPr="000E2DF4">
              <w:rPr>
                <w:rFonts w:ascii="Times New Roman" w:hAnsi="Times New Roman" w:cs="Times New Roman"/>
                <w:color w:val="000000" w:themeColor="text1"/>
              </w:rPr>
              <w:t xml:space="preserve">w </w:t>
            </w:r>
            <w:r w:rsidRPr="000E2DF4">
              <w:rPr>
                <w:rFonts w:ascii="Times New Roman" w:hAnsi="Times New Roman" w:cs="Times New Roman"/>
                <w:color w:val="000000" w:themeColor="text1"/>
              </w:rPr>
              <w:t>2027 r</w:t>
            </w:r>
            <w:r w:rsidR="002B5478" w:rsidRPr="000E2DF4">
              <w:rPr>
                <w:rFonts w:ascii="Times New Roman" w:hAnsi="Times New Roman" w:cs="Times New Roman"/>
                <w:color w:val="000000" w:themeColor="text1"/>
              </w:rPr>
              <w:t xml:space="preserve">. </w:t>
            </w:r>
            <w:r w:rsidR="000E2DF4">
              <w:rPr>
                <w:rFonts w:ascii="Times New Roman" w:hAnsi="Times New Roman" w:cs="Times New Roman"/>
                <w:color w:val="000000" w:themeColor="text1"/>
              </w:rPr>
              <w:t>–</w:t>
            </w:r>
            <w:r w:rsidRPr="000E2DF4">
              <w:rPr>
                <w:rFonts w:ascii="Times New Roman" w:hAnsi="Times New Roman" w:cs="Times New Roman"/>
                <w:color w:val="000000" w:themeColor="text1"/>
              </w:rPr>
              <w:t xml:space="preserve"> 2,90 mln zł, </w:t>
            </w:r>
            <w:r w:rsidR="002B5478" w:rsidRPr="000E2DF4">
              <w:rPr>
                <w:rFonts w:ascii="Times New Roman" w:hAnsi="Times New Roman" w:cs="Times New Roman"/>
                <w:color w:val="000000" w:themeColor="text1"/>
              </w:rPr>
              <w:t xml:space="preserve">w </w:t>
            </w:r>
            <w:r w:rsidRPr="000E2DF4">
              <w:rPr>
                <w:rFonts w:ascii="Times New Roman" w:hAnsi="Times New Roman" w:cs="Times New Roman"/>
                <w:color w:val="000000" w:themeColor="text1"/>
              </w:rPr>
              <w:t>2028 r</w:t>
            </w:r>
            <w:r w:rsidR="002B5478" w:rsidRPr="000E2DF4">
              <w:rPr>
                <w:rFonts w:ascii="Times New Roman" w:hAnsi="Times New Roman" w:cs="Times New Roman"/>
                <w:color w:val="000000" w:themeColor="text1"/>
              </w:rPr>
              <w:t xml:space="preserve">. </w:t>
            </w:r>
            <w:r w:rsidR="000E2DF4">
              <w:rPr>
                <w:rFonts w:ascii="Times New Roman" w:hAnsi="Times New Roman" w:cs="Times New Roman"/>
                <w:color w:val="000000" w:themeColor="text1"/>
              </w:rPr>
              <w:t>–</w:t>
            </w:r>
            <w:r w:rsidRPr="000E2DF4">
              <w:rPr>
                <w:rFonts w:ascii="Times New Roman" w:hAnsi="Times New Roman" w:cs="Times New Roman"/>
                <w:color w:val="000000" w:themeColor="text1"/>
              </w:rPr>
              <w:t xml:space="preserve"> 2,91 mln zł, </w:t>
            </w:r>
            <w:r w:rsidR="002B5478" w:rsidRPr="000E2DF4">
              <w:rPr>
                <w:rFonts w:ascii="Times New Roman" w:hAnsi="Times New Roman" w:cs="Times New Roman"/>
                <w:color w:val="000000" w:themeColor="text1"/>
              </w:rPr>
              <w:t xml:space="preserve">w </w:t>
            </w:r>
            <w:r w:rsidRPr="000E2DF4">
              <w:rPr>
                <w:rFonts w:ascii="Times New Roman" w:hAnsi="Times New Roman" w:cs="Times New Roman"/>
                <w:color w:val="000000" w:themeColor="text1"/>
              </w:rPr>
              <w:t>2029 r</w:t>
            </w:r>
            <w:r w:rsidR="002B5478" w:rsidRPr="000E2DF4">
              <w:rPr>
                <w:rFonts w:ascii="Times New Roman" w:hAnsi="Times New Roman" w:cs="Times New Roman"/>
                <w:color w:val="000000" w:themeColor="text1"/>
              </w:rPr>
              <w:t xml:space="preserve">. </w:t>
            </w:r>
            <w:r w:rsidR="000E2DF4">
              <w:rPr>
                <w:rFonts w:ascii="Times New Roman" w:hAnsi="Times New Roman" w:cs="Times New Roman"/>
                <w:color w:val="000000" w:themeColor="text1"/>
              </w:rPr>
              <w:t>–</w:t>
            </w:r>
            <w:r w:rsidRPr="000E2DF4">
              <w:rPr>
                <w:rFonts w:ascii="Times New Roman" w:hAnsi="Times New Roman" w:cs="Times New Roman"/>
                <w:color w:val="000000" w:themeColor="text1"/>
              </w:rPr>
              <w:t xml:space="preserve"> 2,90 mln zł oraz w 2030 r.</w:t>
            </w:r>
            <w:r w:rsidR="002B5478" w:rsidRPr="000E2DF4">
              <w:rPr>
                <w:rFonts w:ascii="Times New Roman" w:hAnsi="Times New Roman" w:cs="Times New Roman"/>
                <w:color w:val="000000" w:themeColor="text1"/>
              </w:rPr>
              <w:t xml:space="preserve"> </w:t>
            </w:r>
            <w:r w:rsidR="000E2DF4">
              <w:rPr>
                <w:rFonts w:ascii="Times New Roman" w:hAnsi="Times New Roman" w:cs="Times New Roman"/>
                <w:color w:val="000000" w:themeColor="text1"/>
              </w:rPr>
              <w:t>–</w:t>
            </w:r>
            <w:r w:rsidRPr="000E2DF4">
              <w:rPr>
                <w:rFonts w:ascii="Times New Roman" w:hAnsi="Times New Roman" w:cs="Times New Roman"/>
                <w:color w:val="000000" w:themeColor="text1"/>
              </w:rPr>
              <w:t xml:space="preserve"> 2,90 mln zł.</w:t>
            </w:r>
          </w:p>
          <w:p w14:paraId="20941011" w14:textId="77777777" w:rsidR="00DB0B02" w:rsidRPr="00067989" w:rsidRDefault="00DB0B02" w:rsidP="000E2DF4">
            <w:pPr>
              <w:pStyle w:val="Akapitzlist"/>
              <w:spacing w:before="60" w:after="60"/>
              <w:ind w:left="0"/>
              <w:jc w:val="both"/>
              <w:rPr>
                <w:rFonts w:ascii="Times New Roman" w:hAnsi="Times New Roman" w:cs="Times New Roman"/>
                <w:color w:val="000000" w:themeColor="text1"/>
              </w:rPr>
            </w:pPr>
            <w:r w:rsidRPr="000E2DF4">
              <w:rPr>
                <w:rFonts w:ascii="Times New Roman" w:hAnsi="Times New Roman" w:cs="Times New Roman"/>
                <w:color w:val="000000" w:themeColor="text1"/>
              </w:rPr>
              <w:t>W kosztach stabilizacji i utrzymania rozwiązania nie jest przewidziany koszt ewentualnego utrzymania systemów teleinformatycznych</w:t>
            </w:r>
            <w:r w:rsidRPr="00E42D6D">
              <w:rPr>
                <w:rFonts w:ascii="Times New Roman" w:hAnsi="Times New Roman" w:cs="Times New Roman"/>
                <w:color w:val="000000" w:themeColor="text1"/>
              </w:rPr>
              <w:t xml:space="preserve"> operatora wyznaczonego. Zakłada się, że ten koszt będzie poniesiony przez operatora wyznaczonego, a pokrywany będzie z opłat pobieranych za świadczenie usługi e-Doręczenia w powiązaniu z</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publiczną usługą hybrydową.</w:t>
            </w:r>
          </w:p>
          <w:p w14:paraId="6B391040" w14:textId="77777777" w:rsidR="00DB0B02" w:rsidRPr="00067989" w:rsidRDefault="00DB0B02" w:rsidP="008A3FA9">
            <w:pPr>
              <w:pStyle w:val="Akapitzlist"/>
              <w:numPr>
                <w:ilvl w:val="0"/>
                <w:numId w:val="4"/>
              </w:numPr>
              <w:spacing w:before="60" w:after="60"/>
              <w:jc w:val="both"/>
              <w:rPr>
                <w:rFonts w:ascii="Times New Roman" w:hAnsi="Times New Roman" w:cs="Times New Roman"/>
                <w:color w:val="000000" w:themeColor="text1"/>
                <w:u w:val="single"/>
              </w:rPr>
            </w:pPr>
            <w:r w:rsidRPr="00067989">
              <w:rPr>
                <w:rFonts w:ascii="Times New Roman" w:hAnsi="Times New Roman" w:cs="Times New Roman"/>
                <w:color w:val="000000" w:themeColor="text1"/>
                <w:u w:val="single"/>
              </w:rPr>
              <w:t>Wybór operatora wyznaczonego – cz. 76 – Urząd Komunikacji Elektronicznej</w:t>
            </w:r>
            <w:r w:rsidR="00814064" w:rsidRPr="00067989">
              <w:rPr>
                <w:rFonts w:ascii="Times New Roman" w:hAnsi="Times New Roman" w:cs="Times New Roman"/>
                <w:color w:val="000000" w:themeColor="text1"/>
                <w:u w:val="single"/>
              </w:rPr>
              <w:t>.</w:t>
            </w:r>
          </w:p>
          <w:p w14:paraId="07314A4F" w14:textId="77777777" w:rsidR="00DB0B02" w:rsidRPr="00067989" w:rsidRDefault="00DB0B02" w:rsidP="000E2DF4">
            <w:p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Wybór operatora wyznaczonego do świadczenia publicznej usługi rejestrowanego doręczenia elektronicznego oraz publicznej usługi hybrydowej wymaga zmiany procedur wyboru operatora wyznaczonego na rok 2026 i lata następne (weryfikacja zdolności do</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pełnienia tej roli) w trybie konkursu zgodnego z</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ustawą z dnia 23</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listopada 2012 r. – Prawo pocztowe. Niezbędne będzie zaangażowanie podmiotów publicznych posiadających kompetencje oceny zdolności podmiotów biorących udział w konkursie zarówno w zakresie świadczenia usługi e-Doręczenia (system doręczeń w</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postaci elektronicznej wraz</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z</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komponentem umożliwiających przetwarzanie treści z</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postaci elektronicznej do</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papierowej i odwrotnie), jak i</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w</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zakresie doręczenia przesyłek pocztowych.</w:t>
            </w:r>
          </w:p>
          <w:p w14:paraId="08FC7146" w14:textId="5D0B7BCB" w:rsidR="00DB0B02" w:rsidRPr="00067989" w:rsidRDefault="00DB0B02" w:rsidP="000E2DF4">
            <w:p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Konieczne będzie powołanie interdyscyplinarnego zespołu ekspertów IT z zakresu cyfryzacji</w:t>
            </w:r>
            <w:r w:rsidR="006F44D5" w:rsidRPr="00067989">
              <w:rPr>
                <w:rFonts w:ascii="Times New Roman" w:hAnsi="Times New Roman" w:cs="Times New Roman"/>
                <w:color w:val="000000" w:themeColor="text1"/>
              </w:rPr>
              <w:t xml:space="preserve"> (w łącznym wymiarze 7 etatów): informatyzacji</w:t>
            </w:r>
            <w:r w:rsidRPr="00067989">
              <w:rPr>
                <w:rFonts w:ascii="Times New Roman" w:hAnsi="Times New Roman" w:cs="Times New Roman"/>
                <w:color w:val="000000" w:themeColor="text1"/>
              </w:rPr>
              <w:t xml:space="preserve">, specjalistów ekonomii, prawa </w:t>
            </w:r>
            <w:r w:rsidR="000E2DF4">
              <w:rPr>
                <w:rFonts w:ascii="Times New Roman" w:hAnsi="Times New Roman" w:cs="Times New Roman"/>
                <w:color w:val="000000" w:themeColor="text1"/>
              </w:rPr>
              <w:t>–</w:t>
            </w:r>
            <w:r w:rsidRPr="000E2DF4">
              <w:rPr>
                <w:rFonts w:ascii="Times New Roman" w:hAnsi="Times New Roman" w:cs="Times New Roman"/>
                <w:color w:val="000000" w:themeColor="text1"/>
              </w:rPr>
              <w:t xml:space="preserve"> w</w:t>
            </w:r>
            <w:r w:rsidR="001B514F">
              <w:rPr>
                <w:rFonts w:ascii="Times New Roman" w:hAnsi="Times New Roman" w:cs="Times New Roman"/>
                <w:color w:val="000000" w:themeColor="text1"/>
              </w:rPr>
              <w:t> </w:t>
            </w:r>
            <w:r w:rsidRPr="000E2DF4">
              <w:rPr>
                <w:rFonts w:ascii="Times New Roman" w:hAnsi="Times New Roman" w:cs="Times New Roman"/>
                <w:color w:val="000000" w:themeColor="text1"/>
              </w:rPr>
              <w:t xml:space="preserve">szczególności radców prawnych i legislatorów </w:t>
            </w:r>
            <w:r w:rsidR="00814064" w:rsidRPr="00E42D6D">
              <w:rPr>
                <w:rFonts w:ascii="Times New Roman" w:hAnsi="Times New Roman" w:cs="Times New Roman"/>
                <w:color w:val="000000" w:themeColor="text1"/>
              </w:rPr>
              <w:t>oraz</w:t>
            </w:r>
            <w:r w:rsidR="00AB04E9">
              <w:rPr>
                <w:rFonts w:ascii="Times New Roman" w:hAnsi="Times New Roman" w:cs="Times New Roman"/>
                <w:color w:val="000000" w:themeColor="text1"/>
              </w:rPr>
              <w:t xml:space="preserve"> </w:t>
            </w:r>
            <w:r w:rsidRPr="00E42D6D">
              <w:rPr>
                <w:rFonts w:ascii="Times New Roman" w:hAnsi="Times New Roman" w:cs="Times New Roman"/>
                <w:color w:val="000000" w:themeColor="text1"/>
              </w:rPr>
              <w:t>specjalistów bezpieczeństwa państwa w celu opracowania dokumentacji konkursowej obejmującej wymagania dotyczące oferty podmiotu aplikującego o status wyznaczonego operatora cyfrowego (w tym kryteriów przystąpienia do konkursu i</w:t>
            </w:r>
            <w:r w:rsidR="00AB04E9">
              <w:rPr>
                <w:rFonts w:ascii="Times New Roman" w:hAnsi="Times New Roman" w:cs="Times New Roman"/>
                <w:color w:val="000000" w:themeColor="text1"/>
              </w:rPr>
              <w:t xml:space="preserve"> </w:t>
            </w:r>
            <w:r w:rsidRPr="00E42D6D">
              <w:rPr>
                <w:rFonts w:ascii="Times New Roman" w:hAnsi="Times New Roman" w:cs="Times New Roman"/>
                <w:color w:val="000000" w:themeColor="text1"/>
              </w:rPr>
              <w:t>kryteriów wyboru). Prace ww. zespołu powinny być wspierane przez</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pracowników niższego szczebla (2 etaty) (np. specjalista) w zakresie m.in. technicznego opracowania dokumentacji.</w:t>
            </w:r>
          </w:p>
          <w:p w14:paraId="57924339" w14:textId="6B5DA930" w:rsidR="00DB0B02" w:rsidRPr="00080920" w:rsidRDefault="00DB0B02" w:rsidP="008A3FA9">
            <w:pPr>
              <w:spacing w:before="60" w:after="60"/>
              <w:jc w:val="both"/>
              <w:rPr>
                <w:rFonts w:ascii="Times New Roman" w:hAnsi="Times New Roman" w:cs="Times New Roman"/>
                <w:iCs/>
                <w:color w:val="000000" w:themeColor="text1"/>
              </w:rPr>
            </w:pPr>
            <w:r w:rsidRPr="00067989">
              <w:rPr>
                <w:rFonts w:ascii="Times New Roman" w:hAnsi="Times New Roman" w:cs="Times New Roman"/>
                <w:color w:val="000000" w:themeColor="text1"/>
              </w:rPr>
              <w:lastRenderedPageBreak/>
              <w:t>Średnie miesięczne wynagrodzenie brutto (wraz z pochodnymi) 1 eksperta (radca/konsultant) to od 7645,27 zł (razem z</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 xml:space="preserve">ZUS </w:t>
            </w:r>
            <w:r w:rsidR="000E2DF4">
              <w:rPr>
                <w:rFonts w:ascii="Times New Roman" w:hAnsi="Times New Roman" w:cs="Times New Roman"/>
                <w:color w:val="000000" w:themeColor="text1"/>
              </w:rPr>
              <w:t>–</w:t>
            </w:r>
            <w:r w:rsidRPr="000E2DF4">
              <w:rPr>
                <w:rFonts w:ascii="Times New Roman" w:hAnsi="Times New Roman" w:cs="Times New Roman"/>
                <w:color w:val="000000" w:themeColor="text1"/>
              </w:rPr>
              <w:t xml:space="preserve"> 9146,80 zł) do 8994,43 zł (razem z ZUS </w:t>
            </w:r>
            <w:r w:rsidR="000E2DF4">
              <w:rPr>
                <w:rFonts w:ascii="Times New Roman" w:hAnsi="Times New Roman" w:cs="Times New Roman"/>
                <w:color w:val="000000" w:themeColor="text1"/>
              </w:rPr>
              <w:t>–</w:t>
            </w:r>
            <w:r w:rsidRPr="000E2DF4">
              <w:rPr>
                <w:rFonts w:ascii="Times New Roman" w:hAnsi="Times New Roman" w:cs="Times New Roman"/>
                <w:color w:val="000000" w:themeColor="text1"/>
              </w:rPr>
              <w:t xml:space="preserve"> 10760,94 zł), natomiast specjalisty </w:t>
            </w:r>
            <w:r w:rsidR="005F6337">
              <w:rPr>
                <w:rFonts w:ascii="Times New Roman" w:hAnsi="Times New Roman" w:cs="Times New Roman"/>
                <w:color w:val="000000" w:themeColor="text1"/>
              </w:rPr>
              <w:t>–</w:t>
            </w:r>
            <w:r w:rsidRPr="000E2DF4">
              <w:rPr>
                <w:rFonts w:ascii="Times New Roman" w:hAnsi="Times New Roman" w:cs="Times New Roman"/>
                <w:color w:val="000000" w:themeColor="text1"/>
              </w:rPr>
              <w:t xml:space="preserve"> 4497,22 zł (razem z ZUS – 5380,47 zł). Przyjmuje się, że opracowanie dokumentacji konkursowej trwać będzie </w:t>
            </w:r>
            <w:r w:rsidRPr="000E2DF4">
              <w:rPr>
                <w:rFonts w:ascii="Times New Roman" w:hAnsi="Times New Roman" w:cs="Times New Roman"/>
                <w:iCs/>
                <w:color w:val="000000" w:themeColor="text1"/>
              </w:rPr>
              <w:t>od 9 do 12 miesięcy. Jak wspomniano wyżej zespół powinien być następnie zaangażowany w</w:t>
            </w:r>
            <w:r w:rsidR="00AB04E9">
              <w:rPr>
                <w:rFonts w:ascii="Times New Roman" w:hAnsi="Times New Roman" w:cs="Times New Roman"/>
                <w:iCs/>
                <w:color w:val="000000" w:themeColor="text1"/>
              </w:rPr>
              <w:t xml:space="preserve"> </w:t>
            </w:r>
            <w:r w:rsidRPr="000E2DF4">
              <w:rPr>
                <w:rFonts w:ascii="Times New Roman" w:hAnsi="Times New Roman" w:cs="Times New Roman"/>
                <w:iCs/>
                <w:color w:val="000000" w:themeColor="text1"/>
              </w:rPr>
              <w:t>o</w:t>
            </w:r>
            <w:r w:rsidRPr="00E42D6D">
              <w:rPr>
                <w:rFonts w:ascii="Times New Roman" w:hAnsi="Times New Roman" w:cs="Times New Roman"/>
                <w:iCs/>
                <w:color w:val="000000" w:themeColor="text1"/>
              </w:rPr>
              <w:t>pracowywanie ewentualnych ogłoszeń dot</w:t>
            </w:r>
            <w:r w:rsidR="00814064" w:rsidRPr="00E42D6D">
              <w:rPr>
                <w:rFonts w:ascii="Times New Roman" w:hAnsi="Times New Roman" w:cs="Times New Roman"/>
                <w:iCs/>
                <w:color w:val="000000" w:themeColor="text1"/>
              </w:rPr>
              <w:t>yczących</w:t>
            </w:r>
            <w:r w:rsidRPr="00E42D6D">
              <w:rPr>
                <w:rFonts w:ascii="Times New Roman" w:hAnsi="Times New Roman" w:cs="Times New Roman"/>
                <w:iCs/>
                <w:color w:val="000000" w:themeColor="text1"/>
              </w:rPr>
              <w:t xml:space="preserve"> sprostowania oczywistych omyłek (w</w:t>
            </w:r>
            <w:r w:rsidR="00AB04E9">
              <w:rPr>
                <w:rFonts w:ascii="Times New Roman" w:hAnsi="Times New Roman" w:cs="Times New Roman"/>
                <w:iCs/>
                <w:color w:val="000000" w:themeColor="text1"/>
              </w:rPr>
              <w:t xml:space="preserve"> </w:t>
            </w:r>
            <w:r w:rsidRPr="00E42D6D">
              <w:rPr>
                <w:rFonts w:ascii="Times New Roman" w:hAnsi="Times New Roman" w:cs="Times New Roman"/>
                <w:iCs/>
                <w:color w:val="000000" w:themeColor="text1"/>
              </w:rPr>
              <w:t>terminie od ogłoszenia konkursu do</w:t>
            </w:r>
            <w:r w:rsidR="00AB04E9">
              <w:rPr>
                <w:rFonts w:ascii="Times New Roman" w:hAnsi="Times New Roman" w:cs="Times New Roman"/>
                <w:iCs/>
                <w:color w:val="000000" w:themeColor="text1"/>
              </w:rPr>
              <w:t xml:space="preserve"> </w:t>
            </w:r>
            <w:r w:rsidRPr="00E42D6D">
              <w:rPr>
                <w:rFonts w:ascii="Times New Roman" w:hAnsi="Times New Roman" w:cs="Times New Roman"/>
                <w:iCs/>
                <w:color w:val="000000" w:themeColor="text1"/>
              </w:rPr>
              <w:t>ostatecznego terminu złożenia ofert). Optymalnie termin na przygotowanie oferty nie powinien być krótszy niż 4 do 6 miesięcy.</w:t>
            </w:r>
          </w:p>
          <w:p w14:paraId="2129D5C6" w14:textId="77777777" w:rsidR="00DB0B02" w:rsidRPr="00E42D6D" w:rsidRDefault="00DB0B02" w:rsidP="000E2DF4">
            <w:p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W związku ze znacznym skomplikowaniem zagadnień merytorycznych nie</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wyklucza się konieczności przygotowania ekspertyzy zewnętrznej do doboru i</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 xml:space="preserve">opracowania założeń wyboru kryterium oceny oraz punktacji tego kryterium (koszt ekspertyzy </w:t>
            </w:r>
            <w:r w:rsidR="000E2DF4">
              <w:rPr>
                <w:rFonts w:ascii="Times New Roman" w:hAnsi="Times New Roman" w:cs="Times New Roman"/>
                <w:color w:val="000000" w:themeColor="text1"/>
              </w:rPr>
              <w:t>–</w:t>
            </w:r>
            <w:r w:rsidRPr="000E2DF4">
              <w:rPr>
                <w:rFonts w:ascii="Times New Roman" w:hAnsi="Times New Roman" w:cs="Times New Roman"/>
                <w:color w:val="000000" w:themeColor="text1"/>
              </w:rPr>
              <w:t xml:space="preserve"> 0,25 mln zł </w:t>
            </w:r>
            <w:r w:rsidR="000E2DF4">
              <w:rPr>
                <w:rFonts w:ascii="Times New Roman" w:hAnsi="Times New Roman" w:cs="Times New Roman"/>
                <w:color w:val="000000" w:themeColor="text1"/>
              </w:rPr>
              <w:t>–</w:t>
            </w:r>
            <w:r w:rsidRPr="000E2DF4">
              <w:rPr>
                <w:rFonts w:ascii="Times New Roman" w:hAnsi="Times New Roman" w:cs="Times New Roman"/>
                <w:color w:val="000000" w:themeColor="text1"/>
              </w:rPr>
              <w:t xml:space="preserve"> zostanie poniesiony </w:t>
            </w:r>
            <w:r w:rsidRPr="00E42D6D">
              <w:rPr>
                <w:rFonts w:ascii="Times New Roman" w:hAnsi="Times New Roman" w:cs="Times New Roman"/>
                <w:color w:val="000000" w:themeColor="text1"/>
              </w:rPr>
              <w:t>w 2022 r</w:t>
            </w:r>
            <w:r w:rsidR="00814064" w:rsidRPr="00E42D6D">
              <w:rPr>
                <w:rFonts w:ascii="Times New Roman" w:hAnsi="Times New Roman" w:cs="Times New Roman"/>
                <w:color w:val="000000" w:themeColor="text1"/>
              </w:rPr>
              <w:t>.</w:t>
            </w:r>
            <w:r w:rsidRPr="00E42D6D">
              <w:rPr>
                <w:rFonts w:ascii="Times New Roman" w:hAnsi="Times New Roman" w:cs="Times New Roman"/>
                <w:color w:val="000000" w:themeColor="text1"/>
              </w:rPr>
              <w:t>).</w:t>
            </w:r>
          </w:p>
          <w:p w14:paraId="5CFACE44" w14:textId="5A28A4CB" w:rsidR="00DB0B02" w:rsidRPr="00067989" w:rsidRDefault="00DB0B02" w:rsidP="00E42D6D">
            <w:pPr>
              <w:spacing w:before="60" w:after="60"/>
              <w:jc w:val="both"/>
              <w:rPr>
                <w:rFonts w:ascii="Times New Roman" w:hAnsi="Times New Roman" w:cs="Times New Roman"/>
                <w:color w:val="000000" w:themeColor="text1"/>
              </w:rPr>
            </w:pPr>
            <w:r w:rsidRPr="00E42D6D">
              <w:rPr>
                <w:rFonts w:ascii="Times New Roman" w:hAnsi="Times New Roman" w:cs="Times New Roman"/>
                <w:color w:val="000000" w:themeColor="text1"/>
              </w:rPr>
              <w:t>Ponadto konieczne będzie powołanie Komisji konkursowej przez organ wskazany w</w:t>
            </w:r>
            <w:r w:rsidR="00AB04E9">
              <w:rPr>
                <w:rFonts w:ascii="Times New Roman" w:hAnsi="Times New Roman" w:cs="Times New Roman"/>
                <w:color w:val="000000" w:themeColor="text1"/>
              </w:rPr>
              <w:t xml:space="preserve"> </w:t>
            </w:r>
            <w:r w:rsidRPr="00E42D6D">
              <w:rPr>
                <w:rFonts w:ascii="Times New Roman" w:hAnsi="Times New Roman" w:cs="Times New Roman"/>
                <w:color w:val="000000" w:themeColor="text1"/>
              </w:rPr>
              <w:t>ustawie do oceny podmiotów biorących udział w konkursie oraz wyboru operatora wyznaczonego. W</w:t>
            </w:r>
            <w:r w:rsidR="001B514F">
              <w:rPr>
                <w:rFonts w:ascii="Times New Roman" w:hAnsi="Times New Roman" w:cs="Times New Roman"/>
                <w:color w:val="000000" w:themeColor="text1"/>
              </w:rPr>
              <w:t> </w:t>
            </w:r>
            <w:r w:rsidRPr="00E42D6D">
              <w:rPr>
                <w:rFonts w:ascii="Times New Roman" w:hAnsi="Times New Roman" w:cs="Times New Roman"/>
                <w:color w:val="000000" w:themeColor="text1"/>
              </w:rPr>
              <w:t xml:space="preserve">prace Komisji konkursowej powinni być zaangażowani eksperci </w:t>
            </w:r>
            <w:r w:rsidR="006F44D5" w:rsidRPr="00080920">
              <w:rPr>
                <w:rFonts w:ascii="Times New Roman" w:hAnsi="Times New Roman" w:cs="Times New Roman"/>
                <w:color w:val="000000" w:themeColor="text1"/>
              </w:rPr>
              <w:t>w</w:t>
            </w:r>
            <w:r w:rsidR="00AB04E9">
              <w:rPr>
                <w:rFonts w:ascii="Times New Roman" w:hAnsi="Times New Roman" w:cs="Times New Roman"/>
                <w:color w:val="000000" w:themeColor="text1"/>
              </w:rPr>
              <w:t xml:space="preserve"> </w:t>
            </w:r>
            <w:r w:rsidR="00814064" w:rsidRPr="00067989">
              <w:rPr>
                <w:rFonts w:ascii="Times New Roman" w:hAnsi="Times New Roman" w:cs="Times New Roman"/>
                <w:color w:val="000000" w:themeColor="text1"/>
              </w:rPr>
              <w:t xml:space="preserve">liczbie 7 </w:t>
            </w:r>
            <w:r w:rsidR="006F44D5" w:rsidRPr="00067989">
              <w:rPr>
                <w:rFonts w:ascii="Times New Roman" w:hAnsi="Times New Roman" w:cs="Times New Roman"/>
                <w:color w:val="000000" w:themeColor="text1"/>
              </w:rPr>
              <w:t>etatów</w:t>
            </w:r>
            <w:r w:rsidR="00814064" w:rsidRPr="00067989">
              <w:rPr>
                <w:rFonts w:ascii="Times New Roman" w:hAnsi="Times New Roman" w:cs="Times New Roman"/>
                <w:color w:val="000000" w:themeColor="text1"/>
              </w:rPr>
              <w:t>.</w:t>
            </w:r>
            <w:r w:rsidR="00AB04E9">
              <w:rPr>
                <w:rFonts w:ascii="Times New Roman" w:hAnsi="Times New Roman" w:cs="Times New Roman"/>
                <w:color w:val="000000" w:themeColor="text1"/>
              </w:rPr>
              <w:t xml:space="preserve"> </w:t>
            </w:r>
            <w:r w:rsidR="006F44D5" w:rsidRPr="00067989">
              <w:rPr>
                <w:rFonts w:ascii="Times New Roman" w:hAnsi="Times New Roman" w:cs="Times New Roman"/>
                <w:color w:val="000000" w:themeColor="text1"/>
              </w:rPr>
              <w:t>Należy podkreślić, że 7</w:t>
            </w:r>
            <w:r w:rsidR="006A0FE7" w:rsidRPr="00067989">
              <w:rPr>
                <w:rFonts w:ascii="Times New Roman" w:hAnsi="Times New Roman" w:cs="Times New Roman"/>
                <w:color w:val="000000" w:themeColor="text1"/>
              </w:rPr>
              <w:t xml:space="preserve"> nowych etatów wynikających z powołania interdyscyplinarnego zespołu ekspertów do opracowania dokumentacji konkursowej są </w:t>
            </w:r>
            <w:r w:rsidR="00814064" w:rsidRPr="00067989">
              <w:rPr>
                <w:rFonts w:ascii="Times New Roman" w:hAnsi="Times New Roman" w:cs="Times New Roman"/>
                <w:color w:val="000000" w:themeColor="text1"/>
              </w:rPr>
              <w:t xml:space="preserve">to </w:t>
            </w:r>
            <w:r w:rsidR="006A0FE7" w:rsidRPr="00067989">
              <w:rPr>
                <w:rFonts w:ascii="Times New Roman" w:hAnsi="Times New Roman" w:cs="Times New Roman"/>
                <w:color w:val="000000" w:themeColor="text1"/>
              </w:rPr>
              <w:t xml:space="preserve">te same etaty, </w:t>
            </w:r>
            <w:r w:rsidR="001A047D" w:rsidRPr="00067989">
              <w:rPr>
                <w:rFonts w:ascii="Times New Roman" w:hAnsi="Times New Roman" w:cs="Times New Roman"/>
                <w:color w:val="000000" w:themeColor="text1"/>
              </w:rPr>
              <w:t>co wskazane przy powołaniu k</w:t>
            </w:r>
            <w:r w:rsidR="006A0FE7" w:rsidRPr="00067989">
              <w:rPr>
                <w:rFonts w:ascii="Times New Roman" w:hAnsi="Times New Roman" w:cs="Times New Roman"/>
                <w:color w:val="000000" w:themeColor="text1"/>
              </w:rPr>
              <w:t>omisji konkursowej</w:t>
            </w:r>
            <w:r w:rsidR="001A047D" w:rsidRPr="00067989">
              <w:rPr>
                <w:rFonts w:ascii="Times New Roman" w:hAnsi="Times New Roman" w:cs="Times New Roman"/>
                <w:color w:val="000000" w:themeColor="text1"/>
              </w:rPr>
              <w:t>,</w:t>
            </w:r>
            <w:r w:rsidR="006A0FE7" w:rsidRPr="0006798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 xml:space="preserve">Prace komisji konkursowej będą trwać, w zależności od </w:t>
            </w:r>
            <w:r w:rsidR="00814064" w:rsidRPr="00067989">
              <w:rPr>
                <w:rFonts w:ascii="Times New Roman" w:hAnsi="Times New Roman" w:cs="Times New Roman"/>
                <w:color w:val="000000" w:themeColor="text1"/>
              </w:rPr>
              <w:t xml:space="preserve">liczby </w:t>
            </w:r>
            <w:r w:rsidRPr="00067989">
              <w:rPr>
                <w:rFonts w:ascii="Times New Roman" w:hAnsi="Times New Roman" w:cs="Times New Roman"/>
                <w:color w:val="000000" w:themeColor="text1"/>
              </w:rPr>
              <w:t xml:space="preserve">oraz obszerności ofert, od 2 do 3 miesięcy. </w:t>
            </w:r>
          </w:p>
          <w:p w14:paraId="1CC7EF88" w14:textId="77777777" w:rsidR="00DB0B02" w:rsidRPr="000E2DF4" w:rsidRDefault="00DB0B02" w:rsidP="008A3FA9">
            <w:pPr>
              <w:pStyle w:val="Akapitzlist"/>
              <w:numPr>
                <w:ilvl w:val="0"/>
                <w:numId w:val="4"/>
              </w:num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u w:val="single"/>
              </w:rPr>
              <w:t>Koszt organu właściwego do sprawowania kontroli i nadzoru nad operatorem wyznaczonym – cz. 76</w:t>
            </w:r>
            <w:r w:rsidR="00394F20" w:rsidRPr="00067989">
              <w:rPr>
                <w:rFonts w:ascii="Times New Roman" w:hAnsi="Times New Roman" w:cs="Times New Roman"/>
                <w:color w:val="000000" w:themeColor="text1"/>
                <w:u w:val="single"/>
              </w:rPr>
              <w:t xml:space="preserve"> </w:t>
            </w:r>
            <w:r w:rsidR="000E2DF4">
              <w:rPr>
                <w:rFonts w:ascii="Times New Roman" w:hAnsi="Times New Roman" w:cs="Times New Roman"/>
                <w:color w:val="000000" w:themeColor="text1"/>
                <w:u w:val="single"/>
              </w:rPr>
              <w:t>–</w:t>
            </w:r>
            <w:r w:rsidRPr="000E2DF4">
              <w:rPr>
                <w:rFonts w:ascii="Times New Roman" w:hAnsi="Times New Roman" w:cs="Times New Roman"/>
                <w:color w:val="000000" w:themeColor="text1"/>
                <w:u w:val="single"/>
              </w:rPr>
              <w:t xml:space="preserve"> Urząd Komunikacji Elektronicznej</w:t>
            </w:r>
            <w:r w:rsidR="00394F20" w:rsidRPr="000E2DF4">
              <w:rPr>
                <w:rFonts w:ascii="Times New Roman" w:hAnsi="Times New Roman" w:cs="Times New Roman"/>
                <w:color w:val="000000" w:themeColor="text1"/>
                <w:u w:val="single"/>
              </w:rPr>
              <w:t>.</w:t>
            </w:r>
          </w:p>
          <w:p w14:paraId="3D3CEC4E" w14:textId="14A4C5D2" w:rsidR="00DB0B02" w:rsidRPr="00067989" w:rsidRDefault="00DB0B02" w:rsidP="000E2DF4">
            <w:pPr>
              <w:spacing w:before="60" w:after="60"/>
              <w:jc w:val="both"/>
              <w:rPr>
                <w:rFonts w:ascii="Times New Roman" w:hAnsi="Times New Roman" w:cs="Times New Roman"/>
                <w:iCs/>
                <w:color w:val="000000" w:themeColor="text1"/>
              </w:rPr>
            </w:pPr>
            <w:r w:rsidRPr="000E2DF4">
              <w:rPr>
                <w:rFonts w:ascii="Times New Roman" w:hAnsi="Times New Roman" w:cs="Times New Roman"/>
                <w:iCs/>
                <w:color w:val="000000" w:themeColor="text1"/>
              </w:rPr>
              <w:t>Niezależnie od zadań związanych z przygotowaniem i przeprowadzeniem procedury wyboru organ właściwy do nadzoru nad prawidłowością wypełniania zadań operatora wyznaczonego (w tym również w okresie przejściowym) będzie miał znacząco zwiększoną liczbę zadań związanych m.in. z kontrolą, interwencjami, skargami i</w:t>
            </w:r>
            <w:r w:rsidR="00AB04E9">
              <w:rPr>
                <w:rFonts w:ascii="Times New Roman" w:hAnsi="Times New Roman" w:cs="Times New Roman"/>
                <w:iCs/>
                <w:color w:val="000000" w:themeColor="text1"/>
              </w:rPr>
              <w:t xml:space="preserve"> </w:t>
            </w:r>
            <w:r w:rsidRPr="000E2DF4">
              <w:rPr>
                <w:rFonts w:ascii="Times New Roman" w:hAnsi="Times New Roman" w:cs="Times New Roman"/>
                <w:iCs/>
                <w:color w:val="000000" w:themeColor="text1"/>
              </w:rPr>
              <w:t>w</w:t>
            </w:r>
            <w:r w:rsidRPr="00E42D6D">
              <w:rPr>
                <w:rFonts w:ascii="Times New Roman" w:hAnsi="Times New Roman" w:cs="Times New Roman"/>
                <w:iCs/>
                <w:color w:val="000000" w:themeColor="text1"/>
              </w:rPr>
              <w:t>nioskami ADR. Celem tych działań będzie zapewnienie prawidłowego funkcjonowania pocztowych usług (publiczna usługa hybrydowa będzie usługą pocztową) oraz nowych e</w:t>
            </w:r>
            <w:r w:rsidR="005F6337">
              <w:rPr>
                <w:rFonts w:ascii="Times New Roman" w:hAnsi="Times New Roman" w:cs="Times New Roman"/>
                <w:iCs/>
                <w:color w:val="000000" w:themeColor="text1"/>
              </w:rPr>
              <w:t>-</w:t>
            </w:r>
            <w:r w:rsidRPr="00E42D6D">
              <w:rPr>
                <w:rFonts w:ascii="Times New Roman" w:hAnsi="Times New Roman" w:cs="Times New Roman"/>
                <w:iCs/>
                <w:color w:val="000000" w:themeColor="text1"/>
              </w:rPr>
              <w:t>usług w</w:t>
            </w:r>
            <w:r w:rsidR="00AB04E9">
              <w:rPr>
                <w:rFonts w:ascii="Times New Roman" w:hAnsi="Times New Roman" w:cs="Times New Roman"/>
                <w:iCs/>
                <w:color w:val="000000" w:themeColor="text1"/>
              </w:rPr>
              <w:t xml:space="preserve"> </w:t>
            </w:r>
            <w:r w:rsidRPr="00E42D6D">
              <w:rPr>
                <w:rFonts w:ascii="Times New Roman" w:hAnsi="Times New Roman" w:cs="Times New Roman"/>
                <w:iCs/>
                <w:color w:val="000000" w:themeColor="text1"/>
              </w:rPr>
              <w:t>powiązaniu z funkcjonowaniem usług tradycyjnych, a</w:t>
            </w:r>
            <w:r w:rsidR="00AB04E9">
              <w:rPr>
                <w:rFonts w:ascii="Times New Roman" w:hAnsi="Times New Roman" w:cs="Times New Roman"/>
                <w:iCs/>
                <w:color w:val="000000" w:themeColor="text1"/>
              </w:rPr>
              <w:t xml:space="preserve"> </w:t>
            </w:r>
            <w:r w:rsidRPr="00E42D6D">
              <w:rPr>
                <w:rFonts w:ascii="Times New Roman" w:hAnsi="Times New Roman" w:cs="Times New Roman"/>
                <w:iCs/>
                <w:color w:val="000000" w:themeColor="text1"/>
              </w:rPr>
              <w:t>także zapewnienie uczestnikom obro</w:t>
            </w:r>
            <w:r w:rsidRPr="00067989">
              <w:rPr>
                <w:rFonts w:ascii="Times New Roman" w:hAnsi="Times New Roman" w:cs="Times New Roman"/>
                <w:iCs/>
                <w:color w:val="000000" w:themeColor="text1"/>
              </w:rPr>
              <w:t>tu pocztowego właściwych warunków świadczenia usług, w</w:t>
            </w:r>
            <w:r w:rsidR="00AB04E9">
              <w:rPr>
                <w:rFonts w:ascii="Times New Roman" w:hAnsi="Times New Roman" w:cs="Times New Roman"/>
                <w:iCs/>
                <w:color w:val="000000" w:themeColor="text1"/>
              </w:rPr>
              <w:t xml:space="preserve"> </w:t>
            </w:r>
            <w:r w:rsidRPr="00067989">
              <w:rPr>
                <w:rFonts w:ascii="Times New Roman" w:hAnsi="Times New Roman" w:cs="Times New Roman"/>
                <w:iCs/>
                <w:color w:val="000000" w:themeColor="text1"/>
              </w:rPr>
              <w:t>tym bezpieczeństwa świadczenia usług, przestrzegania tajemnicy pocztowej oraz odpowiedniej jakości usług świadczonych przez operatora. Pewność nowych usług a w tym skuteczność nadzoru będzie istotnym czynnikiem kształtującym zaufanie społeczeństwa do interakcji elektronicznej między obywatelami, przedsiębiorstwami i</w:t>
            </w:r>
            <w:r w:rsidR="001B514F">
              <w:rPr>
                <w:rFonts w:ascii="Times New Roman" w:hAnsi="Times New Roman" w:cs="Times New Roman"/>
                <w:iCs/>
                <w:color w:val="000000" w:themeColor="text1"/>
              </w:rPr>
              <w:t> </w:t>
            </w:r>
            <w:r w:rsidRPr="00067989">
              <w:rPr>
                <w:rFonts w:ascii="Times New Roman" w:hAnsi="Times New Roman" w:cs="Times New Roman"/>
                <w:iCs/>
                <w:color w:val="000000" w:themeColor="text1"/>
              </w:rPr>
              <w:t>organami publicznymi.</w:t>
            </w:r>
          </w:p>
          <w:p w14:paraId="65423324" w14:textId="77777777" w:rsidR="00DB0B02" w:rsidRPr="000E2DF4" w:rsidRDefault="00DB0B02" w:rsidP="000E2DF4">
            <w:pPr>
              <w:spacing w:before="60" w:after="60"/>
              <w:jc w:val="both"/>
              <w:rPr>
                <w:rFonts w:ascii="Times New Roman" w:hAnsi="Times New Roman" w:cs="Times New Roman"/>
                <w:b/>
                <w:color w:val="000000" w:themeColor="text1"/>
              </w:rPr>
            </w:pPr>
            <w:r w:rsidRPr="00067989">
              <w:rPr>
                <w:rFonts w:ascii="Times New Roman" w:hAnsi="Times New Roman" w:cs="Times New Roman"/>
                <w:iCs/>
                <w:color w:val="000000" w:themeColor="text1"/>
              </w:rPr>
              <w:t>W</w:t>
            </w:r>
            <w:r w:rsidR="00AB04E9">
              <w:rPr>
                <w:rFonts w:ascii="Times New Roman" w:hAnsi="Times New Roman" w:cs="Times New Roman"/>
                <w:iCs/>
                <w:color w:val="000000" w:themeColor="text1"/>
              </w:rPr>
              <w:t xml:space="preserve"> </w:t>
            </w:r>
            <w:r w:rsidRPr="00067989">
              <w:rPr>
                <w:rFonts w:ascii="Times New Roman" w:hAnsi="Times New Roman" w:cs="Times New Roman"/>
                <w:iCs/>
                <w:color w:val="000000" w:themeColor="text1"/>
              </w:rPr>
              <w:t>związku z</w:t>
            </w:r>
            <w:r w:rsidR="00AB04E9">
              <w:rPr>
                <w:rFonts w:ascii="Times New Roman" w:hAnsi="Times New Roman" w:cs="Times New Roman"/>
                <w:iCs/>
                <w:color w:val="000000" w:themeColor="text1"/>
              </w:rPr>
              <w:t xml:space="preserve"> </w:t>
            </w:r>
            <w:r w:rsidRPr="00067989">
              <w:rPr>
                <w:rFonts w:ascii="Times New Roman" w:hAnsi="Times New Roman" w:cs="Times New Roman"/>
                <w:iCs/>
                <w:color w:val="000000" w:themeColor="text1"/>
              </w:rPr>
              <w:t>powyższym w organie właściwym do nadzoru nad operatorem wyznaczonym konieczne jest zwiększenie zatrudnienia, począwszy od roku w którym zostanie powołany operator wyznaczony z mocy ustawy, o</w:t>
            </w:r>
            <w:r w:rsidR="00AB04E9">
              <w:rPr>
                <w:rFonts w:ascii="Times New Roman" w:hAnsi="Times New Roman" w:cs="Times New Roman"/>
                <w:iCs/>
                <w:color w:val="000000" w:themeColor="text1"/>
              </w:rPr>
              <w:t xml:space="preserve"> </w:t>
            </w:r>
            <w:r w:rsidRPr="00067989">
              <w:rPr>
                <w:rFonts w:ascii="Times New Roman" w:hAnsi="Times New Roman" w:cs="Times New Roman"/>
                <w:iCs/>
                <w:color w:val="000000" w:themeColor="text1"/>
              </w:rPr>
              <w:t>9</w:t>
            </w:r>
            <w:r w:rsidR="00AB04E9">
              <w:rPr>
                <w:rFonts w:ascii="Times New Roman" w:hAnsi="Times New Roman" w:cs="Times New Roman"/>
                <w:iCs/>
                <w:color w:val="000000" w:themeColor="text1"/>
              </w:rPr>
              <w:t xml:space="preserve"> </w:t>
            </w:r>
            <w:r w:rsidRPr="00067989">
              <w:rPr>
                <w:rFonts w:ascii="Times New Roman" w:hAnsi="Times New Roman" w:cs="Times New Roman"/>
                <w:iCs/>
                <w:color w:val="000000" w:themeColor="text1"/>
              </w:rPr>
              <w:t>etatów (5</w:t>
            </w:r>
            <w:r w:rsidR="00713D4E" w:rsidRPr="00067989">
              <w:rPr>
                <w:rFonts w:ascii="Times New Roman" w:hAnsi="Times New Roman" w:cs="Times New Roman"/>
                <w:iCs/>
                <w:color w:val="000000" w:themeColor="text1"/>
              </w:rPr>
              <w:t xml:space="preserve"> </w:t>
            </w:r>
            <w:r w:rsidRPr="00067989">
              <w:rPr>
                <w:rFonts w:ascii="Times New Roman" w:hAnsi="Times New Roman" w:cs="Times New Roman"/>
                <w:iCs/>
                <w:color w:val="000000" w:themeColor="text1"/>
              </w:rPr>
              <w:t>etatów eksperckich oraz 4 specjalistów). Koszt miesięczny wynagrodzeń szacuje się na</w:t>
            </w:r>
            <w:r w:rsidR="00AB04E9">
              <w:rPr>
                <w:rFonts w:ascii="Times New Roman" w:hAnsi="Times New Roman" w:cs="Times New Roman"/>
                <w:iCs/>
                <w:color w:val="000000" w:themeColor="text1"/>
              </w:rPr>
              <w:t xml:space="preserve"> </w:t>
            </w:r>
            <w:r w:rsidRPr="00067989">
              <w:rPr>
                <w:rFonts w:ascii="Times New Roman" w:hAnsi="Times New Roman" w:cs="Times New Roman"/>
                <w:iCs/>
                <w:color w:val="000000" w:themeColor="text1"/>
              </w:rPr>
              <w:t>75 tys. zł. Dodatkowym kosztem jednorazowym będzie koszt utworzenia stanowiska pracy wraz z</w:t>
            </w:r>
            <w:r w:rsidR="00AB04E9">
              <w:rPr>
                <w:rFonts w:ascii="Times New Roman" w:hAnsi="Times New Roman" w:cs="Times New Roman"/>
                <w:iCs/>
                <w:color w:val="000000" w:themeColor="text1"/>
              </w:rPr>
              <w:t xml:space="preserve"> </w:t>
            </w:r>
            <w:r w:rsidRPr="00067989">
              <w:rPr>
                <w:rFonts w:ascii="Times New Roman" w:hAnsi="Times New Roman" w:cs="Times New Roman"/>
                <w:iCs/>
                <w:color w:val="000000" w:themeColor="text1"/>
              </w:rPr>
              <w:t xml:space="preserve">wyposażeniem </w:t>
            </w:r>
            <w:r w:rsidR="000E2DF4">
              <w:rPr>
                <w:rFonts w:ascii="Times New Roman" w:hAnsi="Times New Roman" w:cs="Times New Roman"/>
                <w:iCs/>
                <w:color w:val="000000" w:themeColor="text1"/>
              </w:rPr>
              <w:t>–</w:t>
            </w:r>
            <w:r w:rsidRPr="000E2DF4">
              <w:rPr>
                <w:rFonts w:ascii="Times New Roman" w:hAnsi="Times New Roman" w:cs="Times New Roman"/>
                <w:iCs/>
                <w:color w:val="000000" w:themeColor="text1"/>
              </w:rPr>
              <w:t xml:space="preserve"> 67 tys. zł. </w:t>
            </w:r>
          </w:p>
          <w:p w14:paraId="37B0DEDE" w14:textId="77777777" w:rsidR="00DB0B02" w:rsidRPr="00E42D6D" w:rsidRDefault="00DB0B02" w:rsidP="00E42D6D">
            <w:pPr>
              <w:spacing w:before="60" w:after="60"/>
              <w:jc w:val="both"/>
              <w:rPr>
                <w:rFonts w:ascii="Times New Roman" w:hAnsi="Times New Roman" w:cs="Times New Roman"/>
                <w:color w:val="000000" w:themeColor="text1"/>
              </w:rPr>
            </w:pPr>
            <w:r w:rsidRPr="00E42D6D">
              <w:rPr>
                <w:rFonts w:ascii="Times New Roman" w:hAnsi="Times New Roman" w:cs="Times New Roman"/>
                <w:color w:val="000000" w:themeColor="text1"/>
              </w:rPr>
              <w:t>Koszt ten wyniesie w roku 2020 0,97 mln zł, a w latach od 2021 do 2030 odpowiednio 0,90 mln zł w każdym roku.</w:t>
            </w:r>
          </w:p>
          <w:p w14:paraId="1762CEFB" w14:textId="77777777" w:rsidR="00DB0B02" w:rsidRPr="00080920" w:rsidRDefault="00DB0B02" w:rsidP="008A3FA9">
            <w:pPr>
              <w:pStyle w:val="Akapitzlist"/>
              <w:numPr>
                <w:ilvl w:val="0"/>
                <w:numId w:val="4"/>
              </w:numPr>
              <w:spacing w:before="60" w:after="60"/>
              <w:jc w:val="both"/>
              <w:rPr>
                <w:rFonts w:ascii="Times New Roman" w:hAnsi="Times New Roman" w:cs="Times New Roman"/>
                <w:color w:val="000000" w:themeColor="text1"/>
                <w:u w:val="single"/>
              </w:rPr>
            </w:pPr>
            <w:r w:rsidRPr="00E42D6D">
              <w:rPr>
                <w:rFonts w:ascii="Times New Roman" w:hAnsi="Times New Roman" w:cs="Times New Roman"/>
                <w:bCs/>
                <w:color w:val="000000" w:themeColor="text1"/>
                <w:u w:val="single"/>
              </w:rPr>
              <w:t>Model finansowania świadczenia publicznej usługi rejestrowanego doręczenia elektronicznego oraz pu</w:t>
            </w:r>
            <w:r w:rsidRPr="00080920">
              <w:rPr>
                <w:rFonts w:ascii="Times New Roman" w:hAnsi="Times New Roman" w:cs="Times New Roman"/>
                <w:bCs/>
                <w:color w:val="000000" w:themeColor="text1"/>
                <w:u w:val="single"/>
              </w:rPr>
              <w:t>blicznej usługi hybrydowej</w:t>
            </w:r>
            <w:r w:rsidR="001B5491" w:rsidRPr="00080920">
              <w:rPr>
                <w:rFonts w:ascii="Times New Roman" w:hAnsi="Times New Roman" w:cs="Times New Roman"/>
                <w:bCs/>
                <w:color w:val="000000" w:themeColor="text1"/>
                <w:u w:val="single"/>
              </w:rPr>
              <w:t>.</w:t>
            </w:r>
          </w:p>
          <w:p w14:paraId="44AB2EFA" w14:textId="77777777" w:rsidR="00DB0B02" w:rsidRPr="00067989" w:rsidRDefault="00DB0B02" w:rsidP="008A3FA9">
            <w:pPr>
              <w:spacing w:before="60" w:after="60"/>
              <w:ind w:left="771"/>
              <w:jc w:val="both"/>
              <w:rPr>
                <w:rFonts w:ascii="Times New Roman" w:hAnsi="Times New Roman" w:cs="Times New Roman"/>
                <w:color w:val="000000" w:themeColor="text1"/>
              </w:rPr>
            </w:pPr>
            <w:r w:rsidRPr="00080920">
              <w:rPr>
                <w:rFonts w:ascii="Times New Roman" w:hAnsi="Times New Roman" w:cs="Times New Roman"/>
                <w:color w:val="000000" w:themeColor="text1"/>
              </w:rPr>
              <w:t xml:space="preserve">Cennik </w:t>
            </w:r>
            <w:r w:rsidR="00C47B6C" w:rsidRPr="00067989">
              <w:rPr>
                <w:rFonts w:ascii="Times New Roman" w:hAnsi="Times New Roman" w:cs="Times New Roman"/>
                <w:color w:val="000000" w:themeColor="text1"/>
              </w:rPr>
              <w:t xml:space="preserve">będzie </w:t>
            </w:r>
            <w:r w:rsidRPr="00067989">
              <w:rPr>
                <w:rFonts w:ascii="Times New Roman" w:hAnsi="Times New Roman" w:cs="Times New Roman"/>
                <w:color w:val="000000" w:themeColor="text1"/>
              </w:rPr>
              <w:t>obejmował:</w:t>
            </w:r>
          </w:p>
          <w:p w14:paraId="763604B5" w14:textId="77777777" w:rsidR="00DB0B02" w:rsidRPr="00067989" w:rsidRDefault="00965E5E" w:rsidP="000E2DF4">
            <w:pPr>
              <w:pStyle w:val="Akapitzlist"/>
              <w:numPr>
                <w:ilvl w:val="0"/>
                <w:numId w:val="10"/>
              </w:numPr>
              <w:spacing w:before="60" w:after="60"/>
              <w:ind w:left="1338" w:hanging="567"/>
              <w:jc w:val="both"/>
              <w:rPr>
                <w:rFonts w:ascii="Times New Roman" w:hAnsi="Times New Roman" w:cs="Times New Roman"/>
                <w:color w:val="000000" w:themeColor="text1"/>
              </w:rPr>
            </w:pPr>
            <w:r w:rsidRPr="00067989">
              <w:rPr>
                <w:rFonts w:ascii="Times New Roman" w:hAnsi="Times New Roman" w:cs="Times New Roman"/>
                <w:color w:val="000000" w:themeColor="text1"/>
              </w:rPr>
              <w:t>o</w:t>
            </w:r>
            <w:r w:rsidR="00DB0B02" w:rsidRPr="00067989">
              <w:rPr>
                <w:rFonts w:ascii="Times New Roman" w:hAnsi="Times New Roman" w:cs="Times New Roman"/>
                <w:color w:val="000000" w:themeColor="text1"/>
              </w:rPr>
              <w:t>płatę za publiczną usługę rejestrowanego doręczenia elektronicznego (e</w:t>
            </w:r>
            <w:r w:rsidR="005F6337">
              <w:rPr>
                <w:rFonts w:ascii="Times New Roman" w:hAnsi="Times New Roman" w:cs="Times New Roman"/>
                <w:color w:val="000000" w:themeColor="text1"/>
              </w:rPr>
              <w:t>-</w:t>
            </w:r>
            <w:r w:rsidR="00DB0B02" w:rsidRPr="00067989">
              <w:rPr>
                <w:rFonts w:ascii="Times New Roman" w:hAnsi="Times New Roman" w:cs="Times New Roman"/>
                <w:color w:val="000000" w:themeColor="text1"/>
              </w:rPr>
              <w:t>Doręczenie) – tj. przesyłki elektroniczne</w:t>
            </w:r>
            <w:r w:rsidRPr="00067989">
              <w:rPr>
                <w:rFonts w:ascii="Times New Roman" w:hAnsi="Times New Roman" w:cs="Times New Roman"/>
                <w:color w:val="000000" w:themeColor="text1"/>
              </w:rPr>
              <w:t>,</w:t>
            </w:r>
          </w:p>
          <w:p w14:paraId="115F966F" w14:textId="384454C3" w:rsidR="00DB0B02" w:rsidRPr="00067989" w:rsidRDefault="00965E5E" w:rsidP="00E42D6D">
            <w:pPr>
              <w:pStyle w:val="Akapitzlist"/>
              <w:numPr>
                <w:ilvl w:val="0"/>
                <w:numId w:val="10"/>
              </w:numPr>
              <w:spacing w:before="60" w:after="60"/>
              <w:ind w:left="1338" w:hanging="567"/>
              <w:jc w:val="both"/>
              <w:rPr>
                <w:rFonts w:ascii="Times New Roman" w:hAnsi="Times New Roman" w:cs="Times New Roman"/>
                <w:color w:val="000000" w:themeColor="text1"/>
              </w:rPr>
            </w:pPr>
            <w:r w:rsidRPr="00067989">
              <w:rPr>
                <w:rFonts w:ascii="Times New Roman" w:hAnsi="Times New Roman" w:cs="Times New Roman"/>
                <w:color w:val="000000" w:themeColor="text1"/>
              </w:rPr>
              <w:t>o</w:t>
            </w:r>
            <w:r w:rsidR="00DB0B02" w:rsidRPr="00067989">
              <w:rPr>
                <w:rFonts w:ascii="Times New Roman" w:hAnsi="Times New Roman" w:cs="Times New Roman"/>
                <w:color w:val="000000" w:themeColor="text1"/>
              </w:rPr>
              <w:t>płatę za publiczną usługę hybrydową rejestrowaną</w:t>
            </w:r>
            <w:r w:rsidR="007A4A08">
              <w:rPr>
                <w:rFonts w:ascii="Times New Roman" w:hAnsi="Times New Roman" w:cs="Times New Roman"/>
                <w:color w:val="000000" w:themeColor="text1"/>
              </w:rPr>
              <w:t>,</w:t>
            </w:r>
            <w:r w:rsidR="00DB0B02" w:rsidRPr="00067989">
              <w:rPr>
                <w:rFonts w:ascii="Times New Roman" w:hAnsi="Times New Roman" w:cs="Times New Roman"/>
                <w:color w:val="000000" w:themeColor="text1"/>
              </w:rPr>
              <w:t xml:space="preserve"> tj. doręczenie w postaci papierowej przesyłki pocztowej korespondencji nadanej przez podmiot publiczny w postaci elektronicznej ze zwrotnym otrzymaniem dowodów doręczenia w postaci elektronicznej</w:t>
            </w:r>
            <w:r w:rsidRPr="00067989">
              <w:rPr>
                <w:rFonts w:ascii="Times New Roman" w:hAnsi="Times New Roman" w:cs="Times New Roman"/>
                <w:color w:val="000000" w:themeColor="text1"/>
              </w:rPr>
              <w:t>,</w:t>
            </w:r>
          </w:p>
          <w:p w14:paraId="1B1ACB69" w14:textId="77777777" w:rsidR="00DB0B02" w:rsidRPr="00067989" w:rsidRDefault="00965E5E" w:rsidP="00080920">
            <w:pPr>
              <w:pStyle w:val="Akapitzlist"/>
              <w:numPr>
                <w:ilvl w:val="0"/>
                <w:numId w:val="10"/>
              </w:numPr>
              <w:spacing w:before="60" w:after="60"/>
              <w:ind w:left="1338" w:hanging="567"/>
              <w:jc w:val="both"/>
              <w:rPr>
                <w:rFonts w:ascii="Times New Roman" w:hAnsi="Times New Roman" w:cs="Times New Roman"/>
                <w:color w:val="000000" w:themeColor="text1"/>
              </w:rPr>
            </w:pPr>
            <w:r w:rsidRPr="00067989">
              <w:rPr>
                <w:rFonts w:ascii="Times New Roman" w:hAnsi="Times New Roman" w:cs="Times New Roman"/>
                <w:color w:val="000000" w:themeColor="text1"/>
              </w:rPr>
              <w:t>o</w:t>
            </w:r>
            <w:r w:rsidR="00DB0B02" w:rsidRPr="00067989">
              <w:rPr>
                <w:rFonts w:ascii="Times New Roman" w:hAnsi="Times New Roman" w:cs="Times New Roman"/>
                <w:color w:val="000000" w:themeColor="text1"/>
              </w:rPr>
              <w:t>płatę za publiczną usługę hybrydową ekonomiczną standardową tj. doręczenie w postaci papierowej przesyłki pocztowej korespondencji nadanej przez podmiot publiczny w postaci elektronicznej bez zwrotnego otrzymania dowodów doręczenia (przesyłka nierejestrowana, stanowiąca odpowiednik przesyłki listowej nierejestrowanej ekonomicznej w formacie standardowym S)</w:t>
            </w:r>
            <w:r w:rsidRPr="00067989">
              <w:rPr>
                <w:rFonts w:ascii="Times New Roman" w:hAnsi="Times New Roman" w:cs="Times New Roman"/>
                <w:color w:val="000000" w:themeColor="text1"/>
              </w:rPr>
              <w:t>.</w:t>
            </w:r>
          </w:p>
          <w:p w14:paraId="6DFA3FA0" w14:textId="77777777" w:rsidR="00DB0B02" w:rsidRPr="00067989" w:rsidRDefault="00DB0B02" w:rsidP="008A3FA9">
            <w:pPr>
              <w:pStyle w:val="Akapitzlist"/>
              <w:numPr>
                <w:ilvl w:val="0"/>
                <w:numId w:val="11"/>
              </w:num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Opłata za publiczną usługę rejestrowanego doręczenia elektronicznego naliczana będzie za pojedynczy przesył danych z uwzględnieniem wielkości danych, przy czym cena jednostkowa za przesył danych ustalana będzie za każdy rozpoczęty transfer 10 MB przy następujących założeniach</w:t>
            </w:r>
            <w:r w:rsidR="00965E5E" w:rsidRPr="00067989">
              <w:rPr>
                <w:rFonts w:ascii="Times New Roman" w:hAnsi="Times New Roman" w:cs="Times New Roman"/>
                <w:color w:val="000000" w:themeColor="text1"/>
              </w:rPr>
              <w:t>:</w:t>
            </w:r>
          </w:p>
          <w:p w14:paraId="3467DE14" w14:textId="77777777" w:rsidR="00DB0B02" w:rsidRPr="00067989" w:rsidRDefault="00965E5E" w:rsidP="000E2DF4">
            <w:pPr>
              <w:pStyle w:val="Akapitzlist"/>
              <w:numPr>
                <w:ilvl w:val="0"/>
                <w:numId w:val="7"/>
              </w:numPr>
              <w:spacing w:before="60" w:after="60"/>
              <w:ind w:left="1764" w:hanging="426"/>
              <w:jc w:val="both"/>
              <w:rPr>
                <w:rFonts w:ascii="Times New Roman" w:hAnsi="Times New Roman" w:cs="Times New Roman"/>
                <w:color w:val="000000" w:themeColor="text1"/>
              </w:rPr>
            </w:pPr>
            <w:r w:rsidRPr="00067989">
              <w:rPr>
                <w:rFonts w:ascii="Times New Roman" w:hAnsi="Times New Roman" w:cs="Times New Roman"/>
                <w:color w:val="000000" w:themeColor="text1"/>
              </w:rPr>
              <w:t>w</w:t>
            </w:r>
            <w:r w:rsidR="00DB0B02" w:rsidRPr="00067989">
              <w:rPr>
                <w:rFonts w:ascii="Times New Roman" w:hAnsi="Times New Roman" w:cs="Times New Roman"/>
                <w:color w:val="000000" w:themeColor="text1"/>
              </w:rPr>
              <w:t xml:space="preserve"> korespondencji nadawanej z podmiotu publicznego do podmiotu </w:t>
            </w:r>
            <w:r w:rsidR="00DB0B02" w:rsidRPr="00067989">
              <w:rPr>
                <w:rFonts w:ascii="Times New Roman" w:hAnsi="Times New Roman" w:cs="Times New Roman"/>
                <w:color w:val="000000" w:themeColor="text1"/>
              </w:rPr>
              <w:lastRenderedPageBreak/>
              <w:t>niepublicznego opłatę uiszcza podmiot publiczny wg cennika Poczty Polskiej (szacowana wysokość opłaty 3,45 bez VAT</w:t>
            </w:r>
            <w:r w:rsidR="00DB0B02" w:rsidRPr="00067989">
              <w:rPr>
                <w:rStyle w:val="Odwoanieprzypisudolnego"/>
                <w:rFonts w:ascii="Times New Roman" w:hAnsi="Times New Roman" w:cs="Times New Roman"/>
                <w:color w:val="000000" w:themeColor="text1"/>
              </w:rPr>
              <w:footnoteReference w:id="15"/>
            </w:r>
            <w:r w:rsidR="00DB0B02" w:rsidRPr="008A3FA9">
              <w:rPr>
                <w:rFonts w:ascii="Times New Roman" w:hAnsi="Times New Roman" w:cs="Times New Roman"/>
                <w:color w:val="000000" w:themeColor="text1"/>
                <w:vertAlign w:val="superscript"/>
              </w:rPr>
              <w:t>)</w:t>
            </w:r>
            <w:r w:rsidR="00EC44EB" w:rsidRPr="00067989">
              <w:rPr>
                <w:rFonts w:ascii="Times New Roman" w:hAnsi="Times New Roman" w:cs="Times New Roman"/>
                <w:color w:val="000000" w:themeColor="text1"/>
              </w:rPr>
              <w:t>,</w:t>
            </w:r>
          </w:p>
          <w:p w14:paraId="0FBF6FF9" w14:textId="77777777" w:rsidR="00DB0B02" w:rsidRPr="00067989" w:rsidRDefault="00EC44EB" w:rsidP="00E42D6D">
            <w:pPr>
              <w:pStyle w:val="Akapitzlist"/>
              <w:numPr>
                <w:ilvl w:val="0"/>
                <w:numId w:val="7"/>
              </w:numPr>
              <w:spacing w:before="60" w:after="60"/>
              <w:ind w:left="1764" w:hanging="426"/>
              <w:jc w:val="both"/>
              <w:rPr>
                <w:rFonts w:ascii="Times New Roman" w:hAnsi="Times New Roman" w:cs="Times New Roman"/>
                <w:color w:val="000000" w:themeColor="text1"/>
              </w:rPr>
            </w:pPr>
            <w:r w:rsidRPr="00067989">
              <w:rPr>
                <w:rFonts w:ascii="Times New Roman" w:hAnsi="Times New Roman" w:cs="Times New Roman"/>
                <w:color w:val="000000" w:themeColor="text1"/>
              </w:rPr>
              <w:t>w</w:t>
            </w:r>
            <w:r w:rsidR="00DB0B02" w:rsidRPr="00067989">
              <w:rPr>
                <w:rFonts w:ascii="Times New Roman" w:hAnsi="Times New Roman" w:cs="Times New Roman"/>
                <w:color w:val="000000" w:themeColor="text1"/>
              </w:rPr>
              <w:t xml:space="preserve"> korespondencji między podmiotami publicznymi opłat nie ma</w:t>
            </w:r>
            <w:r w:rsidRPr="00067989">
              <w:rPr>
                <w:rFonts w:ascii="Times New Roman" w:hAnsi="Times New Roman" w:cs="Times New Roman"/>
                <w:color w:val="000000" w:themeColor="text1"/>
              </w:rPr>
              <w:t>,</w:t>
            </w:r>
          </w:p>
          <w:p w14:paraId="3E375A9B" w14:textId="49783B4E" w:rsidR="00DB0B02" w:rsidRPr="00067989" w:rsidRDefault="00EC44EB" w:rsidP="00080920">
            <w:pPr>
              <w:pStyle w:val="Akapitzlist"/>
              <w:numPr>
                <w:ilvl w:val="0"/>
                <w:numId w:val="7"/>
              </w:numPr>
              <w:spacing w:before="60" w:after="60"/>
              <w:ind w:left="1764" w:hanging="426"/>
              <w:jc w:val="both"/>
              <w:rPr>
                <w:rFonts w:ascii="Times New Roman" w:hAnsi="Times New Roman" w:cs="Times New Roman"/>
                <w:color w:val="000000" w:themeColor="text1"/>
              </w:rPr>
            </w:pPr>
            <w:r w:rsidRPr="00067989">
              <w:rPr>
                <w:rFonts w:ascii="Times New Roman" w:hAnsi="Times New Roman" w:cs="Times New Roman"/>
                <w:color w:val="000000" w:themeColor="text1"/>
              </w:rPr>
              <w:t>w</w:t>
            </w:r>
            <w:r w:rsidR="00DB0B02" w:rsidRPr="00067989">
              <w:rPr>
                <w:rFonts w:ascii="Times New Roman" w:hAnsi="Times New Roman" w:cs="Times New Roman"/>
                <w:color w:val="000000" w:themeColor="text1"/>
              </w:rPr>
              <w:t xml:space="preserve"> korespondencji nadawanej od podmiotu niepublicznego do podmiotu publicznego opłat nie ma (rzeczywisty koszt transferu danych wynikający z</w:t>
            </w:r>
            <w:r w:rsidR="001B514F">
              <w:rPr>
                <w:rFonts w:ascii="Times New Roman" w:hAnsi="Times New Roman" w:cs="Times New Roman"/>
                <w:color w:val="000000" w:themeColor="text1"/>
              </w:rPr>
              <w:t> </w:t>
            </w:r>
            <w:r w:rsidR="00DB0B02" w:rsidRPr="00067989">
              <w:rPr>
                <w:rFonts w:ascii="Times New Roman" w:hAnsi="Times New Roman" w:cs="Times New Roman"/>
                <w:color w:val="000000" w:themeColor="text1"/>
              </w:rPr>
              <w:t>dostarczenia korespondencji przez operatora wyznaczonego za pomocą publicznej usługi rejestrowanego doręczenia elektronicznego będzie pokrywany z dotacji opisanej w</w:t>
            </w:r>
            <w:r w:rsidR="00AB04E9">
              <w:rPr>
                <w:rFonts w:ascii="Times New Roman" w:hAnsi="Times New Roman" w:cs="Times New Roman"/>
                <w:color w:val="000000" w:themeColor="text1"/>
              </w:rPr>
              <w:t xml:space="preserve"> </w:t>
            </w:r>
            <w:r w:rsidR="00DB0B02" w:rsidRPr="00284114">
              <w:rPr>
                <w:rFonts w:ascii="Times New Roman" w:hAnsi="Times New Roman" w:cs="Times New Roman"/>
                <w:color w:val="000000" w:themeColor="text1"/>
              </w:rPr>
              <w:t>p. 6 a je</w:t>
            </w:r>
            <w:r w:rsidR="00332405" w:rsidRPr="00284114">
              <w:rPr>
                <w:rFonts w:ascii="Times New Roman" w:hAnsi="Times New Roman" w:cs="Times New Roman"/>
                <w:color w:val="000000" w:themeColor="text1"/>
              </w:rPr>
              <w:t>j</w:t>
            </w:r>
            <w:r w:rsidR="00DB0B02" w:rsidRPr="00284114">
              <w:rPr>
                <w:rFonts w:ascii="Times New Roman" w:hAnsi="Times New Roman" w:cs="Times New Roman"/>
                <w:color w:val="000000" w:themeColor="text1"/>
              </w:rPr>
              <w:t xml:space="preserve"> podstawą będzie wolumen zrealizowanych doręczeń przemnożony przez szacowany koszt jednostkowy transferu wynoszący 2 zł bez VAT</w:t>
            </w:r>
            <w:r w:rsidR="00DB0B02" w:rsidRPr="00067989">
              <w:rPr>
                <w:rStyle w:val="Odwoanieprzypisudolnego"/>
                <w:rFonts w:ascii="Times New Roman" w:hAnsi="Times New Roman" w:cs="Times New Roman"/>
                <w:color w:val="000000" w:themeColor="text1"/>
              </w:rPr>
              <w:footnoteReference w:id="16"/>
            </w:r>
            <w:r w:rsidR="00DB0B02" w:rsidRPr="008A3FA9">
              <w:rPr>
                <w:rFonts w:ascii="Times New Roman" w:hAnsi="Times New Roman" w:cs="Times New Roman"/>
                <w:color w:val="000000" w:themeColor="text1"/>
                <w:vertAlign w:val="superscript"/>
              </w:rPr>
              <w:t>)</w:t>
            </w:r>
            <w:r w:rsidR="004013EB" w:rsidRPr="00067989">
              <w:rPr>
                <w:rFonts w:ascii="Times New Roman" w:hAnsi="Times New Roman" w:cs="Times New Roman"/>
                <w:color w:val="000000" w:themeColor="text1"/>
              </w:rPr>
              <w:t>.</w:t>
            </w:r>
          </w:p>
          <w:p w14:paraId="6C9BBA28" w14:textId="77777777" w:rsidR="00DB0B02" w:rsidRPr="00067989" w:rsidRDefault="00DB0B02" w:rsidP="008A3FA9">
            <w:pPr>
              <w:pStyle w:val="Akapitzlist"/>
              <w:numPr>
                <w:ilvl w:val="0"/>
                <w:numId w:val="11"/>
              </w:num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Opłata za publiczną usługę hybrydową rejestrowaną (szacowana opłata 5,64 zł bez VAT</w:t>
            </w:r>
            <w:r w:rsidRPr="00067989">
              <w:rPr>
                <w:rStyle w:val="Odwoanieprzypisudolnego"/>
                <w:rFonts w:ascii="Times New Roman" w:hAnsi="Times New Roman" w:cs="Times New Roman"/>
                <w:color w:val="000000" w:themeColor="text1"/>
              </w:rPr>
              <w:footnoteReference w:id="17"/>
            </w:r>
            <w:r w:rsidRPr="008A3FA9">
              <w:rPr>
                <w:rFonts w:ascii="Times New Roman" w:hAnsi="Times New Roman" w:cs="Times New Roman"/>
                <w:color w:val="000000" w:themeColor="text1"/>
                <w:vertAlign w:val="superscript"/>
              </w:rPr>
              <w:t>)</w:t>
            </w:r>
            <w:r w:rsidR="004013EB" w:rsidRPr="00067989">
              <w:rPr>
                <w:rFonts w:ascii="Times New Roman" w:hAnsi="Times New Roman" w:cs="Times New Roman"/>
                <w:color w:val="000000" w:themeColor="text1"/>
              </w:rPr>
              <w:t>:</w:t>
            </w:r>
          </w:p>
          <w:p w14:paraId="2D41862C" w14:textId="77777777" w:rsidR="00DB0B02" w:rsidRPr="00067989" w:rsidRDefault="004013EB" w:rsidP="008A3FA9">
            <w:pPr>
              <w:pStyle w:val="Akapitzlist"/>
              <w:numPr>
                <w:ilvl w:val="0"/>
                <w:numId w:val="8"/>
              </w:numPr>
              <w:tabs>
                <w:tab w:val="center" w:pos="4536"/>
                <w:tab w:val="right" w:pos="9072"/>
              </w:tabs>
              <w:spacing w:before="60" w:after="60"/>
              <w:ind w:left="1764" w:hanging="426"/>
              <w:jc w:val="both"/>
              <w:rPr>
                <w:rFonts w:ascii="Times New Roman" w:hAnsi="Times New Roman" w:cs="Times New Roman"/>
                <w:color w:val="000000" w:themeColor="text1"/>
              </w:rPr>
            </w:pPr>
            <w:r w:rsidRPr="00067989">
              <w:rPr>
                <w:rFonts w:ascii="Times New Roman" w:hAnsi="Times New Roman" w:cs="Times New Roman"/>
                <w:color w:val="000000" w:themeColor="text1"/>
              </w:rPr>
              <w:t>d</w:t>
            </w:r>
            <w:r w:rsidR="00DB0B02" w:rsidRPr="00067989">
              <w:rPr>
                <w:rFonts w:ascii="Times New Roman" w:hAnsi="Times New Roman" w:cs="Times New Roman"/>
                <w:color w:val="000000" w:themeColor="text1"/>
              </w:rPr>
              <w:t>oręczenie korespondencji w postaci papierowej przesyłki pocztowej nadanej przez podmiot publiczny w postaci elektronicznej, opłata pobierana jest za każdą przesyłkę listową z uwzględnieniem kosztów przekształcenia dokumentu elektronicznego w dokument papierowy</w:t>
            </w:r>
            <w:r w:rsidRPr="00067989">
              <w:rPr>
                <w:rFonts w:ascii="Times New Roman" w:hAnsi="Times New Roman" w:cs="Times New Roman"/>
                <w:color w:val="000000" w:themeColor="text1"/>
              </w:rPr>
              <w:t>.</w:t>
            </w:r>
          </w:p>
          <w:p w14:paraId="45C5005A" w14:textId="5A4872C5" w:rsidR="00DB0B02" w:rsidRPr="00284114" w:rsidRDefault="00DB0B02" w:rsidP="008A3FA9">
            <w:pPr>
              <w:pStyle w:val="Akapitzlist"/>
              <w:numPr>
                <w:ilvl w:val="0"/>
                <w:numId w:val="11"/>
              </w:numPr>
              <w:tabs>
                <w:tab w:val="center" w:pos="4536"/>
                <w:tab w:val="right" w:pos="9072"/>
              </w:tabs>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Opłata za publiczną usługę ekonomiczną (szacowana opłata 1,99 zł bez VAT za pojedynczą przesyłkę)</w:t>
            </w:r>
            <w:r w:rsidR="004013EB" w:rsidRPr="00284114">
              <w:rPr>
                <w:rFonts w:ascii="Times New Roman" w:hAnsi="Times New Roman" w:cs="Times New Roman"/>
                <w:color w:val="000000" w:themeColor="text1"/>
              </w:rPr>
              <w:t>:</w:t>
            </w:r>
          </w:p>
          <w:p w14:paraId="31AB69A4" w14:textId="77777777" w:rsidR="00DB0B02" w:rsidRPr="009341A8" w:rsidRDefault="004013EB" w:rsidP="008A3FA9">
            <w:pPr>
              <w:pStyle w:val="Akapitzlist"/>
              <w:numPr>
                <w:ilvl w:val="1"/>
                <w:numId w:val="11"/>
              </w:numPr>
              <w:tabs>
                <w:tab w:val="center" w:pos="4536"/>
                <w:tab w:val="right" w:pos="9072"/>
              </w:tabs>
              <w:spacing w:before="60" w:after="60"/>
              <w:jc w:val="both"/>
              <w:rPr>
                <w:rFonts w:ascii="Times New Roman" w:hAnsi="Times New Roman" w:cs="Times New Roman"/>
                <w:color w:val="000000" w:themeColor="text1"/>
              </w:rPr>
            </w:pPr>
            <w:r w:rsidRPr="00284114">
              <w:rPr>
                <w:rFonts w:ascii="Times New Roman" w:hAnsi="Times New Roman" w:cs="Times New Roman"/>
                <w:color w:val="000000" w:themeColor="text1"/>
              </w:rPr>
              <w:t>d</w:t>
            </w:r>
            <w:r w:rsidR="00DB0B02" w:rsidRPr="00284114">
              <w:rPr>
                <w:rFonts w:ascii="Times New Roman" w:hAnsi="Times New Roman" w:cs="Times New Roman"/>
                <w:color w:val="000000" w:themeColor="text1"/>
              </w:rPr>
              <w:t>oręczenie korespondencji w postaci papierowej przesyłki pocztowej nadanej przez podmiot publiczny w postaci elektronicznej, opłata pobierana jest za każdą przesyłkę listową z</w:t>
            </w:r>
            <w:r w:rsidR="00AB04E9">
              <w:rPr>
                <w:rFonts w:ascii="Times New Roman" w:hAnsi="Times New Roman" w:cs="Times New Roman"/>
                <w:color w:val="000000" w:themeColor="text1"/>
              </w:rPr>
              <w:t xml:space="preserve"> </w:t>
            </w:r>
            <w:r w:rsidR="00DB0B02" w:rsidRPr="00284114">
              <w:rPr>
                <w:rFonts w:ascii="Times New Roman" w:hAnsi="Times New Roman" w:cs="Times New Roman"/>
                <w:color w:val="000000" w:themeColor="text1"/>
              </w:rPr>
              <w:t>uwzględnieniem kosztów przekształcenia dokumentu elektronicznego w dokument papierowy</w:t>
            </w:r>
            <w:r w:rsidRPr="00284114">
              <w:rPr>
                <w:rFonts w:ascii="Times New Roman" w:hAnsi="Times New Roman" w:cs="Times New Roman"/>
                <w:color w:val="000000" w:themeColor="text1"/>
              </w:rPr>
              <w:t>.</w:t>
            </w:r>
          </w:p>
          <w:p w14:paraId="18009677" w14:textId="77777777" w:rsidR="00DB0B02" w:rsidRPr="000E2DF4" w:rsidRDefault="00DB0B02" w:rsidP="000E2DF4">
            <w:pPr>
              <w:spacing w:before="60" w:after="60"/>
              <w:jc w:val="both"/>
              <w:rPr>
                <w:rFonts w:ascii="Times New Roman" w:hAnsi="Times New Roman" w:cs="Times New Roman"/>
                <w:color w:val="000000" w:themeColor="text1"/>
              </w:rPr>
            </w:pPr>
            <w:r w:rsidRPr="000E2DF4">
              <w:rPr>
                <w:rFonts w:ascii="Times New Roman" w:hAnsi="Times New Roman" w:cs="Times New Roman"/>
                <w:color w:val="000000" w:themeColor="text1"/>
              </w:rPr>
              <w:t>Jeżeli podmiot niepubliczny, w tym obywatel, skorzysta z dodatkowych usług operatora wyznaczonego ponadstandardowych (np. dodatkowa przestrzeń dyskową, archiwizowanie dokumentów, inne), ponosi za nie opłaty zgodnie z ustalonym cennikiem</w:t>
            </w:r>
            <w:r w:rsidR="004013EB" w:rsidRPr="000E2DF4">
              <w:rPr>
                <w:rFonts w:ascii="Times New Roman" w:hAnsi="Times New Roman" w:cs="Times New Roman"/>
                <w:color w:val="000000" w:themeColor="text1"/>
              </w:rPr>
              <w:t>.</w:t>
            </w:r>
          </w:p>
          <w:p w14:paraId="69991D8F" w14:textId="2524F663" w:rsidR="00DB0B02" w:rsidRPr="00067989" w:rsidRDefault="00DB0B02" w:rsidP="00E42D6D">
            <w:pPr>
              <w:spacing w:before="60" w:after="60"/>
              <w:jc w:val="both"/>
              <w:rPr>
                <w:rFonts w:ascii="Times New Roman" w:hAnsi="Times New Roman" w:cs="Times New Roman"/>
                <w:color w:val="000000" w:themeColor="text1"/>
              </w:rPr>
            </w:pPr>
            <w:r w:rsidRPr="000E2DF4">
              <w:rPr>
                <w:rFonts w:ascii="Times New Roman" w:hAnsi="Times New Roman" w:cs="Times New Roman"/>
                <w:color w:val="000000" w:themeColor="text1"/>
              </w:rPr>
              <w:t xml:space="preserve">Na wydatki związane z realizacją publicznej usługi rejestrowanego doręczenia elektronicznego oraz publiczną usługą hybrydową rejestrowaną oraz </w:t>
            </w:r>
            <w:r w:rsidR="004013EB" w:rsidRPr="000E2DF4">
              <w:rPr>
                <w:rFonts w:ascii="Times New Roman" w:hAnsi="Times New Roman" w:cs="Times New Roman"/>
                <w:color w:val="000000" w:themeColor="text1"/>
              </w:rPr>
              <w:t xml:space="preserve">publiczną usługą hybrydową </w:t>
            </w:r>
            <w:r w:rsidRPr="000E2DF4">
              <w:rPr>
                <w:rFonts w:ascii="Times New Roman" w:hAnsi="Times New Roman" w:cs="Times New Roman"/>
                <w:color w:val="000000" w:themeColor="text1"/>
              </w:rPr>
              <w:t>zwykłą w</w:t>
            </w:r>
            <w:r w:rsidR="001B514F">
              <w:rPr>
                <w:rFonts w:ascii="Times New Roman" w:hAnsi="Times New Roman" w:cs="Times New Roman"/>
                <w:color w:val="000000" w:themeColor="text1"/>
              </w:rPr>
              <w:t> </w:t>
            </w:r>
            <w:r w:rsidRPr="000E2DF4">
              <w:rPr>
                <w:rFonts w:ascii="Times New Roman" w:hAnsi="Times New Roman" w:cs="Times New Roman"/>
                <w:color w:val="000000" w:themeColor="text1"/>
              </w:rPr>
              <w:t>latach 2020–2030 przypada łącznie: 4</w:t>
            </w:r>
            <w:r w:rsidR="00AB04E9">
              <w:rPr>
                <w:rFonts w:ascii="Times New Roman" w:hAnsi="Times New Roman" w:cs="Times New Roman"/>
                <w:color w:val="000000" w:themeColor="text1"/>
              </w:rPr>
              <w:t xml:space="preserve"> </w:t>
            </w:r>
            <w:r w:rsidR="00B3187C" w:rsidRPr="000E2DF4">
              <w:rPr>
                <w:rFonts w:ascii="Times New Roman" w:hAnsi="Times New Roman" w:cs="Times New Roman"/>
                <w:color w:val="000000" w:themeColor="text1"/>
              </w:rPr>
              <w:t>454</w:t>
            </w:r>
            <w:r w:rsidRPr="000E2DF4">
              <w:rPr>
                <w:rFonts w:ascii="Times New Roman" w:hAnsi="Times New Roman" w:cs="Times New Roman"/>
                <w:color w:val="000000" w:themeColor="text1"/>
              </w:rPr>
              <w:t xml:space="preserve"> mln zł</w:t>
            </w:r>
            <w:r w:rsidRPr="00067989">
              <w:rPr>
                <w:rStyle w:val="Odwoanieprzypisudolnego"/>
                <w:rFonts w:ascii="Times New Roman" w:hAnsi="Times New Roman" w:cs="Times New Roman"/>
                <w:color w:val="000000" w:themeColor="text1"/>
              </w:rPr>
              <w:footnoteReference w:id="18"/>
            </w:r>
            <w:r w:rsidR="000E2DF4" w:rsidRPr="008A3FA9">
              <w:rPr>
                <w:rFonts w:ascii="Times New Roman" w:hAnsi="Times New Roman" w:cs="Times New Roman"/>
                <w:color w:val="000000" w:themeColor="text1"/>
                <w:vertAlign w:val="superscript"/>
              </w:rPr>
              <w:t>)</w:t>
            </w:r>
            <w:r w:rsidR="004013EB" w:rsidRPr="00067989">
              <w:rPr>
                <w:rFonts w:ascii="Times New Roman" w:hAnsi="Times New Roman" w:cs="Times New Roman"/>
                <w:color w:val="000000" w:themeColor="text1"/>
              </w:rPr>
              <w:t>.</w:t>
            </w:r>
            <w:r w:rsidRPr="00067989">
              <w:rPr>
                <w:rFonts w:ascii="Times New Roman" w:hAnsi="Times New Roman" w:cs="Times New Roman"/>
                <w:color w:val="000000" w:themeColor="text1"/>
              </w:rPr>
              <w:t xml:space="preserve"> W powyższej kwocie środki zaangażowane z budżetu państwa obejmują 2</w:t>
            </w:r>
            <w:r w:rsidR="00AB04E9">
              <w:rPr>
                <w:rFonts w:ascii="Times New Roman" w:hAnsi="Times New Roman" w:cs="Times New Roman"/>
                <w:color w:val="000000" w:themeColor="text1"/>
              </w:rPr>
              <w:t xml:space="preserve"> </w:t>
            </w:r>
            <w:r w:rsidR="00F76074" w:rsidRPr="00067989">
              <w:rPr>
                <w:rFonts w:ascii="Times New Roman" w:hAnsi="Times New Roman" w:cs="Times New Roman"/>
                <w:color w:val="000000" w:themeColor="text1"/>
              </w:rPr>
              <w:t>805</w:t>
            </w:r>
            <w:r w:rsidRPr="00067989">
              <w:rPr>
                <w:rFonts w:ascii="Times New Roman" w:hAnsi="Times New Roman" w:cs="Times New Roman"/>
                <w:color w:val="000000" w:themeColor="text1"/>
              </w:rPr>
              <w:t xml:space="preserve"> mln zł</w:t>
            </w:r>
            <w:r w:rsidR="00B3187C" w:rsidRPr="00067989">
              <w:rPr>
                <w:rFonts w:ascii="Times New Roman" w:hAnsi="Times New Roman" w:cs="Times New Roman"/>
                <w:color w:val="000000" w:themeColor="text1"/>
              </w:rPr>
              <w:t xml:space="preserve">, natomiast </w:t>
            </w:r>
            <w:r w:rsidRPr="00067989">
              <w:rPr>
                <w:rFonts w:ascii="Times New Roman" w:hAnsi="Times New Roman" w:cs="Times New Roman"/>
                <w:color w:val="000000" w:themeColor="text1"/>
              </w:rPr>
              <w:t>1</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64</w:t>
            </w:r>
            <w:r w:rsidR="00A0215E" w:rsidRPr="00067989">
              <w:rPr>
                <w:rFonts w:ascii="Times New Roman" w:hAnsi="Times New Roman" w:cs="Times New Roman"/>
                <w:color w:val="000000" w:themeColor="text1"/>
              </w:rPr>
              <w:t xml:space="preserve">9 </w:t>
            </w:r>
            <w:r w:rsidRPr="00067989">
              <w:rPr>
                <w:rFonts w:ascii="Times New Roman" w:hAnsi="Times New Roman" w:cs="Times New Roman"/>
                <w:color w:val="000000" w:themeColor="text1"/>
              </w:rPr>
              <w:t>mln zł obciąży budżet realizacją usługi przez JST</w:t>
            </w:r>
            <w:r w:rsidR="005C2F5F" w:rsidRPr="00067989">
              <w:rPr>
                <w:rStyle w:val="Odwoanieprzypisudolnego"/>
                <w:rFonts w:ascii="Times New Roman" w:hAnsi="Times New Roman" w:cs="Times New Roman"/>
                <w:color w:val="000000" w:themeColor="text1"/>
              </w:rPr>
              <w:footnoteReference w:id="19"/>
            </w:r>
            <w:r w:rsidR="000E2DF4" w:rsidRPr="008A3FA9">
              <w:rPr>
                <w:rFonts w:ascii="Times New Roman" w:hAnsi="Times New Roman" w:cs="Times New Roman"/>
                <w:color w:val="000000" w:themeColor="text1"/>
                <w:vertAlign w:val="superscript"/>
              </w:rPr>
              <w:t>)</w:t>
            </w:r>
            <w:r w:rsidRPr="00067989">
              <w:rPr>
                <w:rFonts w:ascii="Times New Roman" w:hAnsi="Times New Roman" w:cs="Times New Roman"/>
                <w:color w:val="000000" w:themeColor="text1"/>
              </w:rPr>
              <w:t>.</w:t>
            </w:r>
          </w:p>
          <w:p w14:paraId="320FD7FC" w14:textId="5B1D8808" w:rsidR="00DB0B02" w:rsidRPr="00067989" w:rsidRDefault="00DB0B02" w:rsidP="00080920">
            <w:p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We wskazanych powyżej kosztach modelu finansowego na obciążenia związane z realizacją publicznej usługi rejestrowanego doręczenia elektronicznego (Opłata A w modelu) w latach 2020–2030 przypada:</w:t>
            </w:r>
            <w:r w:rsidR="004013EB" w:rsidRPr="0006798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1</w:t>
            </w:r>
            <w:r w:rsidR="00AB04E9">
              <w:rPr>
                <w:rFonts w:ascii="Times New Roman" w:hAnsi="Times New Roman" w:cs="Times New Roman"/>
                <w:color w:val="000000" w:themeColor="text1"/>
              </w:rPr>
              <w:t xml:space="preserve"> </w:t>
            </w:r>
            <w:r w:rsidR="00B3187C" w:rsidRPr="00067989">
              <w:rPr>
                <w:rFonts w:ascii="Times New Roman" w:hAnsi="Times New Roman" w:cs="Times New Roman"/>
                <w:color w:val="000000" w:themeColor="text1"/>
              </w:rPr>
              <w:t>14</w:t>
            </w:r>
            <w:r w:rsidRPr="00067989">
              <w:rPr>
                <w:rFonts w:ascii="Times New Roman" w:hAnsi="Times New Roman" w:cs="Times New Roman"/>
                <w:color w:val="000000" w:themeColor="text1"/>
              </w:rPr>
              <w:t>9 mln zł</w:t>
            </w:r>
            <w:r w:rsidR="00A4728B">
              <w:rPr>
                <w:rFonts w:ascii="Times New Roman" w:hAnsi="Times New Roman" w:cs="Times New Roman"/>
                <w:color w:val="000000" w:themeColor="text1"/>
              </w:rPr>
              <w:t>,</w:t>
            </w:r>
            <w:r w:rsidRPr="00067989">
              <w:rPr>
                <w:rFonts w:ascii="Times New Roman" w:hAnsi="Times New Roman" w:cs="Times New Roman"/>
                <w:color w:val="000000" w:themeColor="text1"/>
              </w:rPr>
              <w:t xml:space="preserve"> w tym: ze środków budżetu państwa </w:t>
            </w:r>
            <w:r w:rsidR="00F76074" w:rsidRPr="00067989">
              <w:rPr>
                <w:rFonts w:ascii="Times New Roman" w:hAnsi="Times New Roman" w:cs="Times New Roman"/>
                <w:color w:val="000000" w:themeColor="text1"/>
              </w:rPr>
              <w:t>704</w:t>
            </w:r>
            <w:r w:rsidRPr="00067989">
              <w:rPr>
                <w:rFonts w:ascii="Times New Roman" w:hAnsi="Times New Roman" w:cs="Times New Roman"/>
                <w:color w:val="000000" w:themeColor="text1"/>
              </w:rPr>
              <w:t xml:space="preserve">,00 mln zł, środki JST </w:t>
            </w:r>
            <w:r w:rsidR="000E2DF4">
              <w:rPr>
                <w:rFonts w:ascii="Times New Roman" w:hAnsi="Times New Roman" w:cs="Times New Roman"/>
                <w:color w:val="000000" w:themeColor="text1"/>
              </w:rPr>
              <w:t>–</w:t>
            </w:r>
            <w:r w:rsidR="00800862" w:rsidRPr="0006798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44</w:t>
            </w:r>
            <w:r w:rsidR="00B3187C" w:rsidRPr="00067989">
              <w:rPr>
                <w:rFonts w:ascii="Times New Roman" w:hAnsi="Times New Roman" w:cs="Times New Roman"/>
                <w:color w:val="000000" w:themeColor="text1"/>
              </w:rPr>
              <w:t>5</w:t>
            </w:r>
            <w:r w:rsidRPr="00067989">
              <w:rPr>
                <w:rFonts w:ascii="Times New Roman" w:hAnsi="Times New Roman" w:cs="Times New Roman"/>
                <w:color w:val="000000" w:themeColor="text1"/>
              </w:rPr>
              <w:t xml:space="preserve"> mln zł</w:t>
            </w:r>
            <w:r w:rsidR="00800862" w:rsidRPr="00067989">
              <w:rPr>
                <w:rFonts w:ascii="Times New Roman" w:hAnsi="Times New Roman" w:cs="Times New Roman"/>
                <w:color w:val="000000" w:themeColor="text1"/>
              </w:rPr>
              <w:t>.</w:t>
            </w:r>
          </w:p>
          <w:p w14:paraId="24DD9AA4" w14:textId="6F132277" w:rsidR="00DB0B02" w:rsidRPr="00067989" w:rsidRDefault="00DB0B02">
            <w:pPr>
              <w:spacing w:before="60" w:after="60"/>
              <w:jc w:val="both"/>
              <w:rPr>
                <w:rFonts w:ascii="Times New Roman" w:hAnsi="Times New Roman" w:cs="Times New Roman"/>
                <w:color w:val="000000" w:themeColor="text1"/>
              </w:rPr>
            </w:pPr>
            <w:r w:rsidRPr="00284114">
              <w:rPr>
                <w:rFonts w:ascii="Times New Roman" w:hAnsi="Times New Roman" w:cs="Times New Roman"/>
                <w:color w:val="000000" w:themeColor="text1"/>
              </w:rPr>
              <w:t>We wskazanych powyżej kosztach modelu finansowego na obciążenia związane z realizacją publicznej usługi hybrydowej rejestrowanej (Opłata B w modelu) w latach 2020–2030 przypada: 2</w:t>
            </w:r>
            <w:r w:rsidR="00AB04E9">
              <w:rPr>
                <w:rFonts w:ascii="Times New Roman" w:hAnsi="Times New Roman" w:cs="Times New Roman"/>
                <w:color w:val="000000" w:themeColor="text1"/>
              </w:rPr>
              <w:t xml:space="preserve"> </w:t>
            </w:r>
            <w:r w:rsidR="00E75A46" w:rsidRPr="00284114">
              <w:rPr>
                <w:rFonts w:ascii="Times New Roman" w:hAnsi="Times New Roman" w:cs="Times New Roman"/>
                <w:color w:val="000000" w:themeColor="text1"/>
              </w:rPr>
              <w:t>824</w:t>
            </w:r>
            <w:r w:rsidRPr="00284114">
              <w:rPr>
                <w:rFonts w:ascii="Times New Roman" w:hAnsi="Times New Roman" w:cs="Times New Roman"/>
                <w:color w:val="000000" w:themeColor="text1"/>
              </w:rPr>
              <w:t>,00</w:t>
            </w:r>
            <w:r w:rsidRPr="00067989">
              <w:rPr>
                <w:rStyle w:val="Odwoanieprzypisudolnego"/>
                <w:rFonts w:ascii="Times New Roman" w:hAnsi="Times New Roman" w:cs="Times New Roman"/>
                <w:color w:val="000000" w:themeColor="text1"/>
              </w:rPr>
              <w:footnoteReference w:id="20"/>
            </w:r>
            <w:r w:rsidR="000E2DF4" w:rsidRPr="008A3FA9">
              <w:rPr>
                <w:rFonts w:ascii="Times New Roman" w:hAnsi="Times New Roman" w:cs="Times New Roman"/>
                <w:color w:val="000000" w:themeColor="text1"/>
                <w:vertAlign w:val="superscript"/>
              </w:rPr>
              <w:t>)</w:t>
            </w:r>
            <w:r w:rsidRPr="00067989">
              <w:rPr>
                <w:rFonts w:ascii="Times New Roman" w:hAnsi="Times New Roman" w:cs="Times New Roman"/>
                <w:color w:val="000000" w:themeColor="text1"/>
              </w:rPr>
              <w:t xml:space="preserve"> mln zł</w:t>
            </w:r>
            <w:r w:rsidR="00800862" w:rsidRPr="00067989">
              <w:rPr>
                <w:rFonts w:ascii="Times New Roman" w:hAnsi="Times New Roman" w:cs="Times New Roman"/>
                <w:color w:val="000000" w:themeColor="text1"/>
              </w:rPr>
              <w:t>,</w:t>
            </w:r>
            <w:r w:rsidRPr="00067989">
              <w:rPr>
                <w:rFonts w:ascii="Times New Roman" w:hAnsi="Times New Roman" w:cs="Times New Roman"/>
                <w:color w:val="000000" w:themeColor="text1"/>
              </w:rPr>
              <w:t xml:space="preserve"> w tym: środki budżetu państwa – 1</w:t>
            </w:r>
            <w:r w:rsidR="00AB04E9">
              <w:rPr>
                <w:rFonts w:ascii="Times New Roman" w:hAnsi="Times New Roman" w:cs="Times New Roman"/>
                <w:color w:val="000000" w:themeColor="text1"/>
              </w:rPr>
              <w:t xml:space="preserve"> </w:t>
            </w:r>
            <w:r w:rsidR="00F76074" w:rsidRPr="00067989">
              <w:rPr>
                <w:rFonts w:ascii="Times New Roman" w:hAnsi="Times New Roman" w:cs="Times New Roman"/>
                <w:color w:val="000000" w:themeColor="text1"/>
              </w:rPr>
              <w:t>795</w:t>
            </w:r>
            <w:r w:rsidRPr="00067989">
              <w:rPr>
                <w:rFonts w:ascii="Times New Roman" w:hAnsi="Times New Roman" w:cs="Times New Roman"/>
                <w:color w:val="000000" w:themeColor="text1"/>
              </w:rPr>
              <w:t>,00 mln zł, środki JST- 1</w:t>
            </w:r>
            <w:r w:rsidR="001B514F">
              <w:rPr>
                <w:rFonts w:ascii="Times New Roman" w:hAnsi="Times New Roman" w:cs="Times New Roman"/>
                <w:color w:val="000000" w:themeColor="text1"/>
              </w:rPr>
              <w:t> </w:t>
            </w:r>
            <w:r w:rsidRPr="00067989">
              <w:rPr>
                <w:rFonts w:ascii="Times New Roman" w:hAnsi="Times New Roman" w:cs="Times New Roman"/>
                <w:color w:val="000000" w:themeColor="text1"/>
              </w:rPr>
              <w:t>02</w:t>
            </w:r>
            <w:r w:rsidR="00E75A46" w:rsidRPr="00067989">
              <w:rPr>
                <w:rFonts w:ascii="Times New Roman" w:hAnsi="Times New Roman" w:cs="Times New Roman"/>
                <w:color w:val="000000" w:themeColor="text1"/>
              </w:rPr>
              <w:t>9</w:t>
            </w:r>
            <w:r w:rsidRPr="00067989">
              <w:rPr>
                <w:rFonts w:ascii="Times New Roman" w:hAnsi="Times New Roman" w:cs="Times New Roman"/>
                <w:color w:val="000000" w:themeColor="text1"/>
              </w:rPr>
              <w:t>,00 mln zł</w:t>
            </w:r>
            <w:r w:rsidR="00800862" w:rsidRPr="00067989">
              <w:rPr>
                <w:rFonts w:ascii="Times New Roman" w:hAnsi="Times New Roman" w:cs="Times New Roman"/>
                <w:color w:val="000000" w:themeColor="text1"/>
              </w:rPr>
              <w:t>.</w:t>
            </w:r>
            <w:r w:rsidRPr="00067989">
              <w:rPr>
                <w:rFonts w:ascii="Times New Roman" w:hAnsi="Times New Roman" w:cs="Times New Roman"/>
                <w:color w:val="000000" w:themeColor="text1"/>
              </w:rPr>
              <w:t xml:space="preserve"> </w:t>
            </w:r>
          </w:p>
          <w:p w14:paraId="648252FA" w14:textId="77777777" w:rsidR="00DB0B02" w:rsidRPr="00067989" w:rsidRDefault="00DB0B02" w:rsidP="000E2DF4">
            <w:p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lastRenderedPageBreak/>
              <w:t>Obciążenia związane z realizacją publicznej usługi hybrydowej w wariancie ekonomicznym (Opłata C) w modelu w latach 2020</w:t>
            </w:r>
            <w:r w:rsidR="000E2DF4">
              <w:rPr>
                <w:rFonts w:ascii="Times New Roman" w:hAnsi="Times New Roman" w:cs="Times New Roman"/>
                <w:color w:val="000000" w:themeColor="text1"/>
              </w:rPr>
              <w:t>–</w:t>
            </w:r>
            <w:r w:rsidRPr="00067989">
              <w:rPr>
                <w:rFonts w:ascii="Times New Roman" w:hAnsi="Times New Roman" w:cs="Times New Roman"/>
                <w:color w:val="000000" w:themeColor="text1"/>
              </w:rPr>
              <w:t>2030 przypada 4</w:t>
            </w:r>
            <w:r w:rsidR="00713D4E" w:rsidRPr="00284114">
              <w:rPr>
                <w:rFonts w:ascii="Times New Roman" w:hAnsi="Times New Roman" w:cs="Times New Roman"/>
                <w:color w:val="000000" w:themeColor="text1"/>
              </w:rPr>
              <w:t>81</w:t>
            </w:r>
            <w:r w:rsidRPr="00284114">
              <w:rPr>
                <w:rFonts w:ascii="Times New Roman" w:hAnsi="Times New Roman" w:cs="Times New Roman"/>
                <w:color w:val="000000" w:themeColor="text1"/>
              </w:rPr>
              <w:t xml:space="preserve"> mln zł</w:t>
            </w:r>
            <w:r w:rsidRPr="00067989">
              <w:rPr>
                <w:rStyle w:val="Odwoanieprzypisudolnego"/>
                <w:rFonts w:ascii="Times New Roman" w:hAnsi="Times New Roman" w:cs="Times New Roman"/>
                <w:color w:val="000000" w:themeColor="text1"/>
              </w:rPr>
              <w:footnoteReference w:id="21"/>
            </w:r>
            <w:r w:rsidR="000E2DF4" w:rsidRPr="008A3FA9">
              <w:rPr>
                <w:rFonts w:ascii="Times New Roman" w:hAnsi="Times New Roman" w:cs="Times New Roman"/>
                <w:color w:val="000000" w:themeColor="text1"/>
                <w:vertAlign w:val="superscript"/>
              </w:rPr>
              <w:t>)</w:t>
            </w:r>
            <w:r w:rsidR="00A621BD" w:rsidRPr="00067989">
              <w:rPr>
                <w:rFonts w:ascii="Times New Roman" w:hAnsi="Times New Roman" w:cs="Times New Roman"/>
                <w:color w:val="000000" w:themeColor="text1"/>
              </w:rPr>
              <w:t>,</w:t>
            </w:r>
            <w:r w:rsidRPr="00067989">
              <w:rPr>
                <w:rFonts w:ascii="Times New Roman" w:hAnsi="Times New Roman" w:cs="Times New Roman"/>
                <w:color w:val="000000" w:themeColor="text1"/>
              </w:rPr>
              <w:t xml:space="preserve"> w tym środki z budżetu państwa 30</w:t>
            </w:r>
            <w:r w:rsidR="00713D4E" w:rsidRPr="00067989">
              <w:rPr>
                <w:rFonts w:ascii="Times New Roman" w:hAnsi="Times New Roman" w:cs="Times New Roman"/>
                <w:color w:val="000000" w:themeColor="text1"/>
              </w:rPr>
              <w:t>6</w:t>
            </w:r>
            <w:r w:rsidRPr="00067989">
              <w:rPr>
                <w:rFonts w:ascii="Times New Roman" w:hAnsi="Times New Roman" w:cs="Times New Roman"/>
                <w:color w:val="000000" w:themeColor="text1"/>
              </w:rPr>
              <w:t xml:space="preserve"> mln zł, środki JST</w:t>
            </w:r>
            <w:r w:rsidR="000E2DF4">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 xml:space="preserve"> 17</w:t>
            </w:r>
            <w:r w:rsidR="00713D4E" w:rsidRPr="00067989">
              <w:rPr>
                <w:rFonts w:ascii="Times New Roman" w:hAnsi="Times New Roman" w:cs="Times New Roman"/>
                <w:color w:val="000000" w:themeColor="text1"/>
              </w:rPr>
              <w:t>5</w:t>
            </w:r>
            <w:r w:rsidRPr="00067989">
              <w:rPr>
                <w:rFonts w:ascii="Times New Roman" w:hAnsi="Times New Roman" w:cs="Times New Roman"/>
                <w:color w:val="000000" w:themeColor="text1"/>
              </w:rPr>
              <w:t xml:space="preserve"> mln zł</w:t>
            </w:r>
            <w:r w:rsidR="00A621BD" w:rsidRPr="00067989">
              <w:rPr>
                <w:rFonts w:ascii="Times New Roman" w:hAnsi="Times New Roman" w:cs="Times New Roman"/>
                <w:color w:val="000000" w:themeColor="text1"/>
              </w:rPr>
              <w:t>.</w:t>
            </w:r>
          </w:p>
          <w:p w14:paraId="76B63302" w14:textId="77777777" w:rsidR="00B05810" w:rsidRPr="000E2DF4" w:rsidRDefault="00B05810" w:rsidP="00E42D6D">
            <w:p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Istotny wpływ na przedstawione wyliczenia mają przyjęte wskaźniki cyfrowości</w:t>
            </w:r>
            <w:r w:rsidR="009A7CFE" w:rsidRPr="00067989">
              <w:rPr>
                <w:rFonts w:ascii="Times New Roman" w:hAnsi="Times New Roman" w:cs="Times New Roman"/>
                <w:color w:val="000000" w:themeColor="text1"/>
              </w:rPr>
              <w:t xml:space="preserve">, które obrazują zakładaną skalę użycia </w:t>
            </w:r>
            <w:r w:rsidRPr="00067989">
              <w:rPr>
                <w:rFonts w:ascii="Times New Roman" w:hAnsi="Times New Roman" w:cs="Times New Roman"/>
                <w:color w:val="000000" w:themeColor="text1"/>
              </w:rPr>
              <w:t xml:space="preserve">doręczeń </w:t>
            </w:r>
            <w:r w:rsidR="009A7CFE" w:rsidRPr="00067989">
              <w:rPr>
                <w:rFonts w:ascii="Times New Roman" w:hAnsi="Times New Roman" w:cs="Times New Roman"/>
                <w:color w:val="000000" w:themeColor="text1"/>
              </w:rPr>
              <w:t xml:space="preserve">elektronicznych </w:t>
            </w:r>
            <w:r w:rsidRPr="00067989">
              <w:rPr>
                <w:rFonts w:ascii="Times New Roman" w:hAnsi="Times New Roman" w:cs="Times New Roman"/>
                <w:color w:val="000000" w:themeColor="text1"/>
              </w:rPr>
              <w:t>przez poszczególne podmioty</w:t>
            </w:r>
            <w:r w:rsidR="00A621BD" w:rsidRPr="00067989">
              <w:rPr>
                <w:rFonts w:ascii="Times New Roman" w:hAnsi="Times New Roman" w:cs="Times New Roman"/>
                <w:color w:val="000000" w:themeColor="text1"/>
              </w:rPr>
              <w:t>,</w:t>
            </w:r>
            <w:r w:rsidR="00EE3C14" w:rsidRPr="00067989">
              <w:rPr>
                <w:rFonts w:ascii="Times New Roman" w:hAnsi="Times New Roman" w:cs="Times New Roman"/>
                <w:color w:val="000000" w:themeColor="text1"/>
              </w:rPr>
              <w:t xml:space="preserve"> a tym samym </w:t>
            </w:r>
            <w:r w:rsidR="009A7CFE" w:rsidRPr="00284114">
              <w:rPr>
                <w:rFonts w:ascii="Times New Roman" w:hAnsi="Times New Roman" w:cs="Times New Roman"/>
                <w:color w:val="000000" w:themeColor="text1"/>
              </w:rPr>
              <w:t xml:space="preserve">prognozowane </w:t>
            </w:r>
            <w:r w:rsidR="00EE3C14" w:rsidRPr="00284114">
              <w:rPr>
                <w:rFonts w:ascii="Times New Roman" w:hAnsi="Times New Roman" w:cs="Times New Roman"/>
                <w:color w:val="000000" w:themeColor="text1"/>
              </w:rPr>
              <w:t>nasycenie publiczną usługą rejestrowanego doręczenia elektronicznego</w:t>
            </w:r>
            <w:r w:rsidRPr="00284114">
              <w:rPr>
                <w:rFonts w:ascii="Times New Roman" w:hAnsi="Times New Roman" w:cs="Times New Roman"/>
                <w:color w:val="000000" w:themeColor="text1"/>
              </w:rPr>
              <w:t>. Wyjaśniając ich dobór należy wskazać</w:t>
            </w:r>
            <w:r w:rsidR="00D97F12" w:rsidRPr="00284114">
              <w:rPr>
                <w:rFonts w:ascii="Times New Roman" w:hAnsi="Times New Roman" w:cs="Times New Roman"/>
                <w:color w:val="000000" w:themeColor="text1"/>
              </w:rPr>
              <w:t>,</w:t>
            </w:r>
            <w:r w:rsidRPr="00284114">
              <w:rPr>
                <w:rFonts w:ascii="Times New Roman" w:hAnsi="Times New Roman" w:cs="Times New Roman"/>
                <w:color w:val="000000" w:themeColor="text1"/>
              </w:rPr>
              <w:t xml:space="preserve"> </w:t>
            </w:r>
            <w:r w:rsidR="009A7CFE" w:rsidRPr="00284114">
              <w:rPr>
                <w:rFonts w:ascii="Times New Roman" w:hAnsi="Times New Roman" w:cs="Times New Roman"/>
                <w:color w:val="000000" w:themeColor="text1"/>
              </w:rPr>
              <w:t xml:space="preserve">że </w:t>
            </w:r>
            <w:r w:rsidRPr="000E2DF4">
              <w:rPr>
                <w:rFonts w:ascii="Times New Roman" w:hAnsi="Times New Roman" w:cs="Times New Roman"/>
                <w:color w:val="000000" w:themeColor="text1"/>
              </w:rPr>
              <w:t>z</w:t>
            </w:r>
            <w:r w:rsidR="00AB04E9">
              <w:rPr>
                <w:rFonts w:ascii="Times New Roman" w:hAnsi="Times New Roman" w:cs="Times New Roman"/>
                <w:color w:val="000000" w:themeColor="text1"/>
              </w:rPr>
              <w:t xml:space="preserve"> </w:t>
            </w:r>
            <w:r w:rsidRPr="000E2DF4">
              <w:rPr>
                <w:rFonts w:ascii="Times New Roman" w:hAnsi="Times New Roman" w:cs="Times New Roman"/>
                <w:color w:val="000000" w:themeColor="text1"/>
              </w:rPr>
              <w:t>projektowanych usług skorzystają zarówno podmioty publiczne jak podmioty niepubliczne, stąd przyjęto odrębne współczynniki cyfrowości dla tych dwóch rodzajów usługobiorców</w:t>
            </w:r>
            <w:r w:rsidR="009A7CFE" w:rsidRPr="000E2DF4">
              <w:rPr>
                <w:rFonts w:ascii="Times New Roman" w:hAnsi="Times New Roman" w:cs="Times New Roman"/>
                <w:color w:val="000000" w:themeColor="text1"/>
              </w:rPr>
              <w:t>.</w:t>
            </w:r>
            <w:r w:rsidRPr="000E2DF4">
              <w:rPr>
                <w:rFonts w:ascii="Times New Roman" w:hAnsi="Times New Roman" w:cs="Times New Roman"/>
                <w:color w:val="000000" w:themeColor="text1"/>
              </w:rPr>
              <w:t xml:space="preserve"> Dla każdej z tych grup wskaźniki są jeszcze zróżnicowane, ponieważ ustawa będzie nakładać obowiązki zakładając model przyrostowy oraz okresy przejściowe stosowane zarówno podmiotowo jak przedmiotowo. Powyższe implikuje konieczność gradacji wskaźników cyfrowości stosowanych wobec podmiotów publicznych a także wobec niepublicznych. Wyjaśnić należy także, że do wyliczeń prognozowanych współczynników deklaracji cyfrowości przyjęto następujące dane źródłowe:</w:t>
            </w:r>
          </w:p>
          <w:p w14:paraId="46CFCD09" w14:textId="77777777" w:rsidR="00B05810" w:rsidRPr="000E2DF4" w:rsidRDefault="00A621BD" w:rsidP="00080920">
            <w:pPr>
              <w:pStyle w:val="Akapitzlist"/>
              <w:numPr>
                <w:ilvl w:val="0"/>
                <w:numId w:val="23"/>
              </w:numPr>
              <w:spacing w:before="60" w:after="60"/>
              <w:jc w:val="both"/>
              <w:rPr>
                <w:rFonts w:ascii="Times New Roman" w:hAnsi="Times New Roman" w:cs="Times New Roman"/>
                <w:color w:val="000000" w:themeColor="text1"/>
              </w:rPr>
            </w:pPr>
            <w:r w:rsidRPr="000E2DF4">
              <w:rPr>
                <w:rFonts w:ascii="Times New Roman" w:hAnsi="Times New Roman" w:cs="Times New Roman"/>
                <w:color w:val="000000" w:themeColor="text1"/>
              </w:rPr>
              <w:t>w</w:t>
            </w:r>
            <w:r w:rsidR="00B05810" w:rsidRPr="000E2DF4">
              <w:rPr>
                <w:rFonts w:ascii="Times New Roman" w:hAnsi="Times New Roman" w:cs="Times New Roman"/>
                <w:color w:val="000000" w:themeColor="text1"/>
              </w:rPr>
              <w:t xml:space="preserve">skaźniki prognozy cyfrowości e-Doręczeń bazujące m.in. na </w:t>
            </w:r>
            <w:r w:rsidR="00EC55C6" w:rsidRPr="000E2DF4">
              <w:rPr>
                <w:rFonts w:ascii="Times New Roman" w:hAnsi="Times New Roman" w:cs="Times New Roman"/>
                <w:color w:val="000000" w:themeColor="text1"/>
              </w:rPr>
              <w:t xml:space="preserve">prognozie </w:t>
            </w:r>
            <w:r w:rsidR="00EC55C6" w:rsidRPr="000E2DF4">
              <w:rPr>
                <w:rFonts w:ascii="Times New Roman" w:hAnsi="Times New Roman" w:cs="Times New Roman"/>
                <w:color w:val="000000" w:themeColor="text1"/>
              </w:rPr>
              <w:br/>
            </w:r>
            <w:r w:rsidR="00B05810" w:rsidRPr="000E2DF4">
              <w:rPr>
                <w:rFonts w:ascii="Times New Roman" w:hAnsi="Times New Roman" w:cs="Times New Roman"/>
                <w:color w:val="000000" w:themeColor="text1"/>
              </w:rPr>
              <w:t>e-substytucji usług powszechnych oraz wolumenach przesyłek tradycyjnych realizowanych przez podmioty publiczne i niepubliczne. Dane te stanowią Tajemnicę Przedsiębiorstwa Poczta Polska;</w:t>
            </w:r>
          </w:p>
          <w:p w14:paraId="2CF9AF1B" w14:textId="4350DD0B" w:rsidR="00B05810" w:rsidRPr="00080920" w:rsidRDefault="00A621BD">
            <w:pPr>
              <w:pStyle w:val="Akapitzlist"/>
              <w:numPr>
                <w:ilvl w:val="0"/>
                <w:numId w:val="23"/>
              </w:numPr>
              <w:spacing w:before="60" w:after="60"/>
              <w:jc w:val="both"/>
              <w:rPr>
                <w:rFonts w:ascii="Times New Roman" w:hAnsi="Times New Roman" w:cs="Times New Roman"/>
                <w:color w:val="000000" w:themeColor="text1"/>
              </w:rPr>
            </w:pPr>
            <w:r w:rsidRPr="00E42D6D">
              <w:rPr>
                <w:rFonts w:ascii="Times New Roman" w:hAnsi="Times New Roman" w:cs="Times New Roman"/>
                <w:color w:val="000000" w:themeColor="text1"/>
              </w:rPr>
              <w:t>z</w:t>
            </w:r>
            <w:r w:rsidR="00B05810" w:rsidRPr="00E42D6D">
              <w:rPr>
                <w:rFonts w:ascii="Times New Roman" w:hAnsi="Times New Roman" w:cs="Times New Roman"/>
                <w:color w:val="000000" w:themeColor="text1"/>
              </w:rPr>
              <w:t>ałożenia wynikające ze SOR do roku 2020 z perspektywą do 2030 r. Strategia zakłada, że w wyniku podjętych działań przez państwo zwiększy się odsetek osób cyfrowych (korzystających z Internetu). W strategii szacuje się że w kontaktach z administracją publiczną wskaźnik „cyfrowości” wzrośnie z</w:t>
            </w:r>
            <w:r w:rsidR="00AB04E9">
              <w:rPr>
                <w:rFonts w:ascii="Times New Roman" w:hAnsi="Times New Roman" w:cs="Times New Roman"/>
                <w:color w:val="000000" w:themeColor="text1"/>
              </w:rPr>
              <w:t xml:space="preserve"> </w:t>
            </w:r>
            <w:r w:rsidR="00B05810" w:rsidRPr="00E42D6D">
              <w:rPr>
                <w:rFonts w:ascii="Times New Roman" w:hAnsi="Times New Roman" w:cs="Times New Roman"/>
                <w:color w:val="000000" w:themeColor="text1"/>
              </w:rPr>
              <w:t>16% w</w:t>
            </w:r>
            <w:r w:rsidR="00AB04E9">
              <w:rPr>
                <w:rFonts w:ascii="Times New Roman" w:hAnsi="Times New Roman" w:cs="Times New Roman"/>
                <w:color w:val="000000" w:themeColor="text1"/>
              </w:rPr>
              <w:t xml:space="preserve"> </w:t>
            </w:r>
            <w:r w:rsidR="00B05810" w:rsidRPr="00E42D6D">
              <w:rPr>
                <w:rFonts w:ascii="Times New Roman" w:hAnsi="Times New Roman" w:cs="Times New Roman"/>
                <w:color w:val="000000" w:themeColor="text1"/>
              </w:rPr>
              <w:t>2015 r. do 25% w</w:t>
            </w:r>
            <w:r w:rsidR="00AB04E9">
              <w:rPr>
                <w:rFonts w:ascii="Times New Roman" w:hAnsi="Times New Roman" w:cs="Times New Roman"/>
                <w:color w:val="000000" w:themeColor="text1"/>
              </w:rPr>
              <w:t xml:space="preserve"> </w:t>
            </w:r>
            <w:r w:rsidR="00B05810" w:rsidRPr="00E42D6D">
              <w:rPr>
                <w:rFonts w:ascii="Times New Roman" w:hAnsi="Times New Roman" w:cs="Times New Roman"/>
                <w:color w:val="000000" w:themeColor="text1"/>
              </w:rPr>
              <w:t>2020 r. i 40% w</w:t>
            </w:r>
            <w:r w:rsidR="001B514F">
              <w:rPr>
                <w:rFonts w:ascii="Times New Roman" w:hAnsi="Times New Roman" w:cs="Times New Roman"/>
                <w:color w:val="000000" w:themeColor="text1"/>
              </w:rPr>
              <w:t> </w:t>
            </w:r>
            <w:r w:rsidR="00B05810" w:rsidRPr="00E42D6D">
              <w:rPr>
                <w:rFonts w:ascii="Times New Roman" w:hAnsi="Times New Roman" w:cs="Times New Roman"/>
                <w:color w:val="000000" w:themeColor="text1"/>
              </w:rPr>
              <w:t>20</w:t>
            </w:r>
            <w:r w:rsidR="00B05810" w:rsidRPr="00080920">
              <w:rPr>
                <w:rFonts w:ascii="Times New Roman" w:hAnsi="Times New Roman" w:cs="Times New Roman"/>
                <w:color w:val="000000" w:themeColor="text1"/>
              </w:rPr>
              <w:t>30 r; co znalazło odzwierciedlenie w prognozach</w:t>
            </w:r>
            <w:r w:rsidRPr="00080920">
              <w:rPr>
                <w:rFonts w:ascii="Times New Roman" w:hAnsi="Times New Roman" w:cs="Times New Roman"/>
                <w:color w:val="000000" w:themeColor="text1"/>
              </w:rPr>
              <w:t>;</w:t>
            </w:r>
          </w:p>
          <w:p w14:paraId="01BF7AAD" w14:textId="77777777" w:rsidR="00B05810" w:rsidRPr="00067989" w:rsidRDefault="00A621BD">
            <w:pPr>
              <w:pStyle w:val="Akapitzlist"/>
              <w:numPr>
                <w:ilvl w:val="0"/>
                <w:numId w:val="23"/>
              </w:num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r</w:t>
            </w:r>
            <w:r w:rsidR="00B05810" w:rsidRPr="00067989">
              <w:rPr>
                <w:rFonts w:ascii="Times New Roman" w:hAnsi="Times New Roman" w:cs="Times New Roman"/>
                <w:color w:val="000000" w:themeColor="text1"/>
              </w:rPr>
              <w:t>aporty przekrojowe Ministerstwa Cyfryzacji dotyczące wykorzystania ePUAP</w:t>
            </w:r>
            <w:r w:rsidRPr="00067989">
              <w:rPr>
                <w:rFonts w:ascii="Times New Roman" w:hAnsi="Times New Roman" w:cs="Times New Roman"/>
                <w:color w:val="000000" w:themeColor="text1"/>
              </w:rPr>
              <w:t>.</w:t>
            </w:r>
            <w:r w:rsidR="00B05810" w:rsidRPr="00067989">
              <w:rPr>
                <w:rFonts w:ascii="Times New Roman" w:hAnsi="Times New Roman" w:cs="Times New Roman"/>
                <w:color w:val="000000" w:themeColor="text1"/>
              </w:rPr>
              <w:t xml:space="preserve"> </w:t>
            </w:r>
          </w:p>
          <w:p w14:paraId="29D1E67D" w14:textId="4F0C1890" w:rsidR="00F8742C" w:rsidRPr="00067989" w:rsidRDefault="00F8742C">
            <w:p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Na podstawie zestawienia powyższych danych a także na podstawie przyjęcia podstawowych założeń</w:t>
            </w:r>
            <w:r w:rsidR="00DF6DE2">
              <w:rPr>
                <w:rFonts w:ascii="Times New Roman" w:hAnsi="Times New Roman" w:cs="Times New Roman"/>
                <w:color w:val="000000" w:themeColor="text1"/>
              </w:rPr>
              <w:t>,</w:t>
            </w:r>
            <w:r w:rsidRPr="00067989">
              <w:rPr>
                <w:rFonts w:ascii="Times New Roman" w:hAnsi="Times New Roman" w:cs="Times New Roman"/>
                <w:color w:val="000000" w:themeColor="text1"/>
              </w:rPr>
              <w:t xml:space="preserve"> przyjęto do wyliczeń następujące wskaźniki cyfrowości dla podmiotów niepublicznych oraz podmiotów publicznych wg poniższ</w:t>
            </w:r>
            <w:r w:rsidR="006D17D7" w:rsidRPr="00067989">
              <w:rPr>
                <w:rFonts w:ascii="Times New Roman" w:hAnsi="Times New Roman" w:cs="Times New Roman"/>
                <w:color w:val="000000" w:themeColor="text1"/>
              </w:rPr>
              <w:t>ych tabel</w:t>
            </w:r>
            <w:r w:rsidRPr="00067989">
              <w:rPr>
                <w:rFonts w:ascii="Times New Roman" w:hAnsi="Times New Roman" w:cs="Times New Roman"/>
                <w:color w:val="000000" w:themeColor="text1"/>
              </w:rPr>
              <w:t>:</w:t>
            </w:r>
          </w:p>
          <w:tbl>
            <w:tblPr>
              <w:tblW w:w="8224" w:type="dxa"/>
              <w:tblLayout w:type="fixed"/>
              <w:tblCellMar>
                <w:left w:w="70" w:type="dxa"/>
                <w:right w:w="70" w:type="dxa"/>
              </w:tblCellMar>
              <w:tblLook w:val="04A0" w:firstRow="1" w:lastRow="0" w:firstColumn="1" w:lastColumn="0" w:noHBand="0" w:noVBand="1"/>
            </w:tblPr>
            <w:tblGrid>
              <w:gridCol w:w="2155"/>
              <w:gridCol w:w="567"/>
              <w:gridCol w:w="567"/>
              <w:gridCol w:w="567"/>
              <w:gridCol w:w="546"/>
              <w:gridCol w:w="546"/>
              <w:gridCol w:w="546"/>
              <w:gridCol w:w="546"/>
              <w:gridCol w:w="546"/>
              <w:gridCol w:w="546"/>
              <w:gridCol w:w="546"/>
              <w:gridCol w:w="546"/>
            </w:tblGrid>
            <w:tr w:rsidR="00BE39B1" w:rsidRPr="00436B75" w14:paraId="4559C7A2" w14:textId="77777777" w:rsidTr="00E9511A">
              <w:trPr>
                <w:trHeight w:val="290"/>
              </w:trPr>
              <w:tc>
                <w:tcPr>
                  <w:tcW w:w="2155" w:type="dxa"/>
                  <w:tcBorders>
                    <w:top w:val="single" w:sz="4" w:space="0" w:color="auto"/>
                    <w:left w:val="single" w:sz="4" w:space="0" w:color="auto"/>
                    <w:bottom w:val="single" w:sz="4" w:space="0" w:color="auto"/>
                    <w:right w:val="single" w:sz="4" w:space="0" w:color="auto"/>
                  </w:tcBorders>
                  <w:shd w:val="clear" w:color="DDEBF7" w:fill="808080"/>
                  <w:vAlign w:val="center"/>
                  <w:hideMark/>
                </w:tcPr>
                <w:p w14:paraId="74840042" w14:textId="77777777" w:rsidR="00BE39B1" w:rsidRPr="008A3FA9" w:rsidRDefault="00BE39B1">
                  <w:pPr>
                    <w:spacing w:before="60" w:after="60"/>
                    <w:rPr>
                      <w:rFonts w:ascii="Times New Roman" w:eastAsia="Times New Roman" w:hAnsi="Times New Roman" w:cs="Times New Roman"/>
                      <w:b/>
                      <w:bCs/>
                      <w:color w:val="808080"/>
                      <w:sz w:val="20"/>
                      <w:szCs w:val="20"/>
                      <w:lang w:eastAsia="pl-PL"/>
                    </w:rPr>
                  </w:pPr>
                  <w:r w:rsidRPr="008A3FA9">
                    <w:rPr>
                      <w:rFonts w:ascii="Times New Roman" w:eastAsia="Times New Roman" w:hAnsi="Times New Roman" w:cs="Times New Roman"/>
                      <w:b/>
                      <w:bCs/>
                      <w:color w:val="808080"/>
                      <w:sz w:val="20"/>
                      <w:szCs w:val="20"/>
                      <w:lang w:eastAsia="pl-PL"/>
                    </w:rPr>
                    <w:t>Przesyłki polecone krajowe</w:t>
                  </w:r>
                </w:p>
              </w:tc>
              <w:tc>
                <w:tcPr>
                  <w:tcW w:w="6069" w:type="dxa"/>
                  <w:gridSpan w:val="11"/>
                  <w:tcBorders>
                    <w:top w:val="single" w:sz="4" w:space="0" w:color="auto"/>
                    <w:left w:val="nil"/>
                    <w:bottom w:val="single" w:sz="4" w:space="0" w:color="auto"/>
                    <w:right w:val="single" w:sz="4" w:space="0" w:color="auto"/>
                  </w:tcBorders>
                  <w:shd w:val="clear" w:color="000000" w:fill="808080"/>
                  <w:noWrap/>
                  <w:vAlign w:val="center"/>
                  <w:hideMark/>
                </w:tcPr>
                <w:p w14:paraId="070AD353" w14:textId="77777777" w:rsidR="00BE39B1" w:rsidRPr="008A3FA9" w:rsidRDefault="00BE39B1">
                  <w:pPr>
                    <w:spacing w:before="60" w:after="60"/>
                    <w:jc w:val="center"/>
                    <w:rPr>
                      <w:rFonts w:ascii="Times New Roman" w:eastAsia="Times New Roman" w:hAnsi="Times New Roman" w:cs="Times New Roman"/>
                      <w:b/>
                      <w:bCs/>
                      <w:color w:val="FFFFFF"/>
                      <w:sz w:val="20"/>
                      <w:szCs w:val="20"/>
                      <w:lang w:eastAsia="pl-PL"/>
                    </w:rPr>
                  </w:pPr>
                  <w:r w:rsidRPr="008A3FA9">
                    <w:rPr>
                      <w:rFonts w:ascii="Times New Roman" w:eastAsia="Times New Roman" w:hAnsi="Times New Roman" w:cs="Times New Roman"/>
                      <w:b/>
                      <w:bCs/>
                      <w:color w:val="FFFFFF"/>
                      <w:sz w:val="20"/>
                      <w:szCs w:val="20"/>
                      <w:lang w:eastAsia="pl-PL"/>
                    </w:rPr>
                    <w:t xml:space="preserve">Plan korzystania z rozwiązania przez podmioty niepubliczne </w:t>
                  </w:r>
                </w:p>
              </w:tc>
            </w:tr>
            <w:tr w:rsidR="00BE39B1" w:rsidRPr="00436B75" w14:paraId="33DC8DAC" w14:textId="77777777" w:rsidTr="00E9511A">
              <w:trPr>
                <w:trHeight w:val="290"/>
              </w:trPr>
              <w:tc>
                <w:tcPr>
                  <w:tcW w:w="2155" w:type="dxa"/>
                  <w:tcBorders>
                    <w:top w:val="nil"/>
                    <w:left w:val="single" w:sz="4" w:space="0" w:color="auto"/>
                    <w:bottom w:val="single" w:sz="4" w:space="0" w:color="auto"/>
                    <w:right w:val="single" w:sz="4" w:space="0" w:color="auto"/>
                  </w:tcBorders>
                  <w:shd w:val="clear" w:color="DDEBF7" w:fill="808080"/>
                  <w:vAlign w:val="bottom"/>
                  <w:hideMark/>
                </w:tcPr>
                <w:p w14:paraId="204C5956" w14:textId="77777777" w:rsidR="00BE39B1" w:rsidRPr="008A3FA9" w:rsidRDefault="00BE39B1" w:rsidP="00067989">
                  <w:pPr>
                    <w:spacing w:before="60" w:after="60"/>
                    <w:rPr>
                      <w:rFonts w:ascii="Times New Roman" w:eastAsia="Times New Roman" w:hAnsi="Times New Roman" w:cs="Times New Roman"/>
                      <w:b/>
                      <w:bCs/>
                      <w:color w:val="FFFFFF"/>
                      <w:sz w:val="20"/>
                      <w:szCs w:val="20"/>
                      <w:lang w:eastAsia="pl-PL"/>
                    </w:rPr>
                  </w:pPr>
                  <w:r w:rsidRPr="008A3FA9">
                    <w:rPr>
                      <w:rFonts w:ascii="Times New Roman" w:eastAsia="Times New Roman" w:hAnsi="Times New Roman" w:cs="Times New Roman"/>
                      <w:b/>
                      <w:bCs/>
                      <w:color w:val="FFFFFF"/>
                      <w:sz w:val="20"/>
                      <w:szCs w:val="20"/>
                      <w:lang w:eastAsia="pl-PL"/>
                    </w:rPr>
                    <w:t>Branża</w:t>
                  </w:r>
                </w:p>
              </w:tc>
              <w:tc>
                <w:tcPr>
                  <w:tcW w:w="567" w:type="dxa"/>
                  <w:tcBorders>
                    <w:top w:val="nil"/>
                    <w:left w:val="nil"/>
                    <w:bottom w:val="single" w:sz="4" w:space="0" w:color="auto"/>
                    <w:right w:val="single" w:sz="4" w:space="0" w:color="auto"/>
                  </w:tcBorders>
                  <w:shd w:val="clear" w:color="000000" w:fill="808080"/>
                  <w:noWrap/>
                  <w:vAlign w:val="bottom"/>
                  <w:hideMark/>
                </w:tcPr>
                <w:p w14:paraId="2C0BF6A9" w14:textId="77777777" w:rsidR="00BE39B1" w:rsidRPr="008A3FA9" w:rsidRDefault="00BE39B1" w:rsidP="00067989">
                  <w:pPr>
                    <w:spacing w:before="60" w:after="60"/>
                    <w:jc w:val="center"/>
                    <w:rPr>
                      <w:rFonts w:ascii="Times New Roman" w:eastAsia="Times New Roman" w:hAnsi="Times New Roman" w:cs="Times New Roman"/>
                      <w:i/>
                      <w:iCs/>
                      <w:color w:val="FFFFFF"/>
                      <w:sz w:val="20"/>
                      <w:szCs w:val="20"/>
                      <w:lang w:eastAsia="pl-PL"/>
                    </w:rPr>
                  </w:pPr>
                  <w:r w:rsidRPr="008A3FA9">
                    <w:rPr>
                      <w:rFonts w:ascii="Times New Roman" w:eastAsia="Times New Roman" w:hAnsi="Times New Roman" w:cs="Times New Roman"/>
                      <w:b/>
                      <w:bCs/>
                      <w:color w:val="FFFFFF"/>
                      <w:sz w:val="20"/>
                      <w:szCs w:val="20"/>
                      <w:lang w:eastAsia="pl-PL"/>
                    </w:rPr>
                    <w:t>2020</w:t>
                  </w:r>
                </w:p>
              </w:tc>
              <w:tc>
                <w:tcPr>
                  <w:tcW w:w="567" w:type="dxa"/>
                  <w:tcBorders>
                    <w:top w:val="nil"/>
                    <w:left w:val="nil"/>
                    <w:bottom w:val="single" w:sz="4" w:space="0" w:color="auto"/>
                    <w:right w:val="single" w:sz="4" w:space="0" w:color="auto"/>
                  </w:tcBorders>
                  <w:shd w:val="clear" w:color="DDEBF7" w:fill="808080"/>
                  <w:noWrap/>
                  <w:vAlign w:val="center"/>
                  <w:hideMark/>
                </w:tcPr>
                <w:p w14:paraId="620270A2" w14:textId="77777777" w:rsidR="00BE39B1" w:rsidRPr="008A3FA9" w:rsidRDefault="00BE39B1" w:rsidP="00067989">
                  <w:pPr>
                    <w:spacing w:before="60" w:after="60"/>
                    <w:jc w:val="center"/>
                    <w:rPr>
                      <w:rFonts w:ascii="Times New Roman" w:eastAsia="Times New Roman" w:hAnsi="Times New Roman" w:cs="Times New Roman"/>
                      <w:b/>
                      <w:bCs/>
                      <w:color w:val="FFFFFF"/>
                      <w:sz w:val="20"/>
                      <w:szCs w:val="20"/>
                      <w:lang w:eastAsia="pl-PL"/>
                    </w:rPr>
                  </w:pPr>
                  <w:r w:rsidRPr="008A3FA9">
                    <w:rPr>
                      <w:rFonts w:ascii="Times New Roman" w:eastAsia="Times New Roman" w:hAnsi="Times New Roman" w:cs="Times New Roman"/>
                      <w:b/>
                      <w:bCs/>
                      <w:color w:val="FFFFFF"/>
                      <w:sz w:val="20"/>
                      <w:szCs w:val="20"/>
                      <w:lang w:eastAsia="pl-PL"/>
                    </w:rPr>
                    <w:t>2021</w:t>
                  </w:r>
                </w:p>
              </w:tc>
              <w:tc>
                <w:tcPr>
                  <w:tcW w:w="567" w:type="dxa"/>
                  <w:tcBorders>
                    <w:top w:val="nil"/>
                    <w:left w:val="nil"/>
                    <w:bottom w:val="single" w:sz="4" w:space="0" w:color="auto"/>
                    <w:right w:val="single" w:sz="4" w:space="0" w:color="auto"/>
                  </w:tcBorders>
                  <w:shd w:val="clear" w:color="DDEBF7" w:fill="808080"/>
                  <w:noWrap/>
                  <w:vAlign w:val="center"/>
                  <w:hideMark/>
                </w:tcPr>
                <w:p w14:paraId="12A7DC62" w14:textId="77777777" w:rsidR="00BE39B1" w:rsidRPr="008A3FA9" w:rsidRDefault="00BE39B1" w:rsidP="00067989">
                  <w:pPr>
                    <w:spacing w:before="60" w:after="60"/>
                    <w:jc w:val="center"/>
                    <w:rPr>
                      <w:rFonts w:ascii="Times New Roman" w:eastAsia="Times New Roman" w:hAnsi="Times New Roman" w:cs="Times New Roman"/>
                      <w:b/>
                      <w:bCs/>
                      <w:color w:val="FFFFFF"/>
                      <w:sz w:val="20"/>
                      <w:szCs w:val="20"/>
                      <w:lang w:eastAsia="pl-PL"/>
                    </w:rPr>
                  </w:pPr>
                  <w:r w:rsidRPr="008A3FA9">
                    <w:rPr>
                      <w:rFonts w:ascii="Times New Roman" w:eastAsia="Times New Roman" w:hAnsi="Times New Roman" w:cs="Times New Roman"/>
                      <w:b/>
                      <w:bCs/>
                      <w:color w:val="FFFFFF"/>
                      <w:sz w:val="20"/>
                      <w:szCs w:val="20"/>
                      <w:lang w:eastAsia="pl-PL"/>
                    </w:rPr>
                    <w:t>2022</w:t>
                  </w:r>
                </w:p>
              </w:tc>
              <w:tc>
                <w:tcPr>
                  <w:tcW w:w="546" w:type="dxa"/>
                  <w:tcBorders>
                    <w:top w:val="nil"/>
                    <w:left w:val="nil"/>
                    <w:bottom w:val="single" w:sz="4" w:space="0" w:color="auto"/>
                    <w:right w:val="single" w:sz="4" w:space="0" w:color="auto"/>
                  </w:tcBorders>
                  <w:shd w:val="clear" w:color="DDEBF7" w:fill="808080"/>
                  <w:noWrap/>
                  <w:vAlign w:val="center"/>
                  <w:hideMark/>
                </w:tcPr>
                <w:p w14:paraId="4CBE53CC" w14:textId="77777777" w:rsidR="00BE39B1" w:rsidRPr="008A3FA9" w:rsidRDefault="00BE39B1" w:rsidP="00067989">
                  <w:pPr>
                    <w:spacing w:before="60" w:after="60"/>
                    <w:jc w:val="center"/>
                    <w:rPr>
                      <w:rFonts w:ascii="Times New Roman" w:eastAsia="Times New Roman" w:hAnsi="Times New Roman" w:cs="Times New Roman"/>
                      <w:b/>
                      <w:bCs/>
                      <w:color w:val="FFFFFF"/>
                      <w:sz w:val="20"/>
                      <w:szCs w:val="20"/>
                      <w:lang w:eastAsia="pl-PL"/>
                    </w:rPr>
                  </w:pPr>
                  <w:r w:rsidRPr="008A3FA9">
                    <w:rPr>
                      <w:rFonts w:ascii="Times New Roman" w:eastAsia="Times New Roman" w:hAnsi="Times New Roman" w:cs="Times New Roman"/>
                      <w:b/>
                      <w:bCs/>
                      <w:color w:val="FFFFFF"/>
                      <w:sz w:val="20"/>
                      <w:szCs w:val="20"/>
                      <w:lang w:eastAsia="pl-PL"/>
                    </w:rPr>
                    <w:t>2023</w:t>
                  </w:r>
                </w:p>
              </w:tc>
              <w:tc>
                <w:tcPr>
                  <w:tcW w:w="546" w:type="dxa"/>
                  <w:tcBorders>
                    <w:top w:val="nil"/>
                    <w:left w:val="nil"/>
                    <w:bottom w:val="single" w:sz="4" w:space="0" w:color="auto"/>
                    <w:right w:val="single" w:sz="4" w:space="0" w:color="auto"/>
                  </w:tcBorders>
                  <w:shd w:val="clear" w:color="DDEBF7" w:fill="808080"/>
                  <w:noWrap/>
                  <w:vAlign w:val="center"/>
                  <w:hideMark/>
                </w:tcPr>
                <w:p w14:paraId="3CA19BCA" w14:textId="77777777" w:rsidR="00BE39B1" w:rsidRPr="008A3FA9" w:rsidRDefault="00BE39B1" w:rsidP="00067989">
                  <w:pPr>
                    <w:spacing w:before="60" w:after="60"/>
                    <w:jc w:val="center"/>
                    <w:rPr>
                      <w:rFonts w:ascii="Times New Roman" w:eastAsia="Times New Roman" w:hAnsi="Times New Roman" w:cs="Times New Roman"/>
                      <w:b/>
                      <w:bCs/>
                      <w:color w:val="FFFFFF"/>
                      <w:sz w:val="20"/>
                      <w:szCs w:val="20"/>
                      <w:lang w:eastAsia="pl-PL"/>
                    </w:rPr>
                  </w:pPr>
                  <w:r w:rsidRPr="008A3FA9">
                    <w:rPr>
                      <w:rFonts w:ascii="Times New Roman" w:eastAsia="Times New Roman" w:hAnsi="Times New Roman" w:cs="Times New Roman"/>
                      <w:b/>
                      <w:bCs/>
                      <w:color w:val="FFFFFF"/>
                      <w:sz w:val="20"/>
                      <w:szCs w:val="20"/>
                      <w:lang w:eastAsia="pl-PL"/>
                    </w:rPr>
                    <w:t>2024</w:t>
                  </w:r>
                </w:p>
              </w:tc>
              <w:tc>
                <w:tcPr>
                  <w:tcW w:w="546" w:type="dxa"/>
                  <w:tcBorders>
                    <w:top w:val="nil"/>
                    <w:left w:val="nil"/>
                    <w:bottom w:val="single" w:sz="4" w:space="0" w:color="auto"/>
                    <w:right w:val="single" w:sz="4" w:space="0" w:color="auto"/>
                  </w:tcBorders>
                  <w:shd w:val="clear" w:color="DDEBF7" w:fill="808080"/>
                  <w:noWrap/>
                  <w:vAlign w:val="center"/>
                  <w:hideMark/>
                </w:tcPr>
                <w:p w14:paraId="1EE276B1" w14:textId="77777777" w:rsidR="00BE39B1" w:rsidRPr="008A3FA9" w:rsidRDefault="00BE39B1" w:rsidP="00067989">
                  <w:pPr>
                    <w:spacing w:before="60" w:after="60"/>
                    <w:jc w:val="center"/>
                    <w:rPr>
                      <w:rFonts w:ascii="Times New Roman" w:eastAsia="Times New Roman" w:hAnsi="Times New Roman" w:cs="Times New Roman"/>
                      <w:b/>
                      <w:bCs/>
                      <w:color w:val="FFFFFF"/>
                      <w:sz w:val="20"/>
                      <w:szCs w:val="20"/>
                      <w:lang w:eastAsia="pl-PL"/>
                    </w:rPr>
                  </w:pPr>
                  <w:r w:rsidRPr="008A3FA9">
                    <w:rPr>
                      <w:rFonts w:ascii="Times New Roman" w:eastAsia="Times New Roman" w:hAnsi="Times New Roman" w:cs="Times New Roman"/>
                      <w:b/>
                      <w:bCs/>
                      <w:color w:val="FFFFFF"/>
                      <w:sz w:val="20"/>
                      <w:szCs w:val="20"/>
                      <w:lang w:eastAsia="pl-PL"/>
                    </w:rPr>
                    <w:t>2025</w:t>
                  </w:r>
                </w:p>
              </w:tc>
              <w:tc>
                <w:tcPr>
                  <w:tcW w:w="546" w:type="dxa"/>
                  <w:tcBorders>
                    <w:top w:val="nil"/>
                    <w:left w:val="nil"/>
                    <w:bottom w:val="single" w:sz="4" w:space="0" w:color="auto"/>
                    <w:right w:val="single" w:sz="4" w:space="0" w:color="auto"/>
                  </w:tcBorders>
                  <w:shd w:val="clear" w:color="DDEBF7" w:fill="808080"/>
                  <w:noWrap/>
                  <w:vAlign w:val="center"/>
                  <w:hideMark/>
                </w:tcPr>
                <w:p w14:paraId="70F023C3" w14:textId="77777777" w:rsidR="00BE39B1" w:rsidRPr="008A3FA9" w:rsidRDefault="00BE39B1" w:rsidP="00284114">
                  <w:pPr>
                    <w:spacing w:before="60" w:after="60"/>
                    <w:jc w:val="center"/>
                    <w:rPr>
                      <w:rFonts w:ascii="Times New Roman" w:eastAsia="Times New Roman" w:hAnsi="Times New Roman" w:cs="Times New Roman"/>
                      <w:b/>
                      <w:bCs/>
                      <w:color w:val="FFFFFF"/>
                      <w:sz w:val="20"/>
                      <w:szCs w:val="20"/>
                      <w:lang w:eastAsia="pl-PL"/>
                    </w:rPr>
                  </w:pPr>
                  <w:r w:rsidRPr="008A3FA9">
                    <w:rPr>
                      <w:rFonts w:ascii="Times New Roman" w:eastAsia="Times New Roman" w:hAnsi="Times New Roman" w:cs="Times New Roman"/>
                      <w:b/>
                      <w:bCs/>
                      <w:color w:val="FFFFFF"/>
                      <w:sz w:val="20"/>
                      <w:szCs w:val="20"/>
                      <w:lang w:eastAsia="pl-PL"/>
                    </w:rPr>
                    <w:t>2026</w:t>
                  </w:r>
                </w:p>
              </w:tc>
              <w:tc>
                <w:tcPr>
                  <w:tcW w:w="546" w:type="dxa"/>
                  <w:tcBorders>
                    <w:top w:val="nil"/>
                    <w:left w:val="nil"/>
                    <w:bottom w:val="single" w:sz="4" w:space="0" w:color="auto"/>
                    <w:right w:val="single" w:sz="4" w:space="0" w:color="auto"/>
                  </w:tcBorders>
                  <w:shd w:val="clear" w:color="DDEBF7" w:fill="808080"/>
                  <w:noWrap/>
                  <w:vAlign w:val="center"/>
                  <w:hideMark/>
                </w:tcPr>
                <w:p w14:paraId="4798EA46" w14:textId="77777777" w:rsidR="00BE39B1" w:rsidRPr="008A3FA9" w:rsidRDefault="00BE39B1" w:rsidP="00284114">
                  <w:pPr>
                    <w:spacing w:before="60" w:after="60"/>
                    <w:jc w:val="center"/>
                    <w:rPr>
                      <w:rFonts w:ascii="Times New Roman" w:eastAsia="Times New Roman" w:hAnsi="Times New Roman" w:cs="Times New Roman"/>
                      <w:b/>
                      <w:bCs/>
                      <w:color w:val="FFFFFF"/>
                      <w:sz w:val="20"/>
                      <w:szCs w:val="20"/>
                      <w:lang w:eastAsia="pl-PL"/>
                    </w:rPr>
                  </w:pPr>
                  <w:r w:rsidRPr="008A3FA9">
                    <w:rPr>
                      <w:rFonts w:ascii="Times New Roman" w:eastAsia="Times New Roman" w:hAnsi="Times New Roman" w:cs="Times New Roman"/>
                      <w:b/>
                      <w:bCs/>
                      <w:color w:val="FFFFFF"/>
                      <w:sz w:val="20"/>
                      <w:szCs w:val="20"/>
                      <w:lang w:eastAsia="pl-PL"/>
                    </w:rPr>
                    <w:t>2027</w:t>
                  </w:r>
                </w:p>
              </w:tc>
              <w:tc>
                <w:tcPr>
                  <w:tcW w:w="546" w:type="dxa"/>
                  <w:tcBorders>
                    <w:top w:val="nil"/>
                    <w:left w:val="nil"/>
                    <w:bottom w:val="single" w:sz="4" w:space="0" w:color="auto"/>
                    <w:right w:val="single" w:sz="4" w:space="0" w:color="auto"/>
                  </w:tcBorders>
                  <w:shd w:val="clear" w:color="DDEBF7" w:fill="808080"/>
                  <w:noWrap/>
                  <w:vAlign w:val="center"/>
                  <w:hideMark/>
                </w:tcPr>
                <w:p w14:paraId="506051C6" w14:textId="77777777" w:rsidR="00BE39B1" w:rsidRPr="008A3FA9" w:rsidRDefault="00BE39B1" w:rsidP="00284114">
                  <w:pPr>
                    <w:spacing w:before="60" w:after="60"/>
                    <w:jc w:val="center"/>
                    <w:rPr>
                      <w:rFonts w:ascii="Times New Roman" w:eastAsia="Times New Roman" w:hAnsi="Times New Roman" w:cs="Times New Roman"/>
                      <w:b/>
                      <w:bCs/>
                      <w:color w:val="FFFFFF"/>
                      <w:sz w:val="20"/>
                      <w:szCs w:val="20"/>
                      <w:lang w:eastAsia="pl-PL"/>
                    </w:rPr>
                  </w:pPr>
                  <w:r w:rsidRPr="008A3FA9">
                    <w:rPr>
                      <w:rFonts w:ascii="Times New Roman" w:eastAsia="Times New Roman" w:hAnsi="Times New Roman" w:cs="Times New Roman"/>
                      <w:b/>
                      <w:bCs/>
                      <w:color w:val="FFFFFF"/>
                      <w:sz w:val="20"/>
                      <w:szCs w:val="20"/>
                      <w:lang w:eastAsia="pl-PL"/>
                    </w:rPr>
                    <w:t>2028</w:t>
                  </w:r>
                </w:p>
              </w:tc>
              <w:tc>
                <w:tcPr>
                  <w:tcW w:w="546" w:type="dxa"/>
                  <w:tcBorders>
                    <w:top w:val="nil"/>
                    <w:left w:val="nil"/>
                    <w:bottom w:val="single" w:sz="4" w:space="0" w:color="auto"/>
                    <w:right w:val="single" w:sz="4" w:space="0" w:color="auto"/>
                  </w:tcBorders>
                  <w:shd w:val="clear" w:color="DDEBF7" w:fill="808080"/>
                  <w:noWrap/>
                  <w:vAlign w:val="center"/>
                  <w:hideMark/>
                </w:tcPr>
                <w:p w14:paraId="1A2E0AAC" w14:textId="77777777" w:rsidR="00BE39B1" w:rsidRPr="008A3FA9" w:rsidRDefault="00BE39B1" w:rsidP="00284114">
                  <w:pPr>
                    <w:spacing w:before="60" w:after="60"/>
                    <w:jc w:val="center"/>
                    <w:rPr>
                      <w:rFonts w:ascii="Times New Roman" w:eastAsia="Times New Roman" w:hAnsi="Times New Roman" w:cs="Times New Roman"/>
                      <w:b/>
                      <w:bCs/>
                      <w:color w:val="FFFFFF"/>
                      <w:sz w:val="20"/>
                      <w:szCs w:val="20"/>
                      <w:lang w:eastAsia="pl-PL"/>
                    </w:rPr>
                  </w:pPr>
                  <w:r w:rsidRPr="008A3FA9">
                    <w:rPr>
                      <w:rFonts w:ascii="Times New Roman" w:eastAsia="Times New Roman" w:hAnsi="Times New Roman" w:cs="Times New Roman"/>
                      <w:b/>
                      <w:bCs/>
                      <w:color w:val="FFFFFF"/>
                      <w:sz w:val="20"/>
                      <w:szCs w:val="20"/>
                      <w:lang w:eastAsia="pl-PL"/>
                    </w:rPr>
                    <w:t>2029</w:t>
                  </w:r>
                </w:p>
              </w:tc>
              <w:tc>
                <w:tcPr>
                  <w:tcW w:w="546" w:type="dxa"/>
                  <w:tcBorders>
                    <w:top w:val="nil"/>
                    <w:left w:val="nil"/>
                    <w:bottom w:val="single" w:sz="4" w:space="0" w:color="auto"/>
                    <w:right w:val="single" w:sz="4" w:space="0" w:color="auto"/>
                  </w:tcBorders>
                  <w:shd w:val="clear" w:color="DDEBF7" w:fill="808080"/>
                  <w:noWrap/>
                  <w:vAlign w:val="center"/>
                  <w:hideMark/>
                </w:tcPr>
                <w:p w14:paraId="735C37FB" w14:textId="77777777" w:rsidR="00BE39B1" w:rsidRPr="008A3FA9" w:rsidRDefault="00BE39B1" w:rsidP="00284114">
                  <w:pPr>
                    <w:spacing w:before="60" w:after="60"/>
                    <w:jc w:val="center"/>
                    <w:rPr>
                      <w:rFonts w:ascii="Times New Roman" w:eastAsia="Times New Roman" w:hAnsi="Times New Roman" w:cs="Times New Roman"/>
                      <w:b/>
                      <w:bCs/>
                      <w:color w:val="FFFFFF"/>
                      <w:sz w:val="20"/>
                      <w:szCs w:val="20"/>
                      <w:lang w:eastAsia="pl-PL"/>
                    </w:rPr>
                  </w:pPr>
                  <w:r w:rsidRPr="008A3FA9">
                    <w:rPr>
                      <w:rFonts w:ascii="Times New Roman" w:eastAsia="Times New Roman" w:hAnsi="Times New Roman" w:cs="Times New Roman"/>
                      <w:b/>
                      <w:bCs/>
                      <w:color w:val="FFFFFF"/>
                      <w:sz w:val="20"/>
                      <w:szCs w:val="20"/>
                      <w:lang w:eastAsia="pl-PL"/>
                    </w:rPr>
                    <w:t>2030</w:t>
                  </w:r>
                </w:p>
              </w:tc>
            </w:tr>
            <w:tr w:rsidR="00BE39B1" w:rsidRPr="00436B75" w14:paraId="6764DF41" w14:textId="77777777" w:rsidTr="00E9511A">
              <w:trPr>
                <w:trHeight w:val="514"/>
              </w:trPr>
              <w:tc>
                <w:tcPr>
                  <w:tcW w:w="2155" w:type="dxa"/>
                  <w:tcBorders>
                    <w:top w:val="nil"/>
                    <w:left w:val="single" w:sz="4" w:space="0" w:color="auto"/>
                    <w:bottom w:val="single" w:sz="4" w:space="0" w:color="auto"/>
                    <w:right w:val="single" w:sz="4" w:space="0" w:color="auto"/>
                  </w:tcBorders>
                  <w:shd w:val="clear" w:color="auto" w:fill="auto"/>
                  <w:noWrap/>
                  <w:vAlign w:val="bottom"/>
                  <w:hideMark/>
                </w:tcPr>
                <w:p w14:paraId="2F33D222" w14:textId="77291335" w:rsidR="00BE39B1" w:rsidRPr="008A3FA9" w:rsidRDefault="00BE39B1" w:rsidP="000E2DF4">
                  <w:pPr>
                    <w:spacing w:before="60" w:after="60"/>
                    <w:rPr>
                      <w:rFonts w:ascii="Times New Roman" w:eastAsia="Times New Roman" w:hAnsi="Times New Roman" w:cs="Times New Roman"/>
                      <w:color w:val="000000"/>
                      <w:sz w:val="20"/>
                      <w:szCs w:val="20"/>
                      <w:lang w:eastAsia="pl-PL"/>
                    </w:rPr>
                  </w:pPr>
                  <w:r w:rsidRPr="008A3FA9">
                    <w:rPr>
                      <w:rFonts w:ascii="Times New Roman" w:eastAsia="Times New Roman" w:hAnsi="Times New Roman" w:cs="Times New Roman"/>
                      <w:color w:val="000000"/>
                      <w:sz w:val="20"/>
                      <w:szCs w:val="20"/>
                      <w:lang w:eastAsia="pl-PL"/>
                    </w:rPr>
                    <w:t>Podmioty niepubliczne</w:t>
                  </w:r>
                  <w:r w:rsidR="00A621BD" w:rsidRPr="008A3FA9">
                    <w:rPr>
                      <w:rFonts w:ascii="Times New Roman" w:eastAsia="Times New Roman" w:hAnsi="Times New Roman" w:cs="Times New Roman"/>
                      <w:color w:val="000000"/>
                      <w:sz w:val="20"/>
                      <w:szCs w:val="20"/>
                      <w:lang w:eastAsia="pl-PL"/>
                    </w:rPr>
                    <w:t>,</w:t>
                  </w:r>
                  <w:r w:rsidR="0014199A">
                    <w:rPr>
                      <w:rFonts w:ascii="Times New Roman" w:eastAsia="Times New Roman" w:hAnsi="Times New Roman" w:cs="Times New Roman"/>
                      <w:color w:val="000000"/>
                      <w:sz w:val="20"/>
                      <w:szCs w:val="20"/>
                      <w:lang w:eastAsia="pl-PL"/>
                    </w:rPr>
                    <w:t xml:space="preserve"> </w:t>
                  </w:r>
                  <w:r w:rsidRPr="008A3FA9">
                    <w:rPr>
                      <w:rFonts w:ascii="Times New Roman" w:eastAsia="Times New Roman" w:hAnsi="Times New Roman" w:cs="Times New Roman"/>
                      <w:color w:val="000000"/>
                      <w:sz w:val="20"/>
                      <w:szCs w:val="20"/>
                      <w:lang w:eastAsia="pl-PL"/>
                    </w:rPr>
                    <w:t>w tym obywatele i przedsiębiorcy (CEIDG, KRS)</w:t>
                  </w:r>
                </w:p>
              </w:tc>
              <w:tc>
                <w:tcPr>
                  <w:tcW w:w="567" w:type="dxa"/>
                  <w:tcBorders>
                    <w:top w:val="nil"/>
                    <w:left w:val="nil"/>
                    <w:bottom w:val="single" w:sz="4" w:space="0" w:color="auto"/>
                    <w:right w:val="single" w:sz="4" w:space="0" w:color="auto"/>
                  </w:tcBorders>
                  <w:shd w:val="clear" w:color="auto" w:fill="auto"/>
                  <w:noWrap/>
                  <w:vAlign w:val="bottom"/>
                  <w:hideMark/>
                </w:tcPr>
                <w:p w14:paraId="7211233D" w14:textId="77777777" w:rsidR="00BE39B1" w:rsidRPr="008A3FA9" w:rsidRDefault="00BE39B1" w:rsidP="00067989">
                  <w:pPr>
                    <w:spacing w:before="60" w:after="60"/>
                    <w:jc w:val="center"/>
                    <w:rPr>
                      <w:rFonts w:ascii="Times New Roman" w:eastAsia="Times New Roman" w:hAnsi="Times New Roman" w:cs="Times New Roman"/>
                      <w:color w:val="000000"/>
                      <w:sz w:val="20"/>
                      <w:szCs w:val="20"/>
                      <w:lang w:eastAsia="pl-PL"/>
                    </w:rPr>
                  </w:pPr>
                  <w:r w:rsidRPr="008A3FA9">
                    <w:rPr>
                      <w:rFonts w:ascii="Times New Roman" w:eastAsia="Times New Roman" w:hAnsi="Times New Roman" w:cs="Times New Roman"/>
                      <w:color w:val="000000"/>
                      <w:sz w:val="20"/>
                      <w:szCs w:val="20"/>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14:paraId="1681C08A" w14:textId="77777777" w:rsidR="00BE39B1" w:rsidRPr="008A3FA9" w:rsidRDefault="00BE39B1" w:rsidP="00067989">
                  <w:pPr>
                    <w:spacing w:before="60" w:after="60"/>
                    <w:jc w:val="center"/>
                    <w:rPr>
                      <w:rFonts w:ascii="Times New Roman" w:eastAsia="Times New Roman" w:hAnsi="Times New Roman" w:cs="Times New Roman"/>
                      <w:color w:val="000000"/>
                      <w:sz w:val="20"/>
                      <w:szCs w:val="20"/>
                      <w:lang w:eastAsia="pl-PL"/>
                    </w:rPr>
                  </w:pPr>
                  <w:r w:rsidRPr="008A3FA9">
                    <w:rPr>
                      <w:rFonts w:ascii="Times New Roman" w:eastAsia="Times New Roman" w:hAnsi="Times New Roman" w:cs="Times New Roman"/>
                      <w:color w:val="000000"/>
                      <w:sz w:val="20"/>
                      <w:szCs w:val="20"/>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14:paraId="0AC43ED6" w14:textId="77777777" w:rsidR="00BE39B1" w:rsidRPr="008A3FA9" w:rsidRDefault="00BE39B1" w:rsidP="00067989">
                  <w:pPr>
                    <w:spacing w:before="60" w:after="60"/>
                    <w:jc w:val="center"/>
                    <w:rPr>
                      <w:rFonts w:ascii="Times New Roman" w:eastAsia="Times New Roman" w:hAnsi="Times New Roman" w:cs="Times New Roman"/>
                      <w:color w:val="000000"/>
                      <w:sz w:val="20"/>
                      <w:szCs w:val="20"/>
                      <w:lang w:eastAsia="pl-PL"/>
                    </w:rPr>
                  </w:pPr>
                  <w:r w:rsidRPr="008A3FA9">
                    <w:rPr>
                      <w:rFonts w:ascii="Times New Roman" w:eastAsia="Times New Roman" w:hAnsi="Times New Roman" w:cs="Times New Roman"/>
                      <w:color w:val="000000"/>
                      <w:sz w:val="20"/>
                      <w:szCs w:val="20"/>
                      <w:lang w:eastAsia="pl-PL"/>
                    </w:rPr>
                    <w:t>10%</w:t>
                  </w:r>
                </w:p>
              </w:tc>
              <w:tc>
                <w:tcPr>
                  <w:tcW w:w="546" w:type="dxa"/>
                  <w:tcBorders>
                    <w:top w:val="nil"/>
                    <w:left w:val="nil"/>
                    <w:bottom w:val="single" w:sz="4" w:space="0" w:color="auto"/>
                    <w:right w:val="single" w:sz="4" w:space="0" w:color="auto"/>
                  </w:tcBorders>
                  <w:shd w:val="clear" w:color="auto" w:fill="auto"/>
                  <w:noWrap/>
                  <w:vAlign w:val="bottom"/>
                  <w:hideMark/>
                </w:tcPr>
                <w:p w14:paraId="25AB3CE9" w14:textId="77777777" w:rsidR="00BE39B1" w:rsidRPr="008A3FA9" w:rsidRDefault="00BE39B1" w:rsidP="00067989">
                  <w:pPr>
                    <w:spacing w:before="60" w:after="60"/>
                    <w:jc w:val="center"/>
                    <w:rPr>
                      <w:rFonts w:ascii="Times New Roman" w:eastAsia="Times New Roman" w:hAnsi="Times New Roman" w:cs="Times New Roman"/>
                      <w:color w:val="000000"/>
                      <w:sz w:val="20"/>
                      <w:szCs w:val="20"/>
                      <w:lang w:eastAsia="pl-PL"/>
                    </w:rPr>
                  </w:pPr>
                  <w:r w:rsidRPr="008A3FA9">
                    <w:rPr>
                      <w:rFonts w:ascii="Times New Roman" w:eastAsia="Times New Roman" w:hAnsi="Times New Roman" w:cs="Times New Roman"/>
                      <w:color w:val="000000"/>
                      <w:sz w:val="20"/>
                      <w:szCs w:val="20"/>
                      <w:lang w:eastAsia="pl-PL"/>
                    </w:rPr>
                    <w:t>17%</w:t>
                  </w:r>
                </w:p>
              </w:tc>
              <w:tc>
                <w:tcPr>
                  <w:tcW w:w="546" w:type="dxa"/>
                  <w:tcBorders>
                    <w:top w:val="nil"/>
                    <w:left w:val="nil"/>
                    <w:bottom w:val="single" w:sz="4" w:space="0" w:color="auto"/>
                    <w:right w:val="single" w:sz="4" w:space="0" w:color="auto"/>
                  </w:tcBorders>
                  <w:shd w:val="clear" w:color="auto" w:fill="auto"/>
                  <w:noWrap/>
                  <w:vAlign w:val="bottom"/>
                  <w:hideMark/>
                </w:tcPr>
                <w:p w14:paraId="354C6DB8" w14:textId="77777777" w:rsidR="00BE39B1" w:rsidRPr="008A3FA9" w:rsidRDefault="00BE39B1" w:rsidP="00067989">
                  <w:pPr>
                    <w:spacing w:before="60" w:after="60"/>
                    <w:jc w:val="center"/>
                    <w:rPr>
                      <w:rFonts w:ascii="Times New Roman" w:eastAsia="Times New Roman" w:hAnsi="Times New Roman" w:cs="Times New Roman"/>
                      <w:color w:val="000000"/>
                      <w:sz w:val="20"/>
                      <w:szCs w:val="20"/>
                      <w:lang w:eastAsia="pl-PL"/>
                    </w:rPr>
                  </w:pPr>
                  <w:r w:rsidRPr="008A3FA9">
                    <w:rPr>
                      <w:rFonts w:ascii="Times New Roman" w:eastAsia="Times New Roman" w:hAnsi="Times New Roman" w:cs="Times New Roman"/>
                      <w:color w:val="000000"/>
                      <w:sz w:val="20"/>
                      <w:szCs w:val="20"/>
                      <w:lang w:eastAsia="pl-PL"/>
                    </w:rPr>
                    <w:t>24%</w:t>
                  </w:r>
                </w:p>
              </w:tc>
              <w:tc>
                <w:tcPr>
                  <w:tcW w:w="546" w:type="dxa"/>
                  <w:tcBorders>
                    <w:top w:val="nil"/>
                    <w:left w:val="nil"/>
                    <w:bottom w:val="single" w:sz="4" w:space="0" w:color="auto"/>
                    <w:right w:val="single" w:sz="4" w:space="0" w:color="auto"/>
                  </w:tcBorders>
                  <w:shd w:val="clear" w:color="auto" w:fill="auto"/>
                  <w:noWrap/>
                  <w:vAlign w:val="bottom"/>
                  <w:hideMark/>
                </w:tcPr>
                <w:p w14:paraId="5019F2BA" w14:textId="77777777" w:rsidR="00BE39B1" w:rsidRPr="008A3FA9" w:rsidRDefault="00BE39B1" w:rsidP="00067989">
                  <w:pPr>
                    <w:spacing w:before="60" w:after="60"/>
                    <w:jc w:val="center"/>
                    <w:rPr>
                      <w:rFonts w:ascii="Times New Roman" w:eastAsia="Times New Roman" w:hAnsi="Times New Roman" w:cs="Times New Roman"/>
                      <w:color w:val="000000"/>
                      <w:sz w:val="20"/>
                      <w:szCs w:val="20"/>
                      <w:lang w:eastAsia="pl-PL"/>
                    </w:rPr>
                  </w:pPr>
                  <w:r w:rsidRPr="008A3FA9">
                    <w:rPr>
                      <w:rFonts w:ascii="Times New Roman" w:eastAsia="Times New Roman" w:hAnsi="Times New Roman" w:cs="Times New Roman"/>
                      <w:color w:val="000000"/>
                      <w:sz w:val="20"/>
                      <w:szCs w:val="20"/>
                      <w:lang w:eastAsia="pl-PL"/>
                    </w:rPr>
                    <w:t>29%</w:t>
                  </w:r>
                </w:p>
              </w:tc>
              <w:tc>
                <w:tcPr>
                  <w:tcW w:w="546" w:type="dxa"/>
                  <w:tcBorders>
                    <w:top w:val="nil"/>
                    <w:left w:val="nil"/>
                    <w:bottom w:val="single" w:sz="4" w:space="0" w:color="auto"/>
                    <w:right w:val="single" w:sz="4" w:space="0" w:color="auto"/>
                  </w:tcBorders>
                  <w:shd w:val="clear" w:color="auto" w:fill="auto"/>
                  <w:noWrap/>
                  <w:vAlign w:val="bottom"/>
                  <w:hideMark/>
                </w:tcPr>
                <w:p w14:paraId="0E819CF8" w14:textId="77777777" w:rsidR="00BE39B1" w:rsidRPr="008A3FA9" w:rsidRDefault="00BE39B1" w:rsidP="00284114">
                  <w:pPr>
                    <w:spacing w:before="60" w:after="60"/>
                    <w:jc w:val="center"/>
                    <w:rPr>
                      <w:rFonts w:ascii="Times New Roman" w:eastAsia="Times New Roman" w:hAnsi="Times New Roman" w:cs="Times New Roman"/>
                      <w:color w:val="000000"/>
                      <w:sz w:val="20"/>
                      <w:szCs w:val="20"/>
                      <w:lang w:eastAsia="pl-PL"/>
                    </w:rPr>
                  </w:pPr>
                  <w:r w:rsidRPr="008A3FA9">
                    <w:rPr>
                      <w:rFonts w:ascii="Times New Roman" w:eastAsia="Times New Roman" w:hAnsi="Times New Roman" w:cs="Times New Roman"/>
                      <w:color w:val="000000"/>
                      <w:sz w:val="20"/>
                      <w:szCs w:val="20"/>
                      <w:lang w:eastAsia="pl-PL"/>
                    </w:rPr>
                    <w:t>35%</w:t>
                  </w:r>
                </w:p>
              </w:tc>
              <w:tc>
                <w:tcPr>
                  <w:tcW w:w="546" w:type="dxa"/>
                  <w:tcBorders>
                    <w:top w:val="nil"/>
                    <w:left w:val="nil"/>
                    <w:bottom w:val="single" w:sz="4" w:space="0" w:color="auto"/>
                    <w:right w:val="single" w:sz="4" w:space="0" w:color="auto"/>
                  </w:tcBorders>
                  <w:shd w:val="clear" w:color="auto" w:fill="auto"/>
                  <w:noWrap/>
                  <w:vAlign w:val="bottom"/>
                  <w:hideMark/>
                </w:tcPr>
                <w:p w14:paraId="1D6F8FF1" w14:textId="77777777" w:rsidR="00BE39B1" w:rsidRPr="008A3FA9" w:rsidRDefault="00BE39B1" w:rsidP="00284114">
                  <w:pPr>
                    <w:spacing w:before="60" w:after="60"/>
                    <w:jc w:val="center"/>
                    <w:rPr>
                      <w:rFonts w:ascii="Times New Roman" w:eastAsia="Times New Roman" w:hAnsi="Times New Roman" w:cs="Times New Roman"/>
                      <w:color w:val="000000"/>
                      <w:sz w:val="20"/>
                      <w:szCs w:val="20"/>
                      <w:lang w:eastAsia="pl-PL"/>
                    </w:rPr>
                  </w:pPr>
                  <w:r w:rsidRPr="008A3FA9">
                    <w:rPr>
                      <w:rFonts w:ascii="Times New Roman" w:eastAsia="Times New Roman" w:hAnsi="Times New Roman" w:cs="Times New Roman"/>
                      <w:color w:val="000000"/>
                      <w:sz w:val="20"/>
                      <w:szCs w:val="20"/>
                      <w:lang w:eastAsia="pl-PL"/>
                    </w:rPr>
                    <w:t>40%</w:t>
                  </w:r>
                </w:p>
              </w:tc>
              <w:tc>
                <w:tcPr>
                  <w:tcW w:w="546" w:type="dxa"/>
                  <w:tcBorders>
                    <w:top w:val="nil"/>
                    <w:left w:val="nil"/>
                    <w:bottom w:val="single" w:sz="4" w:space="0" w:color="auto"/>
                    <w:right w:val="single" w:sz="4" w:space="0" w:color="auto"/>
                  </w:tcBorders>
                  <w:shd w:val="clear" w:color="auto" w:fill="auto"/>
                  <w:noWrap/>
                  <w:vAlign w:val="bottom"/>
                  <w:hideMark/>
                </w:tcPr>
                <w:p w14:paraId="5BF1CCB8" w14:textId="77777777" w:rsidR="00BE39B1" w:rsidRPr="008A3FA9" w:rsidRDefault="00BE39B1" w:rsidP="00284114">
                  <w:pPr>
                    <w:spacing w:before="60" w:after="60"/>
                    <w:jc w:val="center"/>
                    <w:rPr>
                      <w:rFonts w:ascii="Times New Roman" w:eastAsia="Times New Roman" w:hAnsi="Times New Roman" w:cs="Times New Roman"/>
                      <w:color w:val="000000"/>
                      <w:sz w:val="20"/>
                      <w:szCs w:val="20"/>
                      <w:lang w:eastAsia="pl-PL"/>
                    </w:rPr>
                  </w:pPr>
                  <w:r w:rsidRPr="008A3FA9">
                    <w:rPr>
                      <w:rFonts w:ascii="Times New Roman" w:eastAsia="Times New Roman" w:hAnsi="Times New Roman" w:cs="Times New Roman"/>
                      <w:color w:val="000000"/>
                      <w:sz w:val="20"/>
                      <w:szCs w:val="20"/>
                      <w:lang w:eastAsia="pl-PL"/>
                    </w:rPr>
                    <w:t>44%</w:t>
                  </w:r>
                </w:p>
              </w:tc>
              <w:tc>
                <w:tcPr>
                  <w:tcW w:w="546" w:type="dxa"/>
                  <w:tcBorders>
                    <w:top w:val="nil"/>
                    <w:left w:val="nil"/>
                    <w:bottom w:val="single" w:sz="4" w:space="0" w:color="auto"/>
                    <w:right w:val="single" w:sz="4" w:space="0" w:color="auto"/>
                  </w:tcBorders>
                  <w:shd w:val="clear" w:color="auto" w:fill="auto"/>
                  <w:noWrap/>
                  <w:vAlign w:val="bottom"/>
                  <w:hideMark/>
                </w:tcPr>
                <w:p w14:paraId="66478336" w14:textId="77777777" w:rsidR="00BE39B1" w:rsidRPr="008A3FA9" w:rsidRDefault="00BE39B1" w:rsidP="00284114">
                  <w:pPr>
                    <w:spacing w:before="60" w:after="60"/>
                    <w:jc w:val="center"/>
                    <w:rPr>
                      <w:rFonts w:ascii="Times New Roman" w:eastAsia="Times New Roman" w:hAnsi="Times New Roman" w:cs="Times New Roman"/>
                      <w:color w:val="000000"/>
                      <w:sz w:val="20"/>
                      <w:szCs w:val="20"/>
                      <w:lang w:eastAsia="pl-PL"/>
                    </w:rPr>
                  </w:pPr>
                  <w:r w:rsidRPr="008A3FA9">
                    <w:rPr>
                      <w:rFonts w:ascii="Times New Roman" w:eastAsia="Times New Roman" w:hAnsi="Times New Roman" w:cs="Times New Roman"/>
                      <w:color w:val="000000"/>
                      <w:sz w:val="20"/>
                      <w:szCs w:val="20"/>
                      <w:lang w:eastAsia="pl-PL"/>
                    </w:rPr>
                    <w:t>46%</w:t>
                  </w:r>
                </w:p>
              </w:tc>
              <w:tc>
                <w:tcPr>
                  <w:tcW w:w="546" w:type="dxa"/>
                  <w:tcBorders>
                    <w:top w:val="nil"/>
                    <w:left w:val="nil"/>
                    <w:bottom w:val="single" w:sz="4" w:space="0" w:color="auto"/>
                    <w:right w:val="single" w:sz="4" w:space="0" w:color="auto"/>
                  </w:tcBorders>
                  <w:shd w:val="clear" w:color="auto" w:fill="auto"/>
                  <w:noWrap/>
                  <w:vAlign w:val="bottom"/>
                  <w:hideMark/>
                </w:tcPr>
                <w:p w14:paraId="60819CAF" w14:textId="77777777" w:rsidR="00BE39B1" w:rsidRPr="008A3FA9" w:rsidRDefault="00BE39B1" w:rsidP="00284114">
                  <w:pPr>
                    <w:spacing w:before="60" w:after="60"/>
                    <w:jc w:val="center"/>
                    <w:rPr>
                      <w:rFonts w:ascii="Times New Roman" w:eastAsia="Times New Roman" w:hAnsi="Times New Roman" w:cs="Times New Roman"/>
                      <w:color w:val="000000"/>
                      <w:sz w:val="20"/>
                      <w:szCs w:val="20"/>
                      <w:lang w:eastAsia="pl-PL"/>
                    </w:rPr>
                  </w:pPr>
                  <w:r w:rsidRPr="008A3FA9">
                    <w:rPr>
                      <w:rFonts w:ascii="Times New Roman" w:eastAsia="Times New Roman" w:hAnsi="Times New Roman" w:cs="Times New Roman"/>
                      <w:color w:val="000000"/>
                      <w:sz w:val="20"/>
                      <w:szCs w:val="20"/>
                      <w:lang w:eastAsia="pl-PL"/>
                    </w:rPr>
                    <w:t>50%</w:t>
                  </w:r>
                </w:p>
              </w:tc>
            </w:tr>
          </w:tbl>
          <w:p w14:paraId="23D5C038" w14:textId="77777777" w:rsidR="00F8742C" w:rsidRPr="00067989" w:rsidRDefault="00F8742C" w:rsidP="00067989">
            <w:pPr>
              <w:spacing w:before="60" w:after="60"/>
              <w:jc w:val="both"/>
              <w:rPr>
                <w:rFonts w:ascii="Times New Roman" w:hAnsi="Times New Roman" w:cs="Times New Roman"/>
                <w:color w:val="000000" w:themeColor="text1"/>
              </w:rPr>
            </w:pPr>
          </w:p>
          <w:tbl>
            <w:tblPr>
              <w:tblW w:w="8224" w:type="dxa"/>
              <w:tblLayout w:type="fixed"/>
              <w:tblCellMar>
                <w:left w:w="70" w:type="dxa"/>
                <w:right w:w="70" w:type="dxa"/>
              </w:tblCellMar>
              <w:tblLook w:val="04A0" w:firstRow="1" w:lastRow="0" w:firstColumn="1" w:lastColumn="0" w:noHBand="0" w:noVBand="1"/>
            </w:tblPr>
            <w:tblGrid>
              <w:gridCol w:w="2155"/>
              <w:gridCol w:w="567"/>
              <w:gridCol w:w="567"/>
              <w:gridCol w:w="567"/>
              <w:gridCol w:w="546"/>
              <w:gridCol w:w="546"/>
              <w:gridCol w:w="546"/>
              <w:gridCol w:w="546"/>
              <w:gridCol w:w="546"/>
              <w:gridCol w:w="546"/>
              <w:gridCol w:w="546"/>
              <w:gridCol w:w="546"/>
            </w:tblGrid>
            <w:tr w:rsidR="00E9511A" w:rsidRPr="00436B75" w14:paraId="25DDC610" w14:textId="77777777" w:rsidTr="005065C6">
              <w:trPr>
                <w:trHeight w:val="290"/>
              </w:trPr>
              <w:tc>
                <w:tcPr>
                  <w:tcW w:w="2155" w:type="dxa"/>
                  <w:tcBorders>
                    <w:top w:val="single" w:sz="4" w:space="0" w:color="auto"/>
                    <w:left w:val="single" w:sz="4" w:space="0" w:color="auto"/>
                    <w:bottom w:val="single" w:sz="4" w:space="0" w:color="auto"/>
                    <w:right w:val="single" w:sz="4" w:space="0" w:color="auto"/>
                  </w:tcBorders>
                  <w:shd w:val="clear" w:color="DDEBF7" w:fill="808080"/>
                  <w:vAlign w:val="center"/>
                  <w:hideMark/>
                </w:tcPr>
                <w:p w14:paraId="5A3BE4A2" w14:textId="77777777" w:rsidR="00E9511A" w:rsidRPr="008A3FA9" w:rsidRDefault="00E9511A" w:rsidP="00067989">
                  <w:pPr>
                    <w:spacing w:before="60" w:after="60"/>
                    <w:rPr>
                      <w:rFonts w:ascii="Times New Roman" w:eastAsia="Times New Roman" w:hAnsi="Times New Roman" w:cs="Times New Roman"/>
                      <w:b/>
                      <w:bCs/>
                      <w:color w:val="808080"/>
                      <w:sz w:val="20"/>
                      <w:szCs w:val="20"/>
                      <w:lang w:eastAsia="pl-PL"/>
                    </w:rPr>
                  </w:pPr>
                  <w:r w:rsidRPr="008A3FA9">
                    <w:rPr>
                      <w:rFonts w:ascii="Times New Roman" w:eastAsia="Times New Roman" w:hAnsi="Times New Roman" w:cs="Times New Roman"/>
                      <w:b/>
                      <w:bCs/>
                      <w:color w:val="808080"/>
                      <w:sz w:val="20"/>
                      <w:szCs w:val="20"/>
                      <w:lang w:eastAsia="pl-PL"/>
                    </w:rPr>
                    <w:t>Przesyłki polecone krajowe</w:t>
                  </w:r>
                </w:p>
              </w:tc>
              <w:tc>
                <w:tcPr>
                  <w:tcW w:w="6069" w:type="dxa"/>
                  <w:gridSpan w:val="11"/>
                  <w:tcBorders>
                    <w:top w:val="single" w:sz="4" w:space="0" w:color="auto"/>
                    <w:left w:val="nil"/>
                    <w:bottom w:val="single" w:sz="4" w:space="0" w:color="auto"/>
                    <w:right w:val="single" w:sz="4" w:space="0" w:color="auto"/>
                  </w:tcBorders>
                  <w:shd w:val="clear" w:color="000000" w:fill="808080"/>
                  <w:noWrap/>
                  <w:vAlign w:val="center"/>
                  <w:hideMark/>
                </w:tcPr>
                <w:p w14:paraId="46BEEED9" w14:textId="77777777" w:rsidR="00E9511A" w:rsidRPr="008A3FA9" w:rsidRDefault="00E9511A" w:rsidP="00067989">
                  <w:pPr>
                    <w:spacing w:before="60" w:after="60"/>
                    <w:jc w:val="center"/>
                    <w:rPr>
                      <w:rFonts w:ascii="Times New Roman" w:eastAsia="Times New Roman" w:hAnsi="Times New Roman" w:cs="Times New Roman"/>
                      <w:b/>
                      <w:bCs/>
                      <w:color w:val="FFFFFF"/>
                      <w:sz w:val="20"/>
                      <w:szCs w:val="20"/>
                      <w:lang w:eastAsia="pl-PL"/>
                    </w:rPr>
                  </w:pPr>
                  <w:r w:rsidRPr="008A3FA9">
                    <w:rPr>
                      <w:rFonts w:ascii="Times New Roman" w:eastAsia="Times New Roman" w:hAnsi="Times New Roman" w:cs="Times New Roman"/>
                      <w:b/>
                      <w:bCs/>
                      <w:color w:val="FFFFFF"/>
                      <w:sz w:val="20"/>
                      <w:szCs w:val="20"/>
                      <w:lang w:eastAsia="pl-PL"/>
                    </w:rPr>
                    <w:t xml:space="preserve">Plan korzystania z rozwiązania przez podmioty niepubliczne </w:t>
                  </w:r>
                </w:p>
              </w:tc>
            </w:tr>
            <w:tr w:rsidR="00E9511A" w:rsidRPr="00436B75" w14:paraId="1158C0A1" w14:textId="77777777" w:rsidTr="005065C6">
              <w:trPr>
                <w:trHeight w:val="290"/>
              </w:trPr>
              <w:tc>
                <w:tcPr>
                  <w:tcW w:w="2155" w:type="dxa"/>
                  <w:tcBorders>
                    <w:top w:val="nil"/>
                    <w:left w:val="single" w:sz="4" w:space="0" w:color="auto"/>
                    <w:bottom w:val="single" w:sz="4" w:space="0" w:color="auto"/>
                    <w:right w:val="single" w:sz="4" w:space="0" w:color="auto"/>
                  </w:tcBorders>
                  <w:shd w:val="clear" w:color="DDEBF7" w:fill="808080"/>
                  <w:vAlign w:val="bottom"/>
                  <w:hideMark/>
                </w:tcPr>
                <w:p w14:paraId="48041560" w14:textId="77777777" w:rsidR="00E9511A" w:rsidRPr="008A3FA9" w:rsidRDefault="00E9511A" w:rsidP="00067989">
                  <w:pPr>
                    <w:spacing w:before="60" w:after="60"/>
                    <w:rPr>
                      <w:rFonts w:ascii="Times New Roman" w:eastAsia="Times New Roman" w:hAnsi="Times New Roman" w:cs="Times New Roman"/>
                      <w:b/>
                      <w:bCs/>
                      <w:color w:val="FFFFFF"/>
                      <w:sz w:val="20"/>
                      <w:szCs w:val="20"/>
                      <w:lang w:eastAsia="pl-PL"/>
                    </w:rPr>
                  </w:pPr>
                  <w:r w:rsidRPr="008A3FA9">
                    <w:rPr>
                      <w:rFonts w:ascii="Times New Roman" w:eastAsia="Times New Roman" w:hAnsi="Times New Roman" w:cs="Times New Roman"/>
                      <w:b/>
                      <w:bCs/>
                      <w:color w:val="FFFFFF"/>
                      <w:sz w:val="20"/>
                      <w:szCs w:val="20"/>
                      <w:lang w:eastAsia="pl-PL"/>
                    </w:rPr>
                    <w:t>Branża</w:t>
                  </w:r>
                </w:p>
              </w:tc>
              <w:tc>
                <w:tcPr>
                  <w:tcW w:w="567" w:type="dxa"/>
                  <w:tcBorders>
                    <w:top w:val="nil"/>
                    <w:left w:val="nil"/>
                    <w:bottom w:val="single" w:sz="4" w:space="0" w:color="auto"/>
                    <w:right w:val="single" w:sz="4" w:space="0" w:color="auto"/>
                  </w:tcBorders>
                  <w:shd w:val="clear" w:color="000000" w:fill="808080"/>
                  <w:noWrap/>
                  <w:vAlign w:val="bottom"/>
                  <w:hideMark/>
                </w:tcPr>
                <w:p w14:paraId="5FB4DB3D" w14:textId="77777777" w:rsidR="00E9511A" w:rsidRPr="008A3FA9" w:rsidRDefault="00E9511A" w:rsidP="00067989">
                  <w:pPr>
                    <w:spacing w:before="60" w:after="60"/>
                    <w:jc w:val="center"/>
                    <w:rPr>
                      <w:rFonts w:ascii="Times New Roman" w:eastAsia="Times New Roman" w:hAnsi="Times New Roman" w:cs="Times New Roman"/>
                      <w:i/>
                      <w:iCs/>
                      <w:color w:val="FFFFFF"/>
                      <w:sz w:val="20"/>
                      <w:szCs w:val="20"/>
                      <w:lang w:eastAsia="pl-PL"/>
                    </w:rPr>
                  </w:pPr>
                  <w:r w:rsidRPr="008A3FA9">
                    <w:rPr>
                      <w:rFonts w:ascii="Times New Roman" w:eastAsia="Times New Roman" w:hAnsi="Times New Roman" w:cs="Times New Roman"/>
                      <w:b/>
                      <w:bCs/>
                      <w:color w:val="FFFFFF"/>
                      <w:sz w:val="20"/>
                      <w:szCs w:val="20"/>
                      <w:lang w:eastAsia="pl-PL"/>
                    </w:rPr>
                    <w:t>2020</w:t>
                  </w:r>
                </w:p>
              </w:tc>
              <w:tc>
                <w:tcPr>
                  <w:tcW w:w="567" w:type="dxa"/>
                  <w:tcBorders>
                    <w:top w:val="nil"/>
                    <w:left w:val="nil"/>
                    <w:bottom w:val="single" w:sz="4" w:space="0" w:color="auto"/>
                    <w:right w:val="single" w:sz="4" w:space="0" w:color="auto"/>
                  </w:tcBorders>
                  <w:shd w:val="clear" w:color="DDEBF7" w:fill="808080"/>
                  <w:noWrap/>
                  <w:vAlign w:val="center"/>
                  <w:hideMark/>
                </w:tcPr>
                <w:p w14:paraId="384BAB6C" w14:textId="77777777" w:rsidR="00E9511A" w:rsidRPr="008A3FA9" w:rsidRDefault="00E9511A" w:rsidP="00067989">
                  <w:pPr>
                    <w:spacing w:before="60" w:after="60"/>
                    <w:jc w:val="center"/>
                    <w:rPr>
                      <w:rFonts w:ascii="Times New Roman" w:eastAsia="Times New Roman" w:hAnsi="Times New Roman" w:cs="Times New Roman"/>
                      <w:b/>
                      <w:bCs/>
                      <w:color w:val="FFFFFF"/>
                      <w:sz w:val="20"/>
                      <w:szCs w:val="20"/>
                      <w:lang w:eastAsia="pl-PL"/>
                    </w:rPr>
                  </w:pPr>
                  <w:r w:rsidRPr="008A3FA9">
                    <w:rPr>
                      <w:rFonts w:ascii="Times New Roman" w:eastAsia="Times New Roman" w:hAnsi="Times New Roman" w:cs="Times New Roman"/>
                      <w:b/>
                      <w:bCs/>
                      <w:color w:val="FFFFFF"/>
                      <w:sz w:val="20"/>
                      <w:szCs w:val="20"/>
                      <w:lang w:eastAsia="pl-PL"/>
                    </w:rPr>
                    <w:t>2021</w:t>
                  </w:r>
                </w:p>
              </w:tc>
              <w:tc>
                <w:tcPr>
                  <w:tcW w:w="567" w:type="dxa"/>
                  <w:tcBorders>
                    <w:top w:val="nil"/>
                    <w:left w:val="nil"/>
                    <w:bottom w:val="single" w:sz="4" w:space="0" w:color="auto"/>
                    <w:right w:val="single" w:sz="4" w:space="0" w:color="auto"/>
                  </w:tcBorders>
                  <w:shd w:val="clear" w:color="DDEBF7" w:fill="808080"/>
                  <w:noWrap/>
                  <w:vAlign w:val="center"/>
                  <w:hideMark/>
                </w:tcPr>
                <w:p w14:paraId="49FC162A" w14:textId="77777777" w:rsidR="00E9511A" w:rsidRPr="008A3FA9" w:rsidRDefault="00E9511A" w:rsidP="00067989">
                  <w:pPr>
                    <w:spacing w:before="60" w:after="60"/>
                    <w:jc w:val="center"/>
                    <w:rPr>
                      <w:rFonts w:ascii="Times New Roman" w:eastAsia="Times New Roman" w:hAnsi="Times New Roman" w:cs="Times New Roman"/>
                      <w:b/>
                      <w:bCs/>
                      <w:color w:val="FFFFFF"/>
                      <w:sz w:val="20"/>
                      <w:szCs w:val="20"/>
                      <w:lang w:eastAsia="pl-PL"/>
                    </w:rPr>
                  </w:pPr>
                  <w:r w:rsidRPr="008A3FA9">
                    <w:rPr>
                      <w:rFonts w:ascii="Times New Roman" w:eastAsia="Times New Roman" w:hAnsi="Times New Roman" w:cs="Times New Roman"/>
                      <w:b/>
                      <w:bCs/>
                      <w:color w:val="FFFFFF"/>
                      <w:sz w:val="20"/>
                      <w:szCs w:val="20"/>
                      <w:lang w:eastAsia="pl-PL"/>
                    </w:rPr>
                    <w:t>2022</w:t>
                  </w:r>
                </w:p>
              </w:tc>
              <w:tc>
                <w:tcPr>
                  <w:tcW w:w="546" w:type="dxa"/>
                  <w:tcBorders>
                    <w:top w:val="nil"/>
                    <w:left w:val="nil"/>
                    <w:bottom w:val="single" w:sz="4" w:space="0" w:color="auto"/>
                    <w:right w:val="single" w:sz="4" w:space="0" w:color="auto"/>
                  </w:tcBorders>
                  <w:shd w:val="clear" w:color="DDEBF7" w:fill="808080"/>
                  <w:noWrap/>
                  <w:vAlign w:val="center"/>
                  <w:hideMark/>
                </w:tcPr>
                <w:p w14:paraId="66EB317B" w14:textId="77777777" w:rsidR="00E9511A" w:rsidRPr="008A3FA9" w:rsidRDefault="00E9511A" w:rsidP="00067989">
                  <w:pPr>
                    <w:spacing w:before="60" w:after="60"/>
                    <w:jc w:val="center"/>
                    <w:rPr>
                      <w:rFonts w:ascii="Times New Roman" w:eastAsia="Times New Roman" w:hAnsi="Times New Roman" w:cs="Times New Roman"/>
                      <w:b/>
                      <w:bCs/>
                      <w:color w:val="FFFFFF"/>
                      <w:sz w:val="20"/>
                      <w:szCs w:val="20"/>
                      <w:lang w:eastAsia="pl-PL"/>
                    </w:rPr>
                  </w:pPr>
                  <w:r w:rsidRPr="008A3FA9">
                    <w:rPr>
                      <w:rFonts w:ascii="Times New Roman" w:eastAsia="Times New Roman" w:hAnsi="Times New Roman" w:cs="Times New Roman"/>
                      <w:b/>
                      <w:bCs/>
                      <w:color w:val="FFFFFF"/>
                      <w:sz w:val="20"/>
                      <w:szCs w:val="20"/>
                      <w:lang w:eastAsia="pl-PL"/>
                    </w:rPr>
                    <w:t>2023</w:t>
                  </w:r>
                </w:p>
              </w:tc>
              <w:tc>
                <w:tcPr>
                  <w:tcW w:w="546" w:type="dxa"/>
                  <w:tcBorders>
                    <w:top w:val="nil"/>
                    <w:left w:val="nil"/>
                    <w:bottom w:val="single" w:sz="4" w:space="0" w:color="auto"/>
                    <w:right w:val="single" w:sz="4" w:space="0" w:color="auto"/>
                  </w:tcBorders>
                  <w:shd w:val="clear" w:color="DDEBF7" w:fill="808080"/>
                  <w:noWrap/>
                  <w:vAlign w:val="center"/>
                  <w:hideMark/>
                </w:tcPr>
                <w:p w14:paraId="67D62EEC" w14:textId="77777777" w:rsidR="00E9511A" w:rsidRPr="008A3FA9" w:rsidRDefault="00E9511A" w:rsidP="00067989">
                  <w:pPr>
                    <w:spacing w:before="60" w:after="60"/>
                    <w:jc w:val="center"/>
                    <w:rPr>
                      <w:rFonts w:ascii="Times New Roman" w:eastAsia="Times New Roman" w:hAnsi="Times New Roman" w:cs="Times New Roman"/>
                      <w:b/>
                      <w:bCs/>
                      <w:color w:val="FFFFFF"/>
                      <w:sz w:val="20"/>
                      <w:szCs w:val="20"/>
                      <w:lang w:eastAsia="pl-PL"/>
                    </w:rPr>
                  </w:pPr>
                  <w:r w:rsidRPr="008A3FA9">
                    <w:rPr>
                      <w:rFonts w:ascii="Times New Roman" w:eastAsia="Times New Roman" w:hAnsi="Times New Roman" w:cs="Times New Roman"/>
                      <w:b/>
                      <w:bCs/>
                      <w:color w:val="FFFFFF"/>
                      <w:sz w:val="20"/>
                      <w:szCs w:val="20"/>
                      <w:lang w:eastAsia="pl-PL"/>
                    </w:rPr>
                    <w:t>2024</w:t>
                  </w:r>
                </w:p>
              </w:tc>
              <w:tc>
                <w:tcPr>
                  <w:tcW w:w="546" w:type="dxa"/>
                  <w:tcBorders>
                    <w:top w:val="nil"/>
                    <w:left w:val="nil"/>
                    <w:bottom w:val="single" w:sz="4" w:space="0" w:color="auto"/>
                    <w:right w:val="single" w:sz="4" w:space="0" w:color="auto"/>
                  </w:tcBorders>
                  <w:shd w:val="clear" w:color="DDEBF7" w:fill="808080"/>
                  <w:noWrap/>
                  <w:vAlign w:val="center"/>
                  <w:hideMark/>
                </w:tcPr>
                <w:p w14:paraId="1ED2FB83" w14:textId="77777777" w:rsidR="00E9511A" w:rsidRPr="008A3FA9" w:rsidRDefault="00E9511A" w:rsidP="00067989">
                  <w:pPr>
                    <w:spacing w:before="60" w:after="60"/>
                    <w:jc w:val="center"/>
                    <w:rPr>
                      <w:rFonts w:ascii="Times New Roman" w:eastAsia="Times New Roman" w:hAnsi="Times New Roman" w:cs="Times New Roman"/>
                      <w:b/>
                      <w:bCs/>
                      <w:color w:val="FFFFFF"/>
                      <w:sz w:val="20"/>
                      <w:szCs w:val="20"/>
                      <w:lang w:eastAsia="pl-PL"/>
                    </w:rPr>
                  </w:pPr>
                  <w:r w:rsidRPr="008A3FA9">
                    <w:rPr>
                      <w:rFonts w:ascii="Times New Roman" w:eastAsia="Times New Roman" w:hAnsi="Times New Roman" w:cs="Times New Roman"/>
                      <w:b/>
                      <w:bCs/>
                      <w:color w:val="FFFFFF"/>
                      <w:sz w:val="20"/>
                      <w:szCs w:val="20"/>
                      <w:lang w:eastAsia="pl-PL"/>
                    </w:rPr>
                    <w:t>2025</w:t>
                  </w:r>
                </w:p>
              </w:tc>
              <w:tc>
                <w:tcPr>
                  <w:tcW w:w="546" w:type="dxa"/>
                  <w:tcBorders>
                    <w:top w:val="nil"/>
                    <w:left w:val="nil"/>
                    <w:bottom w:val="single" w:sz="4" w:space="0" w:color="auto"/>
                    <w:right w:val="single" w:sz="4" w:space="0" w:color="auto"/>
                  </w:tcBorders>
                  <w:shd w:val="clear" w:color="DDEBF7" w:fill="808080"/>
                  <w:noWrap/>
                  <w:vAlign w:val="center"/>
                  <w:hideMark/>
                </w:tcPr>
                <w:p w14:paraId="1F079A06" w14:textId="77777777" w:rsidR="00E9511A" w:rsidRPr="008A3FA9" w:rsidRDefault="00E9511A" w:rsidP="00284114">
                  <w:pPr>
                    <w:spacing w:before="60" w:after="60"/>
                    <w:jc w:val="center"/>
                    <w:rPr>
                      <w:rFonts w:ascii="Times New Roman" w:eastAsia="Times New Roman" w:hAnsi="Times New Roman" w:cs="Times New Roman"/>
                      <w:b/>
                      <w:bCs/>
                      <w:color w:val="FFFFFF"/>
                      <w:sz w:val="20"/>
                      <w:szCs w:val="20"/>
                      <w:lang w:eastAsia="pl-PL"/>
                    </w:rPr>
                  </w:pPr>
                  <w:r w:rsidRPr="008A3FA9">
                    <w:rPr>
                      <w:rFonts w:ascii="Times New Roman" w:eastAsia="Times New Roman" w:hAnsi="Times New Roman" w:cs="Times New Roman"/>
                      <w:b/>
                      <w:bCs/>
                      <w:color w:val="FFFFFF"/>
                      <w:sz w:val="20"/>
                      <w:szCs w:val="20"/>
                      <w:lang w:eastAsia="pl-PL"/>
                    </w:rPr>
                    <w:t>2026</w:t>
                  </w:r>
                </w:p>
              </w:tc>
              <w:tc>
                <w:tcPr>
                  <w:tcW w:w="546" w:type="dxa"/>
                  <w:tcBorders>
                    <w:top w:val="nil"/>
                    <w:left w:val="nil"/>
                    <w:bottom w:val="single" w:sz="4" w:space="0" w:color="auto"/>
                    <w:right w:val="single" w:sz="4" w:space="0" w:color="auto"/>
                  </w:tcBorders>
                  <w:shd w:val="clear" w:color="DDEBF7" w:fill="808080"/>
                  <w:noWrap/>
                  <w:vAlign w:val="center"/>
                  <w:hideMark/>
                </w:tcPr>
                <w:p w14:paraId="01AC8BF6" w14:textId="77777777" w:rsidR="00E9511A" w:rsidRPr="008A3FA9" w:rsidRDefault="00E9511A" w:rsidP="00284114">
                  <w:pPr>
                    <w:spacing w:before="60" w:after="60"/>
                    <w:jc w:val="center"/>
                    <w:rPr>
                      <w:rFonts w:ascii="Times New Roman" w:eastAsia="Times New Roman" w:hAnsi="Times New Roman" w:cs="Times New Roman"/>
                      <w:b/>
                      <w:bCs/>
                      <w:color w:val="FFFFFF"/>
                      <w:sz w:val="20"/>
                      <w:szCs w:val="20"/>
                      <w:lang w:eastAsia="pl-PL"/>
                    </w:rPr>
                  </w:pPr>
                  <w:r w:rsidRPr="008A3FA9">
                    <w:rPr>
                      <w:rFonts w:ascii="Times New Roman" w:eastAsia="Times New Roman" w:hAnsi="Times New Roman" w:cs="Times New Roman"/>
                      <w:b/>
                      <w:bCs/>
                      <w:color w:val="FFFFFF"/>
                      <w:sz w:val="20"/>
                      <w:szCs w:val="20"/>
                      <w:lang w:eastAsia="pl-PL"/>
                    </w:rPr>
                    <w:t>2027</w:t>
                  </w:r>
                </w:p>
              </w:tc>
              <w:tc>
                <w:tcPr>
                  <w:tcW w:w="546" w:type="dxa"/>
                  <w:tcBorders>
                    <w:top w:val="nil"/>
                    <w:left w:val="nil"/>
                    <w:bottom w:val="single" w:sz="4" w:space="0" w:color="auto"/>
                    <w:right w:val="single" w:sz="4" w:space="0" w:color="auto"/>
                  </w:tcBorders>
                  <w:shd w:val="clear" w:color="DDEBF7" w:fill="808080"/>
                  <w:noWrap/>
                  <w:vAlign w:val="center"/>
                  <w:hideMark/>
                </w:tcPr>
                <w:p w14:paraId="5381FD2F" w14:textId="77777777" w:rsidR="00E9511A" w:rsidRPr="008A3FA9" w:rsidRDefault="00E9511A" w:rsidP="00284114">
                  <w:pPr>
                    <w:spacing w:before="60" w:after="60"/>
                    <w:jc w:val="center"/>
                    <w:rPr>
                      <w:rFonts w:ascii="Times New Roman" w:eastAsia="Times New Roman" w:hAnsi="Times New Roman" w:cs="Times New Roman"/>
                      <w:b/>
                      <w:bCs/>
                      <w:color w:val="FFFFFF"/>
                      <w:sz w:val="20"/>
                      <w:szCs w:val="20"/>
                      <w:lang w:eastAsia="pl-PL"/>
                    </w:rPr>
                  </w:pPr>
                  <w:r w:rsidRPr="008A3FA9">
                    <w:rPr>
                      <w:rFonts w:ascii="Times New Roman" w:eastAsia="Times New Roman" w:hAnsi="Times New Roman" w:cs="Times New Roman"/>
                      <w:b/>
                      <w:bCs/>
                      <w:color w:val="FFFFFF"/>
                      <w:sz w:val="20"/>
                      <w:szCs w:val="20"/>
                      <w:lang w:eastAsia="pl-PL"/>
                    </w:rPr>
                    <w:t>2028</w:t>
                  </w:r>
                </w:p>
              </w:tc>
              <w:tc>
                <w:tcPr>
                  <w:tcW w:w="546" w:type="dxa"/>
                  <w:tcBorders>
                    <w:top w:val="nil"/>
                    <w:left w:val="nil"/>
                    <w:bottom w:val="single" w:sz="4" w:space="0" w:color="auto"/>
                    <w:right w:val="single" w:sz="4" w:space="0" w:color="auto"/>
                  </w:tcBorders>
                  <w:shd w:val="clear" w:color="DDEBF7" w:fill="808080"/>
                  <w:noWrap/>
                  <w:vAlign w:val="center"/>
                  <w:hideMark/>
                </w:tcPr>
                <w:p w14:paraId="3CDAE358" w14:textId="77777777" w:rsidR="00E9511A" w:rsidRPr="008A3FA9" w:rsidRDefault="00E9511A" w:rsidP="00284114">
                  <w:pPr>
                    <w:spacing w:before="60" w:after="60"/>
                    <w:jc w:val="center"/>
                    <w:rPr>
                      <w:rFonts w:ascii="Times New Roman" w:eastAsia="Times New Roman" w:hAnsi="Times New Roman" w:cs="Times New Roman"/>
                      <w:b/>
                      <w:bCs/>
                      <w:color w:val="FFFFFF"/>
                      <w:sz w:val="20"/>
                      <w:szCs w:val="20"/>
                      <w:lang w:eastAsia="pl-PL"/>
                    </w:rPr>
                  </w:pPr>
                  <w:r w:rsidRPr="008A3FA9">
                    <w:rPr>
                      <w:rFonts w:ascii="Times New Roman" w:eastAsia="Times New Roman" w:hAnsi="Times New Roman" w:cs="Times New Roman"/>
                      <w:b/>
                      <w:bCs/>
                      <w:color w:val="FFFFFF"/>
                      <w:sz w:val="20"/>
                      <w:szCs w:val="20"/>
                      <w:lang w:eastAsia="pl-PL"/>
                    </w:rPr>
                    <w:t>2029</w:t>
                  </w:r>
                </w:p>
              </w:tc>
              <w:tc>
                <w:tcPr>
                  <w:tcW w:w="546" w:type="dxa"/>
                  <w:tcBorders>
                    <w:top w:val="nil"/>
                    <w:left w:val="nil"/>
                    <w:bottom w:val="single" w:sz="4" w:space="0" w:color="auto"/>
                    <w:right w:val="single" w:sz="4" w:space="0" w:color="auto"/>
                  </w:tcBorders>
                  <w:shd w:val="clear" w:color="DDEBF7" w:fill="808080"/>
                  <w:noWrap/>
                  <w:vAlign w:val="center"/>
                  <w:hideMark/>
                </w:tcPr>
                <w:p w14:paraId="34508DB2" w14:textId="77777777" w:rsidR="00E9511A" w:rsidRPr="008A3FA9" w:rsidRDefault="00E9511A" w:rsidP="00284114">
                  <w:pPr>
                    <w:spacing w:before="60" w:after="60"/>
                    <w:jc w:val="center"/>
                    <w:rPr>
                      <w:rFonts w:ascii="Times New Roman" w:eastAsia="Times New Roman" w:hAnsi="Times New Roman" w:cs="Times New Roman"/>
                      <w:b/>
                      <w:bCs/>
                      <w:color w:val="FFFFFF"/>
                      <w:sz w:val="20"/>
                      <w:szCs w:val="20"/>
                      <w:lang w:eastAsia="pl-PL"/>
                    </w:rPr>
                  </w:pPr>
                  <w:r w:rsidRPr="008A3FA9">
                    <w:rPr>
                      <w:rFonts w:ascii="Times New Roman" w:eastAsia="Times New Roman" w:hAnsi="Times New Roman" w:cs="Times New Roman"/>
                      <w:b/>
                      <w:bCs/>
                      <w:color w:val="FFFFFF"/>
                      <w:sz w:val="20"/>
                      <w:szCs w:val="20"/>
                      <w:lang w:eastAsia="pl-PL"/>
                    </w:rPr>
                    <w:t>2030</w:t>
                  </w:r>
                </w:p>
              </w:tc>
            </w:tr>
            <w:tr w:rsidR="00E9511A" w:rsidRPr="00436B75" w14:paraId="72BDA706" w14:textId="77777777" w:rsidTr="005065C6">
              <w:trPr>
                <w:trHeight w:val="514"/>
              </w:trPr>
              <w:tc>
                <w:tcPr>
                  <w:tcW w:w="2155" w:type="dxa"/>
                  <w:tcBorders>
                    <w:top w:val="nil"/>
                    <w:left w:val="single" w:sz="4" w:space="0" w:color="auto"/>
                    <w:bottom w:val="single" w:sz="4" w:space="0" w:color="auto"/>
                    <w:right w:val="single" w:sz="4" w:space="0" w:color="auto"/>
                  </w:tcBorders>
                  <w:shd w:val="clear" w:color="auto" w:fill="auto"/>
                  <w:noWrap/>
                  <w:vAlign w:val="bottom"/>
                  <w:hideMark/>
                </w:tcPr>
                <w:p w14:paraId="14E2A799" w14:textId="77777777" w:rsidR="00E9511A" w:rsidRPr="008A3FA9" w:rsidRDefault="00E9511A" w:rsidP="00067989">
                  <w:pPr>
                    <w:spacing w:before="60" w:after="60"/>
                    <w:rPr>
                      <w:rFonts w:ascii="Times New Roman" w:eastAsia="Times New Roman" w:hAnsi="Times New Roman" w:cs="Times New Roman"/>
                      <w:color w:val="000000"/>
                      <w:sz w:val="20"/>
                      <w:szCs w:val="20"/>
                      <w:lang w:eastAsia="pl-PL"/>
                    </w:rPr>
                  </w:pPr>
                  <w:r w:rsidRPr="008A3FA9">
                    <w:rPr>
                      <w:rFonts w:ascii="Times New Roman" w:eastAsia="Times New Roman" w:hAnsi="Times New Roman" w:cs="Times New Roman"/>
                      <w:color w:val="000000"/>
                      <w:sz w:val="20"/>
                      <w:szCs w:val="20"/>
                      <w:lang w:eastAsia="pl-PL"/>
                    </w:rPr>
                    <w:t xml:space="preserve">Podmioty publiczne </w:t>
                  </w:r>
                  <w:r w:rsidR="000E2DF4" w:rsidRPr="008A3FA9">
                    <w:rPr>
                      <w:rFonts w:ascii="Times New Roman" w:eastAsia="Times New Roman" w:hAnsi="Times New Roman" w:cs="Times New Roman"/>
                      <w:color w:val="000000"/>
                      <w:sz w:val="20"/>
                      <w:szCs w:val="20"/>
                      <w:lang w:eastAsia="pl-PL"/>
                    </w:rPr>
                    <w:t xml:space="preserve">– </w:t>
                  </w:r>
                  <w:r w:rsidRPr="008A3FA9">
                    <w:rPr>
                      <w:rFonts w:ascii="Times New Roman" w:eastAsia="Times New Roman" w:hAnsi="Times New Roman" w:cs="Times New Roman"/>
                      <w:color w:val="000000"/>
                      <w:sz w:val="20"/>
                      <w:szCs w:val="20"/>
                      <w:lang w:eastAsia="pl-PL"/>
                    </w:rPr>
                    <w:t xml:space="preserve">zróżnicowanie wg harmonogramu włączeń wg </w:t>
                  </w:r>
                  <w:r w:rsidR="00AC2098" w:rsidRPr="008A3FA9">
                    <w:rPr>
                      <w:rFonts w:ascii="Times New Roman" w:eastAsia="Times New Roman" w:hAnsi="Times New Roman" w:cs="Times New Roman"/>
                      <w:color w:val="000000"/>
                      <w:sz w:val="20"/>
                      <w:szCs w:val="20"/>
                      <w:lang w:eastAsia="pl-PL"/>
                    </w:rPr>
                    <w:t>u</w:t>
                  </w:r>
                  <w:r w:rsidRPr="008A3FA9">
                    <w:rPr>
                      <w:rFonts w:ascii="Times New Roman" w:eastAsia="Times New Roman" w:hAnsi="Times New Roman" w:cs="Times New Roman"/>
                      <w:color w:val="000000"/>
                      <w:sz w:val="20"/>
                      <w:szCs w:val="20"/>
                      <w:lang w:eastAsia="pl-PL"/>
                    </w:rPr>
                    <w:t>stawy</w:t>
                  </w:r>
                </w:p>
              </w:tc>
              <w:tc>
                <w:tcPr>
                  <w:tcW w:w="567" w:type="dxa"/>
                  <w:tcBorders>
                    <w:top w:val="nil"/>
                    <w:left w:val="nil"/>
                    <w:bottom w:val="single" w:sz="4" w:space="0" w:color="auto"/>
                    <w:right w:val="single" w:sz="4" w:space="0" w:color="auto"/>
                  </w:tcBorders>
                  <w:shd w:val="clear" w:color="auto" w:fill="auto"/>
                  <w:noWrap/>
                  <w:vAlign w:val="bottom"/>
                  <w:hideMark/>
                </w:tcPr>
                <w:p w14:paraId="56445A85" w14:textId="77777777" w:rsidR="00E9511A" w:rsidRPr="008A3FA9" w:rsidRDefault="00E9511A" w:rsidP="00067989">
                  <w:pPr>
                    <w:spacing w:before="60" w:after="60"/>
                    <w:jc w:val="center"/>
                    <w:rPr>
                      <w:rFonts w:ascii="Times New Roman" w:eastAsia="Times New Roman" w:hAnsi="Times New Roman" w:cs="Times New Roman"/>
                      <w:color w:val="000000"/>
                      <w:sz w:val="20"/>
                      <w:szCs w:val="20"/>
                      <w:lang w:eastAsia="pl-PL"/>
                    </w:rPr>
                  </w:pPr>
                  <w:r w:rsidRPr="008A3FA9">
                    <w:rPr>
                      <w:rFonts w:ascii="Times New Roman" w:hAnsi="Times New Roman" w:cs="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noWrap/>
                  <w:vAlign w:val="bottom"/>
                  <w:hideMark/>
                </w:tcPr>
                <w:p w14:paraId="1751742A" w14:textId="77777777" w:rsidR="00E9511A" w:rsidRPr="008A3FA9" w:rsidRDefault="00E9511A" w:rsidP="00067989">
                  <w:pPr>
                    <w:spacing w:before="60" w:after="60"/>
                    <w:jc w:val="center"/>
                    <w:rPr>
                      <w:rFonts w:ascii="Times New Roman" w:eastAsia="Times New Roman" w:hAnsi="Times New Roman" w:cs="Times New Roman"/>
                      <w:color w:val="000000"/>
                      <w:sz w:val="20"/>
                      <w:szCs w:val="20"/>
                      <w:lang w:eastAsia="pl-PL"/>
                    </w:rPr>
                  </w:pPr>
                  <w:r w:rsidRPr="008A3FA9">
                    <w:rPr>
                      <w:rFonts w:ascii="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14:paraId="2AE22C8D" w14:textId="77777777" w:rsidR="00E9511A" w:rsidRPr="008A3FA9" w:rsidRDefault="00E9511A" w:rsidP="00067989">
                  <w:pPr>
                    <w:spacing w:before="60" w:after="60"/>
                    <w:jc w:val="center"/>
                    <w:rPr>
                      <w:rFonts w:ascii="Times New Roman" w:eastAsia="Times New Roman" w:hAnsi="Times New Roman" w:cs="Times New Roman"/>
                      <w:color w:val="000000"/>
                      <w:sz w:val="20"/>
                      <w:szCs w:val="20"/>
                      <w:lang w:eastAsia="pl-PL"/>
                    </w:rPr>
                  </w:pPr>
                  <w:r w:rsidRPr="008A3FA9">
                    <w:rPr>
                      <w:rFonts w:ascii="Times New Roman" w:hAnsi="Times New Roman" w:cs="Times New Roman"/>
                      <w:color w:val="000000"/>
                      <w:sz w:val="20"/>
                      <w:szCs w:val="20"/>
                    </w:rPr>
                    <w:t>9%</w:t>
                  </w:r>
                </w:p>
              </w:tc>
              <w:tc>
                <w:tcPr>
                  <w:tcW w:w="546" w:type="dxa"/>
                  <w:tcBorders>
                    <w:top w:val="nil"/>
                    <w:left w:val="nil"/>
                    <w:bottom w:val="single" w:sz="4" w:space="0" w:color="auto"/>
                    <w:right w:val="single" w:sz="4" w:space="0" w:color="auto"/>
                  </w:tcBorders>
                  <w:shd w:val="clear" w:color="auto" w:fill="auto"/>
                  <w:noWrap/>
                  <w:vAlign w:val="bottom"/>
                  <w:hideMark/>
                </w:tcPr>
                <w:p w14:paraId="41D3E707" w14:textId="77777777" w:rsidR="00E9511A" w:rsidRPr="008A3FA9" w:rsidRDefault="00E9511A" w:rsidP="00067989">
                  <w:pPr>
                    <w:spacing w:before="60" w:after="60"/>
                    <w:jc w:val="center"/>
                    <w:rPr>
                      <w:rFonts w:ascii="Times New Roman" w:eastAsia="Times New Roman" w:hAnsi="Times New Roman" w:cs="Times New Roman"/>
                      <w:color w:val="000000"/>
                      <w:sz w:val="20"/>
                      <w:szCs w:val="20"/>
                      <w:lang w:eastAsia="pl-PL"/>
                    </w:rPr>
                  </w:pPr>
                  <w:r w:rsidRPr="008A3FA9">
                    <w:rPr>
                      <w:rFonts w:ascii="Times New Roman" w:hAnsi="Times New Roman" w:cs="Times New Roman"/>
                      <w:color w:val="000000"/>
                      <w:sz w:val="20"/>
                      <w:szCs w:val="20"/>
                    </w:rPr>
                    <w:t>15%</w:t>
                  </w:r>
                </w:p>
              </w:tc>
              <w:tc>
                <w:tcPr>
                  <w:tcW w:w="546" w:type="dxa"/>
                  <w:tcBorders>
                    <w:top w:val="nil"/>
                    <w:left w:val="nil"/>
                    <w:bottom w:val="single" w:sz="4" w:space="0" w:color="auto"/>
                    <w:right w:val="single" w:sz="4" w:space="0" w:color="auto"/>
                  </w:tcBorders>
                  <w:shd w:val="clear" w:color="auto" w:fill="auto"/>
                  <w:noWrap/>
                  <w:vAlign w:val="bottom"/>
                  <w:hideMark/>
                </w:tcPr>
                <w:p w14:paraId="7952CE28" w14:textId="77777777" w:rsidR="00E9511A" w:rsidRPr="008A3FA9" w:rsidRDefault="00E9511A" w:rsidP="00067989">
                  <w:pPr>
                    <w:spacing w:before="60" w:after="60"/>
                    <w:jc w:val="center"/>
                    <w:rPr>
                      <w:rFonts w:ascii="Times New Roman" w:eastAsia="Times New Roman" w:hAnsi="Times New Roman" w:cs="Times New Roman"/>
                      <w:color w:val="000000"/>
                      <w:sz w:val="20"/>
                      <w:szCs w:val="20"/>
                      <w:lang w:eastAsia="pl-PL"/>
                    </w:rPr>
                  </w:pPr>
                  <w:r w:rsidRPr="008A3FA9">
                    <w:rPr>
                      <w:rFonts w:ascii="Times New Roman" w:hAnsi="Times New Roman" w:cs="Times New Roman"/>
                      <w:color w:val="000000"/>
                      <w:sz w:val="20"/>
                      <w:szCs w:val="20"/>
                    </w:rPr>
                    <w:t>25%</w:t>
                  </w:r>
                </w:p>
              </w:tc>
              <w:tc>
                <w:tcPr>
                  <w:tcW w:w="546" w:type="dxa"/>
                  <w:tcBorders>
                    <w:top w:val="nil"/>
                    <w:left w:val="nil"/>
                    <w:bottom w:val="single" w:sz="4" w:space="0" w:color="auto"/>
                    <w:right w:val="single" w:sz="4" w:space="0" w:color="auto"/>
                  </w:tcBorders>
                  <w:shd w:val="clear" w:color="auto" w:fill="auto"/>
                  <w:noWrap/>
                  <w:vAlign w:val="bottom"/>
                  <w:hideMark/>
                </w:tcPr>
                <w:p w14:paraId="78BBD3D5" w14:textId="77777777" w:rsidR="00E9511A" w:rsidRPr="008A3FA9" w:rsidRDefault="00E9511A" w:rsidP="00067989">
                  <w:pPr>
                    <w:spacing w:before="60" w:after="60"/>
                    <w:jc w:val="center"/>
                    <w:rPr>
                      <w:rFonts w:ascii="Times New Roman" w:eastAsia="Times New Roman" w:hAnsi="Times New Roman" w:cs="Times New Roman"/>
                      <w:color w:val="000000"/>
                      <w:sz w:val="20"/>
                      <w:szCs w:val="20"/>
                      <w:lang w:eastAsia="pl-PL"/>
                    </w:rPr>
                  </w:pPr>
                  <w:r w:rsidRPr="008A3FA9">
                    <w:rPr>
                      <w:rFonts w:ascii="Times New Roman" w:hAnsi="Times New Roman" w:cs="Times New Roman"/>
                      <w:color w:val="000000"/>
                      <w:sz w:val="20"/>
                      <w:szCs w:val="20"/>
                    </w:rPr>
                    <w:t>33%</w:t>
                  </w:r>
                </w:p>
              </w:tc>
              <w:tc>
                <w:tcPr>
                  <w:tcW w:w="546" w:type="dxa"/>
                  <w:tcBorders>
                    <w:top w:val="nil"/>
                    <w:left w:val="nil"/>
                    <w:bottom w:val="single" w:sz="4" w:space="0" w:color="auto"/>
                    <w:right w:val="single" w:sz="4" w:space="0" w:color="auto"/>
                  </w:tcBorders>
                  <w:shd w:val="clear" w:color="auto" w:fill="auto"/>
                  <w:noWrap/>
                  <w:vAlign w:val="bottom"/>
                  <w:hideMark/>
                </w:tcPr>
                <w:p w14:paraId="58BA8398" w14:textId="77777777" w:rsidR="00E9511A" w:rsidRPr="008A3FA9" w:rsidRDefault="00E9511A" w:rsidP="00284114">
                  <w:pPr>
                    <w:spacing w:before="60" w:after="60"/>
                    <w:jc w:val="center"/>
                    <w:rPr>
                      <w:rFonts w:ascii="Times New Roman" w:eastAsia="Times New Roman" w:hAnsi="Times New Roman" w:cs="Times New Roman"/>
                      <w:color w:val="000000"/>
                      <w:sz w:val="20"/>
                      <w:szCs w:val="20"/>
                      <w:lang w:eastAsia="pl-PL"/>
                    </w:rPr>
                  </w:pPr>
                  <w:r w:rsidRPr="008A3FA9">
                    <w:rPr>
                      <w:rFonts w:ascii="Times New Roman" w:hAnsi="Times New Roman" w:cs="Times New Roman"/>
                      <w:color w:val="000000"/>
                      <w:sz w:val="20"/>
                      <w:szCs w:val="20"/>
                    </w:rPr>
                    <w:t>39%</w:t>
                  </w:r>
                </w:p>
              </w:tc>
              <w:tc>
                <w:tcPr>
                  <w:tcW w:w="546" w:type="dxa"/>
                  <w:tcBorders>
                    <w:top w:val="nil"/>
                    <w:left w:val="nil"/>
                    <w:bottom w:val="single" w:sz="4" w:space="0" w:color="auto"/>
                    <w:right w:val="single" w:sz="4" w:space="0" w:color="auto"/>
                  </w:tcBorders>
                  <w:shd w:val="clear" w:color="auto" w:fill="auto"/>
                  <w:noWrap/>
                  <w:vAlign w:val="bottom"/>
                  <w:hideMark/>
                </w:tcPr>
                <w:p w14:paraId="065749BF" w14:textId="77777777" w:rsidR="00E9511A" w:rsidRPr="008A3FA9" w:rsidRDefault="00E9511A" w:rsidP="00284114">
                  <w:pPr>
                    <w:spacing w:before="60" w:after="60"/>
                    <w:jc w:val="center"/>
                    <w:rPr>
                      <w:rFonts w:ascii="Times New Roman" w:eastAsia="Times New Roman" w:hAnsi="Times New Roman" w:cs="Times New Roman"/>
                      <w:color w:val="000000"/>
                      <w:sz w:val="20"/>
                      <w:szCs w:val="20"/>
                      <w:lang w:eastAsia="pl-PL"/>
                    </w:rPr>
                  </w:pPr>
                  <w:r w:rsidRPr="008A3FA9">
                    <w:rPr>
                      <w:rFonts w:ascii="Times New Roman" w:hAnsi="Times New Roman" w:cs="Times New Roman"/>
                      <w:color w:val="000000"/>
                      <w:sz w:val="20"/>
                      <w:szCs w:val="20"/>
                    </w:rPr>
                    <w:t>46%</w:t>
                  </w:r>
                </w:p>
              </w:tc>
              <w:tc>
                <w:tcPr>
                  <w:tcW w:w="546" w:type="dxa"/>
                  <w:tcBorders>
                    <w:top w:val="nil"/>
                    <w:left w:val="nil"/>
                    <w:bottom w:val="single" w:sz="4" w:space="0" w:color="auto"/>
                    <w:right w:val="single" w:sz="4" w:space="0" w:color="auto"/>
                  </w:tcBorders>
                  <w:shd w:val="clear" w:color="auto" w:fill="auto"/>
                  <w:noWrap/>
                  <w:vAlign w:val="bottom"/>
                  <w:hideMark/>
                </w:tcPr>
                <w:p w14:paraId="5DB4CA99" w14:textId="77777777" w:rsidR="00E9511A" w:rsidRPr="008A3FA9" w:rsidRDefault="00E9511A" w:rsidP="00284114">
                  <w:pPr>
                    <w:spacing w:before="60" w:after="60"/>
                    <w:jc w:val="center"/>
                    <w:rPr>
                      <w:rFonts w:ascii="Times New Roman" w:eastAsia="Times New Roman" w:hAnsi="Times New Roman" w:cs="Times New Roman"/>
                      <w:color w:val="000000"/>
                      <w:sz w:val="20"/>
                      <w:szCs w:val="20"/>
                      <w:lang w:eastAsia="pl-PL"/>
                    </w:rPr>
                  </w:pPr>
                  <w:r w:rsidRPr="008A3FA9">
                    <w:rPr>
                      <w:rFonts w:ascii="Times New Roman" w:hAnsi="Times New Roman" w:cs="Times New Roman"/>
                      <w:color w:val="000000"/>
                      <w:sz w:val="20"/>
                      <w:szCs w:val="20"/>
                    </w:rPr>
                    <w:t>47%</w:t>
                  </w:r>
                </w:p>
              </w:tc>
              <w:tc>
                <w:tcPr>
                  <w:tcW w:w="546" w:type="dxa"/>
                  <w:tcBorders>
                    <w:top w:val="nil"/>
                    <w:left w:val="nil"/>
                    <w:bottom w:val="single" w:sz="4" w:space="0" w:color="auto"/>
                    <w:right w:val="single" w:sz="4" w:space="0" w:color="auto"/>
                  </w:tcBorders>
                  <w:shd w:val="clear" w:color="auto" w:fill="auto"/>
                  <w:noWrap/>
                  <w:vAlign w:val="bottom"/>
                  <w:hideMark/>
                </w:tcPr>
                <w:p w14:paraId="7BCD41D8" w14:textId="77777777" w:rsidR="00E9511A" w:rsidRPr="008A3FA9" w:rsidRDefault="00E9511A" w:rsidP="00284114">
                  <w:pPr>
                    <w:spacing w:before="60" w:after="60"/>
                    <w:jc w:val="center"/>
                    <w:rPr>
                      <w:rFonts w:ascii="Times New Roman" w:eastAsia="Times New Roman" w:hAnsi="Times New Roman" w:cs="Times New Roman"/>
                      <w:color w:val="000000"/>
                      <w:sz w:val="20"/>
                      <w:szCs w:val="20"/>
                      <w:lang w:eastAsia="pl-PL"/>
                    </w:rPr>
                  </w:pPr>
                  <w:r w:rsidRPr="008A3FA9">
                    <w:rPr>
                      <w:rFonts w:ascii="Times New Roman" w:hAnsi="Times New Roman" w:cs="Times New Roman"/>
                      <w:color w:val="000000"/>
                      <w:sz w:val="20"/>
                      <w:szCs w:val="20"/>
                    </w:rPr>
                    <w:t>87%</w:t>
                  </w:r>
                </w:p>
              </w:tc>
              <w:tc>
                <w:tcPr>
                  <w:tcW w:w="546" w:type="dxa"/>
                  <w:tcBorders>
                    <w:top w:val="nil"/>
                    <w:left w:val="nil"/>
                    <w:bottom w:val="single" w:sz="4" w:space="0" w:color="auto"/>
                    <w:right w:val="single" w:sz="4" w:space="0" w:color="auto"/>
                  </w:tcBorders>
                  <w:shd w:val="clear" w:color="auto" w:fill="auto"/>
                  <w:noWrap/>
                  <w:vAlign w:val="bottom"/>
                  <w:hideMark/>
                </w:tcPr>
                <w:p w14:paraId="0C63FBC0" w14:textId="77777777" w:rsidR="00E9511A" w:rsidRPr="008A3FA9" w:rsidRDefault="00E9511A" w:rsidP="00284114">
                  <w:pPr>
                    <w:spacing w:before="60" w:after="60"/>
                    <w:jc w:val="center"/>
                    <w:rPr>
                      <w:rFonts w:ascii="Times New Roman" w:eastAsia="Times New Roman" w:hAnsi="Times New Roman" w:cs="Times New Roman"/>
                      <w:color w:val="000000"/>
                      <w:sz w:val="20"/>
                      <w:szCs w:val="20"/>
                      <w:lang w:eastAsia="pl-PL"/>
                    </w:rPr>
                  </w:pPr>
                  <w:r w:rsidRPr="008A3FA9">
                    <w:rPr>
                      <w:rFonts w:ascii="Times New Roman" w:hAnsi="Times New Roman" w:cs="Times New Roman"/>
                      <w:color w:val="000000"/>
                      <w:sz w:val="20"/>
                      <w:szCs w:val="20"/>
                    </w:rPr>
                    <w:t>97%</w:t>
                  </w:r>
                </w:p>
              </w:tc>
            </w:tr>
          </w:tbl>
          <w:p w14:paraId="70BD8CCF" w14:textId="07E4A404" w:rsidR="00DB0B02" w:rsidRPr="000E2DF4" w:rsidRDefault="00DB0B02" w:rsidP="00067989">
            <w:p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Analizując skutki modelu finansowego należy zau</w:t>
            </w:r>
            <w:r w:rsidR="00713D4E" w:rsidRPr="00067989">
              <w:rPr>
                <w:rFonts w:ascii="Times New Roman" w:hAnsi="Times New Roman" w:cs="Times New Roman"/>
                <w:color w:val="000000" w:themeColor="text1"/>
              </w:rPr>
              <w:t xml:space="preserve">ważyć, że obecnie podmioty </w:t>
            </w:r>
            <w:r w:rsidRPr="00067989">
              <w:rPr>
                <w:rFonts w:ascii="Times New Roman" w:hAnsi="Times New Roman" w:cs="Times New Roman"/>
                <w:color w:val="000000" w:themeColor="text1"/>
              </w:rPr>
              <w:t xml:space="preserve">publiczne ponoszą wydatki na realizacje usług pocztowych. </w:t>
            </w:r>
            <w:r w:rsidR="00713D4E" w:rsidRPr="00067989">
              <w:rPr>
                <w:rFonts w:ascii="Times New Roman" w:hAnsi="Times New Roman" w:cs="Times New Roman"/>
                <w:color w:val="000000" w:themeColor="text1"/>
              </w:rPr>
              <w:t>Z drugiej strony należy zauważyć tendencję do przenoszenia form komunikacji na linii administracja – obywatel do systemów dziedzinowych urzędów, co wpływa negatywnie na sytuację Poczty Polskiej</w:t>
            </w:r>
            <w:r w:rsidR="004F7F2C">
              <w:rPr>
                <w:rFonts w:ascii="Times New Roman" w:hAnsi="Times New Roman" w:cs="Times New Roman"/>
                <w:color w:val="000000" w:themeColor="text1"/>
              </w:rPr>
              <w:t>,</w:t>
            </w:r>
            <w:r w:rsidR="00713D4E" w:rsidRPr="00067989">
              <w:rPr>
                <w:rFonts w:ascii="Times New Roman" w:hAnsi="Times New Roman" w:cs="Times New Roman"/>
                <w:color w:val="000000" w:themeColor="text1"/>
              </w:rPr>
              <w:t xml:space="preserve"> pozbawiając ją wpływów z tradycyjnego przesyłu. </w:t>
            </w:r>
            <w:r w:rsidR="00703A54" w:rsidRPr="00067989">
              <w:rPr>
                <w:rFonts w:ascii="Times New Roman" w:hAnsi="Times New Roman" w:cs="Times New Roman"/>
                <w:color w:val="000000" w:themeColor="text1"/>
              </w:rPr>
              <w:t>O</w:t>
            </w:r>
            <w:r w:rsidRPr="00067989">
              <w:rPr>
                <w:rFonts w:ascii="Times New Roman" w:hAnsi="Times New Roman" w:cs="Times New Roman"/>
                <w:color w:val="000000" w:themeColor="text1"/>
              </w:rPr>
              <w:t>becnie realizowana usługa tradycyjna będzie zastępowana korespondencj</w:t>
            </w:r>
            <w:r w:rsidR="00703A54" w:rsidRPr="00067989">
              <w:rPr>
                <w:rFonts w:ascii="Times New Roman" w:hAnsi="Times New Roman" w:cs="Times New Roman"/>
                <w:color w:val="000000" w:themeColor="text1"/>
              </w:rPr>
              <w:t>ą</w:t>
            </w:r>
            <w:r w:rsidRPr="00067989">
              <w:rPr>
                <w:rFonts w:ascii="Times New Roman" w:hAnsi="Times New Roman" w:cs="Times New Roman"/>
                <w:color w:val="000000" w:themeColor="text1"/>
              </w:rPr>
              <w:t xml:space="preserve"> realizowan</w:t>
            </w:r>
            <w:r w:rsidR="00713D4E" w:rsidRPr="00067989">
              <w:rPr>
                <w:rFonts w:ascii="Times New Roman" w:hAnsi="Times New Roman" w:cs="Times New Roman"/>
                <w:color w:val="000000" w:themeColor="text1"/>
              </w:rPr>
              <w:t>ą</w:t>
            </w:r>
            <w:r w:rsidRPr="00067989">
              <w:rPr>
                <w:rFonts w:ascii="Times New Roman" w:hAnsi="Times New Roman" w:cs="Times New Roman"/>
                <w:color w:val="000000" w:themeColor="text1"/>
              </w:rPr>
              <w:t xml:space="preserve"> przy użyciu publicznej usługi rejestrowanego doręczenia oraz publicznej usługi hybrydowej, co w skali 10 lat przekłada się na oszczędności </w:t>
            </w:r>
            <w:r w:rsidR="00AC2098" w:rsidRPr="00284114">
              <w:rPr>
                <w:rFonts w:ascii="Times New Roman" w:hAnsi="Times New Roman" w:cs="Times New Roman"/>
                <w:color w:val="000000" w:themeColor="text1"/>
              </w:rPr>
              <w:t>S</w:t>
            </w:r>
            <w:r w:rsidRPr="00284114">
              <w:rPr>
                <w:rFonts w:ascii="Times New Roman" w:hAnsi="Times New Roman" w:cs="Times New Roman"/>
                <w:color w:val="000000" w:themeColor="text1"/>
              </w:rPr>
              <w:t xml:space="preserve">karbu </w:t>
            </w:r>
            <w:r w:rsidR="00AC2098" w:rsidRPr="00284114">
              <w:rPr>
                <w:rFonts w:ascii="Times New Roman" w:hAnsi="Times New Roman" w:cs="Times New Roman"/>
                <w:color w:val="000000" w:themeColor="text1"/>
              </w:rPr>
              <w:t xml:space="preserve">Państwa, </w:t>
            </w:r>
            <w:r w:rsidR="00703A54" w:rsidRPr="00284114">
              <w:rPr>
                <w:rFonts w:ascii="Times New Roman" w:hAnsi="Times New Roman" w:cs="Times New Roman"/>
                <w:color w:val="000000" w:themeColor="text1"/>
              </w:rPr>
              <w:t>a dodatkowo przyczynia się do cyfryzacji operatora wyznaczonego.</w:t>
            </w:r>
            <w:r w:rsidRPr="00284114">
              <w:rPr>
                <w:rFonts w:ascii="Times New Roman" w:hAnsi="Times New Roman" w:cs="Times New Roman"/>
                <w:color w:val="000000" w:themeColor="text1"/>
              </w:rPr>
              <w:t xml:space="preserve"> Model oszczędności z tego tytułu został przedstawiony w pkt 7.</w:t>
            </w:r>
          </w:p>
          <w:p w14:paraId="32CFD650" w14:textId="77777777" w:rsidR="00DB0B02" w:rsidRPr="000E2DF4" w:rsidRDefault="00DB0B02" w:rsidP="008A3FA9">
            <w:pPr>
              <w:pStyle w:val="Akapitzlist"/>
              <w:numPr>
                <w:ilvl w:val="0"/>
                <w:numId w:val="4"/>
              </w:numPr>
              <w:spacing w:before="60" w:after="60"/>
              <w:jc w:val="both"/>
              <w:rPr>
                <w:rFonts w:ascii="Times New Roman" w:hAnsi="Times New Roman" w:cs="Times New Roman"/>
                <w:color w:val="000000" w:themeColor="text1"/>
                <w:u w:val="single"/>
              </w:rPr>
            </w:pPr>
            <w:r w:rsidRPr="000E2DF4">
              <w:rPr>
                <w:rFonts w:ascii="Times New Roman" w:hAnsi="Times New Roman" w:cs="Times New Roman"/>
                <w:color w:val="000000" w:themeColor="text1"/>
                <w:u w:val="single"/>
              </w:rPr>
              <w:lastRenderedPageBreak/>
              <w:t xml:space="preserve">Dotacja </w:t>
            </w:r>
            <w:r w:rsidR="005B1A4E" w:rsidRPr="000E2DF4">
              <w:rPr>
                <w:rFonts w:ascii="Times New Roman" w:hAnsi="Times New Roman" w:cs="Times New Roman"/>
                <w:color w:val="000000" w:themeColor="text1"/>
                <w:u w:val="single"/>
              </w:rPr>
              <w:t>przedmiotow</w:t>
            </w:r>
            <w:r w:rsidRPr="000E2DF4">
              <w:rPr>
                <w:rFonts w:ascii="Times New Roman" w:hAnsi="Times New Roman" w:cs="Times New Roman"/>
                <w:color w:val="000000" w:themeColor="text1"/>
                <w:u w:val="single"/>
              </w:rPr>
              <w:t>a dla operatora wyznaczonego</w:t>
            </w:r>
            <w:r w:rsidR="00AC2098" w:rsidRPr="000E2DF4">
              <w:rPr>
                <w:rFonts w:ascii="Times New Roman" w:hAnsi="Times New Roman" w:cs="Times New Roman"/>
                <w:color w:val="000000" w:themeColor="text1"/>
                <w:u w:val="single"/>
              </w:rPr>
              <w:t>.</w:t>
            </w:r>
          </w:p>
          <w:p w14:paraId="6A5D914D" w14:textId="77777777" w:rsidR="00EC55C6" w:rsidRPr="00067989" w:rsidRDefault="00DB0B02" w:rsidP="008A3FA9">
            <w:pPr>
              <w:spacing w:before="60" w:after="60"/>
              <w:jc w:val="both"/>
              <w:rPr>
                <w:rFonts w:ascii="Times New Roman" w:hAnsi="Times New Roman" w:cs="Times New Roman"/>
                <w:color w:val="000000" w:themeColor="text1"/>
              </w:rPr>
            </w:pPr>
            <w:r w:rsidRPr="000E2DF4">
              <w:rPr>
                <w:rFonts w:ascii="Times New Roman" w:hAnsi="Times New Roman" w:cs="Times New Roman"/>
                <w:color w:val="000000" w:themeColor="text1"/>
              </w:rPr>
              <w:t xml:space="preserve">Operator wyznaczony uzyska dotacje </w:t>
            </w:r>
            <w:r w:rsidR="008472EC" w:rsidRPr="000E2DF4">
              <w:rPr>
                <w:rFonts w:ascii="Times New Roman" w:hAnsi="Times New Roman" w:cs="Times New Roman"/>
                <w:color w:val="000000" w:themeColor="text1"/>
              </w:rPr>
              <w:t xml:space="preserve">przedmiotową </w:t>
            </w:r>
            <w:r w:rsidRPr="000E2DF4">
              <w:rPr>
                <w:rFonts w:ascii="Times New Roman" w:hAnsi="Times New Roman" w:cs="Times New Roman"/>
                <w:color w:val="000000" w:themeColor="text1"/>
              </w:rPr>
              <w:t xml:space="preserve">za </w:t>
            </w:r>
            <w:r w:rsidR="008472EC" w:rsidRPr="000E2DF4">
              <w:rPr>
                <w:rFonts w:ascii="Times New Roman" w:hAnsi="Times New Roman" w:cs="Times New Roman"/>
                <w:color w:val="000000" w:themeColor="text1"/>
              </w:rPr>
              <w:t>dostarczenie korespondencji</w:t>
            </w:r>
            <w:r w:rsidRPr="000E2DF4">
              <w:rPr>
                <w:rFonts w:ascii="Times New Roman" w:hAnsi="Times New Roman" w:cs="Times New Roman"/>
                <w:color w:val="000000" w:themeColor="text1"/>
              </w:rPr>
              <w:t xml:space="preserve"> od podmiotów niepublicznych do podmiotów publicznych z wykorzystaniem </w:t>
            </w:r>
            <w:r w:rsidR="008472EC" w:rsidRPr="000E2DF4">
              <w:rPr>
                <w:rFonts w:ascii="Times New Roman" w:hAnsi="Times New Roman" w:cs="Times New Roman"/>
                <w:color w:val="000000" w:themeColor="text1"/>
              </w:rPr>
              <w:t>publicznej usługi rejestrowanego doręczenia elektronicznego</w:t>
            </w:r>
            <w:r w:rsidRPr="00020AEF">
              <w:rPr>
                <w:rFonts w:ascii="Times New Roman" w:hAnsi="Times New Roman" w:cs="Times New Roman"/>
                <w:color w:val="000000" w:themeColor="text1"/>
              </w:rPr>
              <w:t>. Rozliczenie dotacji będzie zrealizowane w oparciu o rzeczywisty transfer i rzeczywisty jednostkowy koszt transferu za realizację e-Doręczenia od podmiotu niepubliczn</w:t>
            </w:r>
            <w:r w:rsidRPr="00E42D6D">
              <w:rPr>
                <w:rFonts w:ascii="Times New Roman" w:hAnsi="Times New Roman" w:cs="Times New Roman"/>
                <w:color w:val="000000" w:themeColor="text1"/>
              </w:rPr>
              <w:t xml:space="preserve">ego do podmiotu publicznego </w:t>
            </w:r>
            <w:r w:rsidR="008472EC" w:rsidRPr="00E42D6D">
              <w:rPr>
                <w:rFonts w:ascii="Times New Roman" w:hAnsi="Times New Roman" w:cs="Times New Roman"/>
                <w:color w:val="000000" w:themeColor="text1"/>
              </w:rPr>
              <w:t>z uwzględnieniem rozsądnego zysku operatora wyznaczonego</w:t>
            </w:r>
            <w:r w:rsidRPr="00080920">
              <w:rPr>
                <w:rFonts w:ascii="Times New Roman" w:hAnsi="Times New Roman" w:cs="Times New Roman"/>
                <w:color w:val="000000" w:themeColor="text1"/>
              </w:rPr>
              <w:t xml:space="preserve">. Jednostkowa stawka dotacji nie może być wyższa niż poniesione przez operatora </w:t>
            </w:r>
            <w:r w:rsidR="005B1A4E" w:rsidRPr="00067989">
              <w:rPr>
                <w:rFonts w:ascii="Times New Roman" w:hAnsi="Times New Roman" w:cs="Times New Roman"/>
                <w:color w:val="000000" w:themeColor="text1"/>
              </w:rPr>
              <w:t xml:space="preserve">rzeczywiste </w:t>
            </w:r>
            <w:r w:rsidRPr="00067989">
              <w:rPr>
                <w:rFonts w:ascii="Times New Roman" w:hAnsi="Times New Roman" w:cs="Times New Roman"/>
                <w:color w:val="000000" w:themeColor="text1"/>
              </w:rPr>
              <w:t xml:space="preserve">koszty świadczenia publicznej usługi rejestrowanego doręczenia elektronicznego </w:t>
            </w:r>
            <w:r w:rsidR="008472EC" w:rsidRPr="00067989">
              <w:rPr>
                <w:rFonts w:ascii="Times New Roman" w:hAnsi="Times New Roman" w:cs="Times New Roman"/>
                <w:color w:val="000000" w:themeColor="text1"/>
              </w:rPr>
              <w:t>oraz rozsądnego zysku operatora wyznaczonego</w:t>
            </w:r>
            <w:r w:rsidRPr="00067989">
              <w:rPr>
                <w:rFonts w:ascii="Times New Roman" w:hAnsi="Times New Roman" w:cs="Times New Roman"/>
                <w:color w:val="000000" w:themeColor="text1"/>
              </w:rPr>
              <w:t xml:space="preserve">. </w:t>
            </w:r>
          </w:p>
          <w:p w14:paraId="229C39CD" w14:textId="4B4A3950" w:rsidR="00DB0B02" w:rsidRPr="00067989" w:rsidRDefault="00DB0B02" w:rsidP="008A3FA9">
            <w:p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Dotacji udzielać będzie minister właściwy d</w:t>
            </w:r>
            <w:r w:rsidR="004B2BEF" w:rsidRPr="00067989">
              <w:rPr>
                <w:rFonts w:ascii="Times New Roman" w:hAnsi="Times New Roman" w:cs="Times New Roman"/>
                <w:color w:val="000000" w:themeColor="text1"/>
              </w:rPr>
              <w:t>o spraw</w:t>
            </w:r>
            <w:r w:rsidRPr="00067989">
              <w:rPr>
                <w:rFonts w:ascii="Times New Roman" w:hAnsi="Times New Roman" w:cs="Times New Roman"/>
                <w:color w:val="000000" w:themeColor="text1"/>
              </w:rPr>
              <w:t xml:space="preserve"> łączności. Szacuje się na podstawie planowanego wolumenu transferów danych zrealizowanych w wyniku dostarczenia korespondencji elektronicznej od podmiotów niepublicz</w:t>
            </w:r>
            <w:r w:rsidR="00EC55C6" w:rsidRPr="00067989">
              <w:rPr>
                <w:rFonts w:ascii="Times New Roman" w:hAnsi="Times New Roman" w:cs="Times New Roman"/>
                <w:color w:val="000000" w:themeColor="text1"/>
              </w:rPr>
              <w:t>nych do podmiotów publicznych z</w:t>
            </w:r>
            <w:r w:rsidR="001B514F">
              <w:rPr>
                <w:rFonts w:ascii="Times New Roman" w:hAnsi="Times New Roman" w:cs="Times New Roman"/>
                <w:color w:val="000000" w:themeColor="text1"/>
              </w:rPr>
              <w:t> </w:t>
            </w:r>
            <w:r w:rsidRPr="00067989">
              <w:rPr>
                <w:rFonts w:ascii="Times New Roman" w:hAnsi="Times New Roman" w:cs="Times New Roman"/>
                <w:color w:val="000000" w:themeColor="text1"/>
              </w:rPr>
              <w:t>wykorzystaniem e-Doręczenia oraz kosztów jednostkowych tego transferu (założony koszt 2 zł bez VAT) następujące kwoty dotacji przypadające na poszczególne lata począwszy od 2021 r</w:t>
            </w:r>
            <w:r w:rsidR="004B2BEF" w:rsidRPr="00067989">
              <w:rPr>
                <w:rFonts w:ascii="Times New Roman" w:hAnsi="Times New Roman" w:cs="Times New Roman"/>
                <w:color w:val="000000" w:themeColor="text1"/>
              </w:rPr>
              <w:t>.</w:t>
            </w:r>
            <w:r w:rsidRPr="00067989">
              <w:rPr>
                <w:rFonts w:ascii="Times New Roman" w:hAnsi="Times New Roman" w:cs="Times New Roman"/>
                <w:color w:val="000000" w:themeColor="text1"/>
              </w:rPr>
              <w:t>:</w:t>
            </w:r>
          </w:p>
          <w:tbl>
            <w:tblPr>
              <w:tblW w:w="8250" w:type="dxa"/>
              <w:tblLayout w:type="fixed"/>
              <w:tblCellMar>
                <w:left w:w="70" w:type="dxa"/>
                <w:right w:w="70" w:type="dxa"/>
              </w:tblCellMar>
              <w:tblLook w:val="04A0" w:firstRow="1" w:lastRow="0" w:firstColumn="1" w:lastColumn="0" w:noHBand="0" w:noVBand="1"/>
            </w:tblPr>
            <w:tblGrid>
              <w:gridCol w:w="1163"/>
              <w:gridCol w:w="567"/>
              <w:gridCol w:w="597"/>
              <w:gridCol w:w="597"/>
              <w:gridCol w:w="597"/>
              <w:gridCol w:w="698"/>
              <w:gridCol w:w="698"/>
              <w:gridCol w:w="698"/>
              <w:gridCol w:w="651"/>
              <w:gridCol w:w="698"/>
              <w:gridCol w:w="531"/>
              <w:gridCol w:w="755"/>
            </w:tblGrid>
            <w:tr w:rsidR="00DB0B02" w:rsidRPr="00436B75" w14:paraId="304CD4FF" w14:textId="77777777" w:rsidTr="00E9511A">
              <w:trPr>
                <w:trHeight w:val="290"/>
              </w:trPr>
              <w:tc>
                <w:tcPr>
                  <w:tcW w:w="11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2267E" w14:textId="77777777" w:rsidR="00DB0B02" w:rsidRPr="008A3FA9" w:rsidRDefault="00AB04E9" w:rsidP="00284114">
                  <w:pPr>
                    <w:spacing w:before="60" w:after="60"/>
                    <w:ind w:left="71" w:hanging="71"/>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6B9260" w14:textId="77777777" w:rsidR="00DB0B02" w:rsidRPr="008A3FA9" w:rsidRDefault="00DB0B02" w:rsidP="00284114">
                  <w:pPr>
                    <w:spacing w:before="60" w:after="60"/>
                    <w:ind w:left="71" w:hanging="71"/>
                    <w:jc w:val="right"/>
                    <w:rPr>
                      <w:rFonts w:ascii="Times New Roman" w:eastAsia="Times New Roman" w:hAnsi="Times New Roman" w:cs="Times New Roman"/>
                      <w:color w:val="000000"/>
                      <w:sz w:val="18"/>
                      <w:szCs w:val="18"/>
                      <w:lang w:eastAsia="pl-PL"/>
                    </w:rPr>
                  </w:pPr>
                  <w:r w:rsidRPr="008A3FA9">
                    <w:rPr>
                      <w:rFonts w:ascii="Times New Roman" w:eastAsia="Times New Roman" w:hAnsi="Times New Roman" w:cs="Times New Roman"/>
                      <w:color w:val="000000"/>
                      <w:sz w:val="18"/>
                      <w:szCs w:val="18"/>
                      <w:lang w:eastAsia="pl-PL"/>
                    </w:rPr>
                    <w:t>2021</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17DB6E94" w14:textId="77777777" w:rsidR="00DB0B02" w:rsidRPr="008A3FA9" w:rsidRDefault="00DB0B02" w:rsidP="00284114">
                  <w:pPr>
                    <w:spacing w:before="60" w:after="60"/>
                    <w:ind w:left="71" w:hanging="71"/>
                    <w:jc w:val="right"/>
                    <w:rPr>
                      <w:rFonts w:ascii="Times New Roman" w:eastAsia="Times New Roman" w:hAnsi="Times New Roman" w:cs="Times New Roman"/>
                      <w:color w:val="000000"/>
                      <w:sz w:val="18"/>
                      <w:szCs w:val="18"/>
                      <w:lang w:eastAsia="pl-PL"/>
                    </w:rPr>
                  </w:pPr>
                  <w:r w:rsidRPr="008A3FA9">
                    <w:rPr>
                      <w:rFonts w:ascii="Times New Roman" w:eastAsia="Times New Roman" w:hAnsi="Times New Roman" w:cs="Times New Roman"/>
                      <w:color w:val="000000"/>
                      <w:sz w:val="18"/>
                      <w:szCs w:val="18"/>
                      <w:lang w:eastAsia="pl-PL"/>
                    </w:rPr>
                    <w:t>2022</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582DE76D" w14:textId="77777777" w:rsidR="00DB0B02" w:rsidRPr="008A3FA9" w:rsidRDefault="00DB0B02" w:rsidP="00284114">
                  <w:pPr>
                    <w:spacing w:before="60" w:after="60"/>
                    <w:ind w:left="71" w:hanging="71"/>
                    <w:jc w:val="right"/>
                    <w:rPr>
                      <w:rFonts w:ascii="Times New Roman" w:eastAsia="Times New Roman" w:hAnsi="Times New Roman" w:cs="Times New Roman"/>
                      <w:color w:val="000000"/>
                      <w:sz w:val="18"/>
                      <w:szCs w:val="18"/>
                      <w:lang w:eastAsia="pl-PL"/>
                    </w:rPr>
                  </w:pPr>
                  <w:r w:rsidRPr="008A3FA9">
                    <w:rPr>
                      <w:rFonts w:ascii="Times New Roman" w:eastAsia="Times New Roman" w:hAnsi="Times New Roman" w:cs="Times New Roman"/>
                      <w:color w:val="000000"/>
                      <w:sz w:val="18"/>
                      <w:szCs w:val="18"/>
                      <w:lang w:eastAsia="pl-PL"/>
                    </w:rPr>
                    <w:t>2023</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74141B42" w14:textId="77777777" w:rsidR="00DB0B02" w:rsidRPr="008A3FA9" w:rsidRDefault="00DB0B02" w:rsidP="000E2DF4">
                  <w:pPr>
                    <w:spacing w:before="60" w:after="60"/>
                    <w:ind w:left="71" w:hanging="71"/>
                    <w:jc w:val="right"/>
                    <w:rPr>
                      <w:rFonts w:ascii="Times New Roman" w:eastAsia="Times New Roman" w:hAnsi="Times New Roman" w:cs="Times New Roman"/>
                      <w:color w:val="000000"/>
                      <w:sz w:val="18"/>
                      <w:szCs w:val="18"/>
                      <w:lang w:eastAsia="pl-PL"/>
                    </w:rPr>
                  </w:pPr>
                  <w:r w:rsidRPr="008A3FA9">
                    <w:rPr>
                      <w:rFonts w:ascii="Times New Roman" w:eastAsia="Times New Roman" w:hAnsi="Times New Roman" w:cs="Times New Roman"/>
                      <w:color w:val="000000"/>
                      <w:sz w:val="18"/>
                      <w:szCs w:val="18"/>
                      <w:lang w:eastAsia="pl-PL"/>
                    </w:rPr>
                    <w:t>2024</w:t>
                  </w:r>
                </w:p>
              </w:tc>
              <w:tc>
                <w:tcPr>
                  <w:tcW w:w="698" w:type="dxa"/>
                  <w:tcBorders>
                    <w:top w:val="single" w:sz="4" w:space="0" w:color="auto"/>
                    <w:left w:val="nil"/>
                    <w:bottom w:val="single" w:sz="4" w:space="0" w:color="auto"/>
                    <w:right w:val="single" w:sz="4" w:space="0" w:color="auto"/>
                  </w:tcBorders>
                  <w:shd w:val="clear" w:color="auto" w:fill="auto"/>
                  <w:noWrap/>
                  <w:vAlign w:val="bottom"/>
                  <w:hideMark/>
                </w:tcPr>
                <w:p w14:paraId="4266AAF0" w14:textId="77777777" w:rsidR="00DB0B02" w:rsidRPr="008A3FA9" w:rsidRDefault="00DB0B02" w:rsidP="000E2DF4">
                  <w:pPr>
                    <w:spacing w:before="60" w:after="60"/>
                    <w:ind w:left="71" w:hanging="71"/>
                    <w:jc w:val="right"/>
                    <w:rPr>
                      <w:rFonts w:ascii="Times New Roman" w:eastAsia="Times New Roman" w:hAnsi="Times New Roman" w:cs="Times New Roman"/>
                      <w:color w:val="000000"/>
                      <w:sz w:val="18"/>
                      <w:szCs w:val="18"/>
                      <w:lang w:eastAsia="pl-PL"/>
                    </w:rPr>
                  </w:pPr>
                  <w:r w:rsidRPr="008A3FA9">
                    <w:rPr>
                      <w:rFonts w:ascii="Times New Roman" w:eastAsia="Times New Roman" w:hAnsi="Times New Roman" w:cs="Times New Roman"/>
                      <w:color w:val="000000"/>
                      <w:sz w:val="18"/>
                      <w:szCs w:val="18"/>
                      <w:lang w:eastAsia="pl-PL"/>
                    </w:rPr>
                    <w:t>2025</w:t>
                  </w:r>
                </w:p>
              </w:tc>
              <w:tc>
                <w:tcPr>
                  <w:tcW w:w="698" w:type="dxa"/>
                  <w:tcBorders>
                    <w:top w:val="single" w:sz="4" w:space="0" w:color="auto"/>
                    <w:left w:val="nil"/>
                    <w:bottom w:val="single" w:sz="4" w:space="0" w:color="auto"/>
                    <w:right w:val="single" w:sz="4" w:space="0" w:color="auto"/>
                  </w:tcBorders>
                  <w:shd w:val="clear" w:color="auto" w:fill="auto"/>
                  <w:noWrap/>
                  <w:vAlign w:val="bottom"/>
                  <w:hideMark/>
                </w:tcPr>
                <w:p w14:paraId="77B88BAE" w14:textId="77777777" w:rsidR="00DB0B02" w:rsidRPr="008A3FA9" w:rsidRDefault="00DB0B02" w:rsidP="000E2DF4">
                  <w:pPr>
                    <w:spacing w:before="60" w:after="60"/>
                    <w:ind w:left="71" w:hanging="71"/>
                    <w:jc w:val="right"/>
                    <w:rPr>
                      <w:rFonts w:ascii="Times New Roman" w:eastAsia="Times New Roman" w:hAnsi="Times New Roman" w:cs="Times New Roman"/>
                      <w:color w:val="000000"/>
                      <w:sz w:val="18"/>
                      <w:szCs w:val="18"/>
                      <w:lang w:eastAsia="pl-PL"/>
                    </w:rPr>
                  </w:pPr>
                  <w:r w:rsidRPr="008A3FA9">
                    <w:rPr>
                      <w:rFonts w:ascii="Times New Roman" w:eastAsia="Times New Roman" w:hAnsi="Times New Roman" w:cs="Times New Roman"/>
                      <w:color w:val="000000"/>
                      <w:sz w:val="18"/>
                      <w:szCs w:val="18"/>
                      <w:lang w:eastAsia="pl-PL"/>
                    </w:rPr>
                    <w:t>2026</w:t>
                  </w:r>
                </w:p>
              </w:tc>
              <w:tc>
                <w:tcPr>
                  <w:tcW w:w="698" w:type="dxa"/>
                  <w:tcBorders>
                    <w:top w:val="single" w:sz="4" w:space="0" w:color="auto"/>
                    <w:left w:val="nil"/>
                    <w:bottom w:val="single" w:sz="4" w:space="0" w:color="auto"/>
                    <w:right w:val="single" w:sz="4" w:space="0" w:color="auto"/>
                  </w:tcBorders>
                  <w:shd w:val="clear" w:color="auto" w:fill="auto"/>
                  <w:noWrap/>
                  <w:vAlign w:val="bottom"/>
                  <w:hideMark/>
                </w:tcPr>
                <w:p w14:paraId="7DD391E3" w14:textId="77777777" w:rsidR="00DB0B02" w:rsidRPr="008A3FA9" w:rsidRDefault="00DB0B02" w:rsidP="000E2DF4">
                  <w:pPr>
                    <w:spacing w:before="60" w:after="60"/>
                    <w:ind w:left="71" w:hanging="71"/>
                    <w:jc w:val="right"/>
                    <w:rPr>
                      <w:rFonts w:ascii="Times New Roman" w:eastAsia="Times New Roman" w:hAnsi="Times New Roman" w:cs="Times New Roman"/>
                      <w:color w:val="000000"/>
                      <w:sz w:val="18"/>
                      <w:szCs w:val="18"/>
                      <w:lang w:eastAsia="pl-PL"/>
                    </w:rPr>
                  </w:pPr>
                  <w:r w:rsidRPr="008A3FA9">
                    <w:rPr>
                      <w:rFonts w:ascii="Times New Roman" w:eastAsia="Times New Roman" w:hAnsi="Times New Roman" w:cs="Times New Roman"/>
                      <w:color w:val="000000"/>
                      <w:sz w:val="18"/>
                      <w:szCs w:val="18"/>
                      <w:lang w:eastAsia="pl-PL"/>
                    </w:rPr>
                    <w:t>2027</w:t>
                  </w:r>
                </w:p>
              </w:tc>
              <w:tc>
                <w:tcPr>
                  <w:tcW w:w="651" w:type="dxa"/>
                  <w:tcBorders>
                    <w:top w:val="single" w:sz="4" w:space="0" w:color="auto"/>
                    <w:left w:val="nil"/>
                    <w:bottom w:val="single" w:sz="4" w:space="0" w:color="auto"/>
                    <w:right w:val="single" w:sz="4" w:space="0" w:color="auto"/>
                  </w:tcBorders>
                  <w:shd w:val="clear" w:color="auto" w:fill="auto"/>
                  <w:noWrap/>
                  <w:vAlign w:val="bottom"/>
                  <w:hideMark/>
                </w:tcPr>
                <w:p w14:paraId="38909F16" w14:textId="77777777" w:rsidR="00DB0B02" w:rsidRPr="008A3FA9" w:rsidRDefault="00DB0B02" w:rsidP="000E2DF4">
                  <w:pPr>
                    <w:spacing w:before="60" w:after="60"/>
                    <w:ind w:left="71" w:hanging="71"/>
                    <w:jc w:val="right"/>
                    <w:rPr>
                      <w:rFonts w:ascii="Times New Roman" w:eastAsia="Times New Roman" w:hAnsi="Times New Roman" w:cs="Times New Roman"/>
                      <w:color w:val="000000"/>
                      <w:sz w:val="18"/>
                      <w:szCs w:val="18"/>
                      <w:lang w:eastAsia="pl-PL"/>
                    </w:rPr>
                  </w:pPr>
                  <w:r w:rsidRPr="008A3FA9">
                    <w:rPr>
                      <w:rFonts w:ascii="Times New Roman" w:eastAsia="Times New Roman" w:hAnsi="Times New Roman" w:cs="Times New Roman"/>
                      <w:color w:val="000000"/>
                      <w:sz w:val="18"/>
                      <w:szCs w:val="18"/>
                      <w:lang w:eastAsia="pl-PL"/>
                    </w:rPr>
                    <w:t>2028</w:t>
                  </w:r>
                </w:p>
              </w:tc>
              <w:tc>
                <w:tcPr>
                  <w:tcW w:w="698" w:type="dxa"/>
                  <w:tcBorders>
                    <w:top w:val="single" w:sz="4" w:space="0" w:color="auto"/>
                    <w:left w:val="nil"/>
                    <w:bottom w:val="single" w:sz="4" w:space="0" w:color="auto"/>
                    <w:right w:val="single" w:sz="4" w:space="0" w:color="auto"/>
                  </w:tcBorders>
                  <w:shd w:val="clear" w:color="auto" w:fill="auto"/>
                  <w:noWrap/>
                  <w:vAlign w:val="bottom"/>
                  <w:hideMark/>
                </w:tcPr>
                <w:p w14:paraId="1F33DEF1" w14:textId="77777777" w:rsidR="00DB0B02" w:rsidRPr="008A3FA9" w:rsidRDefault="00DB0B02" w:rsidP="000E2DF4">
                  <w:pPr>
                    <w:spacing w:before="60" w:after="60"/>
                    <w:ind w:left="71" w:hanging="71"/>
                    <w:jc w:val="right"/>
                    <w:rPr>
                      <w:rFonts w:ascii="Times New Roman" w:eastAsia="Times New Roman" w:hAnsi="Times New Roman" w:cs="Times New Roman"/>
                      <w:color w:val="000000"/>
                      <w:sz w:val="18"/>
                      <w:szCs w:val="18"/>
                      <w:lang w:eastAsia="pl-PL"/>
                    </w:rPr>
                  </w:pPr>
                  <w:r w:rsidRPr="008A3FA9">
                    <w:rPr>
                      <w:rFonts w:ascii="Times New Roman" w:eastAsia="Times New Roman" w:hAnsi="Times New Roman" w:cs="Times New Roman"/>
                      <w:color w:val="000000"/>
                      <w:sz w:val="18"/>
                      <w:szCs w:val="18"/>
                      <w:lang w:eastAsia="pl-PL"/>
                    </w:rPr>
                    <w:t>2029</w:t>
                  </w:r>
                </w:p>
              </w:tc>
              <w:tc>
                <w:tcPr>
                  <w:tcW w:w="531" w:type="dxa"/>
                  <w:tcBorders>
                    <w:top w:val="single" w:sz="4" w:space="0" w:color="auto"/>
                    <w:left w:val="nil"/>
                    <w:bottom w:val="single" w:sz="4" w:space="0" w:color="auto"/>
                    <w:right w:val="single" w:sz="4" w:space="0" w:color="auto"/>
                  </w:tcBorders>
                  <w:shd w:val="clear" w:color="auto" w:fill="auto"/>
                  <w:noWrap/>
                  <w:vAlign w:val="bottom"/>
                  <w:hideMark/>
                </w:tcPr>
                <w:p w14:paraId="23FC9620" w14:textId="77777777" w:rsidR="00DB0B02" w:rsidRPr="008A3FA9" w:rsidRDefault="00DB0B02" w:rsidP="000E2DF4">
                  <w:pPr>
                    <w:spacing w:before="60" w:after="60"/>
                    <w:ind w:left="71" w:hanging="71"/>
                    <w:jc w:val="right"/>
                    <w:rPr>
                      <w:rFonts w:ascii="Times New Roman" w:eastAsia="Times New Roman" w:hAnsi="Times New Roman" w:cs="Times New Roman"/>
                      <w:color w:val="000000"/>
                      <w:sz w:val="18"/>
                      <w:szCs w:val="18"/>
                      <w:lang w:eastAsia="pl-PL"/>
                    </w:rPr>
                  </w:pPr>
                  <w:r w:rsidRPr="008A3FA9">
                    <w:rPr>
                      <w:rFonts w:ascii="Times New Roman" w:eastAsia="Times New Roman" w:hAnsi="Times New Roman" w:cs="Times New Roman"/>
                      <w:color w:val="000000"/>
                      <w:sz w:val="18"/>
                      <w:szCs w:val="18"/>
                      <w:lang w:eastAsia="pl-PL"/>
                    </w:rPr>
                    <w:t>2030</w:t>
                  </w:r>
                </w:p>
              </w:tc>
              <w:tc>
                <w:tcPr>
                  <w:tcW w:w="755" w:type="dxa"/>
                  <w:tcBorders>
                    <w:top w:val="single" w:sz="4" w:space="0" w:color="auto"/>
                    <w:left w:val="nil"/>
                    <w:bottom w:val="single" w:sz="4" w:space="0" w:color="auto"/>
                    <w:right w:val="single" w:sz="4" w:space="0" w:color="auto"/>
                  </w:tcBorders>
                  <w:shd w:val="clear" w:color="auto" w:fill="auto"/>
                  <w:noWrap/>
                  <w:vAlign w:val="bottom"/>
                  <w:hideMark/>
                </w:tcPr>
                <w:p w14:paraId="2C18038C" w14:textId="77777777" w:rsidR="00DB0B02" w:rsidRPr="008A3FA9" w:rsidRDefault="00AB04E9" w:rsidP="000E2DF4">
                  <w:pPr>
                    <w:spacing w:before="60" w:after="60"/>
                    <w:ind w:left="71" w:hanging="71"/>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 </w:t>
                  </w:r>
                </w:p>
              </w:tc>
            </w:tr>
            <w:tr w:rsidR="00DB0B02" w:rsidRPr="00436B75" w14:paraId="2107C0A9" w14:textId="77777777" w:rsidTr="00E9511A">
              <w:trPr>
                <w:trHeight w:val="310"/>
              </w:trPr>
              <w:tc>
                <w:tcPr>
                  <w:tcW w:w="116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E940AE3" w14:textId="77777777" w:rsidR="00DB0B02" w:rsidRPr="008A3FA9" w:rsidRDefault="00AB04E9" w:rsidP="00067989">
                  <w:pPr>
                    <w:spacing w:before="60" w:after="60"/>
                    <w:ind w:left="71" w:hanging="71"/>
                    <w:rPr>
                      <w:rFonts w:ascii="Times New Roman" w:eastAsia="Times New Roman" w:hAnsi="Times New Roman" w:cs="Times New Roman"/>
                      <w:i/>
                      <w:iCs/>
                      <w:color w:val="000000"/>
                      <w:sz w:val="18"/>
                      <w:szCs w:val="18"/>
                      <w:lang w:eastAsia="pl-PL"/>
                    </w:rPr>
                  </w:pPr>
                  <w:r>
                    <w:rPr>
                      <w:rFonts w:ascii="Times New Roman" w:eastAsia="Times New Roman" w:hAnsi="Times New Roman" w:cs="Times New Roman"/>
                      <w:i/>
                      <w:iCs/>
                      <w:color w:val="000000"/>
                      <w:sz w:val="18"/>
                      <w:szCs w:val="18"/>
                      <w:lang w:eastAsia="pl-PL"/>
                    </w:rPr>
                    <w:t xml:space="preserve"> </w:t>
                  </w:r>
                </w:p>
              </w:tc>
              <w:tc>
                <w:tcPr>
                  <w:tcW w:w="7087" w:type="dxa"/>
                  <w:gridSpan w:val="11"/>
                  <w:tcBorders>
                    <w:top w:val="single" w:sz="4" w:space="0" w:color="auto"/>
                    <w:left w:val="nil"/>
                    <w:bottom w:val="single" w:sz="4" w:space="0" w:color="auto"/>
                    <w:right w:val="single" w:sz="4" w:space="0" w:color="auto"/>
                  </w:tcBorders>
                  <w:shd w:val="clear" w:color="000000" w:fill="FFFFFF"/>
                  <w:vAlign w:val="center"/>
                  <w:hideMark/>
                </w:tcPr>
                <w:p w14:paraId="60726E8B" w14:textId="77777777" w:rsidR="00DB0B02" w:rsidRPr="008A3FA9" w:rsidRDefault="00DB0B02" w:rsidP="008A3FA9">
                  <w:pPr>
                    <w:spacing w:before="60" w:after="60"/>
                    <w:ind w:left="71" w:hanging="71"/>
                    <w:jc w:val="center"/>
                    <w:rPr>
                      <w:rFonts w:ascii="Times New Roman" w:eastAsia="Times New Roman" w:hAnsi="Times New Roman" w:cs="Times New Roman"/>
                      <w:color w:val="000000"/>
                      <w:sz w:val="18"/>
                      <w:szCs w:val="18"/>
                      <w:lang w:eastAsia="pl-PL"/>
                    </w:rPr>
                  </w:pPr>
                  <w:r w:rsidRPr="008A3FA9">
                    <w:rPr>
                      <w:rFonts w:ascii="Times New Roman" w:eastAsia="Times New Roman" w:hAnsi="Times New Roman" w:cs="Times New Roman"/>
                      <w:color w:val="000000"/>
                      <w:sz w:val="18"/>
                      <w:szCs w:val="18"/>
                      <w:lang w:eastAsia="pl-PL"/>
                    </w:rPr>
                    <w:t>Skutki w okresie 10 lat od wejścia w życie zmian [mln zł]</w:t>
                  </w:r>
                </w:p>
              </w:tc>
            </w:tr>
            <w:tr w:rsidR="00DB0B02" w:rsidRPr="00436B75" w14:paraId="2D319FDB" w14:textId="77777777" w:rsidTr="00E9511A">
              <w:trPr>
                <w:trHeight w:val="620"/>
              </w:trPr>
              <w:tc>
                <w:tcPr>
                  <w:tcW w:w="1163" w:type="dxa"/>
                  <w:vMerge/>
                  <w:tcBorders>
                    <w:top w:val="nil"/>
                    <w:left w:val="single" w:sz="4" w:space="0" w:color="auto"/>
                    <w:bottom w:val="single" w:sz="4" w:space="0" w:color="000000"/>
                    <w:right w:val="single" w:sz="4" w:space="0" w:color="auto"/>
                  </w:tcBorders>
                  <w:vAlign w:val="center"/>
                  <w:hideMark/>
                </w:tcPr>
                <w:p w14:paraId="4176D807" w14:textId="77777777" w:rsidR="00DB0B02" w:rsidRPr="008A3FA9" w:rsidRDefault="00DB0B02">
                  <w:pPr>
                    <w:spacing w:before="60" w:after="60"/>
                    <w:ind w:left="71" w:hanging="71"/>
                    <w:rPr>
                      <w:rFonts w:ascii="Times New Roman" w:eastAsia="Times New Roman" w:hAnsi="Times New Roman" w:cs="Times New Roman"/>
                      <w:i/>
                      <w:iCs/>
                      <w:color w:val="000000"/>
                      <w:sz w:val="18"/>
                      <w:szCs w:val="18"/>
                      <w:lang w:eastAsia="pl-PL"/>
                    </w:rPr>
                  </w:pPr>
                </w:p>
              </w:tc>
              <w:tc>
                <w:tcPr>
                  <w:tcW w:w="567" w:type="dxa"/>
                  <w:tcBorders>
                    <w:top w:val="nil"/>
                    <w:left w:val="nil"/>
                    <w:bottom w:val="single" w:sz="4" w:space="0" w:color="auto"/>
                    <w:right w:val="single" w:sz="4" w:space="0" w:color="auto"/>
                  </w:tcBorders>
                  <w:shd w:val="clear" w:color="000000" w:fill="FFFFFF"/>
                  <w:vAlign w:val="center"/>
                  <w:hideMark/>
                </w:tcPr>
                <w:p w14:paraId="074A6D12" w14:textId="77777777" w:rsidR="00DB0B02" w:rsidRPr="008A3FA9" w:rsidRDefault="00DB0B02">
                  <w:pPr>
                    <w:spacing w:before="60" w:after="60"/>
                    <w:ind w:left="71" w:hanging="71"/>
                    <w:jc w:val="center"/>
                    <w:rPr>
                      <w:rFonts w:ascii="Times New Roman" w:eastAsia="Times New Roman" w:hAnsi="Times New Roman" w:cs="Times New Roman"/>
                      <w:b/>
                      <w:bCs/>
                      <w:color w:val="000000"/>
                      <w:sz w:val="18"/>
                      <w:szCs w:val="18"/>
                      <w:lang w:eastAsia="pl-PL"/>
                    </w:rPr>
                  </w:pPr>
                  <w:r w:rsidRPr="008A3FA9">
                    <w:rPr>
                      <w:rFonts w:ascii="Times New Roman" w:eastAsia="Times New Roman" w:hAnsi="Times New Roman" w:cs="Times New Roman"/>
                      <w:b/>
                      <w:bCs/>
                      <w:color w:val="000000"/>
                      <w:sz w:val="18"/>
                      <w:szCs w:val="18"/>
                      <w:lang w:eastAsia="pl-PL"/>
                    </w:rPr>
                    <w:t>1</w:t>
                  </w:r>
                </w:p>
              </w:tc>
              <w:tc>
                <w:tcPr>
                  <w:tcW w:w="597" w:type="dxa"/>
                  <w:tcBorders>
                    <w:top w:val="nil"/>
                    <w:left w:val="nil"/>
                    <w:bottom w:val="single" w:sz="4" w:space="0" w:color="auto"/>
                    <w:right w:val="single" w:sz="4" w:space="0" w:color="auto"/>
                  </w:tcBorders>
                  <w:shd w:val="clear" w:color="000000" w:fill="FFFFFF"/>
                  <w:vAlign w:val="center"/>
                  <w:hideMark/>
                </w:tcPr>
                <w:p w14:paraId="4D470DED" w14:textId="77777777" w:rsidR="00DB0B02" w:rsidRPr="008A3FA9" w:rsidRDefault="00DB0B02">
                  <w:pPr>
                    <w:spacing w:before="60" w:after="60"/>
                    <w:ind w:left="71" w:hanging="71"/>
                    <w:jc w:val="center"/>
                    <w:rPr>
                      <w:rFonts w:ascii="Times New Roman" w:eastAsia="Times New Roman" w:hAnsi="Times New Roman" w:cs="Times New Roman"/>
                      <w:b/>
                      <w:bCs/>
                      <w:color w:val="000000"/>
                      <w:sz w:val="18"/>
                      <w:szCs w:val="18"/>
                      <w:lang w:eastAsia="pl-PL"/>
                    </w:rPr>
                  </w:pPr>
                  <w:r w:rsidRPr="008A3FA9">
                    <w:rPr>
                      <w:rFonts w:ascii="Times New Roman" w:eastAsia="Times New Roman" w:hAnsi="Times New Roman" w:cs="Times New Roman"/>
                      <w:b/>
                      <w:bCs/>
                      <w:color w:val="000000"/>
                      <w:sz w:val="18"/>
                      <w:szCs w:val="18"/>
                      <w:lang w:eastAsia="pl-PL"/>
                    </w:rPr>
                    <w:t>2</w:t>
                  </w:r>
                </w:p>
              </w:tc>
              <w:tc>
                <w:tcPr>
                  <w:tcW w:w="597" w:type="dxa"/>
                  <w:tcBorders>
                    <w:top w:val="nil"/>
                    <w:left w:val="nil"/>
                    <w:bottom w:val="single" w:sz="4" w:space="0" w:color="auto"/>
                    <w:right w:val="single" w:sz="4" w:space="0" w:color="auto"/>
                  </w:tcBorders>
                  <w:shd w:val="clear" w:color="000000" w:fill="FFFFFF"/>
                  <w:vAlign w:val="center"/>
                  <w:hideMark/>
                </w:tcPr>
                <w:p w14:paraId="39EE1464" w14:textId="77777777" w:rsidR="00DB0B02" w:rsidRPr="008A3FA9" w:rsidRDefault="00DB0B02">
                  <w:pPr>
                    <w:spacing w:before="60" w:after="60"/>
                    <w:ind w:left="71" w:hanging="71"/>
                    <w:jc w:val="center"/>
                    <w:rPr>
                      <w:rFonts w:ascii="Times New Roman" w:eastAsia="Times New Roman" w:hAnsi="Times New Roman" w:cs="Times New Roman"/>
                      <w:b/>
                      <w:bCs/>
                      <w:color w:val="000000"/>
                      <w:sz w:val="18"/>
                      <w:szCs w:val="18"/>
                      <w:lang w:eastAsia="pl-PL"/>
                    </w:rPr>
                  </w:pPr>
                  <w:r w:rsidRPr="008A3FA9">
                    <w:rPr>
                      <w:rFonts w:ascii="Times New Roman" w:eastAsia="Times New Roman" w:hAnsi="Times New Roman" w:cs="Times New Roman"/>
                      <w:b/>
                      <w:bCs/>
                      <w:color w:val="000000"/>
                      <w:sz w:val="18"/>
                      <w:szCs w:val="18"/>
                      <w:lang w:eastAsia="pl-PL"/>
                    </w:rPr>
                    <w:t>3</w:t>
                  </w:r>
                </w:p>
              </w:tc>
              <w:tc>
                <w:tcPr>
                  <w:tcW w:w="597" w:type="dxa"/>
                  <w:tcBorders>
                    <w:top w:val="nil"/>
                    <w:left w:val="nil"/>
                    <w:bottom w:val="single" w:sz="4" w:space="0" w:color="auto"/>
                    <w:right w:val="single" w:sz="4" w:space="0" w:color="auto"/>
                  </w:tcBorders>
                  <w:shd w:val="clear" w:color="000000" w:fill="FFFFFF"/>
                  <w:vAlign w:val="center"/>
                  <w:hideMark/>
                </w:tcPr>
                <w:p w14:paraId="7D910B41" w14:textId="77777777" w:rsidR="00DB0B02" w:rsidRPr="008A3FA9" w:rsidRDefault="00DB0B02">
                  <w:pPr>
                    <w:spacing w:before="60" w:after="60"/>
                    <w:ind w:left="71" w:hanging="71"/>
                    <w:jc w:val="center"/>
                    <w:rPr>
                      <w:rFonts w:ascii="Times New Roman" w:eastAsia="Times New Roman" w:hAnsi="Times New Roman" w:cs="Times New Roman"/>
                      <w:b/>
                      <w:bCs/>
                      <w:color w:val="000000"/>
                      <w:sz w:val="18"/>
                      <w:szCs w:val="18"/>
                      <w:lang w:eastAsia="pl-PL"/>
                    </w:rPr>
                  </w:pPr>
                  <w:r w:rsidRPr="008A3FA9">
                    <w:rPr>
                      <w:rFonts w:ascii="Times New Roman" w:eastAsia="Times New Roman" w:hAnsi="Times New Roman" w:cs="Times New Roman"/>
                      <w:b/>
                      <w:bCs/>
                      <w:color w:val="000000"/>
                      <w:sz w:val="18"/>
                      <w:szCs w:val="18"/>
                      <w:lang w:eastAsia="pl-PL"/>
                    </w:rPr>
                    <w:t>4</w:t>
                  </w:r>
                </w:p>
              </w:tc>
              <w:tc>
                <w:tcPr>
                  <w:tcW w:w="698" w:type="dxa"/>
                  <w:tcBorders>
                    <w:top w:val="nil"/>
                    <w:left w:val="nil"/>
                    <w:bottom w:val="single" w:sz="4" w:space="0" w:color="auto"/>
                    <w:right w:val="single" w:sz="4" w:space="0" w:color="auto"/>
                  </w:tcBorders>
                  <w:shd w:val="clear" w:color="000000" w:fill="FFFFFF"/>
                  <w:vAlign w:val="center"/>
                  <w:hideMark/>
                </w:tcPr>
                <w:p w14:paraId="4069AF07" w14:textId="77777777" w:rsidR="00DB0B02" w:rsidRPr="008A3FA9" w:rsidRDefault="00DB0B02">
                  <w:pPr>
                    <w:spacing w:before="60" w:after="60"/>
                    <w:ind w:left="71" w:hanging="71"/>
                    <w:jc w:val="center"/>
                    <w:rPr>
                      <w:rFonts w:ascii="Times New Roman" w:eastAsia="Times New Roman" w:hAnsi="Times New Roman" w:cs="Times New Roman"/>
                      <w:b/>
                      <w:bCs/>
                      <w:color w:val="000000"/>
                      <w:sz w:val="18"/>
                      <w:szCs w:val="18"/>
                      <w:lang w:eastAsia="pl-PL"/>
                    </w:rPr>
                  </w:pPr>
                  <w:r w:rsidRPr="008A3FA9">
                    <w:rPr>
                      <w:rFonts w:ascii="Times New Roman" w:eastAsia="Times New Roman" w:hAnsi="Times New Roman" w:cs="Times New Roman"/>
                      <w:b/>
                      <w:bCs/>
                      <w:color w:val="000000"/>
                      <w:sz w:val="18"/>
                      <w:szCs w:val="18"/>
                      <w:lang w:eastAsia="pl-PL"/>
                    </w:rPr>
                    <w:t>5</w:t>
                  </w:r>
                </w:p>
              </w:tc>
              <w:tc>
                <w:tcPr>
                  <w:tcW w:w="698" w:type="dxa"/>
                  <w:tcBorders>
                    <w:top w:val="nil"/>
                    <w:left w:val="nil"/>
                    <w:bottom w:val="single" w:sz="4" w:space="0" w:color="auto"/>
                    <w:right w:val="single" w:sz="4" w:space="0" w:color="auto"/>
                  </w:tcBorders>
                  <w:shd w:val="clear" w:color="000000" w:fill="FFFFFF"/>
                  <w:vAlign w:val="center"/>
                  <w:hideMark/>
                </w:tcPr>
                <w:p w14:paraId="316C8778" w14:textId="77777777" w:rsidR="00DB0B02" w:rsidRPr="008A3FA9" w:rsidRDefault="00DB0B02">
                  <w:pPr>
                    <w:spacing w:before="60" w:after="60"/>
                    <w:ind w:left="71" w:hanging="71"/>
                    <w:jc w:val="center"/>
                    <w:rPr>
                      <w:rFonts w:ascii="Times New Roman" w:eastAsia="Times New Roman" w:hAnsi="Times New Roman" w:cs="Times New Roman"/>
                      <w:b/>
                      <w:bCs/>
                      <w:color w:val="000000"/>
                      <w:sz w:val="18"/>
                      <w:szCs w:val="18"/>
                      <w:lang w:eastAsia="pl-PL"/>
                    </w:rPr>
                  </w:pPr>
                  <w:r w:rsidRPr="008A3FA9">
                    <w:rPr>
                      <w:rFonts w:ascii="Times New Roman" w:eastAsia="Times New Roman" w:hAnsi="Times New Roman" w:cs="Times New Roman"/>
                      <w:b/>
                      <w:bCs/>
                      <w:color w:val="000000"/>
                      <w:sz w:val="18"/>
                      <w:szCs w:val="18"/>
                      <w:lang w:eastAsia="pl-PL"/>
                    </w:rPr>
                    <w:t>6</w:t>
                  </w:r>
                </w:p>
              </w:tc>
              <w:tc>
                <w:tcPr>
                  <w:tcW w:w="698" w:type="dxa"/>
                  <w:tcBorders>
                    <w:top w:val="nil"/>
                    <w:left w:val="nil"/>
                    <w:bottom w:val="single" w:sz="4" w:space="0" w:color="auto"/>
                    <w:right w:val="single" w:sz="4" w:space="0" w:color="auto"/>
                  </w:tcBorders>
                  <w:shd w:val="clear" w:color="000000" w:fill="FFFFFF"/>
                  <w:vAlign w:val="center"/>
                  <w:hideMark/>
                </w:tcPr>
                <w:p w14:paraId="2B95DDF6" w14:textId="77777777" w:rsidR="00DB0B02" w:rsidRPr="008A3FA9" w:rsidRDefault="00DB0B02">
                  <w:pPr>
                    <w:spacing w:before="60" w:after="60"/>
                    <w:ind w:left="71" w:hanging="71"/>
                    <w:jc w:val="center"/>
                    <w:rPr>
                      <w:rFonts w:ascii="Times New Roman" w:eastAsia="Times New Roman" w:hAnsi="Times New Roman" w:cs="Times New Roman"/>
                      <w:b/>
                      <w:bCs/>
                      <w:color w:val="000000"/>
                      <w:sz w:val="18"/>
                      <w:szCs w:val="18"/>
                      <w:lang w:eastAsia="pl-PL"/>
                    </w:rPr>
                  </w:pPr>
                  <w:r w:rsidRPr="008A3FA9">
                    <w:rPr>
                      <w:rFonts w:ascii="Times New Roman" w:eastAsia="Times New Roman" w:hAnsi="Times New Roman" w:cs="Times New Roman"/>
                      <w:b/>
                      <w:bCs/>
                      <w:color w:val="000000"/>
                      <w:sz w:val="18"/>
                      <w:szCs w:val="18"/>
                      <w:lang w:eastAsia="pl-PL"/>
                    </w:rPr>
                    <w:t>7</w:t>
                  </w:r>
                </w:p>
              </w:tc>
              <w:tc>
                <w:tcPr>
                  <w:tcW w:w="651" w:type="dxa"/>
                  <w:tcBorders>
                    <w:top w:val="nil"/>
                    <w:left w:val="nil"/>
                    <w:bottom w:val="single" w:sz="4" w:space="0" w:color="auto"/>
                    <w:right w:val="single" w:sz="4" w:space="0" w:color="auto"/>
                  </w:tcBorders>
                  <w:shd w:val="clear" w:color="000000" w:fill="FFFFFF"/>
                  <w:vAlign w:val="center"/>
                  <w:hideMark/>
                </w:tcPr>
                <w:p w14:paraId="2F70F844" w14:textId="77777777" w:rsidR="00DB0B02" w:rsidRPr="008A3FA9" w:rsidRDefault="00DB0B02">
                  <w:pPr>
                    <w:spacing w:before="60" w:after="60"/>
                    <w:ind w:left="71" w:hanging="71"/>
                    <w:jc w:val="center"/>
                    <w:rPr>
                      <w:rFonts w:ascii="Times New Roman" w:eastAsia="Times New Roman" w:hAnsi="Times New Roman" w:cs="Times New Roman"/>
                      <w:b/>
                      <w:bCs/>
                      <w:color w:val="000000"/>
                      <w:sz w:val="18"/>
                      <w:szCs w:val="18"/>
                      <w:lang w:eastAsia="pl-PL"/>
                    </w:rPr>
                  </w:pPr>
                  <w:r w:rsidRPr="008A3FA9">
                    <w:rPr>
                      <w:rFonts w:ascii="Times New Roman" w:eastAsia="Times New Roman" w:hAnsi="Times New Roman" w:cs="Times New Roman"/>
                      <w:b/>
                      <w:bCs/>
                      <w:color w:val="000000"/>
                      <w:sz w:val="18"/>
                      <w:szCs w:val="18"/>
                      <w:lang w:eastAsia="pl-PL"/>
                    </w:rPr>
                    <w:t>8</w:t>
                  </w:r>
                </w:p>
              </w:tc>
              <w:tc>
                <w:tcPr>
                  <w:tcW w:w="698" w:type="dxa"/>
                  <w:tcBorders>
                    <w:top w:val="nil"/>
                    <w:left w:val="nil"/>
                    <w:bottom w:val="single" w:sz="4" w:space="0" w:color="auto"/>
                    <w:right w:val="single" w:sz="4" w:space="0" w:color="auto"/>
                  </w:tcBorders>
                  <w:shd w:val="clear" w:color="000000" w:fill="FFFFFF"/>
                  <w:vAlign w:val="center"/>
                  <w:hideMark/>
                </w:tcPr>
                <w:p w14:paraId="1BF110A3" w14:textId="77777777" w:rsidR="00DB0B02" w:rsidRPr="008A3FA9" w:rsidRDefault="00DB0B02">
                  <w:pPr>
                    <w:spacing w:before="60" w:after="60"/>
                    <w:ind w:left="71" w:hanging="71"/>
                    <w:jc w:val="center"/>
                    <w:rPr>
                      <w:rFonts w:ascii="Times New Roman" w:eastAsia="Times New Roman" w:hAnsi="Times New Roman" w:cs="Times New Roman"/>
                      <w:b/>
                      <w:bCs/>
                      <w:color w:val="000000"/>
                      <w:sz w:val="18"/>
                      <w:szCs w:val="18"/>
                      <w:lang w:eastAsia="pl-PL"/>
                    </w:rPr>
                  </w:pPr>
                  <w:r w:rsidRPr="008A3FA9">
                    <w:rPr>
                      <w:rFonts w:ascii="Times New Roman" w:eastAsia="Times New Roman" w:hAnsi="Times New Roman" w:cs="Times New Roman"/>
                      <w:b/>
                      <w:bCs/>
                      <w:color w:val="000000"/>
                      <w:sz w:val="18"/>
                      <w:szCs w:val="18"/>
                      <w:lang w:eastAsia="pl-PL"/>
                    </w:rPr>
                    <w:t>9</w:t>
                  </w:r>
                </w:p>
              </w:tc>
              <w:tc>
                <w:tcPr>
                  <w:tcW w:w="531" w:type="dxa"/>
                  <w:tcBorders>
                    <w:top w:val="nil"/>
                    <w:left w:val="nil"/>
                    <w:bottom w:val="single" w:sz="4" w:space="0" w:color="auto"/>
                    <w:right w:val="single" w:sz="4" w:space="0" w:color="auto"/>
                  </w:tcBorders>
                  <w:shd w:val="clear" w:color="000000" w:fill="FFFFFF"/>
                  <w:vAlign w:val="center"/>
                  <w:hideMark/>
                </w:tcPr>
                <w:p w14:paraId="0A17FF15" w14:textId="77777777" w:rsidR="00DB0B02" w:rsidRPr="008A3FA9" w:rsidRDefault="00DB0B02">
                  <w:pPr>
                    <w:spacing w:before="60" w:after="60"/>
                    <w:ind w:left="71" w:hanging="71"/>
                    <w:jc w:val="center"/>
                    <w:rPr>
                      <w:rFonts w:ascii="Times New Roman" w:eastAsia="Times New Roman" w:hAnsi="Times New Roman" w:cs="Times New Roman"/>
                      <w:b/>
                      <w:bCs/>
                      <w:color w:val="000000"/>
                      <w:sz w:val="18"/>
                      <w:szCs w:val="18"/>
                      <w:lang w:eastAsia="pl-PL"/>
                    </w:rPr>
                  </w:pPr>
                  <w:r w:rsidRPr="008A3FA9">
                    <w:rPr>
                      <w:rFonts w:ascii="Times New Roman" w:eastAsia="Times New Roman" w:hAnsi="Times New Roman" w:cs="Times New Roman"/>
                      <w:b/>
                      <w:bCs/>
                      <w:color w:val="000000"/>
                      <w:sz w:val="18"/>
                      <w:szCs w:val="18"/>
                      <w:lang w:eastAsia="pl-PL"/>
                    </w:rPr>
                    <w:t>10</w:t>
                  </w:r>
                </w:p>
              </w:tc>
              <w:tc>
                <w:tcPr>
                  <w:tcW w:w="755" w:type="dxa"/>
                  <w:tcBorders>
                    <w:top w:val="nil"/>
                    <w:left w:val="nil"/>
                    <w:bottom w:val="single" w:sz="4" w:space="0" w:color="auto"/>
                    <w:right w:val="single" w:sz="4" w:space="0" w:color="auto"/>
                  </w:tcBorders>
                  <w:shd w:val="clear" w:color="000000" w:fill="FFFFFF"/>
                  <w:vAlign w:val="center"/>
                  <w:hideMark/>
                </w:tcPr>
                <w:p w14:paraId="55A16F24" w14:textId="77777777" w:rsidR="00DB0B02" w:rsidRPr="008A3FA9" w:rsidRDefault="00DB0B02">
                  <w:pPr>
                    <w:spacing w:before="60" w:after="60"/>
                    <w:ind w:left="71" w:hanging="71"/>
                    <w:jc w:val="center"/>
                    <w:rPr>
                      <w:rFonts w:ascii="Times New Roman" w:eastAsia="Times New Roman" w:hAnsi="Times New Roman" w:cs="Times New Roman"/>
                      <w:iCs/>
                      <w:color w:val="000000"/>
                      <w:sz w:val="18"/>
                      <w:szCs w:val="18"/>
                      <w:lang w:eastAsia="pl-PL"/>
                    </w:rPr>
                  </w:pPr>
                  <w:r w:rsidRPr="008A3FA9">
                    <w:rPr>
                      <w:rFonts w:ascii="Times New Roman" w:eastAsia="Times New Roman" w:hAnsi="Times New Roman" w:cs="Times New Roman"/>
                      <w:iCs/>
                      <w:color w:val="000000"/>
                      <w:sz w:val="18"/>
                      <w:szCs w:val="18"/>
                      <w:lang w:eastAsia="pl-PL"/>
                    </w:rPr>
                    <w:t>Łącznie (0</w:t>
                  </w:r>
                  <w:r w:rsidR="00E42D6D" w:rsidRPr="008A3FA9">
                    <w:rPr>
                      <w:rFonts w:ascii="Times New Roman" w:eastAsia="Times New Roman" w:hAnsi="Times New Roman" w:cs="Times New Roman"/>
                      <w:iCs/>
                      <w:color w:val="000000"/>
                      <w:sz w:val="18"/>
                      <w:szCs w:val="18"/>
                      <w:lang w:eastAsia="pl-PL"/>
                    </w:rPr>
                    <w:t>–</w:t>
                  </w:r>
                  <w:r w:rsidRPr="008A3FA9">
                    <w:rPr>
                      <w:rFonts w:ascii="Times New Roman" w:eastAsia="Times New Roman" w:hAnsi="Times New Roman" w:cs="Times New Roman"/>
                      <w:iCs/>
                      <w:color w:val="000000"/>
                      <w:sz w:val="18"/>
                      <w:szCs w:val="18"/>
                      <w:lang w:eastAsia="pl-PL"/>
                    </w:rPr>
                    <w:t>10)</w:t>
                  </w:r>
                </w:p>
              </w:tc>
            </w:tr>
            <w:tr w:rsidR="00217523" w:rsidRPr="00436B75" w14:paraId="75A0989B" w14:textId="77777777" w:rsidTr="00E9511A">
              <w:trPr>
                <w:trHeight w:val="1550"/>
              </w:trPr>
              <w:tc>
                <w:tcPr>
                  <w:tcW w:w="1163" w:type="dxa"/>
                  <w:tcBorders>
                    <w:top w:val="nil"/>
                    <w:left w:val="single" w:sz="4" w:space="0" w:color="auto"/>
                    <w:bottom w:val="single" w:sz="4" w:space="0" w:color="auto"/>
                    <w:right w:val="single" w:sz="4" w:space="0" w:color="auto"/>
                  </w:tcBorders>
                  <w:shd w:val="clear" w:color="000000" w:fill="FFFFFF"/>
                  <w:vAlign w:val="center"/>
                  <w:hideMark/>
                </w:tcPr>
                <w:p w14:paraId="63CE5DFD" w14:textId="77777777" w:rsidR="00217523" w:rsidRPr="008A3FA9" w:rsidRDefault="00217523" w:rsidP="008A3FA9">
                  <w:pPr>
                    <w:spacing w:before="60" w:after="60"/>
                    <w:ind w:left="-52" w:right="-31" w:firstLine="29"/>
                    <w:rPr>
                      <w:rFonts w:ascii="Times New Roman" w:eastAsia="Times New Roman" w:hAnsi="Times New Roman" w:cs="Times New Roman"/>
                      <w:color w:val="000000"/>
                      <w:sz w:val="18"/>
                      <w:szCs w:val="18"/>
                      <w:lang w:eastAsia="pl-PL"/>
                    </w:rPr>
                  </w:pPr>
                  <w:r w:rsidRPr="008A3FA9">
                    <w:rPr>
                      <w:rFonts w:ascii="Times New Roman" w:eastAsia="Times New Roman" w:hAnsi="Times New Roman" w:cs="Times New Roman"/>
                      <w:color w:val="000000"/>
                      <w:sz w:val="18"/>
                      <w:szCs w:val="18"/>
                      <w:lang w:eastAsia="pl-PL"/>
                    </w:rPr>
                    <w:t>Dotacja z budżet</w:t>
                  </w:r>
                  <w:r w:rsidR="007D64DD" w:rsidRPr="008A3FA9">
                    <w:rPr>
                      <w:rFonts w:ascii="Times New Roman" w:eastAsia="Times New Roman" w:hAnsi="Times New Roman" w:cs="Times New Roman"/>
                      <w:color w:val="000000"/>
                      <w:sz w:val="18"/>
                      <w:szCs w:val="18"/>
                      <w:lang w:eastAsia="pl-PL"/>
                    </w:rPr>
                    <w:t>u</w:t>
                  </w:r>
                  <w:r w:rsidRPr="008A3FA9">
                    <w:rPr>
                      <w:rFonts w:ascii="Times New Roman" w:eastAsia="Times New Roman" w:hAnsi="Times New Roman" w:cs="Times New Roman"/>
                      <w:color w:val="000000"/>
                      <w:sz w:val="18"/>
                      <w:szCs w:val="18"/>
                      <w:lang w:eastAsia="pl-PL"/>
                    </w:rPr>
                    <w:t xml:space="preserve"> państwa dla operatora wyznaczonego</w:t>
                  </w:r>
                </w:p>
              </w:tc>
              <w:tc>
                <w:tcPr>
                  <w:tcW w:w="567" w:type="dxa"/>
                  <w:tcBorders>
                    <w:top w:val="nil"/>
                    <w:left w:val="nil"/>
                    <w:bottom w:val="single" w:sz="4" w:space="0" w:color="auto"/>
                    <w:right w:val="single" w:sz="4" w:space="0" w:color="auto"/>
                  </w:tcBorders>
                  <w:shd w:val="clear" w:color="000000" w:fill="FFFFFF"/>
                  <w:vAlign w:val="center"/>
                </w:tcPr>
                <w:p w14:paraId="7EF88D0C" w14:textId="77777777" w:rsidR="00217523" w:rsidRPr="008A3FA9" w:rsidRDefault="00217523" w:rsidP="00067989">
                  <w:pPr>
                    <w:spacing w:before="60" w:after="60"/>
                    <w:ind w:left="71" w:hanging="71"/>
                    <w:jc w:val="center"/>
                    <w:rPr>
                      <w:rFonts w:ascii="Times New Roman" w:eastAsia="Times New Roman" w:hAnsi="Times New Roman" w:cs="Times New Roman"/>
                      <w:color w:val="000000"/>
                      <w:sz w:val="18"/>
                      <w:szCs w:val="18"/>
                      <w:lang w:eastAsia="pl-PL"/>
                    </w:rPr>
                  </w:pPr>
                  <w:r w:rsidRPr="008A3FA9">
                    <w:rPr>
                      <w:rFonts w:ascii="Times New Roman" w:hAnsi="Times New Roman" w:cs="Times New Roman"/>
                      <w:color w:val="000000"/>
                      <w:sz w:val="18"/>
                      <w:szCs w:val="18"/>
                    </w:rPr>
                    <w:t>8,30</w:t>
                  </w:r>
                </w:p>
              </w:tc>
              <w:tc>
                <w:tcPr>
                  <w:tcW w:w="597" w:type="dxa"/>
                  <w:tcBorders>
                    <w:top w:val="nil"/>
                    <w:left w:val="nil"/>
                    <w:bottom w:val="single" w:sz="4" w:space="0" w:color="auto"/>
                    <w:right w:val="single" w:sz="4" w:space="0" w:color="auto"/>
                  </w:tcBorders>
                  <w:shd w:val="clear" w:color="000000" w:fill="FFFFFF"/>
                  <w:vAlign w:val="center"/>
                </w:tcPr>
                <w:p w14:paraId="2047F2E8" w14:textId="77777777" w:rsidR="00217523" w:rsidRPr="008A3FA9" w:rsidRDefault="00217523" w:rsidP="00067989">
                  <w:pPr>
                    <w:spacing w:before="60" w:after="60"/>
                    <w:ind w:left="71" w:hanging="71"/>
                    <w:jc w:val="center"/>
                    <w:rPr>
                      <w:rFonts w:ascii="Times New Roman" w:eastAsia="Times New Roman" w:hAnsi="Times New Roman" w:cs="Times New Roman"/>
                      <w:color w:val="000000"/>
                      <w:sz w:val="18"/>
                      <w:szCs w:val="18"/>
                      <w:lang w:eastAsia="pl-PL"/>
                    </w:rPr>
                  </w:pPr>
                  <w:r w:rsidRPr="008A3FA9">
                    <w:rPr>
                      <w:rFonts w:ascii="Times New Roman" w:hAnsi="Times New Roman" w:cs="Times New Roman"/>
                      <w:color w:val="000000"/>
                      <w:sz w:val="18"/>
                      <w:szCs w:val="18"/>
                    </w:rPr>
                    <w:t>38,72</w:t>
                  </w:r>
                </w:p>
              </w:tc>
              <w:tc>
                <w:tcPr>
                  <w:tcW w:w="597" w:type="dxa"/>
                  <w:tcBorders>
                    <w:top w:val="nil"/>
                    <w:left w:val="nil"/>
                    <w:bottom w:val="single" w:sz="4" w:space="0" w:color="auto"/>
                    <w:right w:val="single" w:sz="4" w:space="0" w:color="auto"/>
                  </w:tcBorders>
                  <w:shd w:val="clear" w:color="000000" w:fill="FFFFFF"/>
                  <w:vAlign w:val="center"/>
                </w:tcPr>
                <w:p w14:paraId="033E7757" w14:textId="77777777" w:rsidR="00217523" w:rsidRPr="008A3FA9" w:rsidRDefault="00217523" w:rsidP="00067989">
                  <w:pPr>
                    <w:spacing w:before="60" w:after="60"/>
                    <w:ind w:left="71" w:hanging="71"/>
                    <w:jc w:val="center"/>
                    <w:rPr>
                      <w:rFonts w:ascii="Times New Roman" w:eastAsia="Times New Roman" w:hAnsi="Times New Roman" w:cs="Times New Roman"/>
                      <w:color w:val="000000"/>
                      <w:sz w:val="18"/>
                      <w:szCs w:val="18"/>
                      <w:lang w:eastAsia="pl-PL"/>
                    </w:rPr>
                  </w:pPr>
                  <w:r w:rsidRPr="008A3FA9">
                    <w:rPr>
                      <w:rFonts w:ascii="Times New Roman" w:hAnsi="Times New Roman" w:cs="Times New Roman"/>
                      <w:color w:val="000000"/>
                      <w:sz w:val="18"/>
                      <w:szCs w:val="18"/>
                    </w:rPr>
                    <w:t>65,00</w:t>
                  </w:r>
                </w:p>
              </w:tc>
              <w:tc>
                <w:tcPr>
                  <w:tcW w:w="597" w:type="dxa"/>
                  <w:tcBorders>
                    <w:top w:val="nil"/>
                    <w:left w:val="nil"/>
                    <w:bottom w:val="single" w:sz="4" w:space="0" w:color="auto"/>
                    <w:right w:val="single" w:sz="4" w:space="0" w:color="auto"/>
                  </w:tcBorders>
                  <w:shd w:val="clear" w:color="000000" w:fill="FFFFFF"/>
                  <w:vAlign w:val="center"/>
                </w:tcPr>
                <w:p w14:paraId="0E74FBE8" w14:textId="77777777" w:rsidR="00217523" w:rsidRPr="008A3FA9" w:rsidRDefault="00217523" w:rsidP="00067989">
                  <w:pPr>
                    <w:spacing w:before="60" w:after="60"/>
                    <w:ind w:left="71" w:hanging="71"/>
                    <w:jc w:val="center"/>
                    <w:rPr>
                      <w:rFonts w:ascii="Times New Roman" w:eastAsia="Times New Roman" w:hAnsi="Times New Roman" w:cs="Times New Roman"/>
                      <w:color w:val="000000"/>
                      <w:sz w:val="18"/>
                      <w:szCs w:val="18"/>
                      <w:lang w:eastAsia="pl-PL"/>
                    </w:rPr>
                  </w:pPr>
                  <w:r w:rsidRPr="008A3FA9">
                    <w:rPr>
                      <w:rFonts w:ascii="Times New Roman" w:hAnsi="Times New Roman" w:cs="Times New Roman"/>
                      <w:color w:val="000000"/>
                      <w:sz w:val="18"/>
                      <w:szCs w:val="18"/>
                    </w:rPr>
                    <w:t>92,02</w:t>
                  </w:r>
                </w:p>
              </w:tc>
              <w:tc>
                <w:tcPr>
                  <w:tcW w:w="698" w:type="dxa"/>
                  <w:tcBorders>
                    <w:top w:val="nil"/>
                    <w:left w:val="nil"/>
                    <w:bottom w:val="single" w:sz="4" w:space="0" w:color="auto"/>
                    <w:right w:val="single" w:sz="4" w:space="0" w:color="auto"/>
                  </w:tcBorders>
                  <w:shd w:val="clear" w:color="000000" w:fill="FFFFFF"/>
                  <w:vAlign w:val="center"/>
                </w:tcPr>
                <w:p w14:paraId="38F0A8B5" w14:textId="77777777" w:rsidR="00217523" w:rsidRPr="008A3FA9" w:rsidRDefault="00217523" w:rsidP="00067989">
                  <w:pPr>
                    <w:spacing w:before="60" w:after="60"/>
                    <w:ind w:left="71" w:hanging="71"/>
                    <w:jc w:val="center"/>
                    <w:rPr>
                      <w:rFonts w:ascii="Times New Roman" w:eastAsia="Times New Roman" w:hAnsi="Times New Roman" w:cs="Times New Roman"/>
                      <w:color w:val="000000"/>
                      <w:sz w:val="18"/>
                      <w:szCs w:val="18"/>
                      <w:lang w:eastAsia="pl-PL"/>
                    </w:rPr>
                  </w:pPr>
                  <w:r w:rsidRPr="008A3FA9">
                    <w:rPr>
                      <w:rFonts w:ascii="Times New Roman" w:hAnsi="Times New Roman" w:cs="Times New Roman"/>
                      <w:color w:val="000000"/>
                      <w:sz w:val="18"/>
                      <w:szCs w:val="18"/>
                    </w:rPr>
                    <w:t>1</w:t>
                  </w:r>
                  <w:r w:rsidR="001C0219" w:rsidRPr="008A3FA9">
                    <w:rPr>
                      <w:rFonts w:ascii="Times New Roman" w:hAnsi="Times New Roman" w:cs="Times New Roman"/>
                      <w:color w:val="000000"/>
                      <w:sz w:val="18"/>
                      <w:szCs w:val="18"/>
                    </w:rPr>
                    <w:t>10,41</w:t>
                  </w:r>
                </w:p>
              </w:tc>
              <w:tc>
                <w:tcPr>
                  <w:tcW w:w="698" w:type="dxa"/>
                  <w:tcBorders>
                    <w:top w:val="nil"/>
                    <w:left w:val="nil"/>
                    <w:bottom w:val="single" w:sz="4" w:space="0" w:color="auto"/>
                    <w:right w:val="single" w:sz="4" w:space="0" w:color="auto"/>
                  </w:tcBorders>
                  <w:shd w:val="clear" w:color="000000" w:fill="FFFFFF"/>
                  <w:vAlign w:val="center"/>
                </w:tcPr>
                <w:p w14:paraId="038505CB" w14:textId="77777777" w:rsidR="00217523" w:rsidRPr="008A3FA9" w:rsidRDefault="00217523" w:rsidP="00067989">
                  <w:pPr>
                    <w:spacing w:before="60" w:after="60"/>
                    <w:ind w:left="71" w:hanging="71"/>
                    <w:jc w:val="center"/>
                    <w:rPr>
                      <w:rFonts w:ascii="Times New Roman" w:eastAsia="Times New Roman" w:hAnsi="Times New Roman" w:cs="Times New Roman"/>
                      <w:color w:val="000000"/>
                      <w:sz w:val="18"/>
                      <w:szCs w:val="18"/>
                      <w:lang w:eastAsia="pl-PL"/>
                    </w:rPr>
                  </w:pPr>
                  <w:r w:rsidRPr="008A3FA9">
                    <w:rPr>
                      <w:rFonts w:ascii="Times New Roman" w:hAnsi="Times New Roman" w:cs="Times New Roman"/>
                      <w:color w:val="000000"/>
                      <w:sz w:val="18"/>
                      <w:szCs w:val="18"/>
                    </w:rPr>
                    <w:t>135,67</w:t>
                  </w:r>
                </w:p>
              </w:tc>
              <w:tc>
                <w:tcPr>
                  <w:tcW w:w="698" w:type="dxa"/>
                  <w:tcBorders>
                    <w:top w:val="nil"/>
                    <w:left w:val="nil"/>
                    <w:bottom w:val="single" w:sz="4" w:space="0" w:color="auto"/>
                    <w:right w:val="single" w:sz="4" w:space="0" w:color="auto"/>
                  </w:tcBorders>
                  <w:shd w:val="clear" w:color="000000" w:fill="FFFFFF"/>
                  <w:vAlign w:val="center"/>
                </w:tcPr>
                <w:p w14:paraId="213BEEA7" w14:textId="77777777" w:rsidR="00217523" w:rsidRPr="008A3FA9" w:rsidRDefault="00217523" w:rsidP="00284114">
                  <w:pPr>
                    <w:spacing w:before="60" w:after="60"/>
                    <w:ind w:left="71" w:hanging="71"/>
                    <w:jc w:val="center"/>
                    <w:rPr>
                      <w:rFonts w:ascii="Times New Roman" w:eastAsia="Times New Roman" w:hAnsi="Times New Roman" w:cs="Times New Roman"/>
                      <w:color w:val="000000"/>
                      <w:sz w:val="18"/>
                      <w:szCs w:val="18"/>
                      <w:lang w:eastAsia="pl-PL"/>
                    </w:rPr>
                  </w:pPr>
                  <w:r w:rsidRPr="008A3FA9">
                    <w:rPr>
                      <w:rFonts w:ascii="Times New Roman" w:hAnsi="Times New Roman" w:cs="Times New Roman"/>
                      <w:color w:val="000000"/>
                      <w:sz w:val="18"/>
                      <w:szCs w:val="18"/>
                    </w:rPr>
                    <w:t>153,55</w:t>
                  </w:r>
                </w:p>
              </w:tc>
              <w:tc>
                <w:tcPr>
                  <w:tcW w:w="651" w:type="dxa"/>
                  <w:tcBorders>
                    <w:top w:val="nil"/>
                    <w:left w:val="nil"/>
                    <w:bottom w:val="single" w:sz="4" w:space="0" w:color="auto"/>
                    <w:right w:val="single" w:sz="4" w:space="0" w:color="auto"/>
                  </w:tcBorders>
                  <w:shd w:val="clear" w:color="000000" w:fill="FFFFFF"/>
                  <w:vAlign w:val="center"/>
                </w:tcPr>
                <w:p w14:paraId="133F2F19" w14:textId="77777777" w:rsidR="00217523" w:rsidRPr="008A3FA9" w:rsidRDefault="00217523" w:rsidP="00284114">
                  <w:pPr>
                    <w:spacing w:before="60" w:after="60"/>
                    <w:ind w:left="71" w:hanging="71"/>
                    <w:jc w:val="center"/>
                    <w:rPr>
                      <w:rFonts w:ascii="Times New Roman" w:eastAsia="Times New Roman" w:hAnsi="Times New Roman" w:cs="Times New Roman"/>
                      <w:color w:val="000000"/>
                      <w:sz w:val="18"/>
                      <w:szCs w:val="18"/>
                      <w:lang w:eastAsia="pl-PL"/>
                    </w:rPr>
                  </w:pPr>
                  <w:r w:rsidRPr="008A3FA9">
                    <w:rPr>
                      <w:rFonts w:ascii="Times New Roman" w:hAnsi="Times New Roman" w:cs="Times New Roman"/>
                      <w:color w:val="000000"/>
                      <w:sz w:val="18"/>
                      <w:szCs w:val="18"/>
                    </w:rPr>
                    <w:t>171,43</w:t>
                  </w:r>
                </w:p>
              </w:tc>
              <w:tc>
                <w:tcPr>
                  <w:tcW w:w="698" w:type="dxa"/>
                  <w:tcBorders>
                    <w:top w:val="nil"/>
                    <w:left w:val="nil"/>
                    <w:bottom w:val="single" w:sz="4" w:space="0" w:color="auto"/>
                    <w:right w:val="single" w:sz="4" w:space="0" w:color="auto"/>
                  </w:tcBorders>
                  <w:shd w:val="clear" w:color="000000" w:fill="FFFFFF"/>
                  <w:vAlign w:val="center"/>
                </w:tcPr>
                <w:p w14:paraId="79FE8EEC" w14:textId="77777777" w:rsidR="00217523" w:rsidRPr="008A3FA9" w:rsidRDefault="00217523" w:rsidP="00284114">
                  <w:pPr>
                    <w:spacing w:before="60" w:after="60"/>
                    <w:ind w:left="71" w:hanging="71"/>
                    <w:jc w:val="center"/>
                    <w:rPr>
                      <w:rFonts w:ascii="Times New Roman" w:eastAsia="Times New Roman" w:hAnsi="Times New Roman" w:cs="Times New Roman"/>
                      <w:color w:val="000000"/>
                      <w:sz w:val="18"/>
                      <w:szCs w:val="18"/>
                      <w:lang w:eastAsia="pl-PL"/>
                    </w:rPr>
                  </w:pPr>
                  <w:r w:rsidRPr="008A3FA9">
                    <w:rPr>
                      <w:rFonts w:ascii="Times New Roman" w:hAnsi="Times New Roman" w:cs="Times New Roman"/>
                      <w:color w:val="000000"/>
                      <w:sz w:val="18"/>
                      <w:szCs w:val="18"/>
                    </w:rPr>
                    <w:t>178,59</w:t>
                  </w:r>
                </w:p>
              </w:tc>
              <w:tc>
                <w:tcPr>
                  <w:tcW w:w="531" w:type="dxa"/>
                  <w:tcBorders>
                    <w:top w:val="nil"/>
                    <w:left w:val="nil"/>
                    <w:bottom w:val="single" w:sz="4" w:space="0" w:color="auto"/>
                    <w:right w:val="single" w:sz="4" w:space="0" w:color="auto"/>
                  </w:tcBorders>
                  <w:shd w:val="clear" w:color="000000" w:fill="FFFFFF"/>
                  <w:vAlign w:val="center"/>
                </w:tcPr>
                <w:p w14:paraId="35BDE075" w14:textId="77777777" w:rsidR="00217523" w:rsidRPr="008A3FA9" w:rsidRDefault="001C0219" w:rsidP="00284114">
                  <w:pPr>
                    <w:spacing w:before="60" w:after="60"/>
                    <w:ind w:left="71" w:hanging="71"/>
                    <w:jc w:val="center"/>
                    <w:rPr>
                      <w:rFonts w:ascii="Times New Roman" w:eastAsia="Times New Roman" w:hAnsi="Times New Roman" w:cs="Times New Roman"/>
                      <w:color w:val="000000"/>
                      <w:sz w:val="18"/>
                      <w:szCs w:val="18"/>
                      <w:lang w:eastAsia="pl-PL"/>
                    </w:rPr>
                  </w:pPr>
                  <w:r w:rsidRPr="008A3FA9">
                    <w:rPr>
                      <w:rFonts w:ascii="Times New Roman" w:hAnsi="Times New Roman" w:cs="Times New Roman"/>
                      <w:color w:val="000000"/>
                      <w:sz w:val="18"/>
                      <w:szCs w:val="18"/>
                    </w:rPr>
                    <w:t>193</w:t>
                  </w:r>
                </w:p>
              </w:tc>
              <w:tc>
                <w:tcPr>
                  <w:tcW w:w="755" w:type="dxa"/>
                  <w:tcBorders>
                    <w:top w:val="nil"/>
                    <w:left w:val="nil"/>
                    <w:bottom w:val="single" w:sz="4" w:space="0" w:color="auto"/>
                    <w:right w:val="single" w:sz="4" w:space="0" w:color="auto"/>
                  </w:tcBorders>
                  <w:shd w:val="clear" w:color="000000" w:fill="FFFFFF"/>
                  <w:vAlign w:val="center"/>
                </w:tcPr>
                <w:p w14:paraId="5058B18F" w14:textId="77777777" w:rsidR="00217523" w:rsidRPr="008A3FA9" w:rsidRDefault="00217523" w:rsidP="008A3FA9">
                  <w:pPr>
                    <w:spacing w:before="60" w:after="60"/>
                    <w:ind w:left="-44" w:right="-55" w:firstLine="44"/>
                    <w:jc w:val="center"/>
                    <w:rPr>
                      <w:rFonts w:ascii="Times New Roman" w:eastAsia="Times New Roman" w:hAnsi="Times New Roman" w:cs="Times New Roman"/>
                      <w:color w:val="000000"/>
                      <w:sz w:val="18"/>
                      <w:szCs w:val="18"/>
                      <w:lang w:eastAsia="pl-PL"/>
                    </w:rPr>
                  </w:pPr>
                  <w:r w:rsidRPr="008A3FA9">
                    <w:rPr>
                      <w:rFonts w:ascii="Times New Roman" w:hAnsi="Times New Roman" w:cs="Times New Roman"/>
                      <w:color w:val="000000"/>
                      <w:sz w:val="18"/>
                      <w:szCs w:val="18"/>
                    </w:rPr>
                    <w:t>1</w:t>
                  </w:r>
                  <w:r w:rsidR="00AB04E9">
                    <w:rPr>
                      <w:rFonts w:ascii="Times New Roman" w:hAnsi="Times New Roman" w:cs="Times New Roman"/>
                      <w:color w:val="000000"/>
                      <w:sz w:val="18"/>
                      <w:szCs w:val="18"/>
                    </w:rPr>
                    <w:t xml:space="preserve"> </w:t>
                  </w:r>
                  <w:r w:rsidRPr="008A3FA9">
                    <w:rPr>
                      <w:rFonts w:ascii="Times New Roman" w:hAnsi="Times New Roman" w:cs="Times New Roman"/>
                      <w:color w:val="000000"/>
                      <w:sz w:val="18"/>
                      <w:szCs w:val="18"/>
                    </w:rPr>
                    <w:t xml:space="preserve">146,69 </w:t>
                  </w:r>
                </w:p>
              </w:tc>
            </w:tr>
          </w:tbl>
          <w:p w14:paraId="2D0B7476" w14:textId="77777777" w:rsidR="00F8742C" w:rsidRPr="00067989" w:rsidRDefault="00F8742C" w:rsidP="008A3FA9">
            <w:p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 xml:space="preserve">Do wyliczenia rocznych kwot dotacji dla OSR wykorzystano założenia następujące: </w:t>
            </w:r>
          </w:p>
          <w:p w14:paraId="2B7F99FA" w14:textId="77777777" w:rsidR="00F8742C" w:rsidRPr="00067989" w:rsidRDefault="004B2BEF" w:rsidP="008A3FA9">
            <w:pPr>
              <w:numPr>
                <w:ilvl w:val="0"/>
                <w:numId w:val="24"/>
              </w:num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p</w:t>
            </w:r>
            <w:r w:rsidR="00F8742C" w:rsidRPr="00067989">
              <w:rPr>
                <w:rFonts w:ascii="Times New Roman" w:hAnsi="Times New Roman" w:cs="Times New Roman"/>
                <w:color w:val="000000" w:themeColor="text1"/>
              </w:rPr>
              <w:t>lanowany wolumen transferów danych zrealizowanych w wyniku dostarczenia korespondencji elektronicznej od podmiotów niepublicznych do podmiotów publicznych z</w:t>
            </w:r>
            <w:r w:rsidR="00AB04E9">
              <w:rPr>
                <w:rFonts w:ascii="Times New Roman" w:hAnsi="Times New Roman" w:cs="Times New Roman"/>
                <w:color w:val="000000" w:themeColor="text1"/>
              </w:rPr>
              <w:t xml:space="preserve"> </w:t>
            </w:r>
            <w:r w:rsidR="00F8742C" w:rsidRPr="00067989">
              <w:rPr>
                <w:rFonts w:ascii="Times New Roman" w:hAnsi="Times New Roman" w:cs="Times New Roman"/>
                <w:color w:val="000000" w:themeColor="text1"/>
              </w:rPr>
              <w:t>wykorzystaniem e-Doręczenia 193 mln/rok</w:t>
            </w:r>
            <w:r w:rsidRPr="00067989">
              <w:rPr>
                <w:rFonts w:ascii="Times New Roman" w:hAnsi="Times New Roman" w:cs="Times New Roman"/>
                <w:color w:val="000000" w:themeColor="text1"/>
              </w:rPr>
              <w:t>;</w:t>
            </w:r>
          </w:p>
          <w:p w14:paraId="5942CDC2" w14:textId="77777777" w:rsidR="00F8742C" w:rsidRPr="00067989" w:rsidRDefault="004B2BEF" w:rsidP="008A3FA9">
            <w:pPr>
              <w:numPr>
                <w:ilvl w:val="0"/>
                <w:numId w:val="24"/>
              </w:num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s</w:t>
            </w:r>
            <w:r w:rsidR="00F8742C" w:rsidRPr="00067989">
              <w:rPr>
                <w:rFonts w:ascii="Times New Roman" w:hAnsi="Times New Roman" w:cs="Times New Roman"/>
                <w:color w:val="000000" w:themeColor="text1"/>
              </w:rPr>
              <w:t>zacunki stałych kosztów jednostkowych tego transferu w wysokości 2 zł bez VAT</w:t>
            </w:r>
            <w:r w:rsidRPr="00067989">
              <w:rPr>
                <w:rFonts w:ascii="Times New Roman" w:hAnsi="Times New Roman" w:cs="Times New Roman"/>
                <w:color w:val="000000" w:themeColor="text1"/>
              </w:rPr>
              <w:t>;</w:t>
            </w:r>
          </w:p>
          <w:p w14:paraId="72DC5F52" w14:textId="77777777" w:rsidR="00F8742C" w:rsidRPr="00284114" w:rsidRDefault="004B2BEF" w:rsidP="008A3FA9">
            <w:pPr>
              <w:numPr>
                <w:ilvl w:val="0"/>
                <w:numId w:val="24"/>
              </w:numPr>
              <w:spacing w:before="60" w:after="60"/>
              <w:jc w:val="both"/>
              <w:rPr>
                <w:rFonts w:ascii="Times New Roman" w:hAnsi="Times New Roman" w:cs="Times New Roman"/>
                <w:color w:val="000000" w:themeColor="text1"/>
              </w:rPr>
            </w:pPr>
            <w:r w:rsidRPr="00284114">
              <w:rPr>
                <w:rFonts w:ascii="Times New Roman" w:hAnsi="Times New Roman" w:cs="Times New Roman"/>
                <w:color w:val="000000" w:themeColor="text1"/>
              </w:rPr>
              <w:t>e</w:t>
            </w:r>
            <w:r w:rsidR="00F8742C" w:rsidRPr="00284114">
              <w:rPr>
                <w:rFonts w:ascii="Times New Roman" w:hAnsi="Times New Roman" w:cs="Times New Roman"/>
                <w:color w:val="000000" w:themeColor="text1"/>
              </w:rPr>
              <w:t xml:space="preserve">lektronizacja wolumenu podmiotów niepublicznych przedstawiona w </w:t>
            </w:r>
            <w:r w:rsidRPr="00284114">
              <w:rPr>
                <w:rFonts w:ascii="Times New Roman" w:hAnsi="Times New Roman" w:cs="Times New Roman"/>
                <w:color w:val="000000" w:themeColor="text1"/>
              </w:rPr>
              <w:t>pkt</w:t>
            </w:r>
            <w:r w:rsidR="00F8742C" w:rsidRPr="00284114">
              <w:rPr>
                <w:rFonts w:ascii="Times New Roman" w:hAnsi="Times New Roman" w:cs="Times New Roman"/>
                <w:color w:val="000000" w:themeColor="text1"/>
              </w:rPr>
              <w:t xml:space="preserve"> 5</w:t>
            </w:r>
            <w:r w:rsidRPr="00284114">
              <w:rPr>
                <w:rFonts w:ascii="Times New Roman" w:hAnsi="Times New Roman" w:cs="Times New Roman"/>
                <w:color w:val="000000" w:themeColor="text1"/>
              </w:rPr>
              <w:t>.</w:t>
            </w:r>
          </w:p>
          <w:p w14:paraId="0B41B072" w14:textId="77777777" w:rsidR="00DB0B02" w:rsidRPr="000E2DF4" w:rsidRDefault="00DB0B02" w:rsidP="008A3FA9">
            <w:pPr>
              <w:pStyle w:val="Akapitzlist"/>
              <w:numPr>
                <w:ilvl w:val="0"/>
                <w:numId w:val="4"/>
              </w:numPr>
              <w:spacing w:before="60" w:after="60"/>
              <w:jc w:val="both"/>
              <w:rPr>
                <w:rFonts w:ascii="Times New Roman" w:hAnsi="Times New Roman" w:cs="Times New Roman"/>
                <w:color w:val="000000" w:themeColor="text1"/>
                <w:u w:val="single"/>
              </w:rPr>
            </w:pPr>
            <w:r w:rsidRPr="000E2DF4">
              <w:rPr>
                <w:rFonts w:ascii="Times New Roman" w:hAnsi="Times New Roman" w:cs="Times New Roman"/>
                <w:color w:val="000000" w:themeColor="text1"/>
                <w:u w:val="single"/>
              </w:rPr>
              <w:t>Szacowana oszczędność podmiotów publicznych</w:t>
            </w:r>
            <w:r w:rsidR="004B2BEF" w:rsidRPr="000E2DF4">
              <w:rPr>
                <w:rFonts w:ascii="Times New Roman" w:hAnsi="Times New Roman" w:cs="Times New Roman"/>
                <w:color w:val="000000" w:themeColor="text1"/>
                <w:u w:val="single"/>
              </w:rPr>
              <w:t>.</w:t>
            </w:r>
          </w:p>
          <w:p w14:paraId="721ACF5E" w14:textId="77777777" w:rsidR="00DB0B02" w:rsidRPr="000E2DF4" w:rsidRDefault="00DB0B02" w:rsidP="008A3FA9">
            <w:pPr>
              <w:spacing w:before="60" w:after="60"/>
              <w:jc w:val="both"/>
              <w:rPr>
                <w:rFonts w:ascii="Times New Roman" w:hAnsi="Times New Roman" w:cs="Times New Roman"/>
                <w:color w:val="000000" w:themeColor="text1"/>
              </w:rPr>
            </w:pPr>
            <w:r w:rsidRPr="000E2DF4">
              <w:rPr>
                <w:rFonts w:ascii="Times New Roman" w:hAnsi="Times New Roman" w:cs="Times New Roman"/>
                <w:color w:val="000000" w:themeColor="text1"/>
              </w:rPr>
              <w:t>Przygotowanie wysyłki papierowej wymaga realizacji następujących czynności kancelaryjnych:</w:t>
            </w:r>
          </w:p>
          <w:p w14:paraId="09922DB5" w14:textId="77777777" w:rsidR="00DB0B02" w:rsidRPr="000E2DF4" w:rsidRDefault="00DB0B02" w:rsidP="008A3FA9">
            <w:pPr>
              <w:pStyle w:val="Akapitzlist"/>
              <w:numPr>
                <w:ilvl w:val="0"/>
                <w:numId w:val="15"/>
              </w:numPr>
              <w:spacing w:before="60" w:after="60"/>
              <w:jc w:val="both"/>
              <w:rPr>
                <w:rFonts w:ascii="Times New Roman" w:hAnsi="Times New Roman" w:cs="Times New Roman"/>
                <w:color w:val="000000" w:themeColor="text1"/>
              </w:rPr>
            </w:pPr>
            <w:r w:rsidRPr="000E2DF4">
              <w:rPr>
                <w:rFonts w:ascii="Times New Roman" w:hAnsi="Times New Roman" w:cs="Times New Roman"/>
                <w:color w:val="000000" w:themeColor="text1"/>
              </w:rPr>
              <w:t>wydrukowanie,</w:t>
            </w:r>
          </w:p>
          <w:p w14:paraId="47F0233D" w14:textId="77777777" w:rsidR="00DB0B02" w:rsidRPr="000E2DF4" w:rsidRDefault="00DB0B02" w:rsidP="008A3FA9">
            <w:pPr>
              <w:pStyle w:val="Akapitzlist"/>
              <w:numPr>
                <w:ilvl w:val="0"/>
                <w:numId w:val="15"/>
              </w:numPr>
              <w:spacing w:before="60" w:after="60"/>
              <w:jc w:val="both"/>
              <w:rPr>
                <w:rFonts w:ascii="Times New Roman" w:hAnsi="Times New Roman" w:cs="Times New Roman"/>
                <w:color w:val="000000" w:themeColor="text1"/>
              </w:rPr>
            </w:pPr>
            <w:r w:rsidRPr="000E2DF4">
              <w:rPr>
                <w:rFonts w:ascii="Times New Roman" w:hAnsi="Times New Roman" w:cs="Times New Roman"/>
                <w:color w:val="000000" w:themeColor="text1"/>
              </w:rPr>
              <w:t>przekazanie do podpisania,</w:t>
            </w:r>
          </w:p>
          <w:p w14:paraId="6284B49F" w14:textId="77777777" w:rsidR="00DB0B02" w:rsidRPr="00E42D6D" w:rsidRDefault="00DB0B02" w:rsidP="008A3FA9">
            <w:pPr>
              <w:pStyle w:val="Akapitzlist"/>
              <w:numPr>
                <w:ilvl w:val="0"/>
                <w:numId w:val="15"/>
              </w:numPr>
              <w:spacing w:before="60" w:after="60"/>
              <w:jc w:val="both"/>
              <w:rPr>
                <w:rFonts w:ascii="Times New Roman" w:hAnsi="Times New Roman" w:cs="Times New Roman"/>
                <w:color w:val="000000" w:themeColor="text1"/>
              </w:rPr>
            </w:pPr>
            <w:r w:rsidRPr="00E42D6D">
              <w:rPr>
                <w:rFonts w:ascii="Times New Roman" w:hAnsi="Times New Roman" w:cs="Times New Roman"/>
                <w:color w:val="000000" w:themeColor="text1"/>
              </w:rPr>
              <w:t>przekazanie do wysyłki,</w:t>
            </w:r>
          </w:p>
          <w:p w14:paraId="18123352" w14:textId="77777777" w:rsidR="00DB0B02" w:rsidRPr="00E42D6D" w:rsidRDefault="00DB0B02" w:rsidP="008A3FA9">
            <w:pPr>
              <w:pStyle w:val="Akapitzlist"/>
              <w:numPr>
                <w:ilvl w:val="0"/>
                <w:numId w:val="15"/>
              </w:numPr>
              <w:spacing w:before="60" w:after="60"/>
              <w:jc w:val="both"/>
              <w:rPr>
                <w:rFonts w:ascii="Times New Roman" w:hAnsi="Times New Roman" w:cs="Times New Roman"/>
                <w:color w:val="000000" w:themeColor="text1"/>
              </w:rPr>
            </w:pPr>
            <w:r w:rsidRPr="00E42D6D">
              <w:rPr>
                <w:rFonts w:ascii="Times New Roman" w:hAnsi="Times New Roman" w:cs="Times New Roman"/>
                <w:color w:val="000000" w:themeColor="text1"/>
              </w:rPr>
              <w:t>kopertowanie,</w:t>
            </w:r>
          </w:p>
          <w:p w14:paraId="0D47986D" w14:textId="77777777" w:rsidR="00DB0B02" w:rsidRPr="007F0EC5" w:rsidRDefault="00DB0B02" w:rsidP="008A3FA9">
            <w:pPr>
              <w:pStyle w:val="Akapitzlist"/>
              <w:numPr>
                <w:ilvl w:val="0"/>
                <w:numId w:val="15"/>
              </w:numPr>
              <w:spacing w:before="60" w:after="60"/>
              <w:jc w:val="both"/>
              <w:rPr>
                <w:rFonts w:ascii="Times New Roman" w:hAnsi="Times New Roman" w:cs="Times New Roman"/>
                <w:color w:val="000000" w:themeColor="text1"/>
              </w:rPr>
            </w:pPr>
            <w:r w:rsidRPr="00E42D6D">
              <w:rPr>
                <w:rFonts w:ascii="Times New Roman" w:hAnsi="Times New Roman" w:cs="Times New Roman"/>
                <w:color w:val="000000" w:themeColor="text1"/>
              </w:rPr>
              <w:t>obsługa nadania (wypełnienie książki nadawczej, etc.)</w:t>
            </w:r>
            <w:r w:rsidR="004B2BEF" w:rsidRPr="007F0EC5">
              <w:rPr>
                <w:rFonts w:ascii="Times New Roman" w:hAnsi="Times New Roman" w:cs="Times New Roman"/>
                <w:color w:val="000000" w:themeColor="text1"/>
              </w:rPr>
              <w:t>,</w:t>
            </w:r>
          </w:p>
          <w:p w14:paraId="0EAF3397" w14:textId="77777777" w:rsidR="00DB0B02" w:rsidRPr="00080920" w:rsidRDefault="00DB0B02" w:rsidP="008A3FA9">
            <w:pPr>
              <w:pStyle w:val="Akapitzlist"/>
              <w:numPr>
                <w:ilvl w:val="0"/>
                <w:numId w:val="15"/>
              </w:numPr>
              <w:spacing w:before="60" w:after="60"/>
              <w:jc w:val="both"/>
              <w:rPr>
                <w:rFonts w:ascii="Times New Roman" w:hAnsi="Times New Roman" w:cs="Times New Roman"/>
                <w:color w:val="000000" w:themeColor="text1"/>
              </w:rPr>
            </w:pPr>
            <w:r w:rsidRPr="00080920">
              <w:rPr>
                <w:rFonts w:ascii="Times New Roman" w:hAnsi="Times New Roman" w:cs="Times New Roman"/>
                <w:color w:val="000000" w:themeColor="text1"/>
              </w:rPr>
              <w:t>odebranie dowodu doręczenia i włączenie do akt sprawy.</w:t>
            </w:r>
          </w:p>
          <w:p w14:paraId="725ADEDA" w14:textId="77777777" w:rsidR="00DB0B02" w:rsidRPr="00067989" w:rsidRDefault="00DB0B02" w:rsidP="008A3FA9">
            <w:p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Na koszt tych czynności składają się koszty wydruku oraz koszty czasu pracy, które nie wystąpią w przypadku przesyłki elektronicznej.</w:t>
            </w:r>
          </w:p>
          <w:p w14:paraId="23243779" w14:textId="77777777" w:rsidR="00DB0B02" w:rsidRPr="00067989" w:rsidRDefault="00DB0B02" w:rsidP="008A3FA9">
            <w:p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Przyjmując, że:</w:t>
            </w:r>
          </w:p>
          <w:p w14:paraId="3F70F48C" w14:textId="77777777" w:rsidR="00DB0B02" w:rsidRPr="00067989" w:rsidRDefault="00DB0B02" w:rsidP="008A3FA9">
            <w:pPr>
              <w:pStyle w:val="Akapitzlist"/>
              <w:numPr>
                <w:ilvl w:val="0"/>
                <w:numId w:val="14"/>
              </w:num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koszt wydruku 4 stron pisma czarno-biały wynosi 12 groszy,</w:t>
            </w:r>
          </w:p>
          <w:p w14:paraId="6B6285A9" w14:textId="77777777" w:rsidR="00DB0B02" w:rsidRPr="00067989" w:rsidRDefault="00DB0B02" w:rsidP="008A3FA9">
            <w:pPr>
              <w:pStyle w:val="Akapitzlist"/>
              <w:numPr>
                <w:ilvl w:val="0"/>
                <w:numId w:val="14"/>
              </w:num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jedna przesyłka zawiera średnio 2 strony</w:t>
            </w:r>
            <w:r w:rsidR="004B2BEF" w:rsidRPr="00067989">
              <w:rPr>
                <w:rFonts w:ascii="Times New Roman" w:hAnsi="Times New Roman" w:cs="Times New Roman"/>
                <w:color w:val="000000" w:themeColor="text1"/>
              </w:rPr>
              <w:t>,</w:t>
            </w:r>
            <w:r w:rsidRPr="00067989">
              <w:rPr>
                <w:rFonts w:ascii="Times New Roman" w:hAnsi="Times New Roman" w:cs="Times New Roman"/>
                <w:color w:val="000000" w:themeColor="text1"/>
              </w:rPr>
              <w:t xml:space="preserve"> w tym konieczność wydruku dwóch egzemplarzy (jeden zamieszcza się w aktach sprawy),</w:t>
            </w:r>
          </w:p>
          <w:p w14:paraId="3DAE8654" w14:textId="77777777" w:rsidR="00DB0B02" w:rsidRPr="00067989" w:rsidRDefault="00DB0B02" w:rsidP="008A3FA9">
            <w:pPr>
              <w:pStyle w:val="Akapitzlist"/>
              <w:numPr>
                <w:ilvl w:val="0"/>
                <w:numId w:val="14"/>
              </w:num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koszt koperty wynosi 9 gr,</w:t>
            </w:r>
          </w:p>
          <w:p w14:paraId="6B640793" w14:textId="77777777" w:rsidR="00DB0B02" w:rsidRPr="00067989" w:rsidRDefault="00DB0B02" w:rsidP="008A3FA9">
            <w:pPr>
              <w:pStyle w:val="Akapitzlist"/>
              <w:numPr>
                <w:ilvl w:val="0"/>
                <w:numId w:val="14"/>
              </w:num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koszt papieru 11 gr</w:t>
            </w:r>
            <w:r w:rsidR="004B2BEF" w:rsidRPr="00067989">
              <w:rPr>
                <w:rFonts w:ascii="Times New Roman" w:hAnsi="Times New Roman" w:cs="Times New Roman"/>
                <w:color w:val="000000" w:themeColor="text1"/>
              </w:rPr>
              <w:t>,</w:t>
            </w:r>
          </w:p>
          <w:p w14:paraId="7783820B" w14:textId="77777777" w:rsidR="00DB0B02" w:rsidRPr="00067989" w:rsidRDefault="00DB0B02" w:rsidP="008A3FA9">
            <w:pPr>
              <w:pStyle w:val="Akapitzlist"/>
              <w:numPr>
                <w:ilvl w:val="0"/>
                <w:numId w:val="14"/>
              </w:num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koszt utrzymania urządzeń drukujących w przeliczeniu na wydruk 4 stron wynosi 47 gr,</w:t>
            </w:r>
          </w:p>
          <w:p w14:paraId="0B20D2B7" w14:textId="77777777" w:rsidR="00DB0B02" w:rsidRPr="00067989" w:rsidRDefault="00DB0B02" w:rsidP="008A3FA9">
            <w:pPr>
              <w:pStyle w:val="Akapitzlist"/>
              <w:numPr>
                <w:ilvl w:val="0"/>
                <w:numId w:val="14"/>
              </w:num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średni czas pracy poświęcony obsłudze jednej przesyłki w postaci papierowej uwzględniając wymienione powyżej czynności kancelaryjne wynosi 5 minut,</w:t>
            </w:r>
          </w:p>
          <w:p w14:paraId="05406D8F" w14:textId="77777777" w:rsidR="00DB0B02" w:rsidRPr="00067989" w:rsidRDefault="00DB0B02" w:rsidP="008A3FA9">
            <w:pPr>
              <w:pStyle w:val="Akapitzlist"/>
              <w:numPr>
                <w:ilvl w:val="0"/>
                <w:numId w:val="14"/>
              </w:num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wynagrodzenie miesięczne pracownika zatrudnionego w sektorze publicznym przy operacjach logistyki nadania wynosi 2500 zł brutto,</w:t>
            </w:r>
          </w:p>
          <w:p w14:paraId="13B7A779" w14:textId="77777777" w:rsidR="00DB0B02" w:rsidRPr="00067989" w:rsidRDefault="00DB0B02" w:rsidP="008A3FA9">
            <w:pPr>
              <w:pStyle w:val="Akapitzlist"/>
              <w:numPr>
                <w:ilvl w:val="0"/>
                <w:numId w:val="14"/>
              </w:num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 xml:space="preserve">jednostkowy koszt pracy logistyki nadania wynikający z </w:t>
            </w:r>
            <w:r w:rsidR="004B2BEF" w:rsidRPr="00067989">
              <w:rPr>
                <w:rFonts w:ascii="Times New Roman" w:hAnsi="Times New Roman" w:cs="Times New Roman"/>
                <w:color w:val="000000" w:themeColor="text1"/>
              </w:rPr>
              <w:t xml:space="preserve">lit. </w:t>
            </w:r>
            <w:r w:rsidRPr="00067989">
              <w:rPr>
                <w:rFonts w:ascii="Times New Roman" w:hAnsi="Times New Roman" w:cs="Times New Roman"/>
                <w:color w:val="000000" w:themeColor="text1"/>
              </w:rPr>
              <w:t xml:space="preserve">f </w:t>
            </w:r>
            <w:r w:rsidR="004B2BEF" w:rsidRPr="00067989">
              <w:rPr>
                <w:rFonts w:ascii="Times New Roman" w:hAnsi="Times New Roman" w:cs="Times New Roman"/>
                <w:color w:val="000000" w:themeColor="text1"/>
              </w:rPr>
              <w:t xml:space="preserve">oraz </w:t>
            </w:r>
            <w:r w:rsidRPr="00067989">
              <w:rPr>
                <w:rFonts w:ascii="Times New Roman" w:hAnsi="Times New Roman" w:cs="Times New Roman"/>
                <w:color w:val="000000" w:themeColor="text1"/>
              </w:rPr>
              <w:t>g wynosi 1,24 zł.</w:t>
            </w:r>
          </w:p>
          <w:p w14:paraId="07A079FE" w14:textId="03307454" w:rsidR="00DB0B02" w:rsidRPr="00E42D6D" w:rsidRDefault="00DB0B02" w:rsidP="00E42D6D">
            <w:p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 xml:space="preserve">Łączny średni koszt przygotowania przesyłki przez podmiot publiczny dla przyjętych powyżej założeń wynosi 2,02 zł. Gdy do powyższego kosztu doliczymy średnią opłatę z tytułu obecnej realizacji przesyłki tradycyjnej z umów pocztowych na poziomie 5,35 zł uzyskamy średni </w:t>
            </w:r>
            <w:r w:rsidRPr="00067989">
              <w:rPr>
                <w:rFonts w:ascii="Times New Roman" w:hAnsi="Times New Roman" w:cs="Times New Roman"/>
                <w:color w:val="000000" w:themeColor="text1"/>
              </w:rPr>
              <w:lastRenderedPageBreak/>
              <w:t>jednostkowy koszt realizacji korespondencji 7,37 zł. Przy akceptacji rekomendowanej ceny przesyłki hybrydowej w wysokości 5,64 zł uzyskujemy oszczędność podmiotów publicznych sięgającą ok. 1,73 zł na jednej przesyłce. Oszczędność w latach 2020</w:t>
            </w:r>
            <w:r w:rsidR="00E42D6D">
              <w:rPr>
                <w:rFonts w:ascii="Times New Roman" w:hAnsi="Times New Roman" w:cs="Times New Roman"/>
                <w:color w:val="000000" w:themeColor="text1"/>
              </w:rPr>
              <w:t>–</w:t>
            </w:r>
            <w:r w:rsidRPr="00E42D6D">
              <w:rPr>
                <w:rFonts w:ascii="Times New Roman" w:hAnsi="Times New Roman" w:cs="Times New Roman"/>
                <w:color w:val="000000" w:themeColor="text1"/>
              </w:rPr>
              <w:t>2030 wynikająca z</w:t>
            </w:r>
            <w:r w:rsidR="001B514F">
              <w:rPr>
                <w:rFonts w:ascii="Times New Roman" w:hAnsi="Times New Roman" w:cs="Times New Roman"/>
                <w:color w:val="000000" w:themeColor="text1"/>
              </w:rPr>
              <w:t> </w:t>
            </w:r>
            <w:r w:rsidRPr="00E42D6D">
              <w:rPr>
                <w:rFonts w:ascii="Times New Roman" w:hAnsi="Times New Roman" w:cs="Times New Roman"/>
                <w:color w:val="000000" w:themeColor="text1"/>
              </w:rPr>
              <w:t xml:space="preserve">wprowadzenia </w:t>
            </w:r>
            <w:r w:rsidR="00C75380" w:rsidRPr="00067989">
              <w:rPr>
                <w:rFonts w:ascii="Times New Roman" w:hAnsi="Times New Roman" w:cs="Times New Roman"/>
                <w:color w:val="000000" w:themeColor="text1"/>
              </w:rPr>
              <w:t>doręczeń elektronicznych</w:t>
            </w:r>
            <w:r w:rsidR="00D97F12" w:rsidRPr="0006798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szacuje się w wysokości 1</w:t>
            </w:r>
            <w:r w:rsidR="00AB04E9">
              <w:rPr>
                <w:rFonts w:ascii="Times New Roman" w:hAnsi="Times New Roman" w:cs="Times New Roman"/>
                <w:color w:val="000000" w:themeColor="text1"/>
              </w:rPr>
              <w:t xml:space="preserve"> </w:t>
            </w:r>
            <w:r w:rsidRPr="00067989">
              <w:rPr>
                <w:rFonts w:ascii="Times New Roman" w:hAnsi="Times New Roman" w:cs="Times New Roman"/>
                <w:color w:val="000000" w:themeColor="text1"/>
              </w:rPr>
              <w:t>8</w:t>
            </w:r>
            <w:r w:rsidR="006D17D7" w:rsidRPr="00067989">
              <w:rPr>
                <w:rFonts w:ascii="Times New Roman" w:hAnsi="Times New Roman" w:cs="Times New Roman"/>
                <w:color w:val="000000" w:themeColor="text1"/>
              </w:rPr>
              <w:t>50</w:t>
            </w:r>
            <w:r w:rsidRPr="00067989">
              <w:rPr>
                <w:rFonts w:ascii="Times New Roman" w:hAnsi="Times New Roman" w:cs="Times New Roman"/>
                <w:color w:val="000000" w:themeColor="text1"/>
              </w:rPr>
              <w:t xml:space="preserve"> mln (z uwagi na przeniesienie kosztów </w:t>
            </w:r>
            <w:r w:rsidR="006D17D7" w:rsidRPr="00067989">
              <w:rPr>
                <w:rFonts w:ascii="Times New Roman" w:hAnsi="Times New Roman" w:cs="Times New Roman"/>
                <w:color w:val="000000" w:themeColor="text1"/>
              </w:rPr>
              <w:t xml:space="preserve">wydruku i nadania do operatora, </w:t>
            </w:r>
            <w:r w:rsidRPr="00067989">
              <w:rPr>
                <w:rFonts w:ascii="Times New Roman" w:hAnsi="Times New Roman" w:cs="Times New Roman"/>
                <w:color w:val="000000" w:themeColor="text1"/>
              </w:rPr>
              <w:t>bez uwzględnieni</w:t>
            </w:r>
            <w:r w:rsidR="0056117F">
              <w:rPr>
                <w:rFonts w:ascii="Times New Roman" w:hAnsi="Times New Roman" w:cs="Times New Roman"/>
                <w:color w:val="000000" w:themeColor="text1"/>
              </w:rPr>
              <w:t>a</w:t>
            </w:r>
            <w:r w:rsidRPr="00067989">
              <w:rPr>
                <w:rFonts w:ascii="Times New Roman" w:hAnsi="Times New Roman" w:cs="Times New Roman"/>
                <w:color w:val="000000" w:themeColor="text1"/>
              </w:rPr>
              <w:t xml:space="preserve"> kosztów wdrożenia</w:t>
            </w:r>
            <w:r w:rsidR="006D17D7" w:rsidRPr="00067989">
              <w:rPr>
                <w:rFonts w:ascii="Times New Roman" w:hAnsi="Times New Roman" w:cs="Times New Roman"/>
                <w:color w:val="000000" w:themeColor="text1"/>
              </w:rPr>
              <w:t xml:space="preserve"> </w:t>
            </w:r>
            <w:r w:rsidR="00E42D6D">
              <w:rPr>
                <w:rFonts w:ascii="Times New Roman" w:hAnsi="Times New Roman" w:cs="Times New Roman"/>
                <w:color w:val="000000" w:themeColor="text1"/>
              </w:rPr>
              <w:t>–</w:t>
            </w:r>
            <w:r w:rsidR="006D17D7" w:rsidRPr="00E42D6D">
              <w:rPr>
                <w:rFonts w:ascii="Times New Roman" w:hAnsi="Times New Roman" w:cs="Times New Roman"/>
                <w:color w:val="000000" w:themeColor="text1"/>
              </w:rPr>
              <w:t xml:space="preserve"> </w:t>
            </w:r>
            <w:r w:rsidRPr="00E42D6D">
              <w:rPr>
                <w:rFonts w:ascii="Times New Roman" w:hAnsi="Times New Roman" w:cs="Times New Roman"/>
                <w:color w:val="000000" w:themeColor="text1"/>
              </w:rPr>
              <w:t>te są przedstawione poniżej).</w:t>
            </w:r>
          </w:p>
          <w:p w14:paraId="3274BF1F" w14:textId="77777777" w:rsidR="00DB0B02" w:rsidRPr="00E42D6D" w:rsidRDefault="00DB0B02" w:rsidP="00E42D6D">
            <w:pPr>
              <w:spacing w:before="60" w:after="60"/>
              <w:jc w:val="both"/>
              <w:rPr>
                <w:rFonts w:ascii="Times New Roman" w:hAnsi="Times New Roman" w:cs="Times New Roman"/>
                <w:color w:val="000000" w:themeColor="text1"/>
              </w:rPr>
            </w:pPr>
            <w:r w:rsidRPr="00E42D6D">
              <w:rPr>
                <w:rFonts w:ascii="Times New Roman" w:hAnsi="Times New Roman" w:cs="Times New Roman"/>
                <w:color w:val="000000" w:themeColor="text1"/>
              </w:rPr>
              <w:t>Szacując model oszczędności w skali wieloletniej należy wskazać:</w:t>
            </w:r>
          </w:p>
          <w:p w14:paraId="43D4C46E" w14:textId="14CBDF8B" w:rsidR="00DB0B02" w:rsidRPr="00067989" w:rsidRDefault="00DB0B02" w:rsidP="00E42D6D">
            <w:pPr>
              <w:spacing w:before="60" w:after="60"/>
              <w:jc w:val="both"/>
              <w:rPr>
                <w:rFonts w:ascii="Times New Roman" w:hAnsi="Times New Roman" w:cs="Times New Roman"/>
                <w:color w:val="000000" w:themeColor="text1"/>
              </w:rPr>
            </w:pPr>
            <w:r w:rsidRPr="00E42D6D">
              <w:rPr>
                <w:rFonts w:ascii="Times New Roman" w:hAnsi="Times New Roman" w:cs="Times New Roman"/>
                <w:color w:val="000000" w:themeColor="text1"/>
              </w:rPr>
              <w:t>Gdyby projekt nie był realizowany</w:t>
            </w:r>
            <w:r w:rsidR="006549DD" w:rsidRPr="007F0EC5">
              <w:rPr>
                <w:rFonts w:ascii="Times New Roman" w:hAnsi="Times New Roman" w:cs="Times New Roman"/>
                <w:color w:val="000000" w:themeColor="text1"/>
              </w:rPr>
              <w:t>,</w:t>
            </w:r>
            <w:r w:rsidRPr="007F0EC5">
              <w:rPr>
                <w:rFonts w:ascii="Times New Roman" w:hAnsi="Times New Roman" w:cs="Times New Roman"/>
                <w:color w:val="000000" w:themeColor="text1"/>
              </w:rPr>
              <w:t xml:space="preserve"> to przy obecnym kształcie usług pocztowych, koszt umów ze świadczenia usług pocztowych przez 11 lat stanowiłby obciążenie budżetu państwa</w:t>
            </w:r>
            <w:r w:rsidR="005F7A79" w:rsidRPr="00080920">
              <w:rPr>
                <w:rFonts w:ascii="Times New Roman" w:hAnsi="Times New Roman" w:cs="Times New Roman"/>
                <w:color w:val="000000" w:themeColor="text1"/>
              </w:rPr>
              <w:t xml:space="preserve"> </w:t>
            </w:r>
            <w:r w:rsidRPr="00080920">
              <w:rPr>
                <w:rFonts w:ascii="Times New Roman" w:hAnsi="Times New Roman" w:cs="Times New Roman"/>
                <w:color w:val="000000" w:themeColor="text1"/>
              </w:rPr>
              <w:t>w</w:t>
            </w:r>
            <w:r w:rsidR="001B514F">
              <w:rPr>
                <w:rFonts w:ascii="Times New Roman" w:hAnsi="Times New Roman" w:cs="Times New Roman"/>
                <w:color w:val="000000" w:themeColor="text1"/>
              </w:rPr>
              <w:t> </w:t>
            </w:r>
            <w:r w:rsidRPr="00080920">
              <w:rPr>
                <w:rFonts w:ascii="Times New Roman" w:hAnsi="Times New Roman" w:cs="Times New Roman"/>
                <w:color w:val="000000" w:themeColor="text1"/>
              </w:rPr>
              <w:t>wysokości 13</w:t>
            </w:r>
            <w:r w:rsidR="00AB04E9">
              <w:rPr>
                <w:rFonts w:ascii="Times New Roman" w:hAnsi="Times New Roman" w:cs="Times New Roman"/>
                <w:color w:val="000000" w:themeColor="text1"/>
              </w:rPr>
              <w:t xml:space="preserve"> </w:t>
            </w:r>
            <w:r w:rsidRPr="00080920">
              <w:rPr>
                <w:rFonts w:ascii="Times New Roman" w:hAnsi="Times New Roman" w:cs="Times New Roman"/>
                <w:color w:val="000000" w:themeColor="text1"/>
              </w:rPr>
              <w:t>890,59 mln</w:t>
            </w:r>
            <w:r w:rsidRPr="00067989">
              <w:rPr>
                <w:rStyle w:val="Odwoanieprzypisudolnego"/>
                <w:rFonts w:ascii="Times New Roman" w:hAnsi="Times New Roman" w:cs="Times New Roman"/>
                <w:color w:val="000000" w:themeColor="text1"/>
              </w:rPr>
              <w:footnoteReference w:id="22"/>
            </w:r>
            <w:r w:rsidR="00E42D6D" w:rsidRPr="008A3FA9">
              <w:rPr>
                <w:rFonts w:ascii="Times New Roman" w:hAnsi="Times New Roman" w:cs="Times New Roman"/>
                <w:color w:val="000000" w:themeColor="text1"/>
                <w:vertAlign w:val="superscript"/>
              </w:rPr>
              <w:t>)</w:t>
            </w:r>
            <w:r w:rsidRPr="00067989">
              <w:rPr>
                <w:rFonts w:ascii="Times New Roman" w:hAnsi="Times New Roman" w:cs="Times New Roman"/>
                <w:color w:val="000000" w:themeColor="text1"/>
              </w:rPr>
              <w:t xml:space="preserve">. </w:t>
            </w:r>
          </w:p>
          <w:p w14:paraId="54808454" w14:textId="77777777" w:rsidR="00DB0B02" w:rsidRPr="00067989" w:rsidRDefault="00DB0B02" w:rsidP="007F0EC5">
            <w:pPr>
              <w:spacing w:before="60" w:after="60"/>
              <w:jc w:val="both"/>
              <w:rPr>
                <w:rFonts w:ascii="Times New Roman" w:hAnsi="Times New Roman" w:cs="Times New Roman"/>
                <w:color w:val="000000" w:themeColor="text1"/>
              </w:rPr>
            </w:pPr>
            <w:r w:rsidRPr="00067989">
              <w:rPr>
                <w:rFonts w:ascii="Times New Roman" w:hAnsi="Times New Roman" w:cs="Times New Roman"/>
                <w:color w:val="000000" w:themeColor="text1"/>
              </w:rPr>
              <w:t>Po wprowadzeniu projektu w latach 2020</w:t>
            </w:r>
            <w:r w:rsidR="00E42D6D">
              <w:rPr>
                <w:rFonts w:ascii="Times New Roman" w:hAnsi="Times New Roman" w:cs="Times New Roman"/>
                <w:color w:val="000000" w:themeColor="text1"/>
              </w:rPr>
              <w:t>–</w:t>
            </w:r>
            <w:r w:rsidRPr="00067989">
              <w:rPr>
                <w:rFonts w:ascii="Times New Roman" w:hAnsi="Times New Roman" w:cs="Times New Roman"/>
                <w:color w:val="000000" w:themeColor="text1"/>
              </w:rPr>
              <w:t>2023 pojawią się koszty</w:t>
            </w:r>
            <w:r w:rsidRPr="00067989">
              <w:rPr>
                <w:rStyle w:val="Odwoanieprzypisudolnego"/>
                <w:rFonts w:ascii="Times New Roman" w:hAnsi="Times New Roman" w:cs="Times New Roman"/>
                <w:color w:val="000000" w:themeColor="text1"/>
              </w:rPr>
              <w:footnoteReference w:id="23"/>
            </w:r>
            <w:r w:rsidR="00E42D6D" w:rsidRPr="008A3FA9">
              <w:rPr>
                <w:rFonts w:ascii="Times New Roman" w:hAnsi="Times New Roman" w:cs="Times New Roman"/>
                <w:color w:val="000000" w:themeColor="text1"/>
                <w:vertAlign w:val="superscript"/>
              </w:rPr>
              <w:t>)</w:t>
            </w:r>
            <w:r w:rsidRPr="00067989">
              <w:rPr>
                <w:rFonts w:ascii="Times New Roman" w:hAnsi="Times New Roman" w:cs="Times New Roman"/>
                <w:color w:val="000000" w:themeColor="text1"/>
              </w:rPr>
              <w:t>:</w:t>
            </w:r>
          </w:p>
          <w:p w14:paraId="61617895" w14:textId="439013CB" w:rsidR="00DB0B02" w:rsidRPr="007F0EC5" w:rsidRDefault="00E42D6D" w:rsidP="007F0EC5">
            <w:pPr>
              <w:spacing w:before="60" w:after="60"/>
              <w:jc w:val="both"/>
              <w:rPr>
                <w:rFonts w:ascii="Times New Roman" w:hAnsi="Times New Roman" w:cs="Times New Roman"/>
                <w:color w:val="000000" w:themeColor="text1"/>
              </w:rPr>
            </w:pPr>
            <w:r>
              <w:rPr>
                <w:rFonts w:ascii="Times New Roman" w:hAnsi="Times New Roman" w:cs="Times New Roman"/>
                <w:color w:val="000000" w:themeColor="text1"/>
              </w:rPr>
              <w:t>–</w:t>
            </w:r>
            <w:r w:rsidR="00DB0B02" w:rsidRPr="00067989">
              <w:rPr>
                <w:rFonts w:ascii="Times New Roman" w:hAnsi="Times New Roman" w:cs="Times New Roman"/>
                <w:color w:val="000000" w:themeColor="text1"/>
              </w:rPr>
              <w:t xml:space="preserve"> umów za świadczenie usług pocztowych</w:t>
            </w:r>
            <w:r w:rsidR="00337072">
              <w:rPr>
                <w:rFonts w:ascii="Times New Roman" w:hAnsi="Times New Roman" w:cs="Times New Roman"/>
                <w:color w:val="000000" w:themeColor="text1"/>
              </w:rPr>
              <w:t xml:space="preserve"> –</w:t>
            </w:r>
            <w:r w:rsidR="00DB0B02" w:rsidRPr="00067989">
              <w:rPr>
                <w:rFonts w:ascii="Times New Roman" w:hAnsi="Times New Roman" w:cs="Times New Roman"/>
                <w:color w:val="000000" w:themeColor="text1"/>
              </w:rPr>
              <w:t xml:space="preserve"> zakładając średni</w:t>
            </w:r>
            <w:r w:rsidR="006549DD" w:rsidRPr="00067989">
              <w:rPr>
                <w:rFonts w:ascii="Times New Roman" w:hAnsi="Times New Roman" w:cs="Times New Roman"/>
                <w:color w:val="000000" w:themeColor="text1"/>
              </w:rPr>
              <w:t>ą</w:t>
            </w:r>
            <w:r w:rsidR="00DB0B02" w:rsidRPr="00067989">
              <w:rPr>
                <w:rFonts w:ascii="Times New Roman" w:hAnsi="Times New Roman" w:cs="Times New Roman"/>
                <w:color w:val="000000" w:themeColor="text1"/>
              </w:rPr>
              <w:t xml:space="preserve"> opłatę 5,35 zł dla wolumenu przesyłek rejestrowanych nieobjętych publiczną usługą rejestrowanego doręczenia elektronicznego oraz</w:t>
            </w:r>
            <w:r w:rsidR="00AB04E9">
              <w:rPr>
                <w:rFonts w:ascii="Times New Roman" w:hAnsi="Times New Roman" w:cs="Times New Roman"/>
                <w:color w:val="000000" w:themeColor="text1"/>
              </w:rPr>
              <w:t xml:space="preserve"> </w:t>
            </w:r>
            <w:r w:rsidR="00DB0B02" w:rsidRPr="00067989">
              <w:rPr>
                <w:rFonts w:ascii="Times New Roman" w:hAnsi="Times New Roman" w:cs="Times New Roman"/>
                <w:color w:val="000000" w:themeColor="text1"/>
              </w:rPr>
              <w:t>publiczną usług</w:t>
            </w:r>
            <w:r w:rsidR="006549DD" w:rsidRPr="00067989">
              <w:rPr>
                <w:rFonts w:ascii="Times New Roman" w:hAnsi="Times New Roman" w:cs="Times New Roman"/>
                <w:color w:val="000000" w:themeColor="text1"/>
              </w:rPr>
              <w:t>ą</w:t>
            </w:r>
            <w:r w:rsidR="00DB0B02" w:rsidRPr="00067989">
              <w:rPr>
                <w:rFonts w:ascii="Times New Roman" w:hAnsi="Times New Roman" w:cs="Times New Roman"/>
                <w:color w:val="000000" w:themeColor="text1"/>
              </w:rPr>
              <w:t xml:space="preserve"> hybrydową rejestrowaną</w:t>
            </w:r>
            <w:r w:rsidR="00AB04E9">
              <w:rPr>
                <w:rFonts w:ascii="Times New Roman" w:hAnsi="Times New Roman" w:cs="Times New Roman"/>
                <w:color w:val="000000" w:themeColor="text1"/>
              </w:rPr>
              <w:t xml:space="preserve"> </w:t>
            </w:r>
            <w:r w:rsidR="00DB0B02" w:rsidRPr="00067989">
              <w:rPr>
                <w:rFonts w:ascii="Times New Roman" w:hAnsi="Times New Roman" w:cs="Times New Roman"/>
                <w:color w:val="000000" w:themeColor="text1"/>
              </w:rPr>
              <w:t xml:space="preserve">w wysokości ok. </w:t>
            </w:r>
            <w:r w:rsidR="006D17D7" w:rsidRPr="00067989">
              <w:rPr>
                <w:rFonts w:ascii="Times New Roman" w:hAnsi="Times New Roman" w:cs="Times New Roman"/>
                <w:color w:val="000000" w:themeColor="text1"/>
              </w:rPr>
              <w:t>9</w:t>
            </w:r>
            <w:r w:rsidR="00AB04E9">
              <w:rPr>
                <w:rFonts w:ascii="Times New Roman" w:hAnsi="Times New Roman" w:cs="Times New Roman"/>
                <w:color w:val="000000" w:themeColor="text1"/>
              </w:rPr>
              <w:t xml:space="preserve"> </w:t>
            </w:r>
            <w:r w:rsidR="006D17D7" w:rsidRPr="00067989">
              <w:rPr>
                <w:rFonts w:ascii="Times New Roman" w:hAnsi="Times New Roman" w:cs="Times New Roman"/>
                <w:color w:val="000000" w:themeColor="text1"/>
              </w:rPr>
              <w:t>066</w:t>
            </w:r>
            <w:r w:rsidR="00DB0B02" w:rsidRPr="00067989">
              <w:rPr>
                <w:rFonts w:ascii="Times New Roman" w:hAnsi="Times New Roman" w:cs="Times New Roman"/>
                <w:color w:val="000000" w:themeColor="text1"/>
              </w:rPr>
              <w:t>,0 mln (w podziale na lata szacowane koszty</w:t>
            </w:r>
            <w:r w:rsidR="00AB04E9">
              <w:rPr>
                <w:rFonts w:ascii="Times New Roman" w:hAnsi="Times New Roman" w:cs="Times New Roman"/>
                <w:color w:val="000000" w:themeColor="text1"/>
              </w:rPr>
              <w:t xml:space="preserve"> </w:t>
            </w:r>
            <w:r w:rsidR="00DB0B02" w:rsidRPr="00067989">
              <w:rPr>
                <w:rFonts w:ascii="Times New Roman" w:hAnsi="Times New Roman" w:cs="Times New Roman"/>
                <w:color w:val="000000" w:themeColor="text1"/>
              </w:rPr>
              <w:t xml:space="preserve">kształtują się następująco: w 2020 r. </w:t>
            </w:r>
            <w:r>
              <w:rPr>
                <w:rFonts w:ascii="Times New Roman" w:hAnsi="Times New Roman" w:cs="Times New Roman"/>
                <w:color w:val="000000" w:themeColor="text1"/>
              </w:rPr>
              <w:t>–</w:t>
            </w:r>
            <w:r w:rsidR="006549DD" w:rsidRPr="00284114">
              <w:rPr>
                <w:rFonts w:ascii="Times New Roman" w:hAnsi="Times New Roman" w:cs="Times New Roman"/>
                <w:color w:val="000000" w:themeColor="text1"/>
              </w:rPr>
              <w:t xml:space="preserve"> </w:t>
            </w:r>
            <w:r w:rsidR="00DB0B02" w:rsidRPr="00284114">
              <w:rPr>
                <w:rFonts w:ascii="Times New Roman" w:hAnsi="Times New Roman" w:cs="Times New Roman"/>
                <w:color w:val="000000" w:themeColor="text1"/>
              </w:rPr>
              <w:t>1</w:t>
            </w:r>
            <w:r w:rsidR="00AB04E9">
              <w:rPr>
                <w:rFonts w:ascii="Times New Roman" w:hAnsi="Times New Roman" w:cs="Times New Roman"/>
                <w:color w:val="000000" w:themeColor="text1"/>
              </w:rPr>
              <w:t xml:space="preserve"> </w:t>
            </w:r>
            <w:r w:rsidR="00DB0B02" w:rsidRPr="00284114">
              <w:rPr>
                <w:rFonts w:ascii="Times New Roman" w:hAnsi="Times New Roman" w:cs="Times New Roman"/>
                <w:color w:val="000000" w:themeColor="text1"/>
              </w:rPr>
              <w:t>089 mln, w</w:t>
            </w:r>
            <w:r w:rsidR="001B514F">
              <w:rPr>
                <w:rFonts w:ascii="Times New Roman" w:hAnsi="Times New Roman" w:cs="Times New Roman"/>
                <w:color w:val="000000" w:themeColor="text1"/>
              </w:rPr>
              <w:t> </w:t>
            </w:r>
            <w:r w:rsidR="00DB0B02" w:rsidRPr="00284114">
              <w:rPr>
                <w:rFonts w:ascii="Times New Roman" w:hAnsi="Times New Roman" w:cs="Times New Roman"/>
                <w:color w:val="000000" w:themeColor="text1"/>
              </w:rPr>
              <w:t>2021</w:t>
            </w:r>
            <w:r w:rsidR="001B514F">
              <w:rPr>
                <w:rFonts w:ascii="Times New Roman" w:hAnsi="Times New Roman" w:cs="Times New Roman"/>
                <w:color w:val="000000" w:themeColor="text1"/>
              </w:rPr>
              <w:t> </w:t>
            </w:r>
            <w:r w:rsidR="00DB0B02" w:rsidRPr="00284114">
              <w:rPr>
                <w:rFonts w:ascii="Times New Roman" w:hAnsi="Times New Roman" w:cs="Times New Roman"/>
                <w:color w:val="000000" w:themeColor="text1"/>
              </w:rPr>
              <w:t xml:space="preserve">r. </w:t>
            </w:r>
            <w:r>
              <w:rPr>
                <w:rFonts w:ascii="Times New Roman" w:hAnsi="Times New Roman" w:cs="Times New Roman"/>
                <w:color w:val="000000" w:themeColor="text1"/>
              </w:rPr>
              <w:t>–</w:t>
            </w:r>
            <w:r w:rsidR="006549DD" w:rsidRPr="00284114">
              <w:rPr>
                <w:rFonts w:ascii="Times New Roman" w:hAnsi="Times New Roman" w:cs="Times New Roman"/>
                <w:color w:val="000000" w:themeColor="text1"/>
              </w:rPr>
              <w:t xml:space="preserve"> </w:t>
            </w:r>
            <w:r w:rsidR="00DB0B02" w:rsidRPr="00284114">
              <w:rPr>
                <w:rFonts w:ascii="Times New Roman" w:hAnsi="Times New Roman" w:cs="Times New Roman"/>
                <w:color w:val="000000" w:themeColor="text1"/>
              </w:rPr>
              <w:t xml:space="preserve">1 052 mln, w 2022 r. </w:t>
            </w:r>
            <w:r>
              <w:rPr>
                <w:rFonts w:ascii="Times New Roman" w:hAnsi="Times New Roman" w:cs="Times New Roman"/>
                <w:color w:val="000000" w:themeColor="text1"/>
              </w:rPr>
              <w:t>–</w:t>
            </w:r>
            <w:r w:rsidR="006549DD" w:rsidRPr="00284114">
              <w:rPr>
                <w:rFonts w:ascii="Times New Roman" w:hAnsi="Times New Roman" w:cs="Times New Roman"/>
                <w:color w:val="000000" w:themeColor="text1"/>
              </w:rPr>
              <w:t xml:space="preserve"> </w:t>
            </w:r>
            <w:r w:rsidR="00DB0B02" w:rsidRPr="000E2DF4">
              <w:rPr>
                <w:rFonts w:ascii="Times New Roman" w:hAnsi="Times New Roman" w:cs="Times New Roman"/>
                <w:color w:val="000000" w:themeColor="text1"/>
              </w:rPr>
              <w:t xml:space="preserve">995 mln, w 2023 r. </w:t>
            </w:r>
            <w:r>
              <w:rPr>
                <w:rFonts w:ascii="Times New Roman" w:hAnsi="Times New Roman" w:cs="Times New Roman"/>
                <w:color w:val="000000" w:themeColor="text1"/>
              </w:rPr>
              <w:t>–</w:t>
            </w:r>
            <w:r w:rsidR="006549DD" w:rsidRPr="000E2DF4">
              <w:rPr>
                <w:rFonts w:ascii="Times New Roman" w:hAnsi="Times New Roman" w:cs="Times New Roman"/>
                <w:color w:val="000000" w:themeColor="text1"/>
              </w:rPr>
              <w:t xml:space="preserve"> </w:t>
            </w:r>
            <w:r w:rsidR="00DB0B02" w:rsidRPr="000E2DF4">
              <w:rPr>
                <w:rFonts w:ascii="Times New Roman" w:hAnsi="Times New Roman" w:cs="Times New Roman"/>
                <w:color w:val="000000" w:themeColor="text1"/>
              </w:rPr>
              <w:t xml:space="preserve">931 mln, w 2024 r. </w:t>
            </w:r>
            <w:r>
              <w:rPr>
                <w:rFonts w:ascii="Times New Roman" w:hAnsi="Times New Roman" w:cs="Times New Roman"/>
                <w:color w:val="000000" w:themeColor="text1"/>
              </w:rPr>
              <w:t>–</w:t>
            </w:r>
            <w:r w:rsidR="006549DD" w:rsidRPr="000E2DF4">
              <w:rPr>
                <w:rFonts w:ascii="Times New Roman" w:hAnsi="Times New Roman" w:cs="Times New Roman"/>
                <w:color w:val="000000" w:themeColor="text1"/>
              </w:rPr>
              <w:t xml:space="preserve"> </w:t>
            </w:r>
            <w:r w:rsidR="00DB0B02" w:rsidRPr="000E2DF4">
              <w:rPr>
                <w:rFonts w:ascii="Times New Roman" w:hAnsi="Times New Roman" w:cs="Times New Roman"/>
                <w:color w:val="000000" w:themeColor="text1"/>
              </w:rPr>
              <w:t xml:space="preserve">824 mln, w 2025 r. </w:t>
            </w:r>
            <w:r>
              <w:rPr>
                <w:rFonts w:ascii="Times New Roman" w:hAnsi="Times New Roman" w:cs="Times New Roman"/>
                <w:color w:val="000000" w:themeColor="text1"/>
              </w:rPr>
              <w:t>–</w:t>
            </w:r>
            <w:r w:rsidR="006549DD" w:rsidRPr="000E2DF4">
              <w:rPr>
                <w:rFonts w:ascii="Times New Roman" w:hAnsi="Times New Roman" w:cs="Times New Roman"/>
                <w:color w:val="000000" w:themeColor="text1"/>
              </w:rPr>
              <w:t xml:space="preserve"> </w:t>
            </w:r>
            <w:r w:rsidR="00DB0B02" w:rsidRPr="000E2DF4">
              <w:rPr>
                <w:rFonts w:ascii="Times New Roman" w:hAnsi="Times New Roman" w:cs="Times New Roman"/>
                <w:color w:val="000000" w:themeColor="text1"/>
              </w:rPr>
              <w:t xml:space="preserve">741 mln, w 2026 r. </w:t>
            </w:r>
            <w:r>
              <w:rPr>
                <w:rFonts w:ascii="Times New Roman" w:hAnsi="Times New Roman" w:cs="Times New Roman"/>
                <w:color w:val="000000" w:themeColor="text1"/>
              </w:rPr>
              <w:t>–</w:t>
            </w:r>
            <w:r w:rsidR="006549DD" w:rsidRPr="000E2DF4">
              <w:rPr>
                <w:rFonts w:ascii="Times New Roman" w:hAnsi="Times New Roman" w:cs="Times New Roman"/>
                <w:color w:val="000000" w:themeColor="text1"/>
              </w:rPr>
              <w:t xml:space="preserve"> </w:t>
            </w:r>
            <w:r w:rsidR="00DB0B02" w:rsidRPr="000E2DF4">
              <w:rPr>
                <w:rFonts w:ascii="Times New Roman" w:hAnsi="Times New Roman" w:cs="Times New Roman"/>
                <w:color w:val="000000" w:themeColor="text1"/>
              </w:rPr>
              <w:t xml:space="preserve">666 mln, w 2027 r. </w:t>
            </w:r>
            <w:r>
              <w:rPr>
                <w:rFonts w:ascii="Times New Roman" w:hAnsi="Times New Roman" w:cs="Times New Roman"/>
                <w:color w:val="000000" w:themeColor="text1"/>
              </w:rPr>
              <w:t>–</w:t>
            </w:r>
            <w:r w:rsidR="006549DD" w:rsidRPr="000E2DF4">
              <w:rPr>
                <w:rFonts w:ascii="Times New Roman" w:hAnsi="Times New Roman" w:cs="Times New Roman"/>
                <w:color w:val="000000" w:themeColor="text1"/>
              </w:rPr>
              <w:t xml:space="preserve"> </w:t>
            </w:r>
            <w:r w:rsidR="00DB0B02" w:rsidRPr="000E2DF4">
              <w:rPr>
                <w:rFonts w:ascii="Times New Roman" w:hAnsi="Times New Roman" w:cs="Times New Roman"/>
                <w:color w:val="000000" w:themeColor="text1"/>
              </w:rPr>
              <w:t>590 mln, w 2028 r.</w:t>
            </w:r>
            <w:r w:rsidR="006549DD" w:rsidRPr="000E2DF4">
              <w:rPr>
                <w:rFonts w:ascii="Times New Roman" w:hAnsi="Times New Roman" w:cs="Times New Roman"/>
                <w:color w:val="000000" w:themeColor="text1"/>
              </w:rPr>
              <w:t xml:space="preserve"> </w:t>
            </w:r>
            <w:r>
              <w:rPr>
                <w:rFonts w:ascii="Times New Roman" w:hAnsi="Times New Roman" w:cs="Times New Roman"/>
                <w:color w:val="000000" w:themeColor="text1"/>
              </w:rPr>
              <w:t>–</w:t>
            </w:r>
            <w:r w:rsidR="00DB0B02" w:rsidRPr="000E2DF4">
              <w:rPr>
                <w:rFonts w:ascii="Times New Roman" w:hAnsi="Times New Roman" w:cs="Times New Roman"/>
                <w:color w:val="000000" w:themeColor="text1"/>
              </w:rPr>
              <w:t xml:space="preserve"> 583 mln, w 2029 r. </w:t>
            </w:r>
            <w:r>
              <w:rPr>
                <w:rFonts w:ascii="Times New Roman" w:hAnsi="Times New Roman" w:cs="Times New Roman"/>
                <w:color w:val="000000" w:themeColor="text1"/>
              </w:rPr>
              <w:t>–</w:t>
            </w:r>
            <w:r w:rsidR="006549DD" w:rsidRPr="000E2DF4">
              <w:rPr>
                <w:rFonts w:ascii="Times New Roman" w:hAnsi="Times New Roman" w:cs="Times New Roman"/>
                <w:color w:val="000000" w:themeColor="text1"/>
              </w:rPr>
              <w:t xml:space="preserve"> </w:t>
            </w:r>
            <w:r w:rsidR="00DB0B02" w:rsidRPr="000E2DF4">
              <w:rPr>
                <w:rFonts w:ascii="Times New Roman" w:hAnsi="Times New Roman" w:cs="Times New Roman"/>
                <w:color w:val="000000" w:themeColor="text1"/>
              </w:rPr>
              <w:t>144</w:t>
            </w:r>
            <w:r w:rsidR="001B514F">
              <w:rPr>
                <w:rFonts w:ascii="Times New Roman" w:hAnsi="Times New Roman" w:cs="Times New Roman"/>
                <w:color w:val="000000" w:themeColor="text1"/>
              </w:rPr>
              <w:t> </w:t>
            </w:r>
            <w:r w:rsidR="00DB0B02" w:rsidRPr="000E2DF4">
              <w:rPr>
                <w:rFonts w:ascii="Times New Roman" w:hAnsi="Times New Roman" w:cs="Times New Roman"/>
                <w:color w:val="000000" w:themeColor="text1"/>
              </w:rPr>
              <w:t>mln, w</w:t>
            </w:r>
            <w:r w:rsidR="001B514F">
              <w:rPr>
                <w:rFonts w:ascii="Times New Roman" w:hAnsi="Times New Roman" w:cs="Times New Roman"/>
                <w:color w:val="000000" w:themeColor="text1"/>
              </w:rPr>
              <w:t> </w:t>
            </w:r>
            <w:r w:rsidR="00DB0B02" w:rsidRPr="000E2DF4">
              <w:rPr>
                <w:rFonts w:ascii="Times New Roman" w:hAnsi="Times New Roman" w:cs="Times New Roman"/>
                <w:color w:val="000000" w:themeColor="text1"/>
              </w:rPr>
              <w:t xml:space="preserve">2030 r. </w:t>
            </w:r>
            <w:r>
              <w:rPr>
                <w:rFonts w:ascii="Times New Roman" w:hAnsi="Times New Roman" w:cs="Times New Roman"/>
                <w:color w:val="000000" w:themeColor="text1"/>
              </w:rPr>
              <w:t>–</w:t>
            </w:r>
            <w:r w:rsidR="006549DD" w:rsidRPr="00E42D6D">
              <w:rPr>
                <w:rFonts w:ascii="Times New Roman" w:hAnsi="Times New Roman" w:cs="Times New Roman"/>
                <w:color w:val="000000" w:themeColor="text1"/>
              </w:rPr>
              <w:t xml:space="preserve"> </w:t>
            </w:r>
            <w:r w:rsidR="00DB0B02" w:rsidRPr="00E42D6D">
              <w:rPr>
                <w:rFonts w:ascii="Times New Roman" w:hAnsi="Times New Roman" w:cs="Times New Roman"/>
                <w:color w:val="000000" w:themeColor="text1"/>
              </w:rPr>
              <w:t>29 mln</w:t>
            </w:r>
            <w:r w:rsidR="00DF0D4E">
              <w:rPr>
                <w:rFonts w:ascii="Times New Roman" w:hAnsi="Times New Roman" w:cs="Times New Roman"/>
                <w:color w:val="000000" w:themeColor="text1"/>
              </w:rPr>
              <w:t>)</w:t>
            </w:r>
            <w:r w:rsidR="00DB0B02" w:rsidRPr="00E42D6D">
              <w:rPr>
                <w:rFonts w:ascii="Times New Roman" w:hAnsi="Times New Roman" w:cs="Times New Roman"/>
                <w:color w:val="000000" w:themeColor="text1"/>
              </w:rPr>
              <w:t xml:space="preserve"> oraz zakładając średnią opłatę 1,70 zł dla wolumenu przesyłek zwykłych nie objętych publiczną usługą hybrydową ekonomicznej (hybryda zwykła) w</w:t>
            </w:r>
            <w:r w:rsidR="001B514F">
              <w:rPr>
                <w:rFonts w:ascii="Times New Roman" w:hAnsi="Times New Roman" w:cs="Times New Roman"/>
                <w:color w:val="000000" w:themeColor="text1"/>
              </w:rPr>
              <w:t> </w:t>
            </w:r>
            <w:r w:rsidR="00DB0B02" w:rsidRPr="00E42D6D">
              <w:rPr>
                <w:rFonts w:ascii="Times New Roman" w:hAnsi="Times New Roman" w:cs="Times New Roman"/>
                <w:color w:val="000000" w:themeColor="text1"/>
              </w:rPr>
              <w:t>wysokości 1</w:t>
            </w:r>
            <w:r w:rsidR="001B514F">
              <w:rPr>
                <w:rFonts w:ascii="Times New Roman" w:hAnsi="Times New Roman" w:cs="Times New Roman"/>
                <w:color w:val="000000" w:themeColor="text1"/>
              </w:rPr>
              <w:t> </w:t>
            </w:r>
            <w:r w:rsidR="00DB0B02" w:rsidRPr="00E42D6D">
              <w:rPr>
                <w:rFonts w:ascii="Times New Roman" w:hAnsi="Times New Roman" w:cs="Times New Roman"/>
                <w:color w:val="000000" w:themeColor="text1"/>
              </w:rPr>
              <w:t>42</w:t>
            </w:r>
            <w:r w:rsidR="007D731F" w:rsidRPr="00E42D6D">
              <w:rPr>
                <w:rFonts w:ascii="Times New Roman" w:hAnsi="Times New Roman" w:cs="Times New Roman"/>
                <w:color w:val="000000" w:themeColor="text1"/>
              </w:rPr>
              <w:t>2</w:t>
            </w:r>
            <w:r w:rsidR="00DB0B02" w:rsidRPr="00E42D6D">
              <w:rPr>
                <w:rFonts w:ascii="Times New Roman" w:hAnsi="Times New Roman" w:cs="Times New Roman"/>
                <w:color w:val="000000" w:themeColor="text1"/>
              </w:rPr>
              <w:t xml:space="preserve">,00 mln zł (w podziale na lata szacowane koszty kształtują się następująco: dla 2020 r. </w:t>
            </w:r>
            <w:r>
              <w:rPr>
                <w:rFonts w:ascii="Times New Roman" w:hAnsi="Times New Roman" w:cs="Times New Roman"/>
                <w:color w:val="000000" w:themeColor="text1"/>
              </w:rPr>
              <w:t>–</w:t>
            </w:r>
            <w:r w:rsidR="006549DD" w:rsidRPr="00E42D6D">
              <w:rPr>
                <w:rFonts w:ascii="Times New Roman" w:hAnsi="Times New Roman" w:cs="Times New Roman"/>
                <w:color w:val="000000" w:themeColor="text1"/>
              </w:rPr>
              <w:t xml:space="preserve"> </w:t>
            </w:r>
            <w:r w:rsidR="00DB0B02" w:rsidRPr="00E42D6D">
              <w:rPr>
                <w:rFonts w:ascii="Times New Roman" w:hAnsi="Times New Roman" w:cs="Times New Roman"/>
                <w:color w:val="000000" w:themeColor="text1"/>
              </w:rPr>
              <w:t>162,00 mln; dla 2021</w:t>
            </w:r>
            <w:r w:rsidR="006549DD" w:rsidRPr="00E42D6D">
              <w:rPr>
                <w:rFonts w:ascii="Times New Roman" w:hAnsi="Times New Roman" w:cs="Times New Roman"/>
                <w:color w:val="000000" w:themeColor="text1"/>
              </w:rPr>
              <w:t xml:space="preserve"> r. </w:t>
            </w:r>
            <w:r>
              <w:rPr>
                <w:rFonts w:ascii="Times New Roman" w:hAnsi="Times New Roman" w:cs="Times New Roman"/>
                <w:color w:val="000000" w:themeColor="text1"/>
              </w:rPr>
              <w:t>–</w:t>
            </w:r>
            <w:r w:rsidR="00DB0B02" w:rsidRPr="00E42D6D">
              <w:rPr>
                <w:rFonts w:ascii="Times New Roman" w:hAnsi="Times New Roman" w:cs="Times New Roman"/>
                <w:color w:val="000000" w:themeColor="text1"/>
              </w:rPr>
              <w:t xml:space="preserve"> 159,00 mln; dla 2022</w:t>
            </w:r>
            <w:r w:rsidR="006549DD" w:rsidRPr="00E42D6D">
              <w:rPr>
                <w:rFonts w:ascii="Times New Roman" w:hAnsi="Times New Roman" w:cs="Times New Roman"/>
                <w:color w:val="000000" w:themeColor="text1"/>
              </w:rPr>
              <w:t xml:space="preserve"> r. </w:t>
            </w:r>
            <w:r>
              <w:rPr>
                <w:rFonts w:ascii="Times New Roman" w:hAnsi="Times New Roman" w:cs="Times New Roman"/>
                <w:color w:val="000000" w:themeColor="text1"/>
              </w:rPr>
              <w:t>–</w:t>
            </w:r>
            <w:r w:rsidR="00DB0B02" w:rsidRPr="00E42D6D">
              <w:rPr>
                <w:rFonts w:ascii="Times New Roman" w:hAnsi="Times New Roman" w:cs="Times New Roman"/>
                <w:color w:val="000000" w:themeColor="text1"/>
              </w:rPr>
              <w:t xml:space="preserve"> 15</w:t>
            </w:r>
            <w:r w:rsidR="007D64DD" w:rsidRPr="00E42D6D">
              <w:rPr>
                <w:rFonts w:ascii="Times New Roman" w:hAnsi="Times New Roman" w:cs="Times New Roman"/>
                <w:color w:val="000000" w:themeColor="text1"/>
              </w:rPr>
              <w:t>2</w:t>
            </w:r>
            <w:r w:rsidR="00DB0B02" w:rsidRPr="00E42D6D">
              <w:rPr>
                <w:rFonts w:ascii="Times New Roman" w:hAnsi="Times New Roman" w:cs="Times New Roman"/>
                <w:color w:val="000000" w:themeColor="text1"/>
              </w:rPr>
              <w:t xml:space="preserve">,00 mln; dla 2023 </w:t>
            </w:r>
            <w:r w:rsidR="006549DD" w:rsidRPr="00E42D6D">
              <w:rPr>
                <w:rFonts w:ascii="Times New Roman" w:hAnsi="Times New Roman" w:cs="Times New Roman"/>
                <w:color w:val="000000" w:themeColor="text1"/>
              </w:rPr>
              <w:t xml:space="preserve">r. </w:t>
            </w:r>
            <w:r>
              <w:rPr>
                <w:rFonts w:ascii="Times New Roman" w:hAnsi="Times New Roman" w:cs="Times New Roman"/>
                <w:color w:val="000000" w:themeColor="text1"/>
              </w:rPr>
              <w:t>–</w:t>
            </w:r>
            <w:r w:rsidR="00DB0B02" w:rsidRPr="00E42D6D">
              <w:rPr>
                <w:rFonts w:ascii="Times New Roman" w:hAnsi="Times New Roman" w:cs="Times New Roman"/>
                <w:color w:val="000000" w:themeColor="text1"/>
              </w:rPr>
              <w:t xml:space="preserve"> 14</w:t>
            </w:r>
            <w:r w:rsidR="007D64DD" w:rsidRPr="00E42D6D">
              <w:rPr>
                <w:rFonts w:ascii="Times New Roman" w:hAnsi="Times New Roman" w:cs="Times New Roman"/>
                <w:color w:val="000000" w:themeColor="text1"/>
              </w:rPr>
              <w:t>5</w:t>
            </w:r>
            <w:r w:rsidR="00DB0B02" w:rsidRPr="00E42D6D">
              <w:rPr>
                <w:rFonts w:ascii="Times New Roman" w:hAnsi="Times New Roman" w:cs="Times New Roman"/>
                <w:color w:val="000000" w:themeColor="text1"/>
              </w:rPr>
              <w:t>,00 mln; dla 2024</w:t>
            </w:r>
            <w:r w:rsidR="006549DD" w:rsidRPr="00E42D6D">
              <w:rPr>
                <w:rFonts w:ascii="Times New Roman" w:hAnsi="Times New Roman" w:cs="Times New Roman"/>
                <w:color w:val="000000" w:themeColor="text1"/>
              </w:rPr>
              <w:t xml:space="preserve"> r. </w:t>
            </w:r>
            <w:r>
              <w:rPr>
                <w:rFonts w:ascii="Times New Roman" w:hAnsi="Times New Roman" w:cs="Times New Roman"/>
                <w:color w:val="000000" w:themeColor="text1"/>
              </w:rPr>
              <w:t>–</w:t>
            </w:r>
            <w:r w:rsidR="00DB0B02" w:rsidRPr="00E42D6D">
              <w:rPr>
                <w:rFonts w:ascii="Times New Roman" w:hAnsi="Times New Roman" w:cs="Times New Roman"/>
                <w:color w:val="000000" w:themeColor="text1"/>
              </w:rPr>
              <w:t xml:space="preserve"> </w:t>
            </w:r>
            <w:r w:rsidR="007D64DD" w:rsidRPr="00E42D6D">
              <w:rPr>
                <w:rFonts w:ascii="Times New Roman" w:hAnsi="Times New Roman" w:cs="Times New Roman"/>
                <w:color w:val="000000" w:themeColor="text1"/>
              </w:rPr>
              <w:t>135</w:t>
            </w:r>
            <w:r w:rsidR="00DB0B02" w:rsidRPr="00E42D6D">
              <w:rPr>
                <w:rFonts w:ascii="Times New Roman" w:hAnsi="Times New Roman" w:cs="Times New Roman"/>
                <w:color w:val="000000" w:themeColor="text1"/>
              </w:rPr>
              <w:t xml:space="preserve">,00 mln; dla 2025 </w:t>
            </w:r>
            <w:r w:rsidR="006549DD" w:rsidRPr="00E42D6D">
              <w:rPr>
                <w:rFonts w:ascii="Times New Roman" w:hAnsi="Times New Roman" w:cs="Times New Roman"/>
                <w:color w:val="000000" w:themeColor="text1"/>
              </w:rPr>
              <w:t xml:space="preserve">r. </w:t>
            </w:r>
            <w:r>
              <w:rPr>
                <w:rFonts w:ascii="Times New Roman" w:hAnsi="Times New Roman" w:cs="Times New Roman"/>
                <w:color w:val="000000" w:themeColor="text1"/>
              </w:rPr>
              <w:t>–</w:t>
            </w:r>
            <w:r w:rsidR="00DB0B02" w:rsidRPr="00E42D6D">
              <w:rPr>
                <w:rFonts w:ascii="Times New Roman" w:hAnsi="Times New Roman" w:cs="Times New Roman"/>
                <w:color w:val="000000" w:themeColor="text1"/>
              </w:rPr>
              <w:t xml:space="preserve"> </w:t>
            </w:r>
            <w:r w:rsidR="007D64DD" w:rsidRPr="00E42D6D">
              <w:rPr>
                <w:rFonts w:ascii="Times New Roman" w:hAnsi="Times New Roman" w:cs="Times New Roman"/>
                <w:color w:val="000000" w:themeColor="text1"/>
              </w:rPr>
              <w:t>128</w:t>
            </w:r>
            <w:r w:rsidR="00DB0B02" w:rsidRPr="00E42D6D">
              <w:rPr>
                <w:rFonts w:ascii="Times New Roman" w:hAnsi="Times New Roman" w:cs="Times New Roman"/>
                <w:color w:val="000000" w:themeColor="text1"/>
              </w:rPr>
              <w:t xml:space="preserve">,00 mln; dla 2026 </w:t>
            </w:r>
            <w:r w:rsidR="006549DD" w:rsidRPr="00E42D6D">
              <w:rPr>
                <w:rFonts w:ascii="Times New Roman" w:hAnsi="Times New Roman" w:cs="Times New Roman"/>
                <w:color w:val="000000" w:themeColor="text1"/>
              </w:rPr>
              <w:t xml:space="preserve">r. </w:t>
            </w:r>
            <w:r>
              <w:rPr>
                <w:rFonts w:ascii="Times New Roman" w:hAnsi="Times New Roman" w:cs="Times New Roman"/>
                <w:color w:val="000000" w:themeColor="text1"/>
              </w:rPr>
              <w:t>–</w:t>
            </w:r>
            <w:r w:rsidR="006549DD" w:rsidRPr="00E42D6D">
              <w:rPr>
                <w:rFonts w:ascii="Times New Roman" w:hAnsi="Times New Roman" w:cs="Times New Roman"/>
                <w:color w:val="000000" w:themeColor="text1"/>
              </w:rPr>
              <w:t xml:space="preserve"> </w:t>
            </w:r>
            <w:r w:rsidR="00DB0B02" w:rsidRPr="00E42D6D">
              <w:rPr>
                <w:rFonts w:ascii="Times New Roman" w:hAnsi="Times New Roman" w:cs="Times New Roman"/>
                <w:color w:val="000000" w:themeColor="text1"/>
              </w:rPr>
              <w:t xml:space="preserve">124,00 mln; dla 2027 </w:t>
            </w:r>
            <w:r w:rsidR="006549DD" w:rsidRPr="00E42D6D">
              <w:rPr>
                <w:rFonts w:ascii="Times New Roman" w:hAnsi="Times New Roman" w:cs="Times New Roman"/>
                <w:color w:val="000000" w:themeColor="text1"/>
              </w:rPr>
              <w:t xml:space="preserve">r. </w:t>
            </w:r>
            <w:r>
              <w:rPr>
                <w:rFonts w:ascii="Times New Roman" w:hAnsi="Times New Roman" w:cs="Times New Roman"/>
                <w:color w:val="000000" w:themeColor="text1"/>
              </w:rPr>
              <w:t>–</w:t>
            </w:r>
            <w:r w:rsidR="006549DD" w:rsidRPr="00E42D6D">
              <w:rPr>
                <w:rFonts w:ascii="Times New Roman" w:hAnsi="Times New Roman" w:cs="Times New Roman"/>
                <w:color w:val="000000" w:themeColor="text1"/>
              </w:rPr>
              <w:t xml:space="preserve"> </w:t>
            </w:r>
            <w:r w:rsidR="00DB0B02" w:rsidRPr="00E42D6D">
              <w:rPr>
                <w:rFonts w:ascii="Times New Roman" w:hAnsi="Times New Roman" w:cs="Times New Roman"/>
                <w:color w:val="000000" w:themeColor="text1"/>
              </w:rPr>
              <w:t>120,00 mln; dla 2028</w:t>
            </w:r>
            <w:r w:rsidR="006549DD" w:rsidRPr="00E42D6D">
              <w:rPr>
                <w:rFonts w:ascii="Times New Roman" w:hAnsi="Times New Roman" w:cs="Times New Roman"/>
                <w:color w:val="000000" w:themeColor="text1"/>
              </w:rPr>
              <w:t xml:space="preserve"> r. </w:t>
            </w:r>
            <w:r>
              <w:rPr>
                <w:rFonts w:ascii="Times New Roman" w:hAnsi="Times New Roman" w:cs="Times New Roman"/>
                <w:color w:val="000000" w:themeColor="text1"/>
              </w:rPr>
              <w:t>–</w:t>
            </w:r>
            <w:r w:rsidR="00DB0B02" w:rsidRPr="00E42D6D">
              <w:rPr>
                <w:rFonts w:ascii="Times New Roman" w:hAnsi="Times New Roman" w:cs="Times New Roman"/>
                <w:color w:val="000000" w:themeColor="text1"/>
              </w:rPr>
              <w:t xml:space="preserve"> 123,00 mln; dla 2029 </w:t>
            </w:r>
            <w:r w:rsidR="006549DD" w:rsidRPr="00E42D6D">
              <w:rPr>
                <w:rFonts w:ascii="Times New Roman" w:hAnsi="Times New Roman" w:cs="Times New Roman"/>
                <w:color w:val="000000" w:themeColor="text1"/>
              </w:rPr>
              <w:t xml:space="preserve">r. </w:t>
            </w:r>
            <w:r>
              <w:rPr>
                <w:rFonts w:ascii="Times New Roman" w:hAnsi="Times New Roman" w:cs="Times New Roman"/>
                <w:color w:val="000000" w:themeColor="text1"/>
              </w:rPr>
              <w:t>–</w:t>
            </w:r>
            <w:r w:rsidR="006549DD" w:rsidRPr="00E42D6D">
              <w:rPr>
                <w:rFonts w:ascii="Times New Roman" w:hAnsi="Times New Roman" w:cs="Times New Roman"/>
                <w:color w:val="000000" w:themeColor="text1"/>
              </w:rPr>
              <w:t xml:space="preserve"> </w:t>
            </w:r>
            <w:r w:rsidR="00DB0B02" w:rsidRPr="00E42D6D">
              <w:rPr>
                <w:rFonts w:ascii="Times New Roman" w:hAnsi="Times New Roman" w:cs="Times New Roman"/>
                <w:color w:val="000000" w:themeColor="text1"/>
              </w:rPr>
              <w:t>89,00 mln i dla 2030</w:t>
            </w:r>
            <w:r w:rsidR="006549DD" w:rsidRPr="00E42D6D">
              <w:rPr>
                <w:rFonts w:ascii="Times New Roman" w:hAnsi="Times New Roman" w:cs="Times New Roman"/>
                <w:color w:val="000000" w:themeColor="text1"/>
              </w:rPr>
              <w:t xml:space="preserve"> r.</w:t>
            </w:r>
            <w:r w:rsidR="00DB0B02" w:rsidRPr="00E42D6D">
              <w:rPr>
                <w:rFonts w:ascii="Times New Roman" w:hAnsi="Times New Roman" w:cs="Times New Roman"/>
                <w:color w:val="000000" w:themeColor="text1"/>
              </w:rPr>
              <w:t xml:space="preserve"> odpowiednio 8</w:t>
            </w:r>
            <w:r w:rsidR="007D64DD" w:rsidRPr="00E42D6D">
              <w:rPr>
                <w:rFonts w:ascii="Times New Roman" w:hAnsi="Times New Roman" w:cs="Times New Roman"/>
                <w:color w:val="000000" w:themeColor="text1"/>
              </w:rPr>
              <w:t>5</w:t>
            </w:r>
            <w:r w:rsidR="00DB0B02" w:rsidRPr="00E42D6D">
              <w:rPr>
                <w:rFonts w:ascii="Times New Roman" w:hAnsi="Times New Roman" w:cs="Times New Roman"/>
                <w:color w:val="000000" w:themeColor="text1"/>
              </w:rPr>
              <w:t>,00 mln</w:t>
            </w:r>
            <w:r w:rsidR="007D64DD" w:rsidRPr="00E42D6D">
              <w:rPr>
                <w:rFonts w:ascii="Times New Roman" w:hAnsi="Times New Roman" w:cs="Times New Roman"/>
                <w:color w:val="000000" w:themeColor="text1"/>
              </w:rPr>
              <w:t>)</w:t>
            </w:r>
            <w:r w:rsidR="006549DD" w:rsidRPr="007F0EC5">
              <w:rPr>
                <w:rFonts w:ascii="Times New Roman" w:hAnsi="Times New Roman" w:cs="Times New Roman"/>
                <w:color w:val="000000" w:themeColor="text1"/>
              </w:rPr>
              <w:t>,</w:t>
            </w:r>
            <w:r w:rsidR="00DB0B02" w:rsidRPr="007F0EC5">
              <w:rPr>
                <w:rFonts w:ascii="Times New Roman" w:hAnsi="Times New Roman" w:cs="Times New Roman"/>
                <w:color w:val="000000" w:themeColor="text1"/>
              </w:rPr>
              <w:t xml:space="preserve"> </w:t>
            </w:r>
          </w:p>
          <w:p w14:paraId="735BE5CF" w14:textId="42E47D7C" w:rsidR="00DB0B02" w:rsidRPr="007F0EC5" w:rsidRDefault="00E42D6D" w:rsidP="007F0EC5">
            <w:pPr>
              <w:spacing w:before="60" w:after="60"/>
              <w:jc w:val="both"/>
              <w:rPr>
                <w:rFonts w:ascii="Times New Roman" w:hAnsi="Times New Roman" w:cs="Times New Roman"/>
                <w:color w:val="000000" w:themeColor="text1"/>
              </w:rPr>
            </w:pPr>
            <w:r>
              <w:rPr>
                <w:rFonts w:ascii="Times New Roman" w:hAnsi="Times New Roman" w:cs="Times New Roman"/>
                <w:color w:val="000000" w:themeColor="text1"/>
              </w:rPr>
              <w:t>–</w:t>
            </w:r>
            <w:r w:rsidR="00DB0B02" w:rsidRPr="00E42D6D">
              <w:rPr>
                <w:rFonts w:ascii="Times New Roman" w:hAnsi="Times New Roman" w:cs="Times New Roman"/>
                <w:color w:val="000000" w:themeColor="text1"/>
              </w:rPr>
              <w:t xml:space="preserve"> wprowadzenia nowego modelu finansowania</w:t>
            </w:r>
            <w:r w:rsidR="008D5F13">
              <w:rPr>
                <w:rFonts w:ascii="Times New Roman" w:hAnsi="Times New Roman" w:cs="Times New Roman"/>
                <w:color w:val="000000" w:themeColor="text1"/>
              </w:rPr>
              <w:t xml:space="preserve"> –</w:t>
            </w:r>
            <w:r w:rsidR="00DB0B02" w:rsidRPr="00E42D6D">
              <w:rPr>
                <w:rFonts w:ascii="Times New Roman" w:hAnsi="Times New Roman" w:cs="Times New Roman"/>
                <w:color w:val="000000" w:themeColor="text1"/>
              </w:rPr>
              <w:t xml:space="preserve"> uwzględniając e-Doręczenie oraz </w:t>
            </w:r>
            <w:r w:rsidR="006549DD" w:rsidRPr="00E42D6D">
              <w:rPr>
                <w:rFonts w:ascii="Times New Roman" w:hAnsi="Times New Roman" w:cs="Times New Roman"/>
                <w:color w:val="000000" w:themeColor="text1"/>
              </w:rPr>
              <w:t xml:space="preserve">publiczną usługę hybrydową </w:t>
            </w:r>
            <w:r w:rsidR="00DB0B02" w:rsidRPr="00E42D6D">
              <w:rPr>
                <w:rFonts w:ascii="Times New Roman" w:hAnsi="Times New Roman" w:cs="Times New Roman"/>
                <w:color w:val="000000" w:themeColor="text1"/>
              </w:rPr>
              <w:t xml:space="preserve">rejestrowaną i </w:t>
            </w:r>
            <w:r w:rsidR="006549DD" w:rsidRPr="00E42D6D">
              <w:rPr>
                <w:rFonts w:ascii="Times New Roman" w:hAnsi="Times New Roman" w:cs="Times New Roman"/>
                <w:color w:val="000000" w:themeColor="text1"/>
              </w:rPr>
              <w:t xml:space="preserve">publiczną usługę hybrydową </w:t>
            </w:r>
            <w:r w:rsidR="00DB0B02" w:rsidRPr="00E42D6D">
              <w:rPr>
                <w:rFonts w:ascii="Times New Roman" w:hAnsi="Times New Roman" w:cs="Times New Roman"/>
                <w:color w:val="000000" w:themeColor="text1"/>
              </w:rPr>
              <w:t>zwykł</w:t>
            </w:r>
            <w:r w:rsidR="006549DD" w:rsidRPr="00E42D6D">
              <w:rPr>
                <w:rFonts w:ascii="Times New Roman" w:hAnsi="Times New Roman" w:cs="Times New Roman"/>
                <w:color w:val="000000" w:themeColor="text1"/>
              </w:rPr>
              <w:t>ą</w:t>
            </w:r>
            <w:r w:rsidR="00DB0B02" w:rsidRPr="00E42D6D">
              <w:rPr>
                <w:rFonts w:ascii="Times New Roman" w:hAnsi="Times New Roman" w:cs="Times New Roman"/>
                <w:color w:val="000000" w:themeColor="text1"/>
              </w:rPr>
              <w:t xml:space="preserve"> w okresie 2020</w:t>
            </w:r>
            <w:r>
              <w:rPr>
                <w:rFonts w:ascii="Times New Roman" w:hAnsi="Times New Roman" w:cs="Times New Roman"/>
                <w:color w:val="000000" w:themeColor="text1"/>
              </w:rPr>
              <w:t>–</w:t>
            </w:r>
            <w:r w:rsidR="00DB0B02" w:rsidRPr="00E42D6D">
              <w:rPr>
                <w:rFonts w:ascii="Times New Roman" w:hAnsi="Times New Roman" w:cs="Times New Roman"/>
                <w:color w:val="000000" w:themeColor="text1"/>
              </w:rPr>
              <w:t xml:space="preserve">2030 </w:t>
            </w:r>
            <w:r w:rsidR="008D5F13">
              <w:rPr>
                <w:rFonts w:ascii="Times New Roman" w:hAnsi="Times New Roman" w:cs="Times New Roman"/>
                <w:color w:val="000000" w:themeColor="text1"/>
              </w:rPr>
              <w:t>–</w:t>
            </w:r>
            <w:r w:rsidR="00DB0B02" w:rsidRPr="00E42D6D">
              <w:rPr>
                <w:rFonts w:ascii="Times New Roman" w:hAnsi="Times New Roman" w:cs="Times New Roman"/>
                <w:color w:val="000000" w:themeColor="text1"/>
              </w:rPr>
              <w:t xml:space="preserve"> 4</w:t>
            </w:r>
            <w:r w:rsidR="00AB04E9">
              <w:rPr>
                <w:rFonts w:ascii="Times New Roman" w:hAnsi="Times New Roman" w:cs="Times New Roman"/>
                <w:color w:val="000000" w:themeColor="text1"/>
              </w:rPr>
              <w:t xml:space="preserve"> </w:t>
            </w:r>
            <w:r w:rsidR="007D731F" w:rsidRPr="00E42D6D">
              <w:rPr>
                <w:rFonts w:ascii="Times New Roman" w:hAnsi="Times New Roman" w:cs="Times New Roman"/>
                <w:color w:val="000000" w:themeColor="text1"/>
              </w:rPr>
              <w:t>454</w:t>
            </w:r>
            <w:r w:rsidR="00DB0B02" w:rsidRPr="007F0EC5">
              <w:rPr>
                <w:rFonts w:ascii="Times New Roman" w:hAnsi="Times New Roman" w:cs="Times New Roman"/>
                <w:color w:val="000000" w:themeColor="text1"/>
              </w:rPr>
              <w:t xml:space="preserve"> mln zł, </w:t>
            </w:r>
          </w:p>
          <w:p w14:paraId="278C35CE" w14:textId="77777777" w:rsidR="00DB0B02" w:rsidRPr="00E42D6D" w:rsidRDefault="00E42D6D" w:rsidP="007F0EC5">
            <w:pPr>
              <w:spacing w:before="60" w:after="60"/>
              <w:jc w:val="both"/>
              <w:rPr>
                <w:rFonts w:ascii="Times New Roman" w:hAnsi="Times New Roman" w:cs="Times New Roman"/>
                <w:color w:val="000000" w:themeColor="text1"/>
              </w:rPr>
            </w:pPr>
            <w:r>
              <w:rPr>
                <w:rFonts w:ascii="Times New Roman" w:hAnsi="Times New Roman" w:cs="Times New Roman"/>
                <w:color w:val="000000" w:themeColor="text1"/>
              </w:rPr>
              <w:t>–</w:t>
            </w:r>
            <w:r w:rsidR="00DB0B02" w:rsidRPr="00E42D6D">
              <w:rPr>
                <w:rFonts w:ascii="Times New Roman" w:hAnsi="Times New Roman" w:cs="Times New Roman"/>
                <w:color w:val="000000" w:themeColor="text1"/>
              </w:rPr>
              <w:t xml:space="preserve"> wdrożenia i utrzymania systemu (w tym nadzór i wybór OW przez UKE) </w:t>
            </w:r>
            <w:r>
              <w:rPr>
                <w:rFonts w:ascii="Times New Roman" w:hAnsi="Times New Roman" w:cs="Times New Roman"/>
                <w:color w:val="000000" w:themeColor="text1"/>
              </w:rPr>
              <w:t>–</w:t>
            </w:r>
            <w:r w:rsidR="00DB0B02" w:rsidRPr="00E42D6D">
              <w:rPr>
                <w:rFonts w:ascii="Times New Roman" w:hAnsi="Times New Roman" w:cs="Times New Roman"/>
                <w:color w:val="000000" w:themeColor="text1"/>
              </w:rPr>
              <w:t xml:space="preserve"> 167,84 mln zł</w:t>
            </w:r>
            <w:r w:rsidR="006549DD" w:rsidRPr="00E42D6D">
              <w:rPr>
                <w:rFonts w:ascii="Times New Roman" w:hAnsi="Times New Roman" w:cs="Times New Roman"/>
                <w:color w:val="000000" w:themeColor="text1"/>
              </w:rPr>
              <w:t>,</w:t>
            </w:r>
          </w:p>
          <w:p w14:paraId="48F8E033" w14:textId="77777777" w:rsidR="00DB0B02" w:rsidRPr="00E42D6D" w:rsidRDefault="00E42D6D" w:rsidP="007F0EC5">
            <w:pPr>
              <w:spacing w:before="60" w:after="60"/>
              <w:jc w:val="both"/>
              <w:rPr>
                <w:rFonts w:ascii="Times New Roman" w:hAnsi="Times New Roman" w:cs="Times New Roman"/>
                <w:color w:val="000000" w:themeColor="text1"/>
              </w:rPr>
            </w:pPr>
            <w:r>
              <w:rPr>
                <w:rFonts w:ascii="Times New Roman" w:hAnsi="Times New Roman" w:cs="Times New Roman"/>
                <w:color w:val="000000" w:themeColor="text1"/>
              </w:rPr>
              <w:t>–</w:t>
            </w:r>
            <w:r w:rsidR="00DB0B02" w:rsidRPr="00E42D6D">
              <w:rPr>
                <w:rFonts w:ascii="Times New Roman" w:hAnsi="Times New Roman" w:cs="Times New Roman"/>
                <w:color w:val="000000" w:themeColor="text1"/>
              </w:rPr>
              <w:t xml:space="preserve"> dotacji w tym samym okresie (2020</w:t>
            </w:r>
            <w:r w:rsidR="005F6337">
              <w:rPr>
                <w:rFonts w:ascii="Times New Roman" w:hAnsi="Times New Roman" w:cs="Times New Roman"/>
                <w:color w:val="000000" w:themeColor="text1"/>
              </w:rPr>
              <w:t>–</w:t>
            </w:r>
            <w:r w:rsidR="00DB0B02" w:rsidRPr="00E42D6D">
              <w:rPr>
                <w:rFonts w:ascii="Times New Roman" w:hAnsi="Times New Roman" w:cs="Times New Roman"/>
                <w:color w:val="000000" w:themeColor="text1"/>
              </w:rPr>
              <w:t>2030) w wysokości 1</w:t>
            </w:r>
            <w:r w:rsidR="00AB04E9">
              <w:rPr>
                <w:rFonts w:ascii="Times New Roman" w:hAnsi="Times New Roman" w:cs="Times New Roman"/>
                <w:color w:val="000000" w:themeColor="text1"/>
              </w:rPr>
              <w:t xml:space="preserve"> </w:t>
            </w:r>
            <w:r w:rsidR="007D731F" w:rsidRPr="00E42D6D">
              <w:rPr>
                <w:rFonts w:ascii="Times New Roman" w:hAnsi="Times New Roman" w:cs="Times New Roman"/>
                <w:color w:val="000000" w:themeColor="text1"/>
              </w:rPr>
              <w:t>146</w:t>
            </w:r>
            <w:r w:rsidR="00DB0B02" w:rsidRPr="00E42D6D">
              <w:rPr>
                <w:rFonts w:ascii="Times New Roman" w:hAnsi="Times New Roman" w:cs="Times New Roman"/>
                <w:color w:val="000000" w:themeColor="text1"/>
              </w:rPr>
              <w:t xml:space="preserve">, </w:t>
            </w:r>
            <w:r w:rsidR="007D731F" w:rsidRPr="00E42D6D">
              <w:rPr>
                <w:rFonts w:ascii="Times New Roman" w:hAnsi="Times New Roman" w:cs="Times New Roman"/>
                <w:color w:val="000000" w:themeColor="text1"/>
              </w:rPr>
              <w:t>69</w:t>
            </w:r>
            <w:r w:rsidR="00DB0B02" w:rsidRPr="00E42D6D">
              <w:rPr>
                <w:rFonts w:ascii="Times New Roman" w:hAnsi="Times New Roman" w:cs="Times New Roman"/>
                <w:color w:val="000000" w:themeColor="text1"/>
              </w:rPr>
              <w:t xml:space="preserve"> mln zł</w:t>
            </w:r>
            <w:r w:rsidR="006549DD" w:rsidRPr="00E42D6D">
              <w:rPr>
                <w:rFonts w:ascii="Times New Roman" w:hAnsi="Times New Roman" w:cs="Times New Roman"/>
                <w:color w:val="000000" w:themeColor="text1"/>
              </w:rPr>
              <w:t>.</w:t>
            </w:r>
            <w:r w:rsidR="00AB04E9">
              <w:rPr>
                <w:rFonts w:ascii="Times New Roman" w:hAnsi="Times New Roman" w:cs="Times New Roman"/>
                <w:color w:val="000000" w:themeColor="text1"/>
              </w:rPr>
              <w:t xml:space="preserve"> </w:t>
            </w:r>
          </w:p>
          <w:p w14:paraId="0EBDDF7E" w14:textId="52AEC454" w:rsidR="00DB0B02" w:rsidRPr="00067989" w:rsidRDefault="008D5F13" w:rsidP="008A3FA9">
            <w:pPr>
              <w:spacing w:before="60" w:after="60"/>
              <w:jc w:val="both"/>
              <w:rPr>
                <w:rFonts w:ascii="Times New Roman" w:hAnsi="Times New Roman" w:cs="Times New Roman"/>
                <w:color w:val="000000" w:themeColor="text1"/>
              </w:rPr>
            </w:pPr>
            <w:r>
              <w:rPr>
                <w:rFonts w:ascii="Times New Roman" w:hAnsi="Times New Roman" w:cs="Times New Roman"/>
                <w:color w:val="000000" w:themeColor="text1"/>
              </w:rPr>
              <w:t>Z</w:t>
            </w:r>
            <w:r w:rsidR="00DB0B02" w:rsidRPr="00E42D6D">
              <w:rPr>
                <w:rFonts w:ascii="Times New Roman" w:hAnsi="Times New Roman" w:cs="Times New Roman"/>
                <w:color w:val="000000" w:themeColor="text1"/>
              </w:rPr>
              <w:t xml:space="preserve"> powyższego wynika</w:t>
            </w:r>
            <w:r w:rsidR="006549DD" w:rsidRPr="00E42D6D">
              <w:rPr>
                <w:rFonts w:ascii="Times New Roman" w:hAnsi="Times New Roman" w:cs="Times New Roman"/>
                <w:color w:val="000000" w:themeColor="text1"/>
              </w:rPr>
              <w:t>,</w:t>
            </w:r>
            <w:r w:rsidR="00DB0B02" w:rsidRPr="00E42D6D">
              <w:rPr>
                <w:rFonts w:ascii="Times New Roman" w:hAnsi="Times New Roman" w:cs="Times New Roman"/>
                <w:color w:val="000000" w:themeColor="text1"/>
              </w:rPr>
              <w:t xml:space="preserve"> że projekt wygeneruje dla budżetu państwa oszczędności </w:t>
            </w:r>
            <w:r w:rsidR="007D731F" w:rsidRPr="00E42D6D">
              <w:rPr>
                <w:rFonts w:ascii="Times New Roman" w:hAnsi="Times New Roman" w:cs="Times New Roman"/>
                <w:color w:val="000000" w:themeColor="text1"/>
              </w:rPr>
              <w:t>906</w:t>
            </w:r>
            <w:r w:rsidR="00DB0B02" w:rsidRPr="00E42D6D">
              <w:rPr>
                <w:rFonts w:ascii="Times New Roman" w:hAnsi="Times New Roman" w:cs="Times New Roman"/>
                <w:color w:val="000000" w:themeColor="text1"/>
              </w:rPr>
              <w:t>,</w:t>
            </w:r>
            <w:r w:rsidR="007D731F" w:rsidRPr="00E42D6D">
              <w:rPr>
                <w:rFonts w:ascii="Times New Roman" w:hAnsi="Times New Roman" w:cs="Times New Roman"/>
                <w:color w:val="000000" w:themeColor="text1"/>
              </w:rPr>
              <w:t>06</w:t>
            </w:r>
            <w:r w:rsidR="00DB0B02" w:rsidRPr="00E42D6D">
              <w:rPr>
                <w:rFonts w:ascii="Times New Roman" w:hAnsi="Times New Roman" w:cs="Times New Roman"/>
                <w:color w:val="000000" w:themeColor="text1"/>
              </w:rPr>
              <w:t xml:space="preserve"> mln</w:t>
            </w:r>
            <w:r w:rsidR="00DB0B02" w:rsidRPr="00067989">
              <w:rPr>
                <w:rStyle w:val="Odwoanieprzypisudolnego"/>
                <w:rFonts w:ascii="Times New Roman" w:hAnsi="Times New Roman" w:cs="Times New Roman"/>
                <w:color w:val="000000" w:themeColor="text1"/>
              </w:rPr>
              <w:footnoteReference w:id="24"/>
            </w:r>
            <w:r w:rsidR="00E42D6D" w:rsidRPr="008A3FA9">
              <w:rPr>
                <w:rFonts w:ascii="Times New Roman" w:hAnsi="Times New Roman" w:cs="Times New Roman"/>
                <w:color w:val="000000" w:themeColor="text1"/>
                <w:vertAlign w:val="superscript"/>
              </w:rPr>
              <w:t>)</w:t>
            </w:r>
            <w:r w:rsidR="00DB0B02" w:rsidRPr="00067989">
              <w:rPr>
                <w:rFonts w:ascii="Times New Roman" w:hAnsi="Times New Roman" w:cs="Times New Roman"/>
                <w:color w:val="000000" w:themeColor="text1"/>
              </w:rPr>
              <w:t xml:space="preserve"> zł</w:t>
            </w:r>
            <w:r w:rsidR="006549DD" w:rsidRPr="00067989">
              <w:rPr>
                <w:rFonts w:ascii="Times New Roman" w:hAnsi="Times New Roman" w:cs="Times New Roman"/>
                <w:color w:val="000000" w:themeColor="text1"/>
              </w:rPr>
              <w:t>,</w:t>
            </w:r>
            <w:r w:rsidR="00DB0B02" w:rsidRPr="00067989">
              <w:rPr>
                <w:rFonts w:ascii="Times New Roman" w:hAnsi="Times New Roman" w:cs="Times New Roman"/>
                <w:color w:val="000000" w:themeColor="text1"/>
              </w:rPr>
              <w:t xml:space="preserve"> z czego </w:t>
            </w:r>
            <w:r w:rsidR="007D731F" w:rsidRPr="00067989">
              <w:rPr>
                <w:rFonts w:ascii="Times New Roman" w:hAnsi="Times New Roman" w:cs="Times New Roman"/>
                <w:color w:val="000000" w:themeColor="text1"/>
              </w:rPr>
              <w:t>535</w:t>
            </w:r>
            <w:r w:rsidR="00DB0B02" w:rsidRPr="00067989">
              <w:rPr>
                <w:rFonts w:ascii="Times New Roman" w:hAnsi="Times New Roman" w:cs="Times New Roman"/>
                <w:color w:val="000000" w:themeColor="text1"/>
              </w:rPr>
              <w:t>,</w:t>
            </w:r>
            <w:r w:rsidR="007D731F" w:rsidRPr="00067989">
              <w:rPr>
                <w:rFonts w:ascii="Times New Roman" w:hAnsi="Times New Roman" w:cs="Times New Roman"/>
                <w:color w:val="000000" w:themeColor="text1"/>
              </w:rPr>
              <w:t>47</w:t>
            </w:r>
            <w:r w:rsidR="00DB0B02" w:rsidRPr="00067989">
              <w:rPr>
                <w:rStyle w:val="Odwoanieprzypisudolnego"/>
                <w:rFonts w:ascii="Times New Roman" w:hAnsi="Times New Roman" w:cs="Times New Roman"/>
                <w:color w:val="000000" w:themeColor="text1"/>
              </w:rPr>
              <w:footnoteReference w:id="25"/>
            </w:r>
            <w:r w:rsidR="00E42D6D" w:rsidRPr="008A3FA9">
              <w:rPr>
                <w:rFonts w:ascii="Times New Roman" w:hAnsi="Times New Roman" w:cs="Times New Roman"/>
                <w:color w:val="000000" w:themeColor="text1"/>
                <w:vertAlign w:val="superscript"/>
              </w:rPr>
              <w:t>)</w:t>
            </w:r>
            <w:r w:rsidR="00DB0B02" w:rsidRPr="00067989">
              <w:rPr>
                <w:rFonts w:ascii="Times New Roman" w:hAnsi="Times New Roman" w:cs="Times New Roman"/>
                <w:color w:val="000000" w:themeColor="text1"/>
              </w:rPr>
              <w:t xml:space="preserve"> mln zł</w:t>
            </w:r>
            <w:r w:rsidR="00DB0B02" w:rsidRPr="00067989">
              <w:rPr>
                <w:rFonts w:ascii="Times New Roman" w:hAnsi="Times New Roman" w:cs="Times New Roman"/>
                <w:b/>
                <w:color w:val="000000" w:themeColor="text1"/>
              </w:rPr>
              <w:t xml:space="preserve"> </w:t>
            </w:r>
            <w:r w:rsidR="00DB0B02" w:rsidRPr="00067989">
              <w:rPr>
                <w:rFonts w:ascii="Times New Roman" w:hAnsi="Times New Roman" w:cs="Times New Roman"/>
                <w:color w:val="000000" w:themeColor="text1"/>
              </w:rPr>
              <w:t>z tytułu elektronizacji doręczeń (uwzględniając koszt wdrożenia i utrzymania systemu teleinformatycznego, koszt wyboru i nadzoru operatora wyznaczonego, koszty świadczenia publicznej usługi hybrydowej rejestrowanej oraz publicznej usługi rejestrowanego doręczenia elektronicznego, koszt dotacji, oszczędności z tytułu nieponiesienia kosztów wydruku w skali 10 lat).</w:t>
            </w:r>
          </w:p>
        </w:tc>
      </w:tr>
      <w:tr w:rsidR="005C3FCE" w:rsidRPr="00E42D6D" w14:paraId="568EB67A" w14:textId="77777777" w:rsidTr="008A3FA9">
        <w:tblPrEx>
          <w:jc w:val="left"/>
        </w:tblPrEx>
        <w:trPr>
          <w:trHeight w:val="345"/>
        </w:trPr>
        <w:tc>
          <w:tcPr>
            <w:tcW w:w="10661" w:type="dxa"/>
            <w:gridSpan w:val="29"/>
            <w:shd w:val="clear" w:color="auto" w:fill="99CCFF"/>
          </w:tcPr>
          <w:p w14:paraId="4A55BF0A" w14:textId="494D8538" w:rsidR="00C7135B" w:rsidRPr="008A3FA9" w:rsidRDefault="00C7135B" w:rsidP="008A3FA9">
            <w:pPr>
              <w:numPr>
                <w:ilvl w:val="0"/>
                <w:numId w:val="1"/>
              </w:numPr>
              <w:spacing w:before="60" w:after="60"/>
              <w:jc w:val="both"/>
              <w:rPr>
                <w:rFonts w:ascii="Times New Roman" w:hAnsi="Times New Roman" w:cs="Times New Roman"/>
                <w:b/>
                <w:color w:val="000000" w:themeColor="text1"/>
                <w:spacing w:val="-2"/>
              </w:rPr>
            </w:pPr>
            <w:r w:rsidRPr="008A3FA9">
              <w:rPr>
                <w:rFonts w:ascii="Times New Roman" w:hAnsi="Times New Roman" w:cs="Times New Roman"/>
                <w:b/>
                <w:color w:val="000000" w:themeColor="text1"/>
                <w:spacing w:val="-2"/>
              </w:rPr>
              <w:lastRenderedPageBreak/>
              <w:t xml:space="preserve">Wpływ na </w:t>
            </w:r>
            <w:r w:rsidRPr="008A3FA9">
              <w:rPr>
                <w:rFonts w:ascii="Times New Roman" w:hAnsi="Times New Roman" w:cs="Times New Roman"/>
                <w:b/>
                <w:color w:val="000000" w:themeColor="text1"/>
              </w:rPr>
              <w:t>konkurencyjność gospodarki i przedsiębiorczość, w tym funkcjonowanie przedsiębiorców</w:t>
            </w:r>
            <w:r w:rsidR="004849D7">
              <w:rPr>
                <w:rFonts w:ascii="Times New Roman" w:hAnsi="Times New Roman" w:cs="Times New Roman"/>
                <w:b/>
                <w:color w:val="000000" w:themeColor="text1"/>
              </w:rPr>
              <w:t>,</w:t>
            </w:r>
            <w:r w:rsidRPr="008A3FA9">
              <w:rPr>
                <w:rFonts w:ascii="Times New Roman" w:hAnsi="Times New Roman" w:cs="Times New Roman"/>
                <w:b/>
                <w:color w:val="000000" w:themeColor="text1"/>
              </w:rPr>
              <w:t xml:space="preserve"> oraz na rodzinę, obywateli i gospodarstwa domowe </w:t>
            </w:r>
          </w:p>
        </w:tc>
      </w:tr>
      <w:tr w:rsidR="005C3FCE" w:rsidRPr="00E42D6D" w14:paraId="3251C5A0" w14:textId="77777777" w:rsidTr="008A3FA9">
        <w:tblPrEx>
          <w:jc w:val="left"/>
        </w:tblPrEx>
        <w:trPr>
          <w:trHeight w:val="142"/>
        </w:trPr>
        <w:tc>
          <w:tcPr>
            <w:tcW w:w="10661" w:type="dxa"/>
            <w:gridSpan w:val="29"/>
            <w:shd w:val="clear" w:color="auto" w:fill="FFFFFF"/>
          </w:tcPr>
          <w:p w14:paraId="3BFB49FA" w14:textId="77777777" w:rsidR="00C7135B" w:rsidRPr="008A3FA9" w:rsidRDefault="00C7135B" w:rsidP="008A3FA9">
            <w:pPr>
              <w:spacing w:before="60" w:after="60"/>
              <w:jc w:val="center"/>
              <w:rPr>
                <w:rFonts w:ascii="Times New Roman" w:hAnsi="Times New Roman" w:cs="Times New Roman"/>
                <w:color w:val="000000" w:themeColor="text1"/>
                <w:spacing w:val="-2"/>
              </w:rPr>
            </w:pPr>
            <w:r w:rsidRPr="008A3FA9">
              <w:rPr>
                <w:rFonts w:ascii="Times New Roman" w:hAnsi="Times New Roman" w:cs="Times New Roman"/>
                <w:color w:val="000000" w:themeColor="text1"/>
                <w:spacing w:val="-2"/>
              </w:rPr>
              <w:t>Skutki</w:t>
            </w:r>
          </w:p>
        </w:tc>
      </w:tr>
      <w:tr w:rsidR="005C3FCE" w:rsidRPr="00E42D6D" w14:paraId="146EF0D8" w14:textId="77777777" w:rsidTr="008A3FA9">
        <w:tblPrEx>
          <w:jc w:val="left"/>
        </w:tblPrEx>
        <w:trPr>
          <w:trHeight w:val="142"/>
        </w:trPr>
        <w:tc>
          <w:tcPr>
            <w:tcW w:w="3573" w:type="dxa"/>
            <w:gridSpan w:val="8"/>
            <w:shd w:val="clear" w:color="auto" w:fill="FFFFFF"/>
          </w:tcPr>
          <w:p w14:paraId="061761BF" w14:textId="77777777" w:rsidR="00C7135B" w:rsidRPr="008A3FA9" w:rsidRDefault="00C7135B" w:rsidP="008A3FA9">
            <w:pPr>
              <w:spacing w:before="60" w:after="60"/>
              <w:rPr>
                <w:rFonts w:ascii="Times New Roman" w:hAnsi="Times New Roman" w:cs="Times New Roman"/>
                <w:color w:val="000000" w:themeColor="text1"/>
              </w:rPr>
            </w:pPr>
            <w:r w:rsidRPr="008A3FA9">
              <w:rPr>
                <w:rFonts w:ascii="Times New Roman" w:hAnsi="Times New Roman" w:cs="Times New Roman"/>
                <w:color w:val="000000" w:themeColor="text1"/>
              </w:rPr>
              <w:t>Czas w latach od wejścia w życie zmian</w:t>
            </w:r>
          </w:p>
        </w:tc>
        <w:tc>
          <w:tcPr>
            <w:tcW w:w="963" w:type="dxa"/>
            <w:gridSpan w:val="2"/>
            <w:shd w:val="clear" w:color="auto" w:fill="FFFFFF"/>
          </w:tcPr>
          <w:p w14:paraId="4A0D8EF7" w14:textId="77777777" w:rsidR="00C7135B" w:rsidRPr="008A3FA9" w:rsidRDefault="00C7135B" w:rsidP="008A3FA9">
            <w:pPr>
              <w:spacing w:before="60" w:after="60"/>
              <w:jc w:val="center"/>
              <w:rPr>
                <w:rFonts w:ascii="Times New Roman" w:hAnsi="Times New Roman" w:cs="Times New Roman"/>
                <w:color w:val="000000" w:themeColor="text1"/>
              </w:rPr>
            </w:pPr>
            <w:r w:rsidRPr="008A3FA9">
              <w:rPr>
                <w:rFonts w:ascii="Times New Roman" w:hAnsi="Times New Roman" w:cs="Times New Roman"/>
                <w:color w:val="000000" w:themeColor="text1"/>
              </w:rPr>
              <w:t>0</w:t>
            </w:r>
          </w:p>
        </w:tc>
        <w:tc>
          <w:tcPr>
            <w:tcW w:w="964" w:type="dxa"/>
            <w:gridSpan w:val="5"/>
            <w:shd w:val="clear" w:color="auto" w:fill="FFFFFF"/>
          </w:tcPr>
          <w:p w14:paraId="05326483" w14:textId="77777777" w:rsidR="00C7135B" w:rsidRPr="008A3FA9" w:rsidRDefault="00C7135B" w:rsidP="008A3FA9">
            <w:pPr>
              <w:spacing w:before="60" w:after="60"/>
              <w:jc w:val="center"/>
              <w:rPr>
                <w:rFonts w:ascii="Times New Roman" w:hAnsi="Times New Roman" w:cs="Times New Roman"/>
                <w:color w:val="000000" w:themeColor="text1"/>
              </w:rPr>
            </w:pPr>
            <w:r w:rsidRPr="008A3FA9">
              <w:rPr>
                <w:rFonts w:ascii="Times New Roman" w:hAnsi="Times New Roman" w:cs="Times New Roman"/>
                <w:color w:val="000000" w:themeColor="text1"/>
              </w:rPr>
              <w:t>1</w:t>
            </w:r>
          </w:p>
        </w:tc>
        <w:tc>
          <w:tcPr>
            <w:tcW w:w="964" w:type="dxa"/>
            <w:gridSpan w:val="2"/>
            <w:shd w:val="clear" w:color="auto" w:fill="FFFFFF"/>
          </w:tcPr>
          <w:p w14:paraId="7946B3B4" w14:textId="77777777" w:rsidR="00C7135B" w:rsidRPr="008A3FA9" w:rsidRDefault="00C7135B" w:rsidP="008A3FA9">
            <w:pPr>
              <w:spacing w:before="60" w:after="60"/>
              <w:jc w:val="center"/>
              <w:rPr>
                <w:rFonts w:ascii="Times New Roman" w:hAnsi="Times New Roman" w:cs="Times New Roman"/>
                <w:color w:val="000000" w:themeColor="text1"/>
              </w:rPr>
            </w:pPr>
            <w:r w:rsidRPr="008A3FA9">
              <w:rPr>
                <w:rFonts w:ascii="Times New Roman" w:hAnsi="Times New Roman" w:cs="Times New Roman"/>
                <w:color w:val="000000" w:themeColor="text1"/>
              </w:rPr>
              <w:t>2</w:t>
            </w:r>
          </w:p>
        </w:tc>
        <w:tc>
          <w:tcPr>
            <w:tcW w:w="964" w:type="dxa"/>
            <w:gridSpan w:val="3"/>
            <w:shd w:val="clear" w:color="auto" w:fill="FFFFFF"/>
          </w:tcPr>
          <w:p w14:paraId="2868F07C" w14:textId="77777777" w:rsidR="00C7135B" w:rsidRPr="008A3FA9" w:rsidRDefault="00C7135B" w:rsidP="008A3FA9">
            <w:pPr>
              <w:spacing w:before="60" w:after="60"/>
              <w:jc w:val="center"/>
              <w:rPr>
                <w:rFonts w:ascii="Times New Roman" w:hAnsi="Times New Roman" w:cs="Times New Roman"/>
                <w:color w:val="000000" w:themeColor="text1"/>
              </w:rPr>
            </w:pPr>
            <w:r w:rsidRPr="008A3FA9">
              <w:rPr>
                <w:rFonts w:ascii="Times New Roman" w:hAnsi="Times New Roman" w:cs="Times New Roman"/>
                <w:color w:val="000000" w:themeColor="text1"/>
              </w:rPr>
              <w:t>3</w:t>
            </w:r>
          </w:p>
        </w:tc>
        <w:tc>
          <w:tcPr>
            <w:tcW w:w="964" w:type="dxa"/>
            <w:gridSpan w:val="3"/>
            <w:shd w:val="clear" w:color="auto" w:fill="FFFFFF"/>
          </w:tcPr>
          <w:p w14:paraId="5CDE94B2" w14:textId="77777777" w:rsidR="00C7135B" w:rsidRPr="008A3FA9" w:rsidRDefault="00C7135B" w:rsidP="008A3FA9">
            <w:pPr>
              <w:spacing w:before="60" w:after="60"/>
              <w:jc w:val="center"/>
              <w:rPr>
                <w:rFonts w:ascii="Times New Roman" w:hAnsi="Times New Roman" w:cs="Times New Roman"/>
                <w:color w:val="000000" w:themeColor="text1"/>
              </w:rPr>
            </w:pPr>
            <w:r w:rsidRPr="008A3FA9">
              <w:rPr>
                <w:rFonts w:ascii="Times New Roman" w:hAnsi="Times New Roman" w:cs="Times New Roman"/>
                <w:color w:val="000000" w:themeColor="text1"/>
              </w:rPr>
              <w:t>5</w:t>
            </w:r>
          </w:p>
        </w:tc>
        <w:tc>
          <w:tcPr>
            <w:tcW w:w="964" w:type="dxa"/>
            <w:gridSpan w:val="2"/>
            <w:shd w:val="clear" w:color="auto" w:fill="FFFFFF"/>
          </w:tcPr>
          <w:p w14:paraId="61FB4DB9" w14:textId="77777777" w:rsidR="00C7135B" w:rsidRPr="008A3FA9" w:rsidRDefault="00C7135B" w:rsidP="008A3FA9">
            <w:pPr>
              <w:spacing w:before="60" w:after="60"/>
              <w:jc w:val="center"/>
              <w:rPr>
                <w:rFonts w:ascii="Times New Roman" w:hAnsi="Times New Roman" w:cs="Times New Roman"/>
                <w:color w:val="000000" w:themeColor="text1"/>
              </w:rPr>
            </w:pPr>
            <w:r w:rsidRPr="008A3FA9">
              <w:rPr>
                <w:rFonts w:ascii="Times New Roman" w:hAnsi="Times New Roman" w:cs="Times New Roman"/>
                <w:color w:val="000000" w:themeColor="text1"/>
              </w:rPr>
              <w:t>10</w:t>
            </w:r>
          </w:p>
        </w:tc>
        <w:tc>
          <w:tcPr>
            <w:tcW w:w="1305" w:type="dxa"/>
            <w:gridSpan w:val="4"/>
            <w:shd w:val="clear" w:color="auto" w:fill="FFFFFF"/>
          </w:tcPr>
          <w:p w14:paraId="00E1A2FA" w14:textId="77777777" w:rsidR="007F0EC5" w:rsidRDefault="00C7135B" w:rsidP="008A3FA9">
            <w:pPr>
              <w:spacing w:before="60" w:after="60"/>
              <w:jc w:val="center"/>
              <w:rPr>
                <w:rFonts w:ascii="Times New Roman" w:hAnsi="Times New Roman" w:cs="Times New Roman"/>
                <w:color w:val="000000" w:themeColor="text1"/>
                <w:spacing w:val="-2"/>
              </w:rPr>
            </w:pPr>
            <w:r w:rsidRPr="008A3FA9">
              <w:rPr>
                <w:rFonts w:ascii="Times New Roman" w:hAnsi="Times New Roman" w:cs="Times New Roman"/>
                <w:color w:val="000000" w:themeColor="text1"/>
                <w:spacing w:val="-2"/>
              </w:rPr>
              <w:t>Łącznie</w:t>
            </w:r>
          </w:p>
          <w:p w14:paraId="6B361275" w14:textId="77777777" w:rsidR="00C7135B" w:rsidRPr="008A3FA9" w:rsidRDefault="00C7135B" w:rsidP="008A3FA9">
            <w:pPr>
              <w:spacing w:before="60" w:after="60"/>
              <w:jc w:val="center"/>
              <w:rPr>
                <w:rFonts w:ascii="Times New Roman" w:hAnsi="Times New Roman" w:cs="Times New Roman"/>
                <w:color w:val="000000" w:themeColor="text1"/>
                <w:spacing w:val="-2"/>
              </w:rPr>
            </w:pPr>
            <w:r w:rsidRPr="008A3FA9">
              <w:rPr>
                <w:rFonts w:ascii="Times New Roman" w:hAnsi="Times New Roman" w:cs="Times New Roman"/>
                <w:color w:val="000000" w:themeColor="text1"/>
                <w:spacing w:val="-2"/>
              </w:rPr>
              <w:t>(0</w:t>
            </w:r>
            <w:r w:rsidR="00E42D6D">
              <w:rPr>
                <w:rFonts w:ascii="Times New Roman" w:hAnsi="Times New Roman" w:cs="Times New Roman"/>
                <w:color w:val="000000" w:themeColor="text1"/>
                <w:spacing w:val="-2"/>
              </w:rPr>
              <w:t>–</w:t>
            </w:r>
            <w:r w:rsidRPr="008A3FA9">
              <w:rPr>
                <w:rFonts w:ascii="Times New Roman" w:hAnsi="Times New Roman" w:cs="Times New Roman"/>
                <w:color w:val="000000" w:themeColor="text1"/>
                <w:spacing w:val="-2"/>
              </w:rPr>
              <w:t>10)</w:t>
            </w:r>
          </w:p>
        </w:tc>
      </w:tr>
      <w:tr w:rsidR="005C3FCE" w:rsidRPr="00E42D6D" w14:paraId="3178445C" w14:textId="77777777" w:rsidTr="008A3FA9">
        <w:tblPrEx>
          <w:jc w:val="left"/>
        </w:tblPrEx>
        <w:trPr>
          <w:trHeight w:val="142"/>
        </w:trPr>
        <w:tc>
          <w:tcPr>
            <w:tcW w:w="1472" w:type="dxa"/>
            <w:vMerge w:val="restart"/>
            <w:shd w:val="clear" w:color="auto" w:fill="FFFFFF"/>
          </w:tcPr>
          <w:p w14:paraId="7F1A417E" w14:textId="77777777" w:rsidR="00C7135B" w:rsidRPr="008A3FA9" w:rsidRDefault="00C7135B" w:rsidP="008A3FA9">
            <w:pPr>
              <w:spacing w:before="60" w:after="60"/>
              <w:rPr>
                <w:rFonts w:ascii="Times New Roman" w:hAnsi="Times New Roman" w:cs="Times New Roman"/>
                <w:color w:val="000000" w:themeColor="text1"/>
              </w:rPr>
            </w:pPr>
            <w:r w:rsidRPr="008A3FA9">
              <w:rPr>
                <w:rFonts w:ascii="Times New Roman" w:hAnsi="Times New Roman" w:cs="Times New Roman"/>
                <w:color w:val="000000" w:themeColor="text1"/>
              </w:rPr>
              <w:t>W ujęciu pieniężnym</w:t>
            </w:r>
            <w:r w:rsidR="00E42D6D">
              <w:rPr>
                <w:rFonts w:ascii="Times New Roman" w:hAnsi="Times New Roman" w:cs="Times New Roman"/>
                <w:color w:val="000000" w:themeColor="text1"/>
              </w:rPr>
              <w:t xml:space="preserve"> </w:t>
            </w:r>
            <w:r w:rsidRPr="008A3FA9">
              <w:rPr>
                <w:rFonts w:ascii="Times New Roman" w:hAnsi="Times New Roman" w:cs="Times New Roman"/>
                <w:color w:val="000000" w:themeColor="text1"/>
                <w:spacing w:val="-2"/>
              </w:rPr>
              <w:t>(w mln zł, ceny stałe z 2018 r.)</w:t>
            </w:r>
          </w:p>
        </w:tc>
        <w:tc>
          <w:tcPr>
            <w:tcW w:w="2101" w:type="dxa"/>
            <w:gridSpan w:val="7"/>
            <w:shd w:val="clear" w:color="auto" w:fill="FFFFFF"/>
          </w:tcPr>
          <w:p w14:paraId="2D4F735D" w14:textId="77777777" w:rsidR="00C7135B" w:rsidRPr="008A3FA9" w:rsidRDefault="00C7135B" w:rsidP="008A3FA9">
            <w:pPr>
              <w:spacing w:before="60" w:after="60"/>
              <w:rPr>
                <w:rFonts w:ascii="Times New Roman" w:hAnsi="Times New Roman" w:cs="Times New Roman"/>
                <w:color w:val="000000" w:themeColor="text1"/>
              </w:rPr>
            </w:pPr>
            <w:r w:rsidRPr="008A3FA9">
              <w:rPr>
                <w:rFonts w:ascii="Times New Roman" w:hAnsi="Times New Roman" w:cs="Times New Roman"/>
                <w:color w:val="000000" w:themeColor="text1"/>
              </w:rPr>
              <w:t>duże przedsiębiorstwa</w:t>
            </w:r>
          </w:p>
        </w:tc>
        <w:tc>
          <w:tcPr>
            <w:tcW w:w="963" w:type="dxa"/>
            <w:gridSpan w:val="2"/>
            <w:shd w:val="clear" w:color="auto" w:fill="FFFFFF"/>
          </w:tcPr>
          <w:p w14:paraId="5C098289" w14:textId="77777777" w:rsidR="00C7135B" w:rsidRPr="008A3FA9" w:rsidRDefault="00C7135B" w:rsidP="008A3FA9">
            <w:pPr>
              <w:spacing w:before="60" w:after="60"/>
              <w:rPr>
                <w:rFonts w:ascii="Times New Roman" w:hAnsi="Times New Roman" w:cs="Times New Roman"/>
                <w:color w:val="000000" w:themeColor="text1"/>
              </w:rPr>
            </w:pPr>
            <w:r w:rsidRPr="008A3FA9">
              <w:rPr>
                <w:rFonts w:ascii="Times New Roman" w:hAnsi="Times New Roman" w:cs="Times New Roman"/>
                <w:color w:val="000000" w:themeColor="text1"/>
              </w:rPr>
              <w:t>Brak danych</w:t>
            </w:r>
          </w:p>
        </w:tc>
        <w:tc>
          <w:tcPr>
            <w:tcW w:w="964" w:type="dxa"/>
            <w:gridSpan w:val="5"/>
            <w:shd w:val="clear" w:color="auto" w:fill="FFFFFF"/>
          </w:tcPr>
          <w:p w14:paraId="73E1B41B" w14:textId="77777777" w:rsidR="00C7135B" w:rsidRPr="008A3FA9" w:rsidRDefault="00C7135B" w:rsidP="008A3FA9">
            <w:pPr>
              <w:spacing w:before="60" w:after="60"/>
              <w:rPr>
                <w:rFonts w:ascii="Times New Roman" w:hAnsi="Times New Roman" w:cs="Times New Roman"/>
                <w:color w:val="000000" w:themeColor="text1"/>
              </w:rPr>
            </w:pPr>
          </w:p>
        </w:tc>
        <w:tc>
          <w:tcPr>
            <w:tcW w:w="964" w:type="dxa"/>
            <w:gridSpan w:val="2"/>
            <w:shd w:val="clear" w:color="auto" w:fill="FFFFFF"/>
          </w:tcPr>
          <w:p w14:paraId="34C7770E" w14:textId="77777777" w:rsidR="00C7135B" w:rsidRPr="008A3FA9" w:rsidRDefault="00C7135B" w:rsidP="008A3FA9">
            <w:pPr>
              <w:spacing w:before="60" w:after="60"/>
              <w:rPr>
                <w:rFonts w:ascii="Times New Roman" w:hAnsi="Times New Roman" w:cs="Times New Roman"/>
                <w:color w:val="000000" w:themeColor="text1"/>
              </w:rPr>
            </w:pPr>
          </w:p>
        </w:tc>
        <w:tc>
          <w:tcPr>
            <w:tcW w:w="964" w:type="dxa"/>
            <w:gridSpan w:val="3"/>
            <w:shd w:val="clear" w:color="auto" w:fill="FFFFFF"/>
          </w:tcPr>
          <w:p w14:paraId="632F28AE" w14:textId="77777777" w:rsidR="00C7135B" w:rsidRPr="008A3FA9" w:rsidRDefault="00C7135B" w:rsidP="008A3FA9">
            <w:pPr>
              <w:spacing w:before="60" w:after="60"/>
              <w:rPr>
                <w:rFonts w:ascii="Times New Roman" w:hAnsi="Times New Roman" w:cs="Times New Roman"/>
                <w:color w:val="000000" w:themeColor="text1"/>
              </w:rPr>
            </w:pPr>
          </w:p>
        </w:tc>
        <w:tc>
          <w:tcPr>
            <w:tcW w:w="964" w:type="dxa"/>
            <w:gridSpan w:val="3"/>
            <w:shd w:val="clear" w:color="auto" w:fill="FFFFFF"/>
          </w:tcPr>
          <w:p w14:paraId="233877D3" w14:textId="77777777" w:rsidR="00C7135B" w:rsidRPr="008A3FA9" w:rsidRDefault="00C7135B" w:rsidP="008A3FA9">
            <w:pPr>
              <w:spacing w:before="60" w:after="60"/>
              <w:rPr>
                <w:rFonts w:ascii="Times New Roman" w:hAnsi="Times New Roman" w:cs="Times New Roman"/>
                <w:color w:val="000000" w:themeColor="text1"/>
              </w:rPr>
            </w:pPr>
          </w:p>
        </w:tc>
        <w:tc>
          <w:tcPr>
            <w:tcW w:w="964" w:type="dxa"/>
            <w:gridSpan w:val="2"/>
            <w:shd w:val="clear" w:color="auto" w:fill="FFFFFF"/>
          </w:tcPr>
          <w:p w14:paraId="4859A09C" w14:textId="77777777" w:rsidR="00C7135B" w:rsidRPr="008A3FA9" w:rsidRDefault="00C7135B" w:rsidP="008A3FA9">
            <w:pPr>
              <w:spacing w:before="60" w:after="60"/>
              <w:rPr>
                <w:rFonts w:ascii="Times New Roman" w:hAnsi="Times New Roman" w:cs="Times New Roman"/>
                <w:color w:val="000000" w:themeColor="text1"/>
              </w:rPr>
            </w:pPr>
          </w:p>
        </w:tc>
        <w:tc>
          <w:tcPr>
            <w:tcW w:w="1305" w:type="dxa"/>
            <w:gridSpan w:val="4"/>
            <w:shd w:val="clear" w:color="auto" w:fill="FFFFFF"/>
          </w:tcPr>
          <w:p w14:paraId="31735B09" w14:textId="77777777" w:rsidR="00C7135B" w:rsidRPr="008A3FA9" w:rsidRDefault="00C7135B" w:rsidP="008A3FA9">
            <w:pPr>
              <w:spacing w:before="60" w:after="60"/>
              <w:rPr>
                <w:rFonts w:ascii="Times New Roman" w:hAnsi="Times New Roman" w:cs="Times New Roman"/>
                <w:color w:val="000000" w:themeColor="text1"/>
                <w:spacing w:val="-2"/>
              </w:rPr>
            </w:pPr>
          </w:p>
        </w:tc>
      </w:tr>
      <w:tr w:rsidR="005C3FCE" w:rsidRPr="00E42D6D" w14:paraId="0CD03DA6" w14:textId="77777777" w:rsidTr="008A3FA9">
        <w:tblPrEx>
          <w:jc w:val="left"/>
        </w:tblPrEx>
        <w:trPr>
          <w:trHeight w:val="142"/>
        </w:trPr>
        <w:tc>
          <w:tcPr>
            <w:tcW w:w="1472" w:type="dxa"/>
            <w:vMerge/>
            <w:shd w:val="clear" w:color="auto" w:fill="FFFFFF"/>
          </w:tcPr>
          <w:p w14:paraId="6DE339F6" w14:textId="77777777" w:rsidR="00C7135B" w:rsidRPr="008A3FA9" w:rsidRDefault="00C7135B" w:rsidP="008A3FA9">
            <w:pPr>
              <w:spacing w:before="60" w:after="60"/>
              <w:rPr>
                <w:rFonts w:ascii="Times New Roman" w:hAnsi="Times New Roman" w:cs="Times New Roman"/>
                <w:color w:val="000000" w:themeColor="text1"/>
              </w:rPr>
            </w:pPr>
          </w:p>
        </w:tc>
        <w:tc>
          <w:tcPr>
            <w:tcW w:w="2101" w:type="dxa"/>
            <w:gridSpan w:val="7"/>
            <w:shd w:val="clear" w:color="auto" w:fill="FFFFFF"/>
          </w:tcPr>
          <w:p w14:paraId="41338994" w14:textId="77777777" w:rsidR="00C7135B" w:rsidRPr="008A3FA9" w:rsidRDefault="00C7135B" w:rsidP="008A3FA9">
            <w:pPr>
              <w:spacing w:before="60" w:after="60"/>
              <w:rPr>
                <w:rFonts w:ascii="Times New Roman" w:hAnsi="Times New Roman" w:cs="Times New Roman"/>
                <w:color w:val="000000" w:themeColor="text1"/>
              </w:rPr>
            </w:pPr>
            <w:r w:rsidRPr="008A3FA9">
              <w:rPr>
                <w:rFonts w:ascii="Times New Roman" w:hAnsi="Times New Roman" w:cs="Times New Roman"/>
                <w:color w:val="000000" w:themeColor="text1"/>
              </w:rPr>
              <w:t>sektor mikro-, małych i średnich przedsiębiorstw</w:t>
            </w:r>
          </w:p>
        </w:tc>
        <w:tc>
          <w:tcPr>
            <w:tcW w:w="963" w:type="dxa"/>
            <w:gridSpan w:val="2"/>
            <w:shd w:val="clear" w:color="auto" w:fill="FFFFFF"/>
          </w:tcPr>
          <w:p w14:paraId="7131CC4D" w14:textId="77777777" w:rsidR="00C7135B" w:rsidRPr="008A3FA9" w:rsidRDefault="00C7135B" w:rsidP="008A3FA9">
            <w:pPr>
              <w:spacing w:before="60" w:after="60"/>
              <w:rPr>
                <w:rFonts w:ascii="Times New Roman" w:hAnsi="Times New Roman" w:cs="Times New Roman"/>
                <w:color w:val="000000" w:themeColor="text1"/>
              </w:rPr>
            </w:pPr>
            <w:r w:rsidRPr="008A3FA9">
              <w:rPr>
                <w:rFonts w:ascii="Times New Roman" w:hAnsi="Times New Roman" w:cs="Times New Roman"/>
                <w:color w:val="000000" w:themeColor="text1"/>
              </w:rPr>
              <w:t>Brak danych</w:t>
            </w:r>
          </w:p>
        </w:tc>
        <w:tc>
          <w:tcPr>
            <w:tcW w:w="964" w:type="dxa"/>
            <w:gridSpan w:val="5"/>
            <w:shd w:val="clear" w:color="auto" w:fill="FFFFFF"/>
          </w:tcPr>
          <w:p w14:paraId="1E77A880" w14:textId="77777777" w:rsidR="00C7135B" w:rsidRPr="008A3FA9" w:rsidRDefault="00C7135B" w:rsidP="008A3FA9">
            <w:pPr>
              <w:spacing w:before="60" w:after="60"/>
              <w:rPr>
                <w:rFonts w:ascii="Times New Roman" w:hAnsi="Times New Roman" w:cs="Times New Roman"/>
                <w:color w:val="000000" w:themeColor="text1"/>
              </w:rPr>
            </w:pPr>
          </w:p>
        </w:tc>
        <w:tc>
          <w:tcPr>
            <w:tcW w:w="964" w:type="dxa"/>
            <w:gridSpan w:val="2"/>
            <w:shd w:val="clear" w:color="auto" w:fill="FFFFFF"/>
          </w:tcPr>
          <w:p w14:paraId="6F87FA28" w14:textId="77777777" w:rsidR="00C7135B" w:rsidRPr="008A3FA9" w:rsidRDefault="00C7135B" w:rsidP="008A3FA9">
            <w:pPr>
              <w:spacing w:before="60" w:after="60"/>
              <w:rPr>
                <w:rFonts w:ascii="Times New Roman" w:hAnsi="Times New Roman" w:cs="Times New Roman"/>
                <w:color w:val="000000" w:themeColor="text1"/>
              </w:rPr>
            </w:pPr>
          </w:p>
        </w:tc>
        <w:tc>
          <w:tcPr>
            <w:tcW w:w="964" w:type="dxa"/>
            <w:gridSpan w:val="3"/>
            <w:shd w:val="clear" w:color="auto" w:fill="FFFFFF"/>
          </w:tcPr>
          <w:p w14:paraId="4E94D18F" w14:textId="77777777" w:rsidR="00C7135B" w:rsidRPr="008A3FA9" w:rsidRDefault="00C7135B" w:rsidP="008A3FA9">
            <w:pPr>
              <w:spacing w:before="60" w:after="60"/>
              <w:rPr>
                <w:rFonts w:ascii="Times New Roman" w:hAnsi="Times New Roman" w:cs="Times New Roman"/>
                <w:color w:val="000000" w:themeColor="text1"/>
              </w:rPr>
            </w:pPr>
          </w:p>
        </w:tc>
        <w:tc>
          <w:tcPr>
            <w:tcW w:w="964" w:type="dxa"/>
            <w:gridSpan w:val="3"/>
            <w:shd w:val="clear" w:color="auto" w:fill="FFFFFF"/>
          </w:tcPr>
          <w:p w14:paraId="3E382CB2" w14:textId="77777777" w:rsidR="00C7135B" w:rsidRPr="008A3FA9" w:rsidRDefault="00C7135B" w:rsidP="008A3FA9">
            <w:pPr>
              <w:spacing w:before="60" w:after="60"/>
              <w:rPr>
                <w:rFonts w:ascii="Times New Roman" w:hAnsi="Times New Roman" w:cs="Times New Roman"/>
                <w:color w:val="000000" w:themeColor="text1"/>
              </w:rPr>
            </w:pPr>
          </w:p>
        </w:tc>
        <w:tc>
          <w:tcPr>
            <w:tcW w:w="964" w:type="dxa"/>
            <w:gridSpan w:val="2"/>
            <w:shd w:val="clear" w:color="auto" w:fill="FFFFFF"/>
          </w:tcPr>
          <w:p w14:paraId="0C178906" w14:textId="77777777" w:rsidR="00C7135B" w:rsidRPr="008A3FA9" w:rsidRDefault="00C7135B" w:rsidP="008A3FA9">
            <w:pPr>
              <w:spacing w:before="60" w:after="60"/>
              <w:rPr>
                <w:rFonts w:ascii="Times New Roman" w:hAnsi="Times New Roman" w:cs="Times New Roman"/>
                <w:color w:val="000000" w:themeColor="text1"/>
              </w:rPr>
            </w:pPr>
          </w:p>
        </w:tc>
        <w:tc>
          <w:tcPr>
            <w:tcW w:w="1305" w:type="dxa"/>
            <w:gridSpan w:val="4"/>
            <w:shd w:val="clear" w:color="auto" w:fill="FFFFFF"/>
          </w:tcPr>
          <w:p w14:paraId="7DF07548" w14:textId="77777777" w:rsidR="00C7135B" w:rsidRPr="008A3FA9" w:rsidRDefault="00C7135B" w:rsidP="008A3FA9">
            <w:pPr>
              <w:spacing w:before="60" w:after="60"/>
              <w:rPr>
                <w:rFonts w:ascii="Times New Roman" w:hAnsi="Times New Roman" w:cs="Times New Roman"/>
                <w:color w:val="000000" w:themeColor="text1"/>
                <w:spacing w:val="-2"/>
              </w:rPr>
            </w:pPr>
          </w:p>
        </w:tc>
      </w:tr>
      <w:tr w:rsidR="005C3FCE" w:rsidRPr="00E42D6D" w14:paraId="5285E772" w14:textId="77777777" w:rsidTr="008A3FA9">
        <w:tblPrEx>
          <w:jc w:val="left"/>
        </w:tblPrEx>
        <w:trPr>
          <w:trHeight w:val="142"/>
        </w:trPr>
        <w:tc>
          <w:tcPr>
            <w:tcW w:w="1472" w:type="dxa"/>
            <w:vMerge/>
            <w:shd w:val="clear" w:color="auto" w:fill="FFFFFF"/>
          </w:tcPr>
          <w:p w14:paraId="2BD9D1C3" w14:textId="77777777" w:rsidR="00C7135B" w:rsidRPr="008A3FA9" w:rsidRDefault="00C7135B" w:rsidP="008A3FA9">
            <w:pPr>
              <w:spacing w:before="60" w:after="60"/>
              <w:rPr>
                <w:rFonts w:ascii="Times New Roman" w:hAnsi="Times New Roman" w:cs="Times New Roman"/>
                <w:color w:val="000000" w:themeColor="text1"/>
              </w:rPr>
            </w:pPr>
          </w:p>
        </w:tc>
        <w:tc>
          <w:tcPr>
            <w:tcW w:w="2101" w:type="dxa"/>
            <w:gridSpan w:val="7"/>
            <w:shd w:val="clear" w:color="auto" w:fill="FFFFFF"/>
          </w:tcPr>
          <w:p w14:paraId="5E50F21E" w14:textId="77777777" w:rsidR="00C7135B" w:rsidRPr="008A3FA9" w:rsidRDefault="00C7135B" w:rsidP="008A3FA9">
            <w:pPr>
              <w:spacing w:before="60" w:after="60"/>
              <w:rPr>
                <w:rFonts w:ascii="Times New Roman" w:hAnsi="Times New Roman" w:cs="Times New Roman"/>
                <w:color w:val="000000" w:themeColor="text1"/>
              </w:rPr>
            </w:pPr>
            <w:r w:rsidRPr="008A3FA9">
              <w:rPr>
                <w:rFonts w:ascii="Times New Roman" w:hAnsi="Times New Roman" w:cs="Times New Roman"/>
                <w:color w:val="000000" w:themeColor="text1"/>
              </w:rPr>
              <w:t>rodzina, obywatele oraz gospodarstwa domowe</w:t>
            </w:r>
          </w:p>
        </w:tc>
        <w:tc>
          <w:tcPr>
            <w:tcW w:w="963" w:type="dxa"/>
            <w:gridSpan w:val="2"/>
            <w:shd w:val="clear" w:color="auto" w:fill="FFFFFF"/>
          </w:tcPr>
          <w:p w14:paraId="62653F4A" w14:textId="77777777" w:rsidR="00C7135B" w:rsidRPr="008A3FA9" w:rsidRDefault="00C7135B" w:rsidP="008A3FA9">
            <w:pPr>
              <w:spacing w:before="60" w:after="60"/>
              <w:rPr>
                <w:rFonts w:ascii="Times New Roman" w:hAnsi="Times New Roman" w:cs="Times New Roman"/>
                <w:color w:val="000000" w:themeColor="text1"/>
              </w:rPr>
            </w:pPr>
            <w:r w:rsidRPr="008A3FA9">
              <w:rPr>
                <w:rFonts w:ascii="Times New Roman" w:hAnsi="Times New Roman" w:cs="Times New Roman"/>
                <w:color w:val="000000" w:themeColor="text1"/>
              </w:rPr>
              <w:t>Brak danych</w:t>
            </w:r>
          </w:p>
        </w:tc>
        <w:tc>
          <w:tcPr>
            <w:tcW w:w="964" w:type="dxa"/>
            <w:gridSpan w:val="5"/>
            <w:shd w:val="clear" w:color="auto" w:fill="FFFFFF"/>
          </w:tcPr>
          <w:p w14:paraId="6139E447" w14:textId="77777777" w:rsidR="00C7135B" w:rsidRPr="008A3FA9" w:rsidRDefault="00C7135B" w:rsidP="008A3FA9">
            <w:pPr>
              <w:spacing w:before="60" w:after="60"/>
              <w:rPr>
                <w:rFonts w:ascii="Times New Roman" w:hAnsi="Times New Roman" w:cs="Times New Roman"/>
                <w:color w:val="000000" w:themeColor="text1"/>
              </w:rPr>
            </w:pPr>
          </w:p>
        </w:tc>
        <w:tc>
          <w:tcPr>
            <w:tcW w:w="964" w:type="dxa"/>
            <w:gridSpan w:val="2"/>
            <w:shd w:val="clear" w:color="auto" w:fill="FFFFFF"/>
          </w:tcPr>
          <w:p w14:paraId="04F7754D" w14:textId="77777777" w:rsidR="00C7135B" w:rsidRPr="008A3FA9" w:rsidRDefault="00C7135B" w:rsidP="008A3FA9">
            <w:pPr>
              <w:spacing w:before="60" w:after="60"/>
              <w:rPr>
                <w:rFonts w:ascii="Times New Roman" w:hAnsi="Times New Roman" w:cs="Times New Roman"/>
                <w:color w:val="000000" w:themeColor="text1"/>
              </w:rPr>
            </w:pPr>
          </w:p>
        </w:tc>
        <w:tc>
          <w:tcPr>
            <w:tcW w:w="964" w:type="dxa"/>
            <w:gridSpan w:val="3"/>
            <w:shd w:val="clear" w:color="auto" w:fill="FFFFFF"/>
          </w:tcPr>
          <w:p w14:paraId="245BC7F7" w14:textId="77777777" w:rsidR="00C7135B" w:rsidRPr="008A3FA9" w:rsidRDefault="00C7135B" w:rsidP="008A3FA9">
            <w:pPr>
              <w:spacing w:before="60" w:after="60"/>
              <w:rPr>
                <w:rFonts w:ascii="Times New Roman" w:hAnsi="Times New Roman" w:cs="Times New Roman"/>
                <w:color w:val="000000" w:themeColor="text1"/>
              </w:rPr>
            </w:pPr>
          </w:p>
        </w:tc>
        <w:tc>
          <w:tcPr>
            <w:tcW w:w="964" w:type="dxa"/>
            <w:gridSpan w:val="3"/>
            <w:shd w:val="clear" w:color="auto" w:fill="FFFFFF"/>
          </w:tcPr>
          <w:p w14:paraId="70132306" w14:textId="77777777" w:rsidR="00C7135B" w:rsidRPr="008A3FA9" w:rsidRDefault="00C7135B" w:rsidP="008A3FA9">
            <w:pPr>
              <w:spacing w:before="60" w:after="60"/>
              <w:rPr>
                <w:rFonts w:ascii="Times New Roman" w:hAnsi="Times New Roman" w:cs="Times New Roman"/>
                <w:color w:val="000000" w:themeColor="text1"/>
              </w:rPr>
            </w:pPr>
          </w:p>
        </w:tc>
        <w:tc>
          <w:tcPr>
            <w:tcW w:w="964" w:type="dxa"/>
            <w:gridSpan w:val="2"/>
            <w:shd w:val="clear" w:color="auto" w:fill="FFFFFF"/>
          </w:tcPr>
          <w:p w14:paraId="29338448" w14:textId="77777777" w:rsidR="00C7135B" w:rsidRPr="008A3FA9" w:rsidRDefault="00C7135B" w:rsidP="008A3FA9">
            <w:pPr>
              <w:spacing w:before="60" w:after="60"/>
              <w:rPr>
                <w:rFonts w:ascii="Times New Roman" w:hAnsi="Times New Roman" w:cs="Times New Roman"/>
                <w:color w:val="000000" w:themeColor="text1"/>
              </w:rPr>
            </w:pPr>
          </w:p>
        </w:tc>
        <w:tc>
          <w:tcPr>
            <w:tcW w:w="1305" w:type="dxa"/>
            <w:gridSpan w:val="4"/>
            <w:shd w:val="clear" w:color="auto" w:fill="FFFFFF"/>
          </w:tcPr>
          <w:p w14:paraId="38669599" w14:textId="77777777" w:rsidR="00C7135B" w:rsidRPr="008A3FA9" w:rsidRDefault="00C7135B" w:rsidP="008A3FA9">
            <w:pPr>
              <w:spacing w:before="60" w:after="60"/>
              <w:rPr>
                <w:rFonts w:ascii="Times New Roman" w:hAnsi="Times New Roman" w:cs="Times New Roman"/>
                <w:color w:val="000000" w:themeColor="text1"/>
                <w:spacing w:val="-2"/>
              </w:rPr>
            </w:pPr>
          </w:p>
        </w:tc>
      </w:tr>
      <w:tr w:rsidR="00B45D1F" w:rsidRPr="00E42D6D" w14:paraId="32CC90BE" w14:textId="77777777" w:rsidTr="008A3FA9">
        <w:tblPrEx>
          <w:jc w:val="left"/>
        </w:tblPrEx>
        <w:trPr>
          <w:trHeight w:val="142"/>
        </w:trPr>
        <w:tc>
          <w:tcPr>
            <w:tcW w:w="1472" w:type="dxa"/>
            <w:vMerge/>
            <w:shd w:val="clear" w:color="auto" w:fill="FFFFFF"/>
          </w:tcPr>
          <w:p w14:paraId="760CEA96" w14:textId="77777777" w:rsidR="00B45D1F" w:rsidRPr="008A3FA9" w:rsidRDefault="00B45D1F" w:rsidP="008A3FA9">
            <w:pPr>
              <w:spacing w:before="60" w:after="60"/>
              <w:rPr>
                <w:rFonts w:ascii="Times New Roman" w:hAnsi="Times New Roman" w:cs="Times New Roman"/>
                <w:color w:val="000000" w:themeColor="text1"/>
              </w:rPr>
            </w:pPr>
          </w:p>
        </w:tc>
        <w:tc>
          <w:tcPr>
            <w:tcW w:w="2101" w:type="dxa"/>
            <w:gridSpan w:val="7"/>
            <w:shd w:val="clear" w:color="auto" w:fill="FFFFFF"/>
          </w:tcPr>
          <w:p w14:paraId="68906517" w14:textId="77777777" w:rsidR="00B45D1F" w:rsidRPr="008A3FA9" w:rsidRDefault="00B45D1F" w:rsidP="008A3FA9">
            <w:pPr>
              <w:spacing w:before="60" w:after="60"/>
              <w:rPr>
                <w:rFonts w:ascii="Times New Roman" w:hAnsi="Times New Roman" w:cs="Times New Roman"/>
                <w:bCs/>
                <w:color w:val="000000" w:themeColor="text1"/>
                <w:u w:val="single"/>
              </w:rPr>
            </w:pPr>
            <w:r w:rsidRPr="008A3FA9">
              <w:rPr>
                <w:rFonts w:ascii="Times New Roman" w:hAnsi="Times New Roman" w:cs="Times New Roman"/>
                <w:color w:val="000000" w:themeColor="text1"/>
              </w:rPr>
              <w:t xml:space="preserve">zmiana przychodów Poczty Polskiej w przypadku przyjęcia </w:t>
            </w:r>
            <w:r w:rsidRPr="008A3FA9">
              <w:rPr>
                <w:rFonts w:ascii="Times New Roman" w:hAnsi="Times New Roman" w:cs="Times New Roman"/>
                <w:bCs/>
                <w:color w:val="000000" w:themeColor="text1"/>
                <w:u w:val="single"/>
              </w:rPr>
              <w:t>scenariusza realizacji usługi e-Doręczeń i publicznej usługi hybrydowej</w:t>
            </w:r>
            <w:r w:rsidR="00AB04E9">
              <w:rPr>
                <w:rFonts w:ascii="Times New Roman" w:hAnsi="Times New Roman" w:cs="Times New Roman"/>
                <w:bCs/>
                <w:color w:val="000000" w:themeColor="text1"/>
                <w:u w:val="single"/>
              </w:rPr>
              <w:t xml:space="preserve"> </w:t>
            </w:r>
            <w:r w:rsidRPr="008A3FA9">
              <w:rPr>
                <w:rFonts w:ascii="Times New Roman" w:hAnsi="Times New Roman" w:cs="Times New Roman"/>
                <w:bCs/>
                <w:color w:val="000000" w:themeColor="text1"/>
                <w:u w:val="single"/>
              </w:rPr>
              <w:t>bez udziału Poczty Polskiej w realizacji usługi eDoręczeń</w:t>
            </w:r>
          </w:p>
          <w:p w14:paraId="06831314" w14:textId="77777777" w:rsidR="00B45D1F" w:rsidRPr="008A3FA9" w:rsidRDefault="00B45D1F" w:rsidP="008A3FA9">
            <w:pPr>
              <w:spacing w:before="60" w:after="60"/>
              <w:rPr>
                <w:rFonts w:ascii="Times New Roman" w:hAnsi="Times New Roman" w:cs="Times New Roman"/>
                <w:color w:val="000000" w:themeColor="text1"/>
              </w:rPr>
            </w:pPr>
            <w:r w:rsidRPr="008A3FA9">
              <w:rPr>
                <w:rStyle w:val="Odwoanieprzypisudolnego"/>
                <w:rFonts w:ascii="Times New Roman" w:hAnsi="Times New Roman" w:cs="Times New Roman"/>
                <w:color w:val="000000" w:themeColor="text1"/>
              </w:rPr>
              <w:footnoteReference w:id="26"/>
            </w:r>
            <w:r w:rsidR="007F0EC5" w:rsidRPr="008A3FA9">
              <w:rPr>
                <w:rFonts w:ascii="Times New Roman" w:hAnsi="Times New Roman" w:cs="Times New Roman"/>
                <w:color w:val="000000" w:themeColor="text1"/>
                <w:vertAlign w:val="superscript"/>
              </w:rPr>
              <w:t>)</w:t>
            </w:r>
          </w:p>
        </w:tc>
        <w:tc>
          <w:tcPr>
            <w:tcW w:w="963" w:type="dxa"/>
            <w:gridSpan w:val="2"/>
            <w:shd w:val="clear" w:color="auto" w:fill="FFFFFF"/>
          </w:tcPr>
          <w:p w14:paraId="6D7F9312" w14:textId="77777777" w:rsidR="00B45D1F" w:rsidRPr="008A3FA9" w:rsidRDefault="00B45D1F" w:rsidP="008A3FA9">
            <w:pPr>
              <w:spacing w:before="60" w:after="60"/>
              <w:jc w:val="center"/>
              <w:rPr>
                <w:rFonts w:ascii="Times New Roman" w:hAnsi="Times New Roman" w:cs="Times New Roman"/>
                <w:color w:val="000000" w:themeColor="text1"/>
              </w:rPr>
            </w:pPr>
            <w:r w:rsidRPr="008A3FA9">
              <w:rPr>
                <w:rFonts w:ascii="Times New Roman" w:hAnsi="Times New Roman" w:cs="Times New Roman"/>
                <w:color w:val="000000" w:themeColor="text1"/>
              </w:rPr>
              <w:t>-131,1</w:t>
            </w:r>
          </w:p>
        </w:tc>
        <w:tc>
          <w:tcPr>
            <w:tcW w:w="964" w:type="dxa"/>
            <w:gridSpan w:val="5"/>
            <w:shd w:val="clear" w:color="auto" w:fill="FFFFFF"/>
          </w:tcPr>
          <w:p w14:paraId="523A0B34" w14:textId="77777777" w:rsidR="00B45D1F" w:rsidRPr="008A3FA9" w:rsidRDefault="00B45D1F" w:rsidP="008A3FA9">
            <w:pPr>
              <w:spacing w:before="60" w:after="60"/>
              <w:jc w:val="center"/>
              <w:rPr>
                <w:rFonts w:ascii="Times New Roman" w:hAnsi="Times New Roman" w:cs="Times New Roman"/>
                <w:color w:val="000000" w:themeColor="text1"/>
              </w:rPr>
            </w:pPr>
            <w:r w:rsidRPr="008A3FA9">
              <w:rPr>
                <w:rFonts w:ascii="Times New Roman" w:hAnsi="Times New Roman" w:cs="Times New Roman"/>
                <w:color w:val="000000" w:themeColor="text1"/>
              </w:rPr>
              <w:t>-210,9</w:t>
            </w:r>
          </w:p>
        </w:tc>
        <w:tc>
          <w:tcPr>
            <w:tcW w:w="964" w:type="dxa"/>
            <w:gridSpan w:val="2"/>
            <w:shd w:val="clear" w:color="auto" w:fill="FFFFFF"/>
          </w:tcPr>
          <w:p w14:paraId="17CCB8DD" w14:textId="77777777" w:rsidR="00B45D1F" w:rsidRPr="008A3FA9" w:rsidRDefault="00B45D1F" w:rsidP="008A3FA9">
            <w:pPr>
              <w:spacing w:before="60" w:after="60"/>
              <w:jc w:val="center"/>
              <w:rPr>
                <w:rFonts w:ascii="Times New Roman" w:hAnsi="Times New Roman" w:cs="Times New Roman"/>
                <w:color w:val="000000" w:themeColor="text1"/>
              </w:rPr>
            </w:pPr>
            <w:r w:rsidRPr="008A3FA9">
              <w:rPr>
                <w:rFonts w:ascii="Times New Roman" w:hAnsi="Times New Roman" w:cs="Times New Roman"/>
                <w:color w:val="000000" w:themeColor="text1"/>
              </w:rPr>
              <w:t>-327,2</w:t>
            </w:r>
          </w:p>
        </w:tc>
        <w:tc>
          <w:tcPr>
            <w:tcW w:w="964" w:type="dxa"/>
            <w:gridSpan w:val="3"/>
            <w:shd w:val="clear" w:color="auto" w:fill="FFFFFF"/>
          </w:tcPr>
          <w:p w14:paraId="23DCAA23" w14:textId="77777777" w:rsidR="00B45D1F" w:rsidRPr="008A3FA9" w:rsidRDefault="00B45D1F" w:rsidP="008A3FA9">
            <w:pPr>
              <w:spacing w:before="60" w:after="60"/>
              <w:jc w:val="center"/>
              <w:rPr>
                <w:rFonts w:ascii="Times New Roman" w:hAnsi="Times New Roman" w:cs="Times New Roman"/>
                <w:color w:val="000000" w:themeColor="text1"/>
              </w:rPr>
            </w:pPr>
            <w:r w:rsidRPr="008A3FA9">
              <w:rPr>
                <w:rFonts w:ascii="Times New Roman" w:hAnsi="Times New Roman" w:cs="Times New Roman"/>
                <w:color w:val="000000" w:themeColor="text1"/>
              </w:rPr>
              <w:t>-419,8</w:t>
            </w:r>
          </w:p>
        </w:tc>
        <w:tc>
          <w:tcPr>
            <w:tcW w:w="964" w:type="dxa"/>
            <w:gridSpan w:val="3"/>
            <w:shd w:val="clear" w:color="auto" w:fill="FFFFFF"/>
          </w:tcPr>
          <w:p w14:paraId="6377CEDD" w14:textId="77777777" w:rsidR="00B45D1F" w:rsidRPr="008A3FA9" w:rsidRDefault="00B45D1F" w:rsidP="008A3FA9">
            <w:pPr>
              <w:spacing w:before="60" w:after="60"/>
              <w:jc w:val="center"/>
              <w:rPr>
                <w:rFonts w:ascii="Times New Roman" w:hAnsi="Times New Roman" w:cs="Times New Roman"/>
                <w:color w:val="000000" w:themeColor="text1"/>
              </w:rPr>
            </w:pPr>
            <w:r w:rsidRPr="008A3FA9">
              <w:rPr>
                <w:rFonts w:ascii="Times New Roman" w:hAnsi="Times New Roman" w:cs="Times New Roman"/>
                <w:color w:val="000000" w:themeColor="text1"/>
              </w:rPr>
              <w:t>-337,2</w:t>
            </w:r>
          </w:p>
        </w:tc>
        <w:tc>
          <w:tcPr>
            <w:tcW w:w="964" w:type="dxa"/>
            <w:gridSpan w:val="2"/>
            <w:shd w:val="clear" w:color="auto" w:fill="FFFFFF"/>
          </w:tcPr>
          <w:p w14:paraId="0647DF70" w14:textId="77777777" w:rsidR="00B45D1F" w:rsidRPr="008A3FA9" w:rsidRDefault="00B45D1F" w:rsidP="008A3FA9">
            <w:pPr>
              <w:spacing w:before="60" w:after="60"/>
              <w:jc w:val="center"/>
              <w:rPr>
                <w:rFonts w:ascii="Times New Roman" w:hAnsi="Times New Roman" w:cs="Times New Roman"/>
                <w:color w:val="000000" w:themeColor="text1"/>
              </w:rPr>
            </w:pPr>
            <w:r w:rsidRPr="008A3FA9">
              <w:rPr>
                <w:rFonts w:ascii="Times New Roman" w:hAnsi="Times New Roman" w:cs="Times New Roman"/>
                <w:color w:val="000000" w:themeColor="text1"/>
              </w:rPr>
              <w:t>-1145,0</w:t>
            </w:r>
          </w:p>
        </w:tc>
        <w:tc>
          <w:tcPr>
            <w:tcW w:w="1305" w:type="dxa"/>
            <w:gridSpan w:val="4"/>
            <w:shd w:val="clear" w:color="auto" w:fill="FFFFFF"/>
          </w:tcPr>
          <w:p w14:paraId="0E53756D" w14:textId="77777777" w:rsidR="00B45D1F" w:rsidRPr="008A3FA9" w:rsidRDefault="007F0EC5" w:rsidP="008A3FA9">
            <w:pPr>
              <w:spacing w:before="60" w:after="60"/>
              <w:jc w:val="center"/>
              <w:rPr>
                <w:rFonts w:ascii="Times New Roman" w:hAnsi="Times New Roman" w:cs="Times New Roman"/>
                <w:color w:val="000000" w:themeColor="text1"/>
                <w:spacing w:val="-2"/>
              </w:rPr>
            </w:pPr>
            <w:r>
              <w:rPr>
                <w:rFonts w:ascii="Times New Roman" w:hAnsi="Times New Roman" w:cs="Times New Roman"/>
                <w:color w:val="000000" w:themeColor="text1"/>
              </w:rPr>
              <w:t>-</w:t>
            </w:r>
            <w:r w:rsidR="00B45D1F" w:rsidRPr="008A3FA9">
              <w:rPr>
                <w:rFonts w:ascii="Times New Roman" w:hAnsi="Times New Roman" w:cs="Times New Roman"/>
                <w:color w:val="000000" w:themeColor="text1"/>
                <w:spacing w:val="-2"/>
              </w:rPr>
              <w:t>2571,2</w:t>
            </w:r>
          </w:p>
        </w:tc>
      </w:tr>
      <w:tr w:rsidR="00A8712A" w:rsidRPr="00E42D6D" w14:paraId="529AADF9" w14:textId="77777777" w:rsidTr="008A3FA9">
        <w:tblPrEx>
          <w:jc w:val="left"/>
        </w:tblPrEx>
        <w:trPr>
          <w:trHeight w:val="142"/>
        </w:trPr>
        <w:tc>
          <w:tcPr>
            <w:tcW w:w="1472" w:type="dxa"/>
            <w:vMerge/>
            <w:shd w:val="clear" w:color="auto" w:fill="FFFFFF"/>
          </w:tcPr>
          <w:p w14:paraId="6CD9A110" w14:textId="77777777" w:rsidR="00A8712A" w:rsidRPr="008A3FA9" w:rsidRDefault="00A8712A" w:rsidP="008A3FA9">
            <w:pPr>
              <w:spacing w:before="60" w:after="60"/>
              <w:rPr>
                <w:rFonts w:ascii="Times New Roman" w:hAnsi="Times New Roman" w:cs="Times New Roman"/>
                <w:color w:val="000000" w:themeColor="text1"/>
              </w:rPr>
            </w:pPr>
          </w:p>
        </w:tc>
        <w:tc>
          <w:tcPr>
            <w:tcW w:w="2101" w:type="dxa"/>
            <w:gridSpan w:val="7"/>
            <w:shd w:val="clear" w:color="auto" w:fill="FFFFFF"/>
          </w:tcPr>
          <w:p w14:paraId="7404CD0F" w14:textId="77777777" w:rsidR="00A8712A" w:rsidRPr="008A3FA9" w:rsidRDefault="00A8712A" w:rsidP="008A3FA9">
            <w:pPr>
              <w:spacing w:before="60" w:after="60"/>
              <w:rPr>
                <w:rFonts w:ascii="Times New Roman" w:hAnsi="Times New Roman" w:cs="Times New Roman"/>
                <w:color w:val="000000" w:themeColor="text1"/>
              </w:rPr>
            </w:pPr>
            <w:r w:rsidRPr="008A3FA9">
              <w:rPr>
                <w:rFonts w:ascii="Times New Roman" w:hAnsi="Times New Roman" w:cs="Times New Roman"/>
                <w:color w:val="000000" w:themeColor="text1"/>
              </w:rPr>
              <w:t xml:space="preserve">spodziewane przychody Poczty Polskiej w przypadku przyjęcia </w:t>
            </w:r>
            <w:r w:rsidRPr="008A3FA9">
              <w:rPr>
                <w:rFonts w:ascii="Times New Roman" w:hAnsi="Times New Roman" w:cs="Times New Roman"/>
                <w:bCs/>
                <w:color w:val="000000" w:themeColor="text1"/>
                <w:u w:val="single"/>
              </w:rPr>
              <w:t>scenariusza realizacji usługi e-Doręczeń i publicznej usługi hybrydowej z udziałem Poczty Polskiej w realizacji usługi eDoręczeń</w:t>
            </w:r>
          </w:p>
        </w:tc>
        <w:tc>
          <w:tcPr>
            <w:tcW w:w="963" w:type="dxa"/>
            <w:gridSpan w:val="2"/>
            <w:shd w:val="clear" w:color="auto" w:fill="FFFFFF"/>
          </w:tcPr>
          <w:p w14:paraId="773BA82A" w14:textId="77777777" w:rsidR="00A8712A" w:rsidRPr="008A3FA9" w:rsidRDefault="00A8712A" w:rsidP="008A3FA9">
            <w:pPr>
              <w:spacing w:before="60" w:after="60"/>
              <w:jc w:val="center"/>
              <w:rPr>
                <w:rFonts w:ascii="Times New Roman" w:hAnsi="Times New Roman" w:cs="Times New Roman"/>
                <w:color w:val="000000" w:themeColor="text1"/>
              </w:rPr>
            </w:pPr>
            <w:r w:rsidRPr="008A3FA9">
              <w:rPr>
                <w:rFonts w:ascii="Times New Roman" w:hAnsi="Times New Roman" w:cs="Times New Roman"/>
                <w:color w:val="000000" w:themeColor="text1"/>
              </w:rPr>
              <w:t>84,2</w:t>
            </w:r>
            <w:r w:rsidRPr="008A3FA9">
              <w:rPr>
                <w:rStyle w:val="Odwoanieprzypisudolnego"/>
                <w:rFonts w:ascii="Times New Roman" w:hAnsi="Times New Roman" w:cs="Times New Roman"/>
                <w:color w:val="000000" w:themeColor="text1"/>
              </w:rPr>
              <w:footnoteReference w:id="27"/>
            </w:r>
            <w:r w:rsidR="007F0EC5" w:rsidRPr="008A3FA9">
              <w:rPr>
                <w:rFonts w:ascii="Times New Roman" w:hAnsi="Times New Roman" w:cs="Times New Roman"/>
                <w:color w:val="000000" w:themeColor="text1"/>
                <w:vertAlign w:val="superscript"/>
              </w:rPr>
              <w:t>)</w:t>
            </w:r>
          </w:p>
        </w:tc>
        <w:tc>
          <w:tcPr>
            <w:tcW w:w="964" w:type="dxa"/>
            <w:gridSpan w:val="5"/>
            <w:shd w:val="clear" w:color="auto" w:fill="FFFFFF"/>
          </w:tcPr>
          <w:p w14:paraId="46AF4CDE" w14:textId="77777777" w:rsidR="00A8712A" w:rsidRPr="008A3FA9" w:rsidRDefault="00A8712A" w:rsidP="008A3FA9">
            <w:pPr>
              <w:spacing w:before="60" w:after="60"/>
              <w:jc w:val="center"/>
              <w:rPr>
                <w:rFonts w:ascii="Times New Roman" w:hAnsi="Times New Roman" w:cs="Times New Roman"/>
                <w:color w:val="000000" w:themeColor="text1"/>
              </w:rPr>
            </w:pPr>
            <w:r w:rsidRPr="008A3FA9">
              <w:rPr>
                <w:rFonts w:ascii="Times New Roman" w:hAnsi="Times New Roman" w:cs="Times New Roman"/>
                <w:color w:val="000000" w:themeColor="text1"/>
              </w:rPr>
              <w:t>131,1</w:t>
            </w:r>
          </w:p>
        </w:tc>
        <w:tc>
          <w:tcPr>
            <w:tcW w:w="964" w:type="dxa"/>
            <w:gridSpan w:val="2"/>
            <w:shd w:val="clear" w:color="auto" w:fill="FFFFFF"/>
          </w:tcPr>
          <w:p w14:paraId="4E24B2FE" w14:textId="77777777" w:rsidR="00A8712A" w:rsidRPr="008A3FA9" w:rsidRDefault="00A8712A" w:rsidP="008A3FA9">
            <w:pPr>
              <w:spacing w:before="60" w:after="60"/>
              <w:jc w:val="center"/>
              <w:rPr>
                <w:rFonts w:ascii="Times New Roman" w:hAnsi="Times New Roman" w:cs="Times New Roman"/>
                <w:color w:val="000000" w:themeColor="text1"/>
              </w:rPr>
            </w:pPr>
            <w:r w:rsidRPr="008A3FA9">
              <w:rPr>
                <w:rFonts w:ascii="Times New Roman" w:hAnsi="Times New Roman" w:cs="Times New Roman"/>
                <w:color w:val="000000" w:themeColor="text1"/>
              </w:rPr>
              <w:t>245,8</w:t>
            </w:r>
          </w:p>
        </w:tc>
        <w:tc>
          <w:tcPr>
            <w:tcW w:w="964" w:type="dxa"/>
            <w:gridSpan w:val="3"/>
            <w:shd w:val="clear" w:color="auto" w:fill="FFFFFF"/>
          </w:tcPr>
          <w:p w14:paraId="70F3AC03" w14:textId="77777777" w:rsidR="00A8712A" w:rsidRPr="008A3FA9" w:rsidRDefault="00A8712A" w:rsidP="008A3FA9">
            <w:pPr>
              <w:spacing w:before="60" w:after="60"/>
              <w:jc w:val="center"/>
              <w:rPr>
                <w:rFonts w:ascii="Times New Roman" w:hAnsi="Times New Roman" w:cs="Times New Roman"/>
                <w:color w:val="000000" w:themeColor="text1"/>
              </w:rPr>
            </w:pPr>
            <w:r w:rsidRPr="008A3FA9">
              <w:rPr>
                <w:rFonts w:ascii="Times New Roman" w:hAnsi="Times New Roman" w:cs="Times New Roman"/>
                <w:color w:val="000000" w:themeColor="text1"/>
              </w:rPr>
              <w:t>251,6</w:t>
            </w:r>
          </w:p>
        </w:tc>
        <w:tc>
          <w:tcPr>
            <w:tcW w:w="964" w:type="dxa"/>
            <w:gridSpan w:val="3"/>
            <w:shd w:val="clear" w:color="auto" w:fill="FFFFFF"/>
          </w:tcPr>
          <w:p w14:paraId="4F1AE4F4" w14:textId="77777777" w:rsidR="00A8712A" w:rsidRPr="008A3FA9" w:rsidRDefault="00A8712A" w:rsidP="008A3FA9">
            <w:pPr>
              <w:spacing w:before="60" w:after="60"/>
              <w:jc w:val="center"/>
              <w:rPr>
                <w:rFonts w:ascii="Times New Roman" w:hAnsi="Times New Roman" w:cs="Times New Roman"/>
                <w:color w:val="000000" w:themeColor="text1"/>
              </w:rPr>
            </w:pPr>
            <w:r w:rsidRPr="008A3FA9">
              <w:rPr>
                <w:rFonts w:ascii="Times New Roman" w:hAnsi="Times New Roman" w:cs="Times New Roman"/>
                <w:color w:val="000000" w:themeColor="text1"/>
              </w:rPr>
              <w:t>123,9</w:t>
            </w:r>
          </w:p>
        </w:tc>
        <w:tc>
          <w:tcPr>
            <w:tcW w:w="964" w:type="dxa"/>
            <w:gridSpan w:val="2"/>
            <w:shd w:val="clear" w:color="auto" w:fill="FFFFFF"/>
          </w:tcPr>
          <w:p w14:paraId="55CE33D7" w14:textId="77777777" w:rsidR="00A8712A" w:rsidRPr="008A3FA9" w:rsidRDefault="00A8712A" w:rsidP="008A3FA9">
            <w:pPr>
              <w:spacing w:before="60" w:after="60"/>
              <w:jc w:val="center"/>
              <w:rPr>
                <w:rFonts w:ascii="Times New Roman" w:hAnsi="Times New Roman" w:cs="Times New Roman"/>
                <w:color w:val="000000" w:themeColor="text1"/>
              </w:rPr>
            </w:pPr>
            <w:r w:rsidRPr="008A3FA9">
              <w:rPr>
                <w:rFonts w:ascii="Times New Roman" w:hAnsi="Times New Roman" w:cs="Times New Roman"/>
                <w:color w:val="000000" w:themeColor="text1"/>
              </w:rPr>
              <w:t>49,0</w:t>
            </w:r>
          </w:p>
        </w:tc>
        <w:tc>
          <w:tcPr>
            <w:tcW w:w="1305" w:type="dxa"/>
            <w:gridSpan w:val="4"/>
            <w:shd w:val="clear" w:color="auto" w:fill="FFFFFF"/>
          </w:tcPr>
          <w:p w14:paraId="62A798B8" w14:textId="77777777" w:rsidR="00A8712A" w:rsidRPr="008A3FA9" w:rsidRDefault="00A8712A" w:rsidP="008A3FA9">
            <w:pPr>
              <w:spacing w:before="60" w:after="60"/>
              <w:jc w:val="center"/>
              <w:rPr>
                <w:rFonts w:ascii="Times New Roman" w:hAnsi="Times New Roman" w:cs="Times New Roman"/>
                <w:color w:val="000000" w:themeColor="text1"/>
                <w:spacing w:val="-2"/>
              </w:rPr>
            </w:pPr>
            <w:r w:rsidRPr="008A3FA9">
              <w:rPr>
                <w:rFonts w:ascii="Times New Roman" w:hAnsi="Times New Roman" w:cs="Times New Roman"/>
                <w:color w:val="000000" w:themeColor="text1"/>
              </w:rPr>
              <w:t>885,6</w:t>
            </w:r>
          </w:p>
        </w:tc>
      </w:tr>
      <w:tr w:rsidR="0056532E" w:rsidRPr="00E42D6D" w14:paraId="346F72C8" w14:textId="77777777" w:rsidTr="008A3FA9">
        <w:tblPrEx>
          <w:jc w:val="left"/>
        </w:tblPrEx>
        <w:trPr>
          <w:trHeight w:val="142"/>
        </w:trPr>
        <w:tc>
          <w:tcPr>
            <w:tcW w:w="1472" w:type="dxa"/>
            <w:shd w:val="clear" w:color="auto" w:fill="FFFFFF"/>
          </w:tcPr>
          <w:p w14:paraId="13110F36" w14:textId="77777777" w:rsidR="0056532E" w:rsidRPr="008A3FA9" w:rsidRDefault="0056532E" w:rsidP="008A3FA9">
            <w:pPr>
              <w:spacing w:before="60" w:after="60"/>
              <w:rPr>
                <w:rFonts w:ascii="Times New Roman" w:hAnsi="Times New Roman" w:cs="Times New Roman"/>
                <w:color w:val="000000" w:themeColor="text1"/>
              </w:rPr>
            </w:pPr>
          </w:p>
        </w:tc>
        <w:tc>
          <w:tcPr>
            <w:tcW w:w="2101" w:type="dxa"/>
            <w:gridSpan w:val="7"/>
            <w:shd w:val="clear" w:color="auto" w:fill="FFFFFF"/>
          </w:tcPr>
          <w:p w14:paraId="108157B9" w14:textId="77777777" w:rsidR="0056532E" w:rsidRPr="008A3FA9" w:rsidRDefault="0056532E" w:rsidP="008A3FA9">
            <w:pPr>
              <w:spacing w:before="60" w:after="60"/>
              <w:rPr>
                <w:rFonts w:ascii="Times New Roman" w:hAnsi="Times New Roman" w:cs="Times New Roman"/>
                <w:color w:val="000000" w:themeColor="text1"/>
              </w:rPr>
            </w:pPr>
            <w:r w:rsidRPr="008A3FA9">
              <w:rPr>
                <w:rFonts w:ascii="Times New Roman" w:hAnsi="Times New Roman" w:cs="Times New Roman"/>
                <w:color w:val="000000" w:themeColor="text1"/>
              </w:rPr>
              <w:t xml:space="preserve">zmiana przychodów Poczty Polskiej w przypadku przyjęcia </w:t>
            </w:r>
            <w:r w:rsidRPr="008A3FA9">
              <w:rPr>
                <w:rFonts w:ascii="Times New Roman" w:hAnsi="Times New Roman" w:cs="Times New Roman"/>
                <w:bCs/>
                <w:color w:val="000000" w:themeColor="text1"/>
                <w:u w:val="single"/>
              </w:rPr>
              <w:t>scenariusza realizacji usługi e-Doręczeń i publicznej usługi hybrydowej z udziałem Poczty Polskiej w realizacji usługi eDoręczeń</w:t>
            </w:r>
          </w:p>
        </w:tc>
        <w:tc>
          <w:tcPr>
            <w:tcW w:w="963" w:type="dxa"/>
            <w:gridSpan w:val="2"/>
            <w:shd w:val="clear" w:color="auto" w:fill="FFFFFF"/>
          </w:tcPr>
          <w:p w14:paraId="4D0F0429" w14:textId="77777777" w:rsidR="0056532E" w:rsidRPr="008A3FA9" w:rsidRDefault="0056532E" w:rsidP="008A3FA9">
            <w:pPr>
              <w:spacing w:before="60" w:after="60"/>
              <w:rPr>
                <w:rFonts w:ascii="Times New Roman" w:hAnsi="Times New Roman" w:cs="Times New Roman"/>
                <w:color w:val="000000" w:themeColor="text1"/>
              </w:rPr>
            </w:pPr>
            <w:r w:rsidRPr="008A3FA9">
              <w:rPr>
                <w:rFonts w:ascii="Times New Roman" w:hAnsi="Times New Roman" w:cs="Times New Roman"/>
                <w:color w:val="000000" w:themeColor="text1"/>
              </w:rPr>
              <w:t xml:space="preserve">-46,9 </w:t>
            </w:r>
            <w:r w:rsidRPr="008A3FA9">
              <w:rPr>
                <w:rStyle w:val="Odwoanieprzypisudolnego"/>
                <w:rFonts w:ascii="Times New Roman" w:hAnsi="Times New Roman" w:cs="Times New Roman"/>
                <w:color w:val="000000" w:themeColor="text1"/>
              </w:rPr>
              <w:footnoteReference w:id="28"/>
            </w:r>
            <w:r w:rsidR="007F0EC5" w:rsidRPr="008A3FA9">
              <w:rPr>
                <w:rFonts w:ascii="Times New Roman" w:hAnsi="Times New Roman" w:cs="Times New Roman"/>
                <w:color w:val="000000" w:themeColor="text1"/>
                <w:vertAlign w:val="superscript"/>
              </w:rPr>
              <w:t>)</w:t>
            </w:r>
          </w:p>
        </w:tc>
        <w:tc>
          <w:tcPr>
            <w:tcW w:w="964" w:type="dxa"/>
            <w:gridSpan w:val="5"/>
            <w:shd w:val="clear" w:color="auto" w:fill="FFFFFF"/>
          </w:tcPr>
          <w:p w14:paraId="541F7C53" w14:textId="77777777" w:rsidR="0056532E" w:rsidRPr="008A3FA9" w:rsidRDefault="0056532E" w:rsidP="008A3FA9">
            <w:pPr>
              <w:spacing w:before="60" w:after="60"/>
              <w:rPr>
                <w:rFonts w:ascii="Times New Roman" w:hAnsi="Times New Roman" w:cs="Times New Roman"/>
                <w:color w:val="000000" w:themeColor="text1"/>
              </w:rPr>
            </w:pPr>
            <w:r w:rsidRPr="008A3FA9">
              <w:rPr>
                <w:rFonts w:ascii="Times New Roman" w:hAnsi="Times New Roman" w:cs="Times New Roman"/>
                <w:color w:val="000000" w:themeColor="text1"/>
              </w:rPr>
              <w:t xml:space="preserve">-79,8 </w:t>
            </w:r>
          </w:p>
        </w:tc>
        <w:tc>
          <w:tcPr>
            <w:tcW w:w="964" w:type="dxa"/>
            <w:gridSpan w:val="2"/>
            <w:shd w:val="clear" w:color="auto" w:fill="FFFFFF"/>
          </w:tcPr>
          <w:p w14:paraId="56F1576A" w14:textId="77777777" w:rsidR="0056532E" w:rsidRPr="008A3FA9" w:rsidRDefault="0056532E" w:rsidP="008A3FA9">
            <w:pPr>
              <w:spacing w:before="60" w:after="60"/>
              <w:rPr>
                <w:rFonts w:ascii="Times New Roman" w:hAnsi="Times New Roman" w:cs="Times New Roman"/>
                <w:color w:val="000000" w:themeColor="text1"/>
              </w:rPr>
            </w:pPr>
            <w:r w:rsidRPr="008A3FA9">
              <w:rPr>
                <w:rFonts w:ascii="Times New Roman" w:hAnsi="Times New Roman" w:cs="Times New Roman"/>
                <w:color w:val="000000" w:themeColor="text1"/>
              </w:rPr>
              <w:t xml:space="preserve">-81,4 </w:t>
            </w:r>
          </w:p>
        </w:tc>
        <w:tc>
          <w:tcPr>
            <w:tcW w:w="964" w:type="dxa"/>
            <w:gridSpan w:val="3"/>
            <w:shd w:val="clear" w:color="auto" w:fill="FFFFFF"/>
          </w:tcPr>
          <w:p w14:paraId="03B3607E" w14:textId="77777777" w:rsidR="0056532E" w:rsidRPr="008A3FA9" w:rsidRDefault="0056532E" w:rsidP="008A3FA9">
            <w:pPr>
              <w:spacing w:before="60" w:after="60"/>
              <w:rPr>
                <w:rFonts w:ascii="Times New Roman" w:hAnsi="Times New Roman" w:cs="Times New Roman"/>
                <w:color w:val="000000" w:themeColor="text1"/>
              </w:rPr>
            </w:pPr>
            <w:r w:rsidRPr="008A3FA9">
              <w:rPr>
                <w:rFonts w:ascii="Times New Roman" w:hAnsi="Times New Roman" w:cs="Times New Roman"/>
                <w:color w:val="000000" w:themeColor="text1"/>
              </w:rPr>
              <w:t xml:space="preserve">-168,2 </w:t>
            </w:r>
          </w:p>
        </w:tc>
        <w:tc>
          <w:tcPr>
            <w:tcW w:w="964" w:type="dxa"/>
            <w:gridSpan w:val="3"/>
            <w:shd w:val="clear" w:color="auto" w:fill="FFFFFF"/>
          </w:tcPr>
          <w:p w14:paraId="1389733B" w14:textId="77777777" w:rsidR="0056532E" w:rsidRPr="008A3FA9" w:rsidRDefault="0056532E" w:rsidP="008A3FA9">
            <w:pPr>
              <w:spacing w:before="60" w:after="60"/>
              <w:rPr>
                <w:rFonts w:ascii="Times New Roman" w:hAnsi="Times New Roman" w:cs="Times New Roman"/>
                <w:color w:val="000000" w:themeColor="text1"/>
              </w:rPr>
            </w:pPr>
            <w:r w:rsidRPr="008A3FA9">
              <w:rPr>
                <w:rFonts w:ascii="Times New Roman" w:hAnsi="Times New Roman" w:cs="Times New Roman"/>
                <w:color w:val="000000" w:themeColor="text1"/>
              </w:rPr>
              <w:t>-213,3</w:t>
            </w:r>
          </w:p>
        </w:tc>
        <w:tc>
          <w:tcPr>
            <w:tcW w:w="964" w:type="dxa"/>
            <w:gridSpan w:val="2"/>
            <w:shd w:val="clear" w:color="auto" w:fill="FFFFFF"/>
          </w:tcPr>
          <w:p w14:paraId="1B164D6B" w14:textId="77777777" w:rsidR="0056532E" w:rsidRPr="008A3FA9" w:rsidRDefault="0056532E" w:rsidP="008A3FA9">
            <w:pPr>
              <w:spacing w:before="60" w:after="60"/>
              <w:rPr>
                <w:rFonts w:ascii="Times New Roman" w:hAnsi="Times New Roman" w:cs="Times New Roman"/>
                <w:color w:val="000000" w:themeColor="text1"/>
              </w:rPr>
            </w:pPr>
            <w:r w:rsidRPr="008A3FA9">
              <w:rPr>
                <w:rFonts w:ascii="Times New Roman" w:hAnsi="Times New Roman" w:cs="Times New Roman"/>
                <w:color w:val="000000" w:themeColor="text1"/>
              </w:rPr>
              <w:t xml:space="preserve">-1096,0 </w:t>
            </w:r>
          </w:p>
        </w:tc>
        <w:tc>
          <w:tcPr>
            <w:tcW w:w="1305" w:type="dxa"/>
            <w:gridSpan w:val="4"/>
            <w:shd w:val="clear" w:color="auto" w:fill="FFFFFF"/>
          </w:tcPr>
          <w:p w14:paraId="41A4B113" w14:textId="77777777" w:rsidR="0056532E" w:rsidRPr="008A3FA9" w:rsidRDefault="0056532E" w:rsidP="008A3FA9">
            <w:pPr>
              <w:spacing w:before="60" w:after="60"/>
              <w:rPr>
                <w:rFonts w:ascii="Times New Roman" w:hAnsi="Times New Roman" w:cs="Times New Roman"/>
                <w:color w:val="000000" w:themeColor="text1"/>
              </w:rPr>
            </w:pPr>
            <w:r w:rsidRPr="008A3FA9">
              <w:rPr>
                <w:rFonts w:ascii="Times New Roman" w:hAnsi="Times New Roman" w:cs="Times New Roman"/>
                <w:color w:val="000000" w:themeColor="text1"/>
              </w:rPr>
              <w:t xml:space="preserve">-1685,6 </w:t>
            </w:r>
          </w:p>
          <w:p w14:paraId="662A1060" w14:textId="77777777" w:rsidR="0056532E" w:rsidRPr="008A3FA9" w:rsidRDefault="0056532E" w:rsidP="008A3FA9">
            <w:pPr>
              <w:spacing w:before="60" w:after="60"/>
              <w:rPr>
                <w:rFonts w:ascii="Times New Roman" w:hAnsi="Times New Roman" w:cs="Times New Roman"/>
              </w:rPr>
            </w:pPr>
          </w:p>
          <w:p w14:paraId="76C310FB" w14:textId="77777777" w:rsidR="0056532E" w:rsidRPr="008A3FA9" w:rsidRDefault="0056532E" w:rsidP="008A3FA9">
            <w:pPr>
              <w:spacing w:before="60" w:after="60"/>
              <w:rPr>
                <w:rFonts w:ascii="Times New Roman" w:hAnsi="Times New Roman" w:cs="Times New Roman"/>
              </w:rPr>
            </w:pPr>
          </w:p>
        </w:tc>
      </w:tr>
      <w:tr w:rsidR="005C3FCE" w:rsidRPr="00E42D6D" w14:paraId="1C86964B" w14:textId="77777777" w:rsidTr="008A3FA9">
        <w:tblPrEx>
          <w:jc w:val="left"/>
        </w:tblPrEx>
        <w:trPr>
          <w:trHeight w:val="142"/>
        </w:trPr>
        <w:tc>
          <w:tcPr>
            <w:tcW w:w="1472" w:type="dxa"/>
            <w:vMerge w:val="restart"/>
            <w:shd w:val="clear" w:color="auto" w:fill="FFFFFF"/>
          </w:tcPr>
          <w:p w14:paraId="32933767" w14:textId="77777777" w:rsidR="003A6F7A" w:rsidRPr="008A3FA9" w:rsidRDefault="003A6F7A" w:rsidP="008A3FA9">
            <w:pPr>
              <w:spacing w:before="60" w:after="60"/>
              <w:ind w:left="-92" w:right="-66"/>
              <w:rPr>
                <w:rFonts w:ascii="Times New Roman" w:hAnsi="Times New Roman" w:cs="Times New Roman"/>
                <w:color w:val="000000" w:themeColor="text1"/>
              </w:rPr>
            </w:pPr>
            <w:r w:rsidRPr="008A3FA9">
              <w:rPr>
                <w:rFonts w:ascii="Times New Roman" w:hAnsi="Times New Roman" w:cs="Times New Roman"/>
                <w:color w:val="000000" w:themeColor="text1"/>
              </w:rPr>
              <w:t>W ujęciu niepieniężnym</w:t>
            </w:r>
          </w:p>
        </w:tc>
        <w:tc>
          <w:tcPr>
            <w:tcW w:w="2101" w:type="dxa"/>
            <w:gridSpan w:val="7"/>
            <w:shd w:val="clear" w:color="auto" w:fill="FFFFFF"/>
          </w:tcPr>
          <w:p w14:paraId="54C12E9A" w14:textId="77777777" w:rsidR="003A6F7A" w:rsidRPr="008A3FA9" w:rsidRDefault="003A6F7A" w:rsidP="008A3FA9">
            <w:pPr>
              <w:spacing w:before="60" w:after="60"/>
              <w:rPr>
                <w:rFonts w:ascii="Times New Roman" w:hAnsi="Times New Roman" w:cs="Times New Roman"/>
                <w:color w:val="000000" w:themeColor="text1"/>
              </w:rPr>
            </w:pPr>
            <w:r w:rsidRPr="008A3FA9">
              <w:rPr>
                <w:rFonts w:ascii="Times New Roman" w:hAnsi="Times New Roman" w:cs="Times New Roman"/>
                <w:color w:val="000000" w:themeColor="text1"/>
              </w:rPr>
              <w:t>duże przedsiębiorstwa</w:t>
            </w:r>
          </w:p>
        </w:tc>
        <w:tc>
          <w:tcPr>
            <w:tcW w:w="7088" w:type="dxa"/>
            <w:gridSpan w:val="21"/>
            <w:shd w:val="clear" w:color="auto" w:fill="FFFFFF"/>
          </w:tcPr>
          <w:p w14:paraId="1225AF07" w14:textId="77777777" w:rsidR="003A6F7A" w:rsidRPr="008A3FA9" w:rsidRDefault="003A6F7A" w:rsidP="008A3FA9">
            <w:pPr>
              <w:spacing w:before="60" w:after="60"/>
              <w:jc w:val="both"/>
              <w:rPr>
                <w:rFonts w:ascii="Times New Roman" w:hAnsi="Times New Roman" w:cs="Times New Roman"/>
                <w:color w:val="000000" w:themeColor="text1"/>
                <w:spacing w:val="-2"/>
              </w:rPr>
            </w:pPr>
            <w:r w:rsidRPr="008A3FA9">
              <w:rPr>
                <w:rFonts w:ascii="Times New Roman" w:hAnsi="Times New Roman" w:cs="Times New Roman"/>
                <w:color w:val="000000" w:themeColor="text1"/>
                <w:spacing w:val="-2"/>
              </w:rPr>
              <w:t xml:space="preserve">Przedsiębiorcy będą mogli obniżyć koszty stałe przez bezpłatne wysyłanie do organów administracji publicznej </w:t>
            </w:r>
            <w:r w:rsidR="001D3A9E" w:rsidRPr="008A3FA9">
              <w:rPr>
                <w:rFonts w:ascii="Times New Roman" w:hAnsi="Times New Roman" w:cs="Times New Roman"/>
                <w:color w:val="000000" w:themeColor="text1"/>
                <w:spacing w:val="-2"/>
              </w:rPr>
              <w:t xml:space="preserve">korespondencji </w:t>
            </w:r>
            <w:r w:rsidRPr="008A3FA9">
              <w:rPr>
                <w:rFonts w:ascii="Times New Roman" w:hAnsi="Times New Roman" w:cs="Times New Roman"/>
                <w:color w:val="000000" w:themeColor="text1"/>
                <w:spacing w:val="-2"/>
              </w:rPr>
              <w:t>w</w:t>
            </w:r>
            <w:r w:rsidR="00AB04E9">
              <w:rPr>
                <w:rFonts w:ascii="Times New Roman" w:hAnsi="Times New Roman" w:cs="Times New Roman"/>
                <w:color w:val="000000" w:themeColor="text1"/>
                <w:spacing w:val="-2"/>
              </w:rPr>
              <w:t xml:space="preserve"> </w:t>
            </w:r>
            <w:r w:rsidRPr="008A3FA9">
              <w:rPr>
                <w:rFonts w:ascii="Times New Roman" w:hAnsi="Times New Roman" w:cs="Times New Roman"/>
                <w:color w:val="000000" w:themeColor="text1"/>
                <w:spacing w:val="-2"/>
              </w:rPr>
              <w:t>postaci elektronicznej. Nie będzie konieczności posiadania kont w</w:t>
            </w:r>
            <w:r w:rsidR="00AB04E9">
              <w:rPr>
                <w:rFonts w:ascii="Times New Roman" w:hAnsi="Times New Roman" w:cs="Times New Roman"/>
                <w:color w:val="000000" w:themeColor="text1"/>
                <w:spacing w:val="-2"/>
              </w:rPr>
              <w:t xml:space="preserve"> </w:t>
            </w:r>
            <w:r w:rsidRPr="008A3FA9">
              <w:rPr>
                <w:rFonts w:ascii="Times New Roman" w:hAnsi="Times New Roman" w:cs="Times New Roman"/>
                <w:color w:val="000000" w:themeColor="text1"/>
                <w:spacing w:val="-2"/>
              </w:rPr>
              <w:t>odrębnych systemach teleinformatycznych administracji publicznej, przewidziane jest łatwe zarządzanie e-skrzynką. Przedsiębiorca będzie miał możliwość zgłoszenia żądania wpisu do BAE, w tym założenia skrzynki ESD</w:t>
            </w:r>
            <w:r w:rsidR="001D3A9E" w:rsidRPr="008A3FA9">
              <w:rPr>
                <w:rFonts w:ascii="Times New Roman" w:hAnsi="Times New Roman" w:cs="Times New Roman"/>
                <w:color w:val="000000" w:themeColor="text1"/>
                <w:spacing w:val="-2"/>
              </w:rPr>
              <w:t>,</w:t>
            </w:r>
            <w:r w:rsidRPr="008A3FA9">
              <w:rPr>
                <w:rFonts w:ascii="Times New Roman" w:hAnsi="Times New Roman" w:cs="Times New Roman"/>
                <w:color w:val="000000" w:themeColor="text1"/>
                <w:spacing w:val="-2"/>
              </w:rPr>
              <w:t xml:space="preserve"> </w:t>
            </w:r>
            <w:r w:rsidR="00DB63E7" w:rsidRPr="008A3FA9">
              <w:rPr>
                <w:rFonts w:ascii="Times New Roman" w:hAnsi="Times New Roman" w:cs="Times New Roman"/>
                <w:color w:val="000000" w:themeColor="text1"/>
                <w:spacing w:val="-2"/>
              </w:rPr>
              <w:t>w ramach</w:t>
            </w:r>
            <w:r w:rsidRPr="008A3FA9">
              <w:rPr>
                <w:rFonts w:ascii="Times New Roman" w:hAnsi="Times New Roman" w:cs="Times New Roman"/>
                <w:color w:val="000000" w:themeColor="text1"/>
                <w:spacing w:val="-2"/>
              </w:rPr>
              <w:t xml:space="preserve"> dotychczasowych procedur </w:t>
            </w:r>
            <w:r w:rsidR="00DB63E7" w:rsidRPr="008A3FA9">
              <w:rPr>
                <w:rFonts w:ascii="Times New Roman" w:hAnsi="Times New Roman" w:cs="Times New Roman"/>
                <w:color w:val="000000" w:themeColor="text1"/>
                <w:spacing w:val="-2"/>
              </w:rPr>
              <w:t>które i tak zmuszony jest realizować</w:t>
            </w:r>
            <w:r w:rsidR="00B55B21" w:rsidRPr="008A3FA9">
              <w:rPr>
                <w:rFonts w:ascii="Times New Roman" w:hAnsi="Times New Roman" w:cs="Times New Roman"/>
                <w:color w:val="000000" w:themeColor="text1"/>
                <w:spacing w:val="-2"/>
              </w:rPr>
              <w:t>,</w:t>
            </w:r>
            <w:r w:rsidR="00AB04E9">
              <w:rPr>
                <w:rFonts w:ascii="Times New Roman" w:hAnsi="Times New Roman" w:cs="Times New Roman"/>
                <w:color w:val="000000" w:themeColor="text1"/>
                <w:spacing w:val="-2"/>
              </w:rPr>
              <w:t xml:space="preserve"> </w:t>
            </w:r>
            <w:r w:rsidRPr="008A3FA9">
              <w:rPr>
                <w:rFonts w:ascii="Times New Roman" w:hAnsi="Times New Roman" w:cs="Times New Roman"/>
                <w:color w:val="000000" w:themeColor="text1"/>
                <w:spacing w:val="-2"/>
              </w:rPr>
              <w:t xml:space="preserve">tj. wniosków </w:t>
            </w:r>
            <w:r w:rsidRPr="008A3FA9">
              <w:rPr>
                <w:rFonts w:ascii="Times New Roman" w:hAnsi="Times New Roman" w:cs="Times New Roman"/>
                <w:color w:val="000000" w:themeColor="text1"/>
                <w:spacing w:val="-2"/>
              </w:rPr>
              <w:lastRenderedPageBreak/>
              <w:t>o wpis w KRS.</w:t>
            </w:r>
          </w:p>
          <w:p w14:paraId="4AB8544B" w14:textId="77777777" w:rsidR="003A6F7A" w:rsidRPr="008A3FA9" w:rsidRDefault="003A6F7A" w:rsidP="008A3FA9">
            <w:pPr>
              <w:spacing w:before="60" w:after="60"/>
              <w:jc w:val="both"/>
              <w:rPr>
                <w:rFonts w:ascii="Times New Roman" w:hAnsi="Times New Roman" w:cs="Times New Roman"/>
                <w:color w:val="000000" w:themeColor="text1"/>
                <w:spacing w:val="-2"/>
              </w:rPr>
            </w:pPr>
            <w:r w:rsidRPr="008A3FA9">
              <w:rPr>
                <w:rFonts w:ascii="Times New Roman" w:hAnsi="Times New Roman" w:cs="Times New Roman"/>
                <w:color w:val="000000" w:themeColor="text1"/>
                <w:spacing w:val="-2"/>
              </w:rPr>
              <w:t xml:space="preserve">Ponadto przedsiębiorcy, zmuszeni dziś do wysyłania dużej ilości korespondencji papierowej do swoich klientów, będą mogli zastąpić ją skutecznym </w:t>
            </w:r>
            <w:r w:rsidR="00913289" w:rsidRPr="008A3FA9">
              <w:rPr>
                <w:rFonts w:ascii="Times New Roman" w:hAnsi="Times New Roman" w:cs="Times New Roman"/>
                <w:color w:val="000000" w:themeColor="text1"/>
                <w:spacing w:val="-2"/>
              </w:rPr>
              <w:t xml:space="preserve">szybszym i tańszym </w:t>
            </w:r>
            <w:r w:rsidRPr="008A3FA9">
              <w:rPr>
                <w:rFonts w:ascii="Times New Roman" w:hAnsi="Times New Roman" w:cs="Times New Roman"/>
                <w:color w:val="000000" w:themeColor="text1"/>
                <w:spacing w:val="-2"/>
              </w:rPr>
              <w:t>e-Doręczeniem. Każdy posiadacz skrzynki doręczeń będzie mógł z niej automatycznie pobierać przesyłki lub je tam zostawić, niezależnie od tego, kim jest (obywatel/ przedsiębiorca/ podmiot publiczny).</w:t>
            </w:r>
          </w:p>
        </w:tc>
      </w:tr>
      <w:tr w:rsidR="005C3FCE" w:rsidRPr="00E42D6D" w14:paraId="682BCDE9" w14:textId="77777777" w:rsidTr="008A3FA9">
        <w:tblPrEx>
          <w:jc w:val="left"/>
        </w:tblPrEx>
        <w:trPr>
          <w:trHeight w:val="142"/>
        </w:trPr>
        <w:tc>
          <w:tcPr>
            <w:tcW w:w="1472" w:type="dxa"/>
            <w:vMerge/>
            <w:shd w:val="clear" w:color="auto" w:fill="FFFFFF"/>
          </w:tcPr>
          <w:p w14:paraId="724074F0" w14:textId="77777777" w:rsidR="003A6F7A" w:rsidRPr="008A3FA9" w:rsidRDefault="003A6F7A" w:rsidP="008A3FA9">
            <w:pPr>
              <w:spacing w:before="60" w:after="60"/>
              <w:rPr>
                <w:rFonts w:ascii="Times New Roman" w:hAnsi="Times New Roman" w:cs="Times New Roman"/>
                <w:color w:val="000000" w:themeColor="text1"/>
              </w:rPr>
            </w:pPr>
          </w:p>
        </w:tc>
        <w:tc>
          <w:tcPr>
            <w:tcW w:w="2101" w:type="dxa"/>
            <w:gridSpan w:val="7"/>
            <w:shd w:val="clear" w:color="auto" w:fill="FFFFFF"/>
          </w:tcPr>
          <w:p w14:paraId="2DD31625" w14:textId="77777777" w:rsidR="003A6F7A" w:rsidRPr="008A3FA9" w:rsidRDefault="003A6F7A" w:rsidP="008A3FA9">
            <w:pPr>
              <w:spacing w:before="60" w:after="60"/>
              <w:rPr>
                <w:rFonts w:ascii="Times New Roman" w:hAnsi="Times New Roman" w:cs="Times New Roman"/>
                <w:color w:val="000000" w:themeColor="text1"/>
              </w:rPr>
            </w:pPr>
            <w:r w:rsidRPr="008A3FA9">
              <w:rPr>
                <w:rFonts w:ascii="Times New Roman" w:hAnsi="Times New Roman" w:cs="Times New Roman"/>
                <w:color w:val="000000" w:themeColor="text1"/>
              </w:rPr>
              <w:t>Sektor mikro-, małych i średnich przedsiębiorstw</w:t>
            </w:r>
          </w:p>
        </w:tc>
        <w:tc>
          <w:tcPr>
            <w:tcW w:w="7088" w:type="dxa"/>
            <w:gridSpan w:val="21"/>
            <w:shd w:val="clear" w:color="auto" w:fill="FFFFFF"/>
          </w:tcPr>
          <w:p w14:paraId="16056621" w14:textId="77777777" w:rsidR="003A6F7A" w:rsidRPr="008A3FA9" w:rsidRDefault="003A6F7A" w:rsidP="008A3FA9">
            <w:pPr>
              <w:spacing w:before="60" w:after="60"/>
              <w:jc w:val="both"/>
              <w:rPr>
                <w:rFonts w:ascii="Times New Roman" w:hAnsi="Times New Roman" w:cs="Times New Roman"/>
                <w:color w:val="000000" w:themeColor="text1"/>
                <w:spacing w:val="-2"/>
              </w:rPr>
            </w:pPr>
            <w:r w:rsidRPr="008A3FA9">
              <w:rPr>
                <w:rFonts w:ascii="Times New Roman" w:hAnsi="Times New Roman" w:cs="Times New Roman"/>
                <w:color w:val="000000" w:themeColor="text1"/>
                <w:spacing w:val="-2"/>
              </w:rPr>
              <w:t>Przedsiębiorcy będą mogli obniżyć koszty stałe przez bezpłatne wysyłanie korespondencji do organów administracji publicznej w</w:t>
            </w:r>
            <w:r w:rsidR="00AB04E9">
              <w:rPr>
                <w:rFonts w:ascii="Times New Roman" w:hAnsi="Times New Roman" w:cs="Times New Roman"/>
                <w:color w:val="000000" w:themeColor="text1"/>
                <w:spacing w:val="-2"/>
              </w:rPr>
              <w:t xml:space="preserve"> </w:t>
            </w:r>
            <w:r w:rsidRPr="008A3FA9">
              <w:rPr>
                <w:rFonts w:ascii="Times New Roman" w:hAnsi="Times New Roman" w:cs="Times New Roman"/>
                <w:color w:val="000000" w:themeColor="text1"/>
                <w:spacing w:val="-2"/>
              </w:rPr>
              <w:t>postaci elektronicznej. Nie będzie konieczności posiadania kont w</w:t>
            </w:r>
            <w:r w:rsidR="00AB04E9">
              <w:rPr>
                <w:rFonts w:ascii="Times New Roman" w:hAnsi="Times New Roman" w:cs="Times New Roman"/>
                <w:color w:val="000000" w:themeColor="text1"/>
                <w:spacing w:val="-2"/>
              </w:rPr>
              <w:t xml:space="preserve"> </w:t>
            </w:r>
            <w:r w:rsidRPr="008A3FA9">
              <w:rPr>
                <w:rFonts w:ascii="Times New Roman" w:hAnsi="Times New Roman" w:cs="Times New Roman"/>
                <w:color w:val="000000" w:themeColor="text1"/>
                <w:spacing w:val="-2"/>
              </w:rPr>
              <w:t>odrębnych systemach teleinformatycznych administracji publicznej. Uzyskanie skrzynki od ministra właściwego d</w:t>
            </w:r>
            <w:r w:rsidR="00B55B21" w:rsidRPr="008A3FA9">
              <w:rPr>
                <w:rFonts w:ascii="Times New Roman" w:hAnsi="Times New Roman" w:cs="Times New Roman"/>
                <w:color w:val="000000" w:themeColor="text1"/>
                <w:spacing w:val="-2"/>
              </w:rPr>
              <w:t>o spraw</w:t>
            </w:r>
            <w:r w:rsidRPr="008A3FA9">
              <w:rPr>
                <w:rFonts w:ascii="Times New Roman" w:hAnsi="Times New Roman" w:cs="Times New Roman"/>
                <w:color w:val="000000" w:themeColor="text1"/>
                <w:spacing w:val="-2"/>
              </w:rPr>
              <w:t xml:space="preserve"> informatyzacji będzie możliwe przy użyciu dotychczasowych usług </w:t>
            </w:r>
            <w:r w:rsidR="00B55B21" w:rsidRPr="008A3FA9">
              <w:rPr>
                <w:rFonts w:ascii="Times New Roman" w:hAnsi="Times New Roman" w:cs="Times New Roman"/>
                <w:color w:val="000000" w:themeColor="text1"/>
                <w:spacing w:val="-2"/>
              </w:rPr>
              <w:t xml:space="preserve">przeznaczonych dla </w:t>
            </w:r>
            <w:r w:rsidRPr="008A3FA9">
              <w:rPr>
                <w:rFonts w:ascii="Times New Roman" w:hAnsi="Times New Roman" w:cs="Times New Roman"/>
                <w:color w:val="000000" w:themeColor="text1"/>
                <w:spacing w:val="-2"/>
              </w:rPr>
              <w:t>przedsiębiorc</w:t>
            </w:r>
            <w:r w:rsidR="00B55B21" w:rsidRPr="008A3FA9">
              <w:rPr>
                <w:rFonts w:ascii="Times New Roman" w:hAnsi="Times New Roman" w:cs="Times New Roman"/>
                <w:color w:val="000000" w:themeColor="text1"/>
                <w:spacing w:val="-2"/>
              </w:rPr>
              <w:t>ów</w:t>
            </w:r>
            <w:r w:rsidRPr="008A3FA9">
              <w:rPr>
                <w:rFonts w:ascii="Times New Roman" w:hAnsi="Times New Roman" w:cs="Times New Roman"/>
                <w:color w:val="000000" w:themeColor="text1"/>
                <w:spacing w:val="-2"/>
              </w:rPr>
              <w:t>, tj. wniosków CEIDG.</w:t>
            </w:r>
          </w:p>
        </w:tc>
      </w:tr>
      <w:tr w:rsidR="005C3FCE" w:rsidRPr="00E42D6D" w14:paraId="28F0D5CC" w14:textId="77777777" w:rsidTr="008A3FA9">
        <w:tblPrEx>
          <w:jc w:val="left"/>
        </w:tblPrEx>
        <w:trPr>
          <w:trHeight w:val="596"/>
        </w:trPr>
        <w:tc>
          <w:tcPr>
            <w:tcW w:w="1472" w:type="dxa"/>
            <w:vMerge/>
            <w:shd w:val="clear" w:color="auto" w:fill="FFFFFF"/>
          </w:tcPr>
          <w:p w14:paraId="7387603F" w14:textId="77777777" w:rsidR="003A6F7A" w:rsidRPr="008A3FA9" w:rsidRDefault="003A6F7A" w:rsidP="008A3FA9">
            <w:pPr>
              <w:spacing w:before="60" w:after="60"/>
              <w:rPr>
                <w:rFonts w:ascii="Times New Roman" w:hAnsi="Times New Roman" w:cs="Times New Roman"/>
                <w:color w:val="000000" w:themeColor="text1"/>
              </w:rPr>
            </w:pPr>
          </w:p>
        </w:tc>
        <w:tc>
          <w:tcPr>
            <w:tcW w:w="2101" w:type="dxa"/>
            <w:gridSpan w:val="7"/>
            <w:shd w:val="clear" w:color="auto" w:fill="FFFFFF"/>
          </w:tcPr>
          <w:p w14:paraId="2B8453B7" w14:textId="77777777" w:rsidR="003A6F7A" w:rsidRPr="008A3FA9" w:rsidRDefault="003A6F7A" w:rsidP="008A3FA9">
            <w:pPr>
              <w:tabs>
                <w:tab w:val="right" w:pos="1936"/>
              </w:tabs>
              <w:spacing w:before="60" w:after="60"/>
              <w:rPr>
                <w:rFonts w:ascii="Times New Roman" w:hAnsi="Times New Roman" w:cs="Times New Roman"/>
                <w:color w:val="000000" w:themeColor="text1"/>
              </w:rPr>
            </w:pPr>
            <w:r w:rsidRPr="008A3FA9">
              <w:rPr>
                <w:rFonts w:ascii="Times New Roman" w:hAnsi="Times New Roman" w:cs="Times New Roman"/>
                <w:color w:val="000000" w:themeColor="text1"/>
              </w:rPr>
              <w:t xml:space="preserve">Rodzina, obywatele oraz gospodarstwa domowe </w:t>
            </w:r>
          </w:p>
        </w:tc>
        <w:tc>
          <w:tcPr>
            <w:tcW w:w="7088" w:type="dxa"/>
            <w:gridSpan w:val="21"/>
            <w:shd w:val="clear" w:color="auto" w:fill="FFFFFF"/>
          </w:tcPr>
          <w:p w14:paraId="0E8C4CA7" w14:textId="402471F6" w:rsidR="003A6F7A" w:rsidRPr="008A3FA9" w:rsidRDefault="003A6F7A" w:rsidP="008A3FA9">
            <w:pPr>
              <w:spacing w:before="60" w:after="60"/>
              <w:jc w:val="both"/>
              <w:rPr>
                <w:rFonts w:ascii="Times New Roman" w:hAnsi="Times New Roman" w:cs="Times New Roman"/>
                <w:color w:val="000000" w:themeColor="text1"/>
                <w:lang w:eastAsia="ar-SA"/>
              </w:rPr>
            </w:pPr>
            <w:r w:rsidRPr="008A3FA9">
              <w:rPr>
                <w:rFonts w:ascii="Times New Roman" w:hAnsi="Times New Roman" w:cs="Times New Roman"/>
                <w:color w:val="000000" w:themeColor="text1"/>
                <w:spacing w:val="-2"/>
              </w:rPr>
              <w:t>Obywatele mogą uzyskać możliwość skutecznej i bezpłatnej wysyłki korespondencji w postaci elektronicznej z</w:t>
            </w:r>
            <w:r w:rsidR="00AB04E9">
              <w:rPr>
                <w:rFonts w:ascii="Times New Roman" w:hAnsi="Times New Roman" w:cs="Times New Roman"/>
                <w:color w:val="000000" w:themeColor="text1"/>
                <w:spacing w:val="-2"/>
              </w:rPr>
              <w:t xml:space="preserve"> </w:t>
            </w:r>
            <w:r w:rsidRPr="008A3FA9">
              <w:rPr>
                <w:rFonts w:ascii="Times New Roman" w:hAnsi="Times New Roman" w:cs="Times New Roman"/>
                <w:color w:val="000000" w:themeColor="text1"/>
                <w:spacing w:val="-2"/>
              </w:rPr>
              <w:t>wykorzystaniem jednego adresu, z</w:t>
            </w:r>
            <w:r w:rsidR="001B514F">
              <w:rPr>
                <w:rFonts w:ascii="Times New Roman" w:hAnsi="Times New Roman" w:cs="Times New Roman"/>
                <w:color w:val="000000" w:themeColor="text1"/>
                <w:spacing w:val="-2"/>
              </w:rPr>
              <w:t> </w:t>
            </w:r>
            <w:r w:rsidRPr="008A3FA9">
              <w:rPr>
                <w:rFonts w:ascii="Times New Roman" w:hAnsi="Times New Roman" w:cs="Times New Roman"/>
                <w:color w:val="000000" w:themeColor="text1"/>
                <w:spacing w:val="-2"/>
              </w:rPr>
              <w:t>organami administracji publicznej oraz z sądami.</w:t>
            </w:r>
            <w:r w:rsidRPr="008A3FA9">
              <w:rPr>
                <w:rFonts w:ascii="Times New Roman" w:hAnsi="Times New Roman" w:cs="Times New Roman"/>
                <w:color w:val="000000" w:themeColor="text1"/>
                <w:lang w:eastAsia="ar-SA"/>
              </w:rPr>
              <w:t xml:space="preserve"> </w:t>
            </w:r>
          </w:p>
          <w:p w14:paraId="37656CD9" w14:textId="42BDC1E5" w:rsidR="00687B3B" w:rsidRPr="008A3FA9" w:rsidRDefault="003A6F7A" w:rsidP="008A3FA9">
            <w:pPr>
              <w:spacing w:before="60" w:after="60"/>
              <w:jc w:val="both"/>
              <w:rPr>
                <w:rFonts w:ascii="Times New Roman" w:hAnsi="Times New Roman" w:cs="Times New Roman"/>
                <w:color w:val="000000" w:themeColor="text1"/>
                <w:lang w:eastAsia="ar-SA"/>
              </w:rPr>
            </w:pPr>
            <w:r w:rsidRPr="008A3FA9">
              <w:rPr>
                <w:rFonts w:ascii="Times New Roman" w:hAnsi="Times New Roman" w:cs="Times New Roman"/>
                <w:color w:val="000000" w:themeColor="text1"/>
                <w:lang w:eastAsia="ar-SA"/>
              </w:rPr>
              <w:t>Wejście w życie ustawy będzie miało istotny wpływ na sytuację osób niepełnosprawnych oraz osób starszych. Projektowane rozwiązania umożliwiają przesyłanie i odbiór korespondencji (przede wszystkim z</w:t>
            </w:r>
            <w:r w:rsidR="001B514F">
              <w:rPr>
                <w:rFonts w:ascii="Times New Roman" w:hAnsi="Times New Roman" w:cs="Times New Roman"/>
                <w:color w:val="000000" w:themeColor="text1"/>
                <w:lang w:eastAsia="ar-SA"/>
              </w:rPr>
              <w:t> </w:t>
            </w:r>
            <w:r w:rsidRPr="008A3FA9">
              <w:rPr>
                <w:rFonts w:ascii="Times New Roman" w:hAnsi="Times New Roman" w:cs="Times New Roman"/>
                <w:color w:val="000000" w:themeColor="text1"/>
                <w:lang w:eastAsia="ar-SA"/>
              </w:rPr>
              <w:t xml:space="preserve">podmiotami publicznymi), </w:t>
            </w:r>
            <w:r w:rsidR="00913289" w:rsidRPr="008A3FA9">
              <w:rPr>
                <w:rFonts w:ascii="Times New Roman" w:hAnsi="Times New Roman" w:cs="Times New Roman"/>
                <w:color w:val="000000" w:themeColor="text1"/>
                <w:lang w:eastAsia="ar-SA"/>
              </w:rPr>
              <w:t>bez potrzeby wychodzenia z domu</w:t>
            </w:r>
            <w:r w:rsidR="00E501E7">
              <w:rPr>
                <w:rFonts w:ascii="Times New Roman" w:hAnsi="Times New Roman" w:cs="Times New Roman"/>
                <w:color w:val="000000" w:themeColor="text1"/>
                <w:lang w:eastAsia="ar-SA"/>
              </w:rPr>
              <w:t>,</w:t>
            </w:r>
            <w:r w:rsidR="00913289" w:rsidRPr="008A3FA9">
              <w:rPr>
                <w:rFonts w:ascii="Times New Roman" w:hAnsi="Times New Roman" w:cs="Times New Roman"/>
                <w:color w:val="000000" w:themeColor="text1"/>
                <w:lang w:eastAsia="ar-SA"/>
              </w:rPr>
              <w:t xml:space="preserve"> </w:t>
            </w:r>
            <w:r w:rsidRPr="008A3FA9">
              <w:rPr>
                <w:rFonts w:ascii="Times New Roman" w:hAnsi="Times New Roman" w:cs="Times New Roman"/>
                <w:color w:val="000000" w:themeColor="text1"/>
                <w:lang w:eastAsia="ar-SA"/>
              </w:rPr>
              <w:t xml:space="preserve">co </w:t>
            </w:r>
            <w:r w:rsidR="00913289" w:rsidRPr="008A3FA9">
              <w:rPr>
                <w:rFonts w:ascii="Times New Roman" w:hAnsi="Times New Roman" w:cs="Times New Roman"/>
                <w:color w:val="000000" w:themeColor="text1"/>
                <w:lang w:eastAsia="ar-SA"/>
              </w:rPr>
              <w:t xml:space="preserve">będzie stanowiło znaczne </w:t>
            </w:r>
            <w:r w:rsidRPr="008A3FA9">
              <w:rPr>
                <w:rFonts w:ascii="Times New Roman" w:hAnsi="Times New Roman" w:cs="Times New Roman"/>
                <w:color w:val="000000" w:themeColor="text1"/>
                <w:lang w:eastAsia="ar-SA"/>
              </w:rPr>
              <w:t xml:space="preserve">ułatwienie dla osób </w:t>
            </w:r>
            <w:r w:rsidR="00913289" w:rsidRPr="008A3FA9">
              <w:rPr>
                <w:rFonts w:ascii="Times New Roman" w:hAnsi="Times New Roman" w:cs="Times New Roman"/>
                <w:color w:val="000000" w:themeColor="text1"/>
                <w:lang w:eastAsia="ar-SA"/>
              </w:rPr>
              <w:t>mających trudności z poruszaniem się</w:t>
            </w:r>
            <w:r w:rsidRPr="008A3FA9">
              <w:rPr>
                <w:rFonts w:ascii="Times New Roman" w:hAnsi="Times New Roman" w:cs="Times New Roman"/>
                <w:color w:val="000000" w:themeColor="text1"/>
                <w:lang w:eastAsia="ar-SA"/>
              </w:rPr>
              <w:t xml:space="preserve">. </w:t>
            </w:r>
            <w:r w:rsidR="005D4C5E" w:rsidRPr="008A3FA9">
              <w:rPr>
                <w:rFonts w:ascii="Times New Roman" w:hAnsi="Times New Roman" w:cs="Times New Roman"/>
                <w:color w:val="000000" w:themeColor="text1"/>
                <w:lang w:eastAsia="ar-SA"/>
              </w:rPr>
              <w:t>Elektronizacja doręczeń ułatwi możliwość komu</w:t>
            </w:r>
            <w:r w:rsidR="00687B3B" w:rsidRPr="008A3FA9">
              <w:rPr>
                <w:rFonts w:ascii="Times New Roman" w:hAnsi="Times New Roman" w:cs="Times New Roman"/>
                <w:color w:val="000000" w:themeColor="text1"/>
                <w:lang w:eastAsia="ar-SA"/>
              </w:rPr>
              <w:t>nikowania się osobom niewidomym, które dzięki wsparciu oprogramowania automatycznie czytające</w:t>
            </w:r>
            <w:r w:rsidR="00E501E7">
              <w:rPr>
                <w:rFonts w:ascii="Times New Roman" w:hAnsi="Times New Roman" w:cs="Times New Roman"/>
                <w:color w:val="000000" w:themeColor="text1"/>
                <w:lang w:eastAsia="ar-SA"/>
              </w:rPr>
              <w:t>go</w:t>
            </w:r>
            <w:r w:rsidR="00687B3B" w:rsidRPr="008A3FA9">
              <w:rPr>
                <w:rFonts w:ascii="Times New Roman" w:hAnsi="Times New Roman" w:cs="Times New Roman"/>
                <w:color w:val="000000" w:themeColor="text1"/>
                <w:lang w:eastAsia="ar-SA"/>
              </w:rPr>
              <w:t xml:space="preserve"> treść korespondencji będą mogły </w:t>
            </w:r>
            <w:r w:rsidR="00A95432">
              <w:rPr>
                <w:rFonts w:ascii="Times New Roman" w:hAnsi="Times New Roman" w:cs="Times New Roman"/>
                <w:color w:val="000000" w:themeColor="text1"/>
                <w:lang w:eastAsia="ar-SA"/>
              </w:rPr>
              <w:t>się z nią</w:t>
            </w:r>
            <w:r w:rsidR="00AE753A">
              <w:rPr>
                <w:rFonts w:ascii="Times New Roman" w:hAnsi="Times New Roman" w:cs="Times New Roman"/>
                <w:color w:val="000000" w:themeColor="text1"/>
                <w:lang w:eastAsia="ar-SA"/>
              </w:rPr>
              <w:t xml:space="preserve"> zapoznać</w:t>
            </w:r>
            <w:r w:rsidR="00687B3B" w:rsidRPr="008A3FA9">
              <w:rPr>
                <w:rFonts w:ascii="Times New Roman" w:hAnsi="Times New Roman" w:cs="Times New Roman"/>
                <w:color w:val="000000" w:themeColor="text1"/>
                <w:lang w:eastAsia="ar-SA"/>
              </w:rPr>
              <w:t xml:space="preserve">. </w:t>
            </w:r>
            <w:r w:rsidRPr="008A3FA9">
              <w:rPr>
                <w:rFonts w:ascii="Times New Roman" w:hAnsi="Times New Roman" w:cs="Times New Roman"/>
                <w:color w:val="000000" w:themeColor="text1"/>
                <w:lang w:eastAsia="ar-SA"/>
              </w:rPr>
              <w:t xml:space="preserve">Wprowadzenie usługi </w:t>
            </w:r>
            <w:r w:rsidR="001D3A9E" w:rsidRPr="008A3FA9">
              <w:rPr>
                <w:rFonts w:ascii="Times New Roman" w:hAnsi="Times New Roman" w:cs="Times New Roman"/>
                <w:color w:val="000000" w:themeColor="text1"/>
                <w:lang w:eastAsia="ar-SA"/>
              </w:rPr>
              <w:t>publicznej</w:t>
            </w:r>
            <w:r w:rsidRPr="008A3FA9">
              <w:rPr>
                <w:rFonts w:ascii="Times New Roman" w:hAnsi="Times New Roman" w:cs="Times New Roman"/>
                <w:color w:val="000000" w:themeColor="text1"/>
                <w:lang w:eastAsia="ar-SA"/>
              </w:rPr>
              <w:t xml:space="preserve"> przesyłki hybrydowej zapewnia możliwość komunikacji z administracją publiczną także tym osobom, które ze względu na brak możliwości technicznych, umiejętności cyfrowych lub </w:t>
            </w:r>
            <w:r w:rsidR="00687B3B" w:rsidRPr="008A3FA9">
              <w:rPr>
                <w:rFonts w:ascii="Times New Roman" w:hAnsi="Times New Roman" w:cs="Times New Roman"/>
                <w:color w:val="000000" w:themeColor="text1"/>
                <w:lang w:eastAsia="ar-SA"/>
              </w:rPr>
              <w:t xml:space="preserve">brak </w:t>
            </w:r>
            <w:r w:rsidRPr="008A3FA9">
              <w:rPr>
                <w:rFonts w:ascii="Times New Roman" w:hAnsi="Times New Roman" w:cs="Times New Roman"/>
                <w:color w:val="000000" w:themeColor="text1"/>
                <w:lang w:eastAsia="ar-SA"/>
              </w:rPr>
              <w:t xml:space="preserve">zaufania do technologii cyfrowych nie mogą lub nie chcą prowadzić komunikacji w postaci elektronicznej. </w:t>
            </w:r>
            <w:r w:rsidR="00687B3B" w:rsidRPr="008A3FA9">
              <w:rPr>
                <w:rFonts w:ascii="Times New Roman" w:hAnsi="Times New Roman" w:cs="Times New Roman"/>
                <w:color w:val="000000" w:themeColor="text1"/>
                <w:lang w:eastAsia="ar-SA"/>
              </w:rPr>
              <w:t xml:space="preserve">Takie osoby </w:t>
            </w:r>
            <w:r w:rsidR="00BA4E05" w:rsidRPr="008A3FA9">
              <w:rPr>
                <w:rFonts w:ascii="Times New Roman" w:hAnsi="Times New Roman" w:cs="Times New Roman"/>
                <w:color w:val="000000" w:themeColor="text1"/>
                <w:lang w:eastAsia="ar-SA"/>
              </w:rPr>
              <w:t>nadal będą mog</w:t>
            </w:r>
            <w:r w:rsidR="001D3A9E" w:rsidRPr="008A3FA9">
              <w:rPr>
                <w:rFonts w:ascii="Times New Roman" w:hAnsi="Times New Roman" w:cs="Times New Roman"/>
                <w:color w:val="000000" w:themeColor="text1"/>
                <w:lang w:eastAsia="ar-SA"/>
              </w:rPr>
              <w:t>ły</w:t>
            </w:r>
            <w:r w:rsidR="00BA4E05" w:rsidRPr="008A3FA9">
              <w:rPr>
                <w:rFonts w:ascii="Times New Roman" w:hAnsi="Times New Roman" w:cs="Times New Roman"/>
                <w:color w:val="000000" w:themeColor="text1"/>
                <w:lang w:eastAsia="ar-SA"/>
              </w:rPr>
              <w:t xml:space="preserve"> wysłać korespondencję do </w:t>
            </w:r>
            <w:r w:rsidR="00687B3B" w:rsidRPr="008A3FA9">
              <w:rPr>
                <w:rFonts w:ascii="Times New Roman" w:hAnsi="Times New Roman" w:cs="Times New Roman"/>
                <w:color w:val="000000" w:themeColor="text1"/>
                <w:lang w:eastAsia="ar-SA"/>
              </w:rPr>
              <w:t xml:space="preserve">podmiotów publicznych </w:t>
            </w:r>
            <w:r w:rsidR="00BA4E05" w:rsidRPr="008A3FA9">
              <w:rPr>
                <w:rFonts w:ascii="Times New Roman" w:hAnsi="Times New Roman" w:cs="Times New Roman"/>
                <w:color w:val="000000" w:themeColor="text1"/>
                <w:lang w:eastAsia="ar-SA"/>
              </w:rPr>
              <w:t xml:space="preserve">w </w:t>
            </w:r>
            <w:r w:rsidR="00687B3B" w:rsidRPr="008A3FA9">
              <w:rPr>
                <w:rFonts w:ascii="Times New Roman" w:hAnsi="Times New Roman" w:cs="Times New Roman"/>
                <w:color w:val="000000" w:themeColor="text1"/>
                <w:lang w:eastAsia="ar-SA"/>
              </w:rPr>
              <w:t xml:space="preserve">postaci </w:t>
            </w:r>
            <w:r w:rsidR="00BA4E05" w:rsidRPr="008A3FA9">
              <w:rPr>
                <w:rFonts w:ascii="Times New Roman" w:hAnsi="Times New Roman" w:cs="Times New Roman"/>
                <w:color w:val="000000" w:themeColor="text1"/>
                <w:lang w:eastAsia="ar-SA"/>
              </w:rPr>
              <w:t>papierowej w cenie zbliżonej do obecnej usługi powszechnej</w:t>
            </w:r>
            <w:r w:rsidR="008A78C1" w:rsidRPr="008A3FA9">
              <w:rPr>
                <w:rFonts w:ascii="Times New Roman" w:hAnsi="Times New Roman" w:cs="Times New Roman"/>
                <w:color w:val="000000" w:themeColor="text1"/>
                <w:lang w:eastAsia="ar-SA"/>
              </w:rPr>
              <w:t xml:space="preserve"> </w:t>
            </w:r>
            <w:r w:rsidR="00687B3B" w:rsidRPr="008A3FA9">
              <w:rPr>
                <w:rFonts w:ascii="Times New Roman" w:hAnsi="Times New Roman" w:cs="Times New Roman"/>
                <w:color w:val="000000" w:themeColor="text1"/>
                <w:lang w:eastAsia="ar-SA"/>
              </w:rPr>
              <w:t>a jednocześnie przesyłana treść szybciej dotrze do adresatów dzięki zmianie na postać elektroniczną i</w:t>
            </w:r>
            <w:r w:rsidR="00AB04E9">
              <w:rPr>
                <w:rFonts w:ascii="Times New Roman" w:hAnsi="Times New Roman" w:cs="Times New Roman"/>
                <w:color w:val="000000" w:themeColor="text1"/>
                <w:lang w:eastAsia="ar-SA"/>
              </w:rPr>
              <w:t xml:space="preserve"> </w:t>
            </w:r>
            <w:r w:rsidR="00687B3B" w:rsidRPr="008A3FA9">
              <w:rPr>
                <w:rFonts w:ascii="Times New Roman" w:hAnsi="Times New Roman" w:cs="Times New Roman"/>
                <w:color w:val="000000" w:themeColor="text1"/>
                <w:lang w:eastAsia="ar-SA"/>
              </w:rPr>
              <w:t>doręczeniu w takiej postaci.</w:t>
            </w:r>
          </w:p>
          <w:p w14:paraId="490D93ED" w14:textId="77777777" w:rsidR="003A6F7A" w:rsidRPr="008A3FA9" w:rsidRDefault="001D3A9E" w:rsidP="008A3FA9">
            <w:pPr>
              <w:spacing w:before="60" w:after="60"/>
              <w:jc w:val="both"/>
              <w:rPr>
                <w:rFonts w:ascii="Times New Roman" w:hAnsi="Times New Roman" w:cs="Times New Roman"/>
                <w:color w:val="000000" w:themeColor="text1"/>
                <w:spacing w:val="-2"/>
              </w:rPr>
            </w:pPr>
            <w:r w:rsidRPr="008A3FA9">
              <w:rPr>
                <w:rFonts w:ascii="Times New Roman" w:hAnsi="Times New Roman" w:cs="Times New Roman"/>
                <w:color w:val="000000" w:themeColor="text1"/>
                <w:lang w:eastAsia="ar-SA"/>
              </w:rPr>
              <w:t>D</w:t>
            </w:r>
            <w:r w:rsidR="00BA4E05" w:rsidRPr="008A3FA9">
              <w:rPr>
                <w:rFonts w:ascii="Times New Roman" w:hAnsi="Times New Roman" w:cs="Times New Roman"/>
                <w:color w:val="000000" w:themeColor="text1"/>
                <w:lang w:eastAsia="ar-SA"/>
              </w:rPr>
              <w:t>zięki wdrożeniu e</w:t>
            </w:r>
            <w:r w:rsidRPr="008A3FA9">
              <w:rPr>
                <w:rFonts w:ascii="Times New Roman" w:hAnsi="Times New Roman" w:cs="Times New Roman"/>
                <w:color w:val="000000" w:themeColor="text1"/>
                <w:lang w:eastAsia="ar-SA"/>
              </w:rPr>
              <w:t>-</w:t>
            </w:r>
            <w:r w:rsidR="00BA4E05" w:rsidRPr="008A3FA9">
              <w:rPr>
                <w:rFonts w:ascii="Times New Roman" w:hAnsi="Times New Roman" w:cs="Times New Roman"/>
                <w:color w:val="000000" w:themeColor="text1"/>
                <w:lang w:eastAsia="ar-SA"/>
              </w:rPr>
              <w:t xml:space="preserve">Doręczenia w powiązaniu z </w:t>
            </w:r>
            <w:r w:rsidRPr="008A3FA9">
              <w:rPr>
                <w:rFonts w:ascii="Times New Roman" w:hAnsi="Times New Roman" w:cs="Times New Roman"/>
                <w:color w:val="000000" w:themeColor="text1"/>
                <w:lang w:eastAsia="ar-SA"/>
              </w:rPr>
              <w:t>publiczną usługą</w:t>
            </w:r>
            <w:r w:rsidR="00BA4E05" w:rsidRPr="008A3FA9">
              <w:rPr>
                <w:rFonts w:ascii="Times New Roman" w:hAnsi="Times New Roman" w:cs="Times New Roman"/>
                <w:color w:val="000000" w:themeColor="text1"/>
                <w:lang w:eastAsia="ar-SA"/>
              </w:rPr>
              <w:t xml:space="preserve"> hybrydową </w:t>
            </w:r>
            <w:r w:rsidRPr="008A3FA9">
              <w:rPr>
                <w:rFonts w:ascii="Times New Roman" w:hAnsi="Times New Roman" w:cs="Times New Roman"/>
                <w:color w:val="000000" w:themeColor="text1"/>
                <w:lang w:eastAsia="ar-SA"/>
              </w:rPr>
              <w:t xml:space="preserve">również </w:t>
            </w:r>
            <w:r w:rsidR="00BA4E05" w:rsidRPr="008A3FA9">
              <w:rPr>
                <w:rFonts w:ascii="Times New Roman" w:hAnsi="Times New Roman" w:cs="Times New Roman"/>
                <w:color w:val="000000" w:themeColor="text1"/>
                <w:lang w:eastAsia="ar-SA"/>
              </w:rPr>
              <w:t>korespondencja nadawana przez jednostki administracji będzie dostarcz</w:t>
            </w:r>
            <w:r w:rsidR="00563A86" w:rsidRPr="008A3FA9">
              <w:rPr>
                <w:rFonts w:ascii="Times New Roman" w:hAnsi="Times New Roman" w:cs="Times New Roman"/>
                <w:color w:val="000000" w:themeColor="text1"/>
                <w:lang w:eastAsia="ar-SA"/>
              </w:rPr>
              <w:t>ana</w:t>
            </w:r>
            <w:r w:rsidR="00BA4E05" w:rsidRPr="008A3FA9">
              <w:rPr>
                <w:rFonts w:ascii="Times New Roman" w:hAnsi="Times New Roman" w:cs="Times New Roman"/>
                <w:color w:val="000000" w:themeColor="text1"/>
                <w:lang w:eastAsia="ar-SA"/>
              </w:rPr>
              <w:t xml:space="preserve"> do obywateli wykluczonych cyfrowo w formie papierowej, za co </w:t>
            </w:r>
            <w:r w:rsidR="005F6337">
              <w:rPr>
                <w:rFonts w:ascii="Times New Roman" w:hAnsi="Times New Roman" w:cs="Times New Roman"/>
                <w:color w:val="000000" w:themeColor="text1"/>
                <w:lang w:eastAsia="ar-SA"/>
              </w:rPr>
              <w:t>–</w:t>
            </w:r>
            <w:r w:rsidRPr="008A3FA9">
              <w:rPr>
                <w:rFonts w:ascii="Times New Roman" w:hAnsi="Times New Roman" w:cs="Times New Roman"/>
                <w:color w:val="000000" w:themeColor="text1"/>
                <w:lang w:eastAsia="ar-SA"/>
              </w:rPr>
              <w:t xml:space="preserve"> </w:t>
            </w:r>
            <w:r w:rsidR="00BA4E05" w:rsidRPr="008A3FA9">
              <w:rPr>
                <w:rFonts w:ascii="Times New Roman" w:hAnsi="Times New Roman" w:cs="Times New Roman"/>
                <w:color w:val="000000" w:themeColor="text1"/>
                <w:lang w:eastAsia="ar-SA"/>
              </w:rPr>
              <w:t>jak w chwili obecnej</w:t>
            </w:r>
            <w:r w:rsidRPr="008A3FA9">
              <w:rPr>
                <w:rFonts w:ascii="Times New Roman" w:hAnsi="Times New Roman" w:cs="Times New Roman"/>
                <w:color w:val="000000" w:themeColor="text1"/>
                <w:lang w:eastAsia="ar-SA"/>
              </w:rPr>
              <w:t xml:space="preserve"> </w:t>
            </w:r>
            <w:r w:rsidR="005F6337">
              <w:rPr>
                <w:rFonts w:ascii="Times New Roman" w:hAnsi="Times New Roman" w:cs="Times New Roman"/>
                <w:color w:val="000000" w:themeColor="text1"/>
                <w:lang w:eastAsia="ar-SA"/>
              </w:rPr>
              <w:t>–</w:t>
            </w:r>
            <w:r w:rsidR="00BA4E05" w:rsidRPr="008A3FA9">
              <w:rPr>
                <w:rFonts w:ascii="Times New Roman" w:hAnsi="Times New Roman" w:cs="Times New Roman"/>
                <w:color w:val="000000" w:themeColor="text1"/>
                <w:lang w:eastAsia="ar-SA"/>
              </w:rPr>
              <w:t xml:space="preserve"> adresaci nie będą ponosili opłaty.</w:t>
            </w:r>
          </w:p>
        </w:tc>
      </w:tr>
      <w:tr w:rsidR="005C3FCE" w:rsidRPr="00E42D6D" w14:paraId="64F30EF0" w14:textId="77777777" w:rsidTr="008A3FA9">
        <w:tblPrEx>
          <w:jc w:val="left"/>
        </w:tblPrEx>
        <w:trPr>
          <w:trHeight w:val="240"/>
        </w:trPr>
        <w:tc>
          <w:tcPr>
            <w:tcW w:w="1472" w:type="dxa"/>
            <w:vMerge/>
            <w:shd w:val="clear" w:color="auto" w:fill="FFFFFF"/>
          </w:tcPr>
          <w:p w14:paraId="3A46BFC3" w14:textId="77777777" w:rsidR="003A6F7A" w:rsidRPr="008A3FA9" w:rsidRDefault="003A6F7A" w:rsidP="008A3FA9">
            <w:pPr>
              <w:spacing w:before="60" w:after="60"/>
              <w:rPr>
                <w:rFonts w:ascii="Times New Roman" w:hAnsi="Times New Roman" w:cs="Times New Roman"/>
                <w:color w:val="000000" w:themeColor="text1"/>
              </w:rPr>
            </w:pPr>
          </w:p>
        </w:tc>
        <w:tc>
          <w:tcPr>
            <w:tcW w:w="2101" w:type="dxa"/>
            <w:gridSpan w:val="7"/>
            <w:shd w:val="clear" w:color="auto" w:fill="FFFFFF"/>
          </w:tcPr>
          <w:p w14:paraId="47376EB6" w14:textId="77777777" w:rsidR="003A6F7A" w:rsidRPr="008A3FA9" w:rsidRDefault="006E0320" w:rsidP="008A3FA9">
            <w:pPr>
              <w:tabs>
                <w:tab w:val="right" w:pos="1936"/>
              </w:tabs>
              <w:spacing w:before="60" w:after="60"/>
              <w:rPr>
                <w:rFonts w:ascii="Times New Roman" w:hAnsi="Times New Roman" w:cs="Times New Roman"/>
                <w:color w:val="000000" w:themeColor="text1"/>
              </w:rPr>
            </w:pPr>
            <w:r w:rsidRPr="008A3FA9">
              <w:rPr>
                <w:rFonts w:ascii="Times New Roman" w:hAnsi="Times New Roman" w:cs="Times New Roman"/>
                <w:color w:val="000000" w:themeColor="text1"/>
              </w:rPr>
              <w:t>Operatorzy pocztowi</w:t>
            </w:r>
          </w:p>
        </w:tc>
        <w:tc>
          <w:tcPr>
            <w:tcW w:w="7088" w:type="dxa"/>
            <w:gridSpan w:val="21"/>
            <w:shd w:val="clear" w:color="auto" w:fill="FFFFFF"/>
          </w:tcPr>
          <w:p w14:paraId="349F11E9" w14:textId="04C45838" w:rsidR="006E0320" w:rsidRPr="008A3FA9" w:rsidRDefault="006E0320" w:rsidP="008A3FA9">
            <w:pPr>
              <w:tabs>
                <w:tab w:val="left" w:pos="3000"/>
              </w:tabs>
              <w:spacing w:before="60" w:after="60"/>
              <w:jc w:val="both"/>
              <w:rPr>
                <w:rFonts w:ascii="Times New Roman" w:hAnsi="Times New Roman" w:cs="Times New Roman"/>
                <w:color w:val="000000" w:themeColor="text1"/>
                <w:spacing w:val="-2"/>
              </w:rPr>
            </w:pPr>
            <w:r w:rsidRPr="008A3FA9">
              <w:rPr>
                <w:rFonts w:ascii="Times New Roman" w:hAnsi="Times New Roman" w:cs="Times New Roman"/>
                <w:color w:val="000000" w:themeColor="text1"/>
                <w:spacing w:val="-2"/>
              </w:rPr>
              <w:t xml:space="preserve">Zgodnie z art. 43 ust. 6 </w:t>
            </w:r>
            <w:r w:rsidR="00B55B21" w:rsidRPr="008A3FA9">
              <w:rPr>
                <w:rFonts w:ascii="Times New Roman" w:hAnsi="Times New Roman" w:cs="Times New Roman"/>
                <w:color w:val="000000" w:themeColor="text1"/>
                <w:spacing w:val="-2"/>
              </w:rPr>
              <w:t xml:space="preserve">z dnia 23 listopada 2012 r. </w:t>
            </w:r>
            <w:r w:rsidR="005F6337">
              <w:rPr>
                <w:rFonts w:ascii="Times New Roman" w:hAnsi="Times New Roman" w:cs="Times New Roman"/>
                <w:color w:val="000000" w:themeColor="text1"/>
                <w:spacing w:val="-2"/>
              </w:rPr>
              <w:t>–</w:t>
            </w:r>
            <w:r w:rsidR="00B55B21" w:rsidRPr="008A3FA9">
              <w:rPr>
                <w:rFonts w:ascii="Times New Roman" w:hAnsi="Times New Roman" w:cs="Times New Roman"/>
                <w:color w:val="000000" w:themeColor="text1"/>
                <w:spacing w:val="-2"/>
              </w:rPr>
              <w:t xml:space="preserve"> Prawo </w:t>
            </w:r>
            <w:r w:rsidRPr="008A3FA9">
              <w:rPr>
                <w:rFonts w:ascii="Times New Roman" w:hAnsi="Times New Roman" w:cs="Times New Roman"/>
                <w:color w:val="000000" w:themeColor="text1"/>
                <w:spacing w:val="-2"/>
              </w:rPr>
              <w:t>pocztowe Prezes UKE corocznie opracowuje raport o stanie rynku pocztowego na podstawie danych sprawozdawczych przekazywanych przez operatorów pocztowych. Należy podkreślić, że dane przekazywane przez poszczególnych operatorów przedstawiane są w ujęciu ilościowym i wartościowym w</w:t>
            </w:r>
            <w:r w:rsidR="00AB04E9">
              <w:rPr>
                <w:rFonts w:ascii="Times New Roman" w:hAnsi="Times New Roman" w:cs="Times New Roman"/>
                <w:color w:val="000000" w:themeColor="text1"/>
                <w:spacing w:val="-2"/>
              </w:rPr>
              <w:t xml:space="preserve"> </w:t>
            </w:r>
            <w:r w:rsidRPr="008A3FA9">
              <w:rPr>
                <w:rFonts w:ascii="Times New Roman" w:hAnsi="Times New Roman" w:cs="Times New Roman"/>
                <w:color w:val="000000" w:themeColor="text1"/>
                <w:spacing w:val="-2"/>
              </w:rPr>
              <w:t>podziale na zakres świadczonych usług (usługi powszechne, usługi wchodzące w zakres usług powszechnych, usługi kurierskie oraz inne usługi pocztowe).</w:t>
            </w:r>
          </w:p>
          <w:p w14:paraId="557EF0A9" w14:textId="77777777" w:rsidR="003A6F7A" w:rsidRPr="008A3FA9" w:rsidRDefault="006E0320" w:rsidP="008A3FA9">
            <w:pPr>
              <w:tabs>
                <w:tab w:val="left" w:pos="3000"/>
              </w:tabs>
              <w:spacing w:before="60" w:after="60"/>
              <w:jc w:val="both"/>
              <w:rPr>
                <w:rFonts w:ascii="Times New Roman" w:hAnsi="Times New Roman" w:cs="Times New Roman"/>
                <w:color w:val="000000" w:themeColor="text1"/>
                <w:spacing w:val="-2"/>
              </w:rPr>
            </w:pPr>
            <w:r w:rsidRPr="008A3FA9">
              <w:rPr>
                <w:rFonts w:ascii="Times New Roman" w:hAnsi="Times New Roman" w:cs="Times New Roman"/>
                <w:color w:val="000000" w:themeColor="text1"/>
                <w:spacing w:val="-2"/>
              </w:rPr>
              <w:t>Prezes UKE nie dysponuje danymi n</w:t>
            </w:r>
            <w:r w:rsidR="00B55B21" w:rsidRPr="008A3FA9">
              <w:rPr>
                <w:rFonts w:ascii="Times New Roman" w:hAnsi="Times New Roman" w:cs="Times New Roman"/>
                <w:color w:val="000000" w:themeColor="text1"/>
                <w:spacing w:val="-2"/>
              </w:rPr>
              <w:t>a tema</w:t>
            </w:r>
            <w:r w:rsidRPr="008A3FA9">
              <w:rPr>
                <w:rFonts w:ascii="Times New Roman" w:hAnsi="Times New Roman" w:cs="Times New Roman"/>
                <w:color w:val="000000" w:themeColor="text1"/>
                <w:spacing w:val="-2"/>
              </w:rPr>
              <w:t>t usług świadczonych na rzecz podmiotów z poszczególnych sektorów gospodarki, w tym również na rzecz podmiotów publicznych.</w:t>
            </w:r>
          </w:p>
          <w:p w14:paraId="01E35525" w14:textId="3084DC8F" w:rsidR="00CF1B85" w:rsidRPr="008A3FA9" w:rsidRDefault="006E0320" w:rsidP="008A3FA9">
            <w:pPr>
              <w:tabs>
                <w:tab w:val="left" w:pos="3000"/>
              </w:tabs>
              <w:spacing w:before="60" w:after="60"/>
              <w:jc w:val="both"/>
              <w:rPr>
                <w:rFonts w:ascii="Times New Roman" w:hAnsi="Times New Roman" w:cs="Times New Roman"/>
                <w:color w:val="000000" w:themeColor="text1"/>
                <w:spacing w:val="-2"/>
              </w:rPr>
            </w:pPr>
            <w:r w:rsidRPr="008A3FA9">
              <w:rPr>
                <w:rFonts w:ascii="Times New Roman" w:hAnsi="Times New Roman" w:cs="Times New Roman"/>
                <w:color w:val="000000" w:themeColor="text1"/>
                <w:spacing w:val="-2"/>
              </w:rPr>
              <w:t>Zgodnie z danymi</w:t>
            </w:r>
            <w:r w:rsidR="006F41F7" w:rsidRPr="008A3FA9">
              <w:rPr>
                <w:rFonts w:ascii="Times New Roman" w:hAnsi="Times New Roman" w:cs="Times New Roman"/>
                <w:color w:val="000000" w:themeColor="text1"/>
                <w:spacing w:val="-2"/>
              </w:rPr>
              <w:t xml:space="preserve"> ze </w:t>
            </w:r>
            <w:r w:rsidRPr="008A3FA9">
              <w:rPr>
                <w:rFonts w:ascii="Times New Roman" w:hAnsi="Times New Roman" w:cs="Times New Roman"/>
                <w:color w:val="000000" w:themeColor="text1"/>
                <w:spacing w:val="-2"/>
              </w:rPr>
              <w:t xml:space="preserve">sprawozdań z prowadzonej działalności pocztowej </w:t>
            </w:r>
            <w:r w:rsidR="00B55B21" w:rsidRPr="008A3FA9">
              <w:rPr>
                <w:rFonts w:ascii="Times New Roman" w:hAnsi="Times New Roman" w:cs="Times New Roman"/>
                <w:color w:val="000000" w:themeColor="text1"/>
                <w:spacing w:val="-2"/>
              </w:rPr>
              <w:t xml:space="preserve">przekazanych </w:t>
            </w:r>
            <w:r w:rsidRPr="008A3FA9">
              <w:rPr>
                <w:rFonts w:ascii="Times New Roman" w:hAnsi="Times New Roman" w:cs="Times New Roman"/>
                <w:color w:val="000000" w:themeColor="text1"/>
                <w:spacing w:val="-2"/>
              </w:rPr>
              <w:t>w roku 2017 przez operatorów pocztowych do Urzędu</w:t>
            </w:r>
            <w:r w:rsidR="00AB04E9">
              <w:rPr>
                <w:rFonts w:ascii="Times New Roman" w:hAnsi="Times New Roman" w:cs="Times New Roman"/>
                <w:color w:val="000000" w:themeColor="text1"/>
                <w:spacing w:val="-2"/>
              </w:rPr>
              <w:t xml:space="preserve"> </w:t>
            </w:r>
            <w:r w:rsidRPr="008A3FA9">
              <w:rPr>
                <w:rFonts w:ascii="Times New Roman" w:hAnsi="Times New Roman" w:cs="Times New Roman"/>
                <w:color w:val="000000" w:themeColor="text1"/>
                <w:spacing w:val="-2"/>
              </w:rPr>
              <w:t xml:space="preserve">Komunikacji Elektronicznej (w tym operatora wyznaczonego </w:t>
            </w:r>
            <w:r w:rsidR="005F6337">
              <w:rPr>
                <w:rFonts w:ascii="Times New Roman" w:hAnsi="Times New Roman" w:cs="Times New Roman"/>
                <w:color w:val="000000" w:themeColor="text1"/>
                <w:spacing w:val="-2"/>
              </w:rPr>
              <w:t>–</w:t>
            </w:r>
            <w:r w:rsidR="006507C0" w:rsidRPr="008A3FA9">
              <w:rPr>
                <w:rFonts w:ascii="Times New Roman" w:hAnsi="Times New Roman" w:cs="Times New Roman"/>
                <w:color w:val="000000" w:themeColor="text1"/>
                <w:spacing w:val="-2"/>
              </w:rPr>
              <w:t xml:space="preserve"> </w:t>
            </w:r>
            <w:r w:rsidRPr="008A3FA9">
              <w:rPr>
                <w:rFonts w:ascii="Times New Roman" w:hAnsi="Times New Roman" w:cs="Times New Roman"/>
                <w:color w:val="000000" w:themeColor="text1"/>
                <w:spacing w:val="-2"/>
              </w:rPr>
              <w:t>Poczty Polskiej S.A.) wolumen przesyłek listowych obsługiwanych przez Pocztę Polską S.A. w</w:t>
            </w:r>
            <w:r w:rsidR="001B514F">
              <w:rPr>
                <w:rFonts w:ascii="Times New Roman" w:hAnsi="Times New Roman" w:cs="Times New Roman"/>
                <w:color w:val="000000" w:themeColor="text1"/>
                <w:spacing w:val="-2"/>
              </w:rPr>
              <w:t> </w:t>
            </w:r>
            <w:r w:rsidRPr="008A3FA9">
              <w:rPr>
                <w:rFonts w:ascii="Times New Roman" w:hAnsi="Times New Roman" w:cs="Times New Roman"/>
                <w:color w:val="000000" w:themeColor="text1"/>
                <w:spacing w:val="-2"/>
              </w:rPr>
              <w:t>rynku wyniósł 98,25%.</w:t>
            </w:r>
            <w:r w:rsidR="003B6890" w:rsidRPr="008A3FA9">
              <w:rPr>
                <w:rStyle w:val="Odwoanieprzypisudolnego"/>
                <w:rFonts w:ascii="Times New Roman" w:hAnsi="Times New Roman" w:cs="Times New Roman"/>
                <w:color w:val="000000" w:themeColor="text1"/>
                <w:spacing w:val="-2"/>
              </w:rPr>
              <w:footnoteReference w:id="29"/>
            </w:r>
            <w:r w:rsidR="00080920" w:rsidRPr="008A3FA9">
              <w:rPr>
                <w:rFonts w:ascii="Times New Roman" w:hAnsi="Times New Roman" w:cs="Times New Roman"/>
                <w:color w:val="000000" w:themeColor="text1"/>
                <w:spacing w:val="-2"/>
                <w:vertAlign w:val="superscript"/>
              </w:rPr>
              <w:t>)</w:t>
            </w:r>
            <w:r w:rsidR="00B55B21" w:rsidRPr="008A3FA9">
              <w:rPr>
                <w:rFonts w:ascii="Times New Roman" w:hAnsi="Times New Roman" w:cs="Times New Roman"/>
                <w:color w:val="000000" w:themeColor="text1"/>
                <w:spacing w:val="-2"/>
              </w:rPr>
              <w:t xml:space="preserve"> </w:t>
            </w:r>
            <w:r w:rsidRPr="008A3FA9">
              <w:rPr>
                <w:rFonts w:ascii="Times New Roman" w:hAnsi="Times New Roman" w:cs="Times New Roman"/>
                <w:color w:val="000000" w:themeColor="text1"/>
                <w:spacing w:val="-2"/>
              </w:rPr>
              <w:t>Jak zatem wynika z powyższych danych, udział pozostałych operatorów w rynku przesyłek listowych w roku 2017 był znikomy.</w:t>
            </w:r>
          </w:p>
          <w:p w14:paraId="09462671" w14:textId="1D9306C6" w:rsidR="00AB0982" w:rsidRPr="008A3FA9" w:rsidRDefault="00CF1B85" w:rsidP="008A3FA9">
            <w:pPr>
              <w:keepNext/>
              <w:keepLines/>
              <w:tabs>
                <w:tab w:val="left" w:pos="3000"/>
              </w:tabs>
              <w:spacing w:before="60" w:after="60"/>
              <w:jc w:val="both"/>
              <w:outlineLvl w:val="1"/>
              <w:rPr>
                <w:rFonts w:ascii="Times New Roman" w:hAnsi="Times New Roman" w:cs="Times New Roman"/>
                <w:color w:val="000000" w:themeColor="text1"/>
                <w:spacing w:val="-2"/>
              </w:rPr>
            </w:pPr>
            <w:r w:rsidRPr="008A3FA9">
              <w:rPr>
                <w:rFonts w:ascii="Times New Roman" w:hAnsi="Times New Roman" w:cs="Times New Roman"/>
                <w:color w:val="000000" w:themeColor="text1"/>
                <w:spacing w:val="-2"/>
              </w:rPr>
              <w:lastRenderedPageBreak/>
              <w:t xml:space="preserve">Dodać należy, </w:t>
            </w:r>
            <w:r w:rsidR="00AB6B35" w:rsidRPr="008A3FA9">
              <w:rPr>
                <w:rFonts w:ascii="Times New Roman" w:hAnsi="Times New Roman" w:cs="Times New Roman"/>
                <w:color w:val="000000" w:themeColor="text1"/>
                <w:spacing w:val="-2"/>
              </w:rPr>
              <w:t xml:space="preserve">że </w:t>
            </w:r>
            <w:r w:rsidRPr="008A3FA9">
              <w:rPr>
                <w:rFonts w:ascii="Times New Roman" w:hAnsi="Times New Roman" w:cs="Times New Roman"/>
                <w:color w:val="000000" w:themeColor="text1"/>
                <w:spacing w:val="-2"/>
              </w:rPr>
              <w:t>w prowadzonym przez Prezesa UKE Rejestrze operatorów pocztowych w roku 2017 wpisanych było, oprócz Poczty Polskiej S.A., 279</w:t>
            </w:r>
            <w:r w:rsidR="001B514F">
              <w:rPr>
                <w:rFonts w:ascii="Times New Roman" w:hAnsi="Times New Roman" w:cs="Times New Roman"/>
                <w:color w:val="000000" w:themeColor="text1"/>
                <w:spacing w:val="-2"/>
              </w:rPr>
              <w:t> </w:t>
            </w:r>
            <w:r w:rsidRPr="008A3FA9">
              <w:rPr>
                <w:rFonts w:ascii="Times New Roman" w:hAnsi="Times New Roman" w:cs="Times New Roman"/>
                <w:color w:val="000000" w:themeColor="text1"/>
                <w:spacing w:val="-2"/>
              </w:rPr>
              <w:t xml:space="preserve">operatorów pocztowych, z czego aktywną działalność pocztową prowadziły jedynie 142 podmioty. </w:t>
            </w:r>
            <w:r w:rsidR="003B6890" w:rsidRPr="008A3FA9">
              <w:rPr>
                <w:rFonts w:ascii="Times New Roman" w:hAnsi="Times New Roman" w:cs="Times New Roman"/>
                <w:color w:val="000000" w:themeColor="text1"/>
                <w:spacing w:val="-2"/>
              </w:rPr>
              <w:t>Ze sprawozdań wynika j</w:t>
            </w:r>
            <w:r w:rsidRPr="008A3FA9">
              <w:rPr>
                <w:rFonts w:ascii="Times New Roman" w:hAnsi="Times New Roman" w:cs="Times New Roman"/>
                <w:color w:val="000000" w:themeColor="text1"/>
                <w:spacing w:val="-2"/>
              </w:rPr>
              <w:t>ednakże</w:t>
            </w:r>
            <w:r w:rsidR="003B6890" w:rsidRPr="008A3FA9">
              <w:rPr>
                <w:rFonts w:ascii="Times New Roman" w:hAnsi="Times New Roman" w:cs="Times New Roman"/>
                <w:color w:val="000000" w:themeColor="text1"/>
                <w:spacing w:val="-2"/>
              </w:rPr>
              <w:t>, że</w:t>
            </w:r>
            <w:r w:rsidRPr="008A3FA9">
              <w:rPr>
                <w:rFonts w:ascii="Times New Roman" w:hAnsi="Times New Roman" w:cs="Times New Roman"/>
                <w:color w:val="000000" w:themeColor="text1"/>
                <w:spacing w:val="-2"/>
              </w:rPr>
              <w:t xml:space="preserve"> działalność pocztową w zakresie przesyłek listowych w 2017 r. prowadziło wyłącznie 50 operatorów pocztowych.</w:t>
            </w:r>
            <w:r w:rsidR="003B6890" w:rsidRPr="008A3FA9">
              <w:rPr>
                <w:rStyle w:val="Odwoanieprzypisudolnego"/>
                <w:rFonts w:ascii="Times New Roman" w:hAnsi="Times New Roman" w:cs="Times New Roman"/>
                <w:color w:val="000000" w:themeColor="text1"/>
                <w:spacing w:val="-2"/>
              </w:rPr>
              <w:footnoteReference w:id="30"/>
            </w:r>
            <w:r w:rsidR="00080920" w:rsidRPr="008A3FA9">
              <w:rPr>
                <w:rFonts w:ascii="Times New Roman" w:hAnsi="Times New Roman" w:cs="Times New Roman"/>
                <w:color w:val="000000" w:themeColor="text1"/>
                <w:spacing w:val="-2"/>
                <w:vertAlign w:val="superscript"/>
              </w:rPr>
              <w:t>)</w:t>
            </w:r>
          </w:p>
          <w:p w14:paraId="633D60CB" w14:textId="77777777" w:rsidR="00CF1B85" w:rsidRPr="008A3FA9" w:rsidRDefault="00CF1B85" w:rsidP="008A3FA9">
            <w:pPr>
              <w:pStyle w:val="Tekstpodstawowy2"/>
              <w:spacing w:before="60" w:after="60" w:line="240" w:lineRule="auto"/>
              <w:jc w:val="both"/>
              <w:rPr>
                <w:rFonts w:ascii="Times New Roman" w:hAnsi="Times New Roman" w:cs="Times New Roman"/>
                <w:b/>
                <w:bCs/>
                <w:color w:val="000000" w:themeColor="text1"/>
              </w:rPr>
            </w:pPr>
            <w:r w:rsidRPr="008A3FA9">
              <w:rPr>
                <w:rFonts w:ascii="Times New Roman" w:hAnsi="Times New Roman" w:cs="Times New Roman"/>
                <w:color w:val="000000" w:themeColor="text1"/>
              </w:rPr>
              <w:t xml:space="preserve">Najważniejszą rolę na rynku w roku 2017 odgrywała nadal – jako operator wyznaczony </w:t>
            </w:r>
            <w:r w:rsidR="005F6337">
              <w:rPr>
                <w:rFonts w:ascii="Times New Roman" w:hAnsi="Times New Roman" w:cs="Times New Roman"/>
                <w:color w:val="000000" w:themeColor="text1"/>
              </w:rPr>
              <w:t>–</w:t>
            </w:r>
            <w:r w:rsidRPr="008A3FA9">
              <w:rPr>
                <w:rFonts w:ascii="Times New Roman" w:hAnsi="Times New Roman" w:cs="Times New Roman"/>
                <w:color w:val="000000" w:themeColor="text1"/>
              </w:rPr>
              <w:t xml:space="preserve"> Poczta Polska S.A., która w roku 2017 zrealizowała w strumieniach krajowym i zagranicznym 1 564,8 mln sztuk usług (83,8% udziału w wolumenie ogółem). Operatorzy alternatywni zrealizowali ogółem w obrocie krajowym i zagranicznym 303,3 mln sztuk usług (16,2% udziału w wolumenie ogółem). </w:t>
            </w:r>
          </w:p>
          <w:p w14:paraId="44B72EDE" w14:textId="77777777" w:rsidR="00AB0982" w:rsidRPr="008A3FA9" w:rsidRDefault="00CF1B85" w:rsidP="008A3FA9">
            <w:pPr>
              <w:pStyle w:val="Tekstpodstawowy2"/>
              <w:keepNext/>
              <w:keepLines/>
              <w:spacing w:before="60" w:after="60" w:line="240" w:lineRule="auto"/>
              <w:jc w:val="both"/>
              <w:outlineLvl w:val="1"/>
              <w:rPr>
                <w:rFonts w:ascii="Times New Roman" w:hAnsi="Times New Roman" w:cs="Times New Roman"/>
                <w:color w:val="000000" w:themeColor="text1"/>
                <w:spacing w:val="-2"/>
              </w:rPr>
            </w:pPr>
            <w:r w:rsidRPr="008A3FA9">
              <w:rPr>
                <w:rFonts w:ascii="Times New Roman" w:hAnsi="Times New Roman" w:cs="Times New Roman"/>
                <w:color w:val="000000" w:themeColor="text1"/>
              </w:rPr>
              <w:t>Najliczniej realizowaną usługą nadal pozostawały listy, których dostarczono 1 353,0 mln szt., co jednak oznacza spadek o 2,4 % w</w:t>
            </w:r>
            <w:r w:rsidR="00AB04E9">
              <w:rPr>
                <w:rFonts w:ascii="Times New Roman" w:hAnsi="Times New Roman" w:cs="Times New Roman"/>
                <w:color w:val="000000" w:themeColor="text1"/>
              </w:rPr>
              <w:t xml:space="preserve"> </w:t>
            </w:r>
            <w:r w:rsidRPr="008A3FA9">
              <w:rPr>
                <w:rFonts w:ascii="Times New Roman" w:hAnsi="Times New Roman" w:cs="Times New Roman"/>
                <w:color w:val="000000" w:themeColor="text1"/>
              </w:rPr>
              <w:t xml:space="preserve">stosunku do roku 2016. </w:t>
            </w:r>
          </w:p>
          <w:p w14:paraId="428DD11E" w14:textId="0E49A4AB" w:rsidR="00CF1B85" w:rsidRPr="008A3FA9" w:rsidRDefault="00CF1B85" w:rsidP="008A3FA9">
            <w:pPr>
              <w:pStyle w:val="Tekstpodstawowy2"/>
              <w:spacing w:before="60" w:after="60" w:line="240" w:lineRule="auto"/>
              <w:jc w:val="both"/>
              <w:rPr>
                <w:rFonts w:ascii="Times New Roman" w:hAnsi="Times New Roman" w:cs="Times New Roman"/>
                <w:color w:val="000000" w:themeColor="text1"/>
              </w:rPr>
            </w:pPr>
            <w:r w:rsidRPr="008A3FA9">
              <w:rPr>
                <w:rFonts w:ascii="Times New Roman" w:hAnsi="Times New Roman" w:cs="Times New Roman"/>
                <w:color w:val="000000" w:themeColor="text1"/>
              </w:rPr>
              <w:t xml:space="preserve">W odniesieniu do </w:t>
            </w:r>
            <w:r w:rsidR="003B6890" w:rsidRPr="008A3FA9">
              <w:rPr>
                <w:rFonts w:ascii="Times New Roman" w:hAnsi="Times New Roman" w:cs="Times New Roman"/>
                <w:color w:val="000000" w:themeColor="text1"/>
              </w:rPr>
              <w:t>2016 roku</w:t>
            </w:r>
            <w:r w:rsidRPr="008A3FA9">
              <w:rPr>
                <w:rFonts w:ascii="Times New Roman" w:hAnsi="Times New Roman" w:cs="Times New Roman"/>
                <w:color w:val="000000" w:themeColor="text1"/>
              </w:rPr>
              <w:t xml:space="preserve"> wolumen zrealizowanych przez operatorów alternatywnych usług zmniejszył się o 14,0%. Tak znaczne zmniejszenie wolumenu było uwarunkowane przede wszystkim obserwowanym w roku 2017 istotnym spadkiem wolumenu przesyłek listowych wchodzących w</w:t>
            </w:r>
            <w:r w:rsidR="001B514F">
              <w:rPr>
                <w:rFonts w:ascii="Times New Roman" w:hAnsi="Times New Roman" w:cs="Times New Roman"/>
                <w:color w:val="000000" w:themeColor="text1"/>
              </w:rPr>
              <w:t> </w:t>
            </w:r>
            <w:r w:rsidRPr="008A3FA9">
              <w:rPr>
                <w:rFonts w:ascii="Times New Roman" w:hAnsi="Times New Roman" w:cs="Times New Roman"/>
                <w:color w:val="000000" w:themeColor="text1"/>
              </w:rPr>
              <w:t>zakres usług powszechnych.</w:t>
            </w:r>
          </w:p>
          <w:p w14:paraId="559C36E7" w14:textId="4EF496F3" w:rsidR="00CF1B85" w:rsidRPr="008A3FA9" w:rsidRDefault="00CF1B85" w:rsidP="001B514F">
            <w:pPr>
              <w:spacing w:before="60" w:after="60"/>
              <w:jc w:val="both"/>
              <w:rPr>
                <w:rFonts w:ascii="Times New Roman" w:hAnsi="Times New Roman" w:cs="Times New Roman"/>
                <w:color w:val="000000" w:themeColor="text1"/>
                <w:spacing w:val="-2"/>
              </w:rPr>
            </w:pPr>
            <w:r w:rsidRPr="008A3FA9">
              <w:rPr>
                <w:rFonts w:ascii="Times New Roman" w:hAnsi="Times New Roman" w:cs="Times New Roman"/>
                <w:color w:val="000000" w:themeColor="text1"/>
              </w:rPr>
              <w:t>W poszczególnych najważniejszych rodzajach usług świadczonych na rynku pocztowym dynamika zmian, zarówno w zakresie liczby usług, jak i</w:t>
            </w:r>
            <w:r w:rsidR="001B514F">
              <w:rPr>
                <w:rFonts w:ascii="Times New Roman" w:hAnsi="Times New Roman" w:cs="Times New Roman"/>
                <w:color w:val="000000" w:themeColor="text1"/>
              </w:rPr>
              <w:t> </w:t>
            </w:r>
            <w:r w:rsidRPr="008A3FA9">
              <w:rPr>
                <w:rFonts w:ascii="Times New Roman" w:hAnsi="Times New Roman" w:cs="Times New Roman"/>
                <w:color w:val="000000" w:themeColor="text1"/>
              </w:rPr>
              <w:t>generowanych przychodów, odpowiada trendom charakterystycznym dla rynków pocztowych na całym świecie (e</w:t>
            </w:r>
            <w:r w:rsidR="005F6337">
              <w:rPr>
                <w:rFonts w:ascii="Times New Roman" w:hAnsi="Times New Roman" w:cs="Times New Roman"/>
                <w:color w:val="000000" w:themeColor="text1"/>
              </w:rPr>
              <w:t>-</w:t>
            </w:r>
            <w:r w:rsidRPr="008A3FA9">
              <w:rPr>
                <w:rFonts w:ascii="Times New Roman" w:hAnsi="Times New Roman" w:cs="Times New Roman"/>
                <w:color w:val="000000" w:themeColor="text1"/>
              </w:rPr>
              <w:t>substytucja, rozwój e-commerce).</w:t>
            </w:r>
            <w:r w:rsidR="003B6890" w:rsidRPr="008A3FA9">
              <w:rPr>
                <w:rStyle w:val="Odwoanieprzypisudolnego"/>
                <w:rFonts w:ascii="Times New Roman" w:hAnsi="Times New Roman" w:cs="Times New Roman"/>
                <w:color w:val="000000" w:themeColor="text1"/>
              </w:rPr>
              <w:footnoteReference w:id="31"/>
            </w:r>
            <w:r w:rsidR="00080920" w:rsidRPr="008A3FA9">
              <w:rPr>
                <w:rFonts w:ascii="Times New Roman" w:hAnsi="Times New Roman" w:cs="Times New Roman"/>
                <w:color w:val="000000" w:themeColor="text1"/>
                <w:vertAlign w:val="superscript"/>
              </w:rPr>
              <w:t>)</w:t>
            </w:r>
          </w:p>
        </w:tc>
      </w:tr>
      <w:tr w:rsidR="005C3FCE" w:rsidRPr="00E42D6D" w14:paraId="469D9180" w14:textId="77777777" w:rsidTr="008A3FA9">
        <w:tblPrEx>
          <w:jc w:val="left"/>
        </w:tblPrEx>
        <w:trPr>
          <w:trHeight w:val="142"/>
        </w:trPr>
        <w:tc>
          <w:tcPr>
            <w:tcW w:w="1472" w:type="dxa"/>
            <w:shd w:val="clear" w:color="auto" w:fill="FFFFFF"/>
          </w:tcPr>
          <w:p w14:paraId="5B90F0EA" w14:textId="77777777" w:rsidR="003A6F7A" w:rsidRPr="008A3FA9" w:rsidRDefault="003A6F7A" w:rsidP="008A3FA9">
            <w:pPr>
              <w:spacing w:before="60" w:after="60"/>
              <w:rPr>
                <w:rFonts w:ascii="Times New Roman" w:hAnsi="Times New Roman" w:cs="Times New Roman"/>
                <w:color w:val="000000" w:themeColor="text1"/>
              </w:rPr>
            </w:pPr>
            <w:r w:rsidRPr="008A3FA9">
              <w:rPr>
                <w:rFonts w:ascii="Times New Roman" w:hAnsi="Times New Roman" w:cs="Times New Roman"/>
                <w:color w:val="000000" w:themeColor="text1"/>
              </w:rPr>
              <w:lastRenderedPageBreak/>
              <w:t>Niemierzalne</w:t>
            </w:r>
          </w:p>
        </w:tc>
        <w:tc>
          <w:tcPr>
            <w:tcW w:w="2101" w:type="dxa"/>
            <w:gridSpan w:val="7"/>
            <w:shd w:val="clear" w:color="auto" w:fill="FFFFFF"/>
          </w:tcPr>
          <w:p w14:paraId="62773824" w14:textId="77777777" w:rsidR="003A6F7A" w:rsidRPr="008A3FA9" w:rsidRDefault="003A6F7A" w:rsidP="008A3FA9">
            <w:pPr>
              <w:spacing w:before="60" w:after="60"/>
              <w:rPr>
                <w:rFonts w:ascii="Times New Roman" w:hAnsi="Times New Roman" w:cs="Times New Roman"/>
                <w:color w:val="000000" w:themeColor="text1"/>
              </w:rPr>
            </w:pPr>
          </w:p>
        </w:tc>
        <w:tc>
          <w:tcPr>
            <w:tcW w:w="7088" w:type="dxa"/>
            <w:gridSpan w:val="21"/>
            <w:shd w:val="clear" w:color="auto" w:fill="FFFFFF"/>
          </w:tcPr>
          <w:p w14:paraId="12B1B5F1" w14:textId="77777777" w:rsidR="003A6F7A" w:rsidRPr="008A3FA9" w:rsidRDefault="003A6F7A" w:rsidP="008A3FA9">
            <w:pPr>
              <w:spacing w:before="60" w:after="60"/>
              <w:rPr>
                <w:rFonts w:ascii="Times New Roman" w:hAnsi="Times New Roman" w:cs="Times New Roman"/>
                <w:color w:val="000000" w:themeColor="text1"/>
                <w:spacing w:val="-2"/>
              </w:rPr>
            </w:pPr>
          </w:p>
        </w:tc>
      </w:tr>
      <w:tr w:rsidR="005C3FCE" w:rsidRPr="00E42D6D" w14:paraId="19066EE1" w14:textId="77777777" w:rsidTr="008A3FA9">
        <w:tblPrEx>
          <w:jc w:val="left"/>
        </w:tblPrEx>
        <w:trPr>
          <w:trHeight w:val="563"/>
        </w:trPr>
        <w:tc>
          <w:tcPr>
            <w:tcW w:w="1985" w:type="dxa"/>
            <w:gridSpan w:val="4"/>
            <w:shd w:val="clear" w:color="auto" w:fill="FFFFFF"/>
          </w:tcPr>
          <w:p w14:paraId="25E3C91F" w14:textId="77777777" w:rsidR="003A6F7A" w:rsidRPr="008A3FA9" w:rsidRDefault="003A6F7A" w:rsidP="008A3FA9">
            <w:pPr>
              <w:spacing w:before="60" w:after="60"/>
              <w:rPr>
                <w:rFonts w:ascii="Times New Roman" w:hAnsi="Times New Roman" w:cs="Times New Roman"/>
                <w:color w:val="000000" w:themeColor="text1"/>
              </w:rPr>
            </w:pPr>
            <w:r w:rsidRPr="008A3FA9">
              <w:rPr>
                <w:rFonts w:ascii="Times New Roman" w:hAnsi="Times New Roman" w:cs="Times New Roman"/>
                <w:color w:val="000000" w:themeColor="text1"/>
              </w:rPr>
              <w:t xml:space="preserve">Dodatkowe informacje, w tym wskazanie źródeł danych i przyjętych do obliczeń założeń </w:t>
            </w:r>
          </w:p>
        </w:tc>
        <w:tc>
          <w:tcPr>
            <w:tcW w:w="8676" w:type="dxa"/>
            <w:gridSpan w:val="25"/>
            <w:shd w:val="clear" w:color="auto" w:fill="FFFFFF"/>
            <w:vAlign w:val="center"/>
          </w:tcPr>
          <w:p w14:paraId="2EA77A23" w14:textId="7B7910A4" w:rsidR="003A6F7A" w:rsidRPr="008A3FA9" w:rsidRDefault="003A6F7A" w:rsidP="008A3FA9">
            <w:pPr>
              <w:pStyle w:val="Akapitzlist"/>
              <w:numPr>
                <w:ilvl w:val="0"/>
                <w:numId w:val="6"/>
              </w:numPr>
              <w:spacing w:before="60" w:after="60"/>
              <w:jc w:val="both"/>
              <w:rPr>
                <w:rFonts w:ascii="Times New Roman" w:hAnsi="Times New Roman" w:cs="Times New Roman"/>
                <w:color w:val="000000" w:themeColor="text1"/>
              </w:rPr>
            </w:pPr>
            <w:r w:rsidRPr="008A3FA9">
              <w:rPr>
                <w:rFonts w:ascii="Times New Roman" w:hAnsi="Times New Roman" w:cs="Times New Roman"/>
                <w:color w:val="000000" w:themeColor="text1"/>
              </w:rPr>
              <w:t>Na przestrzeni ostatnich 15 lat</w:t>
            </w:r>
            <w:r w:rsidR="00267C13">
              <w:rPr>
                <w:rFonts w:ascii="Times New Roman" w:hAnsi="Times New Roman" w:cs="Times New Roman"/>
                <w:color w:val="000000" w:themeColor="text1"/>
              </w:rPr>
              <w:t>, według</w:t>
            </w:r>
            <w:r w:rsidRPr="008A3FA9">
              <w:rPr>
                <w:rFonts w:ascii="Times New Roman" w:hAnsi="Times New Roman" w:cs="Times New Roman"/>
                <w:color w:val="000000" w:themeColor="text1"/>
              </w:rPr>
              <w:t xml:space="preserve"> danych z raportów „Społeczeństwo informacyjne w Polsce”</w:t>
            </w:r>
            <w:r w:rsidR="00267C13">
              <w:rPr>
                <w:rFonts w:ascii="Times New Roman" w:hAnsi="Times New Roman" w:cs="Times New Roman"/>
                <w:color w:val="000000" w:themeColor="text1"/>
              </w:rPr>
              <w:t>,</w:t>
            </w:r>
            <w:r w:rsidRPr="008A3FA9">
              <w:rPr>
                <w:rFonts w:ascii="Times New Roman" w:hAnsi="Times New Roman" w:cs="Times New Roman"/>
                <w:color w:val="000000" w:themeColor="text1"/>
              </w:rPr>
              <w:t xml:space="preserve"> współczynnik osób wykluczonych cyfrowo znacznie się zmniejszył, w 2002 r. 17% społeczeństwa deklarowało wykorzystywanie internetu w życiu codziennym, tj. korzystanie z poczty e-mail, stron www, komunikatora internetowego itp., w 2007 r. </w:t>
            </w:r>
            <w:r w:rsidR="00080920">
              <w:rPr>
                <w:rFonts w:ascii="Times New Roman" w:hAnsi="Times New Roman" w:cs="Times New Roman"/>
                <w:color w:val="000000" w:themeColor="text1"/>
              </w:rPr>
              <w:t>–</w:t>
            </w:r>
            <w:r w:rsidR="00A10A88" w:rsidRPr="008A3FA9">
              <w:rPr>
                <w:rFonts w:ascii="Times New Roman" w:hAnsi="Times New Roman" w:cs="Times New Roman"/>
                <w:color w:val="000000" w:themeColor="text1"/>
              </w:rPr>
              <w:t xml:space="preserve"> </w:t>
            </w:r>
            <w:r w:rsidRPr="008A3FA9">
              <w:rPr>
                <w:rFonts w:ascii="Times New Roman" w:hAnsi="Times New Roman" w:cs="Times New Roman"/>
                <w:color w:val="000000" w:themeColor="text1"/>
              </w:rPr>
              <w:t>41% społeczeństwa, a</w:t>
            </w:r>
            <w:r w:rsidR="00AB04E9">
              <w:rPr>
                <w:rFonts w:ascii="Times New Roman" w:hAnsi="Times New Roman" w:cs="Times New Roman"/>
                <w:color w:val="000000" w:themeColor="text1"/>
              </w:rPr>
              <w:t xml:space="preserve"> </w:t>
            </w:r>
            <w:r w:rsidRPr="008A3FA9">
              <w:rPr>
                <w:rFonts w:ascii="Times New Roman" w:hAnsi="Times New Roman" w:cs="Times New Roman"/>
                <w:color w:val="000000" w:themeColor="text1"/>
              </w:rPr>
              <w:t xml:space="preserve">w 2017 r. </w:t>
            </w:r>
            <w:r w:rsidR="00080920">
              <w:rPr>
                <w:rFonts w:ascii="Times New Roman" w:hAnsi="Times New Roman" w:cs="Times New Roman"/>
                <w:color w:val="000000" w:themeColor="text1"/>
              </w:rPr>
              <w:t>–</w:t>
            </w:r>
            <w:r w:rsidR="00A10A88" w:rsidRPr="008A3FA9">
              <w:rPr>
                <w:rFonts w:ascii="Times New Roman" w:hAnsi="Times New Roman" w:cs="Times New Roman"/>
                <w:color w:val="000000" w:themeColor="text1"/>
              </w:rPr>
              <w:t xml:space="preserve"> </w:t>
            </w:r>
            <w:r w:rsidRPr="008A3FA9">
              <w:rPr>
                <w:rFonts w:ascii="Times New Roman" w:hAnsi="Times New Roman" w:cs="Times New Roman"/>
                <w:color w:val="000000" w:themeColor="text1"/>
              </w:rPr>
              <w:t xml:space="preserve">aż 78% społeczeństwa. </w:t>
            </w:r>
          </w:p>
          <w:p w14:paraId="6A055C51" w14:textId="77777777" w:rsidR="003A6F7A" w:rsidRPr="008A3FA9" w:rsidRDefault="003A6F7A" w:rsidP="008A3FA9">
            <w:pPr>
              <w:pStyle w:val="Akapitzlist"/>
              <w:numPr>
                <w:ilvl w:val="0"/>
                <w:numId w:val="6"/>
              </w:numPr>
              <w:spacing w:before="60" w:after="60"/>
              <w:jc w:val="both"/>
              <w:rPr>
                <w:rFonts w:ascii="Times New Roman" w:hAnsi="Times New Roman" w:cs="Times New Roman"/>
                <w:color w:val="000000" w:themeColor="text1"/>
              </w:rPr>
            </w:pPr>
            <w:r w:rsidRPr="008A3FA9">
              <w:rPr>
                <w:rFonts w:ascii="Times New Roman" w:hAnsi="Times New Roman" w:cs="Times New Roman"/>
                <w:color w:val="000000" w:themeColor="text1"/>
              </w:rPr>
              <w:t>Biorąc pod uwagę zapisy deklaracji z Tallina, europejscy operatorzy łączą w</w:t>
            </w:r>
            <w:r w:rsidR="00AB04E9">
              <w:rPr>
                <w:rFonts w:ascii="Times New Roman" w:hAnsi="Times New Roman" w:cs="Times New Roman"/>
                <w:color w:val="000000" w:themeColor="text1"/>
              </w:rPr>
              <w:t xml:space="preserve"> </w:t>
            </w:r>
            <w:r w:rsidRPr="008A3FA9">
              <w:rPr>
                <w:rFonts w:ascii="Times New Roman" w:hAnsi="Times New Roman" w:cs="Times New Roman"/>
                <w:color w:val="000000" w:themeColor="text1"/>
              </w:rPr>
              <w:t>ramach e-Doręczenia usługi elektroniczne z rozwiązaniami hybrydowymi (m.in. Francja, Niemcy i Czechy). W każdym z tych krajów operator e</w:t>
            </w:r>
            <w:r w:rsidR="005F6337">
              <w:rPr>
                <w:rFonts w:ascii="Times New Roman" w:hAnsi="Times New Roman" w:cs="Times New Roman"/>
                <w:color w:val="000000" w:themeColor="text1"/>
              </w:rPr>
              <w:t>-</w:t>
            </w:r>
            <w:r w:rsidRPr="008A3FA9">
              <w:rPr>
                <w:rFonts w:ascii="Times New Roman" w:hAnsi="Times New Roman" w:cs="Times New Roman"/>
                <w:color w:val="000000" w:themeColor="text1"/>
              </w:rPr>
              <w:t xml:space="preserve">Doręczenia posiada ok. 1 mln użytkowników. </w:t>
            </w:r>
          </w:p>
          <w:p w14:paraId="6AB373D4" w14:textId="77777777" w:rsidR="003A6F7A" w:rsidRPr="008A3FA9" w:rsidRDefault="003A6F7A" w:rsidP="008A3FA9">
            <w:pPr>
              <w:pStyle w:val="Akapitzlist"/>
              <w:numPr>
                <w:ilvl w:val="0"/>
                <w:numId w:val="6"/>
              </w:numPr>
              <w:spacing w:before="60" w:after="60"/>
              <w:jc w:val="both"/>
              <w:rPr>
                <w:rFonts w:ascii="Times New Roman" w:hAnsi="Times New Roman" w:cs="Times New Roman"/>
                <w:color w:val="000000" w:themeColor="text1"/>
              </w:rPr>
            </w:pPr>
            <w:r w:rsidRPr="008A3FA9">
              <w:rPr>
                <w:rFonts w:ascii="Times New Roman" w:hAnsi="Times New Roman" w:cs="Times New Roman"/>
                <w:color w:val="000000" w:themeColor="text1"/>
              </w:rPr>
              <w:t>Podobne rozwiązanie jest w Polsce oferowane komercyjnie dla obywateli przez</w:t>
            </w:r>
            <w:r w:rsidR="00AB04E9">
              <w:rPr>
                <w:rFonts w:ascii="Times New Roman" w:hAnsi="Times New Roman" w:cs="Times New Roman"/>
                <w:color w:val="000000" w:themeColor="text1"/>
              </w:rPr>
              <w:t xml:space="preserve"> </w:t>
            </w:r>
            <w:r w:rsidRPr="008A3FA9">
              <w:rPr>
                <w:rFonts w:ascii="Times New Roman" w:hAnsi="Times New Roman" w:cs="Times New Roman"/>
                <w:color w:val="000000" w:themeColor="text1"/>
              </w:rPr>
              <w:t>platformę Grupy Kapitałowej Poczty Polskiej. Platforma ta jest w stanie już w</w:t>
            </w:r>
            <w:r w:rsidR="00AB04E9">
              <w:rPr>
                <w:rFonts w:ascii="Times New Roman" w:hAnsi="Times New Roman" w:cs="Times New Roman"/>
                <w:color w:val="000000" w:themeColor="text1"/>
              </w:rPr>
              <w:t xml:space="preserve"> </w:t>
            </w:r>
            <w:r w:rsidRPr="008A3FA9">
              <w:rPr>
                <w:rFonts w:ascii="Times New Roman" w:hAnsi="Times New Roman" w:cs="Times New Roman"/>
                <w:color w:val="000000" w:themeColor="text1"/>
              </w:rPr>
              <w:t>chwili obecnej odpowiedzieć na potrzeby klientów w</w:t>
            </w:r>
            <w:r w:rsidR="00AB04E9">
              <w:rPr>
                <w:rFonts w:ascii="Times New Roman" w:hAnsi="Times New Roman" w:cs="Times New Roman"/>
                <w:color w:val="000000" w:themeColor="text1"/>
              </w:rPr>
              <w:t xml:space="preserve"> </w:t>
            </w:r>
            <w:r w:rsidRPr="008A3FA9">
              <w:rPr>
                <w:rFonts w:ascii="Times New Roman" w:hAnsi="Times New Roman" w:cs="Times New Roman"/>
                <w:color w:val="000000" w:themeColor="text1"/>
              </w:rPr>
              <w:t>zakresie obsługi korespondencji nie tylko tradycyjnej, ale również elektronicznej, skupiając w</w:t>
            </w:r>
            <w:r w:rsidR="00AB04E9">
              <w:rPr>
                <w:rFonts w:ascii="Times New Roman" w:hAnsi="Times New Roman" w:cs="Times New Roman"/>
                <w:color w:val="000000" w:themeColor="text1"/>
              </w:rPr>
              <w:t xml:space="preserve"> </w:t>
            </w:r>
            <w:r w:rsidRPr="008A3FA9">
              <w:rPr>
                <w:rFonts w:ascii="Times New Roman" w:hAnsi="Times New Roman" w:cs="Times New Roman"/>
                <w:color w:val="000000" w:themeColor="text1"/>
              </w:rPr>
              <w:t xml:space="preserve">jednym miejscu obsługę produktów: </w:t>
            </w:r>
          </w:p>
          <w:p w14:paraId="016F7525" w14:textId="77777777" w:rsidR="003A6F7A" w:rsidRPr="008A3FA9" w:rsidRDefault="003A6F7A" w:rsidP="008A3FA9">
            <w:pPr>
              <w:pStyle w:val="Akapitzlist"/>
              <w:numPr>
                <w:ilvl w:val="0"/>
                <w:numId w:val="5"/>
              </w:numPr>
              <w:spacing w:before="60" w:after="60"/>
              <w:jc w:val="both"/>
              <w:rPr>
                <w:rFonts w:ascii="Times New Roman" w:hAnsi="Times New Roman" w:cs="Times New Roman"/>
                <w:color w:val="000000" w:themeColor="text1"/>
              </w:rPr>
            </w:pPr>
            <w:r w:rsidRPr="008A3FA9">
              <w:rPr>
                <w:rFonts w:ascii="Times New Roman" w:hAnsi="Times New Roman" w:cs="Times New Roman"/>
                <w:b/>
                <w:color w:val="000000" w:themeColor="text1"/>
              </w:rPr>
              <w:t>elektronicznych</w:t>
            </w:r>
            <w:r w:rsidRPr="008A3FA9">
              <w:rPr>
                <w:rFonts w:ascii="Times New Roman" w:hAnsi="Times New Roman" w:cs="Times New Roman"/>
                <w:color w:val="000000" w:themeColor="text1"/>
              </w:rPr>
              <w:t xml:space="preserve"> – bez analogowych elementów procesu</w:t>
            </w:r>
            <w:r w:rsidR="00A10A88" w:rsidRPr="008A3FA9">
              <w:rPr>
                <w:rFonts w:ascii="Times New Roman" w:hAnsi="Times New Roman" w:cs="Times New Roman"/>
                <w:color w:val="000000" w:themeColor="text1"/>
              </w:rPr>
              <w:t>;</w:t>
            </w:r>
          </w:p>
          <w:p w14:paraId="2BEDB9D9" w14:textId="77777777" w:rsidR="003A6F7A" w:rsidRPr="008A3FA9" w:rsidRDefault="003A6F7A" w:rsidP="008A3FA9">
            <w:pPr>
              <w:pStyle w:val="Akapitzlist"/>
              <w:numPr>
                <w:ilvl w:val="0"/>
                <w:numId w:val="5"/>
              </w:numPr>
              <w:spacing w:before="60" w:after="60"/>
              <w:jc w:val="both"/>
              <w:rPr>
                <w:rFonts w:ascii="Times New Roman" w:hAnsi="Times New Roman" w:cs="Times New Roman"/>
                <w:color w:val="000000" w:themeColor="text1"/>
              </w:rPr>
            </w:pPr>
            <w:r w:rsidRPr="008A3FA9">
              <w:rPr>
                <w:rFonts w:ascii="Times New Roman" w:hAnsi="Times New Roman" w:cs="Times New Roman"/>
                <w:b/>
                <w:color w:val="000000" w:themeColor="text1"/>
              </w:rPr>
              <w:t>hybrydowych</w:t>
            </w:r>
            <w:r w:rsidRPr="008A3FA9">
              <w:rPr>
                <w:rFonts w:ascii="Times New Roman" w:hAnsi="Times New Roman" w:cs="Times New Roman"/>
                <w:color w:val="000000" w:themeColor="text1"/>
              </w:rPr>
              <w:t xml:space="preserve"> – w wyniku których pojawia się fizyczna przesyłka listowa dostarczana do odbiorcy standardowymi metodami lub </w:t>
            </w:r>
            <w:r w:rsidRPr="008A3FA9">
              <w:rPr>
                <w:rFonts w:ascii="Times New Roman" w:hAnsi="Times New Roman" w:cs="Times New Roman"/>
                <w:bCs/>
                <w:color w:val="000000" w:themeColor="text1"/>
              </w:rPr>
              <w:t>odebrana korespondencja tradycyjna zamieniona na postać elektroniczną poprzez skanowanie koperty i jej zawartości.</w:t>
            </w:r>
          </w:p>
          <w:p w14:paraId="59FF9685" w14:textId="23F7A4B5" w:rsidR="003A6F7A" w:rsidRPr="008A3FA9" w:rsidRDefault="003A6F7A" w:rsidP="008A3FA9">
            <w:pPr>
              <w:spacing w:before="60" w:after="60"/>
              <w:ind w:left="768"/>
              <w:jc w:val="both"/>
              <w:rPr>
                <w:rFonts w:ascii="Times New Roman" w:hAnsi="Times New Roman" w:cs="Times New Roman"/>
                <w:color w:val="000000" w:themeColor="text1"/>
              </w:rPr>
            </w:pPr>
            <w:r w:rsidRPr="008A3FA9">
              <w:rPr>
                <w:rFonts w:ascii="Times New Roman" w:hAnsi="Times New Roman" w:cs="Times New Roman"/>
                <w:color w:val="000000" w:themeColor="text1"/>
              </w:rPr>
              <w:t>Obecnie z rozwiązań tych korzysta 220 tys. użytkowników, którzy wysyłają ok.</w:t>
            </w:r>
            <w:r w:rsidR="00AB04E9">
              <w:rPr>
                <w:rFonts w:ascii="Times New Roman" w:hAnsi="Times New Roman" w:cs="Times New Roman"/>
                <w:color w:val="000000" w:themeColor="text1"/>
              </w:rPr>
              <w:t xml:space="preserve"> </w:t>
            </w:r>
            <w:r w:rsidRPr="008A3FA9">
              <w:rPr>
                <w:rFonts w:ascii="Times New Roman" w:hAnsi="Times New Roman" w:cs="Times New Roman"/>
                <w:color w:val="000000" w:themeColor="text1"/>
              </w:rPr>
              <w:t>20</w:t>
            </w:r>
            <w:r w:rsidR="001B514F">
              <w:rPr>
                <w:rFonts w:ascii="Times New Roman" w:hAnsi="Times New Roman" w:cs="Times New Roman"/>
                <w:color w:val="000000" w:themeColor="text1"/>
              </w:rPr>
              <w:t> </w:t>
            </w:r>
            <w:r w:rsidRPr="008A3FA9">
              <w:rPr>
                <w:rFonts w:ascii="Times New Roman" w:hAnsi="Times New Roman" w:cs="Times New Roman"/>
                <w:color w:val="000000" w:themeColor="text1"/>
              </w:rPr>
              <w:t>mln przesyłek hybrydowych rocznie. Obsługująca je platforma zapewnia bezpieczeństwo przesyłania danych na każdym etapie korespondencji. Każdy z tych etapów od momentu przyjęcia pliku z</w:t>
            </w:r>
            <w:r w:rsidR="00AB04E9">
              <w:rPr>
                <w:rFonts w:ascii="Times New Roman" w:hAnsi="Times New Roman" w:cs="Times New Roman"/>
                <w:color w:val="000000" w:themeColor="text1"/>
              </w:rPr>
              <w:t xml:space="preserve"> </w:t>
            </w:r>
            <w:r w:rsidRPr="008A3FA9">
              <w:rPr>
                <w:rFonts w:ascii="Times New Roman" w:hAnsi="Times New Roman" w:cs="Times New Roman"/>
                <w:color w:val="000000" w:themeColor="text1"/>
              </w:rPr>
              <w:t>dokumentami</w:t>
            </w:r>
            <w:r w:rsidR="006C70CE" w:rsidRPr="008A3FA9">
              <w:rPr>
                <w:rFonts w:ascii="Times New Roman" w:hAnsi="Times New Roman" w:cs="Times New Roman"/>
                <w:color w:val="000000" w:themeColor="text1"/>
              </w:rPr>
              <w:t>,</w:t>
            </w:r>
            <w:r w:rsidRPr="008A3FA9">
              <w:rPr>
                <w:rFonts w:ascii="Times New Roman" w:hAnsi="Times New Roman" w:cs="Times New Roman"/>
                <w:color w:val="000000" w:themeColor="text1"/>
              </w:rPr>
              <w:t xml:space="preserve"> przez jego wygenerowanie i zapis w repozytorium</w:t>
            </w:r>
            <w:r w:rsidR="00A10A88" w:rsidRPr="008A3FA9">
              <w:rPr>
                <w:rFonts w:ascii="Times New Roman" w:hAnsi="Times New Roman" w:cs="Times New Roman"/>
                <w:color w:val="000000" w:themeColor="text1"/>
              </w:rPr>
              <w:t>,</w:t>
            </w:r>
            <w:r w:rsidRPr="008A3FA9">
              <w:rPr>
                <w:rFonts w:ascii="Times New Roman" w:hAnsi="Times New Roman" w:cs="Times New Roman"/>
                <w:color w:val="000000" w:themeColor="text1"/>
              </w:rPr>
              <w:t xml:space="preserve"> po</w:t>
            </w:r>
            <w:r w:rsidR="00AB04E9">
              <w:rPr>
                <w:rFonts w:ascii="Times New Roman" w:hAnsi="Times New Roman" w:cs="Times New Roman"/>
                <w:color w:val="000000" w:themeColor="text1"/>
              </w:rPr>
              <w:t xml:space="preserve"> </w:t>
            </w:r>
            <w:r w:rsidRPr="008A3FA9">
              <w:rPr>
                <w:rFonts w:ascii="Times New Roman" w:hAnsi="Times New Roman" w:cs="Times New Roman"/>
                <w:color w:val="000000" w:themeColor="text1"/>
              </w:rPr>
              <w:t>przekazanie do druku</w:t>
            </w:r>
            <w:r w:rsidR="006C70CE" w:rsidRPr="008A3FA9">
              <w:rPr>
                <w:rFonts w:ascii="Times New Roman" w:hAnsi="Times New Roman" w:cs="Times New Roman"/>
                <w:color w:val="000000" w:themeColor="text1"/>
              </w:rPr>
              <w:t>,</w:t>
            </w:r>
            <w:r w:rsidRPr="008A3FA9">
              <w:rPr>
                <w:rFonts w:ascii="Times New Roman" w:hAnsi="Times New Roman" w:cs="Times New Roman"/>
                <w:color w:val="000000" w:themeColor="text1"/>
              </w:rPr>
              <w:t xml:space="preserve"> jest zapisany w statusie przesyłki, co wpływa na</w:t>
            </w:r>
            <w:r w:rsidR="00AB04E9">
              <w:rPr>
                <w:rFonts w:ascii="Times New Roman" w:hAnsi="Times New Roman" w:cs="Times New Roman"/>
                <w:color w:val="000000" w:themeColor="text1"/>
              </w:rPr>
              <w:t xml:space="preserve"> </w:t>
            </w:r>
            <w:r w:rsidRPr="008A3FA9">
              <w:rPr>
                <w:rFonts w:ascii="Times New Roman" w:hAnsi="Times New Roman" w:cs="Times New Roman"/>
                <w:color w:val="000000" w:themeColor="text1"/>
              </w:rPr>
              <w:t xml:space="preserve">wysoką jakość świadczonej usługi. </w:t>
            </w:r>
          </w:p>
          <w:p w14:paraId="3D3E45BE" w14:textId="59CC8C43" w:rsidR="000B7953" w:rsidRPr="008A3FA9" w:rsidRDefault="003A6F7A" w:rsidP="001B514F">
            <w:pPr>
              <w:pStyle w:val="Akapitzlist"/>
              <w:numPr>
                <w:ilvl w:val="0"/>
                <w:numId w:val="6"/>
              </w:numPr>
              <w:spacing w:before="60" w:after="60"/>
              <w:jc w:val="both"/>
              <w:rPr>
                <w:rFonts w:ascii="Times New Roman" w:hAnsi="Times New Roman" w:cs="Times New Roman"/>
                <w:color w:val="000000" w:themeColor="text1"/>
              </w:rPr>
            </w:pPr>
            <w:r w:rsidRPr="008A3FA9">
              <w:rPr>
                <w:rFonts w:ascii="Times New Roman" w:hAnsi="Times New Roman" w:cs="Times New Roman"/>
                <w:color w:val="000000" w:themeColor="text1"/>
              </w:rPr>
              <w:t>Zgodnie z cennikiem Poczty Polskiej koszt listu poleconego ekonomicznego za</w:t>
            </w:r>
            <w:r w:rsidR="00AB04E9">
              <w:rPr>
                <w:rFonts w:ascii="Times New Roman" w:hAnsi="Times New Roman" w:cs="Times New Roman"/>
                <w:color w:val="000000" w:themeColor="text1"/>
              </w:rPr>
              <w:t xml:space="preserve"> </w:t>
            </w:r>
            <w:r w:rsidRPr="008A3FA9">
              <w:rPr>
                <w:rFonts w:ascii="Times New Roman" w:hAnsi="Times New Roman" w:cs="Times New Roman"/>
                <w:color w:val="000000" w:themeColor="text1"/>
              </w:rPr>
              <w:t xml:space="preserve">potwierdzeniem odbioru wynosi </w:t>
            </w:r>
            <w:r w:rsidR="00724C9C" w:rsidRPr="008A3FA9">
              <w:rPr>
                <w:rFonts w:ascii="Times New Roman" w:hAnsi="Times New Roman" w:cs="Times New Roman"/>
                <w:color w:val="000000" w:themeColor="text1"/>
              </w:rPr>
              <w:t xml:space="preserve">8,50 </w:t>
            </w:r>
            <w:r w:rsidRPr="008A3FA9">
              <w:rPr>
                <w:rFonts w:ascii="Times New Roman" w:hAnsi="Times New Roman" w:cs="Times New Roman"/>
                <w:color w:val="000000" w:themeColor="text1"/>
              </w:rPr>
              <w:t xml:space="preserve">zł. Wprowadzenie usługi e-Doręczeń, zapewniającej obywatelom i przedsiębiorcom możliwość bezpłatnego doręczania pism podmiotom publicznym, spowoduje oszczędności dla tych przedsiębiorców </w:t>
            </w:r>
            <w:r w:rsidRPr="008A3FA9">
              <w:rPr>
                <w:rFonts w:ascii="Times New Roman" w:hAnsi="Times New Roman" w:cs="Times New Roman"/>
                <w:color w:val="000000" w:themeColor="text1"/>
              </w:rPr>
              <w:lastRenderedPageBreak/>
              <w:t>i</w:t>
            </w:r>
            <w:r w:rsidR="001B514F">
              <w:rPr>
                <w:rFonts w:ascii="Times New Roman" w:hAnsi="Times New Roman" w:cs="Times New Roman"/>
                <w:color w:val="000000" w:themeColor="text1"/>
              </w:rPr>
              <w:t> </w:t>
            </w:r>
            <w:r w:rsidRPr="008A3FA9">
              <w:rPr>
                <w:rFonts w:ascii="Times New Roman" w:hAnsi="Times New Roman" w:cs="Times New Roman"/>
                <w:color w:val="000000" w:themeColor="text1"/>
              </w:rPr>
              <w:t xml:space="preserve">obywateli, którzy zastąpią e-Doręczeniem obecne przesyłki polecone. </w:t>
            </w:r>
          </w:p>
        </w:tc>
      </w:tr>
      <w:tr w:rsidR="005C3FCE" w:rsidRPr="00E42D6D" w14:paraId="58E4EC52" w14:textId="77777777" w:rsidTr="008A3FA9">
        <w:tblPrEx>
          <w:jc w:val="left"/>
        </w:tblPrEx>
        <w:trPr>
          <w:trHeight w:val="342"/>
        </w:trPr>
        <w:tc>
          <w:tcPr>
            <w:tcW w:w="10661" w:type="dxa"/>
            <w:gridSpan w:val="29"/>
            <w:shd w:val="clear" w:color="auto" w:fill="99CCFF"/>
            <w:vAlign w:val="center"/>
          </w:tcPr>
          <w:p w14:paraId="26D873F3" w14:textId="77777777" w:rsidR="003A6F7A" w:rsidRPr="008A3FA9" w:rsidRDefault="003A6F7A" w:rsidP="008A3FA9">
            <w:pPr>
              <w:numPr>
                <w:ilvl w:val="0"/>
                <w:numId w:val="1"/>
              </w:numPr>
              <w:spacing w:before="60" w:after="60"/>
              <w:ind w:left="318" w:hanging="284"/>
              <w:jc w:val="both"/>
              <w:rPr>
                <w:rFonts w:ascii="Times New Roman" w:hAnsi="Times New Roman" w:cs="Times New Roman"/>
                <w:b/>
                <w:color w:val="000000" w:themeColor="text1"/>
              </w:rPr>
            </w:pPr>
            <w:r w:rsidRPr="008A3FA9">
              <w:rPr>
                <w:rFonts w:ascii="Times New Roman" w:hAnsi="Times New Roman" w:cs="Times New Roman"/>
                <w:b/>
                <w:color w:val="000000" w:themeColor="text1"/>
              </w:rPr>
              <w:lastRenderedPageBreak/>
              <w:t>Zmiana obciążeń regulacyjnych (w tym obowiązków informacyjnych) wynikających z projektu</w:t>
            </w:r>
          </w:p>
        </w:tc>
      </w:tr>
      <w:tr w:rsidR="005C3FCE" w:rsidRPr="00E42D6D" w14:paraId="11356C5F" w14:textId="77777777" w:rsidTr="008A3FA9">
        <w:tblPrEx>
          <w:jc w:val="left"/>
        </w:tblPrEx>
        <w:trPr>
          <w:trHeight w:val="151"/>
        </w:trPr>
        <w:tc>
          <w:tcPr>
            <w:tcW w:w="10661" w:type="dxa"/>
            <w:gridSpan w:val="29"/>
            <w:shd w:val="clear" w:color="auto" w:fill="FFFFFF"/>
          </w:tcPr>
          <w:p w14:paraId="614AE4B9" w14:textId="77777777" w:rsidR="003A6F7A" w:rsidRPr="008A3FA9" w:rsidRDefault="003A6F7A" w:rsidP="008A3FA9">
            <w:pPr>
              <w:spacing w:before="60" w:after="60"/>
              <w:rPr>
                <w:rFonts w:ascii="Times New Roman" w:hAnsi="Times New Roman" w:cs="Times New Roman"/>
                <w:color w:val="000000" w:themeColor="text1"/>
              </w:rPr>
            </w:pPr>
            <w:r w:rsidRPr="008A3FA9">
              <w:rPr>
                <w:rFonts w:ascii="MS Mincho" w:eastAsia="MS Mincho" w:hAnsi="MS Mincho" w:cs="MS Mincho"/>
                <w:color w:val="000000" w:themeColor="text1"/>
                <w:spacing w:val="-2"/>
              </w:rPr>
              <w:t>☐</w:t>
            </w:r>
            <w:r w:rsidRPr="008A3FA9">
              <w:rPr>
                <w:rFonts w:ascii="Times New Roman" w:hAnsi="Times New Roman" w:cs="Times New Roman"/>
                <w:color w:val="000000" w:themeColor="text1"/>
                <w:spacing w:val="-2"/>
              </w:rPr>
              <w:t xml:space="preserve"> nie dotyczy</w:t>
            </w:r>
          </w:p>
        </w:tc>
      </w:tr>
      <w:tr w:rsidR="005C3FCE" w:rsidRPr="00E42D6D" w14:paraId="2E009958" w14:textId="77777777" w:rsidTr="008A3FA9">
        <w:tblPrEx>
          <w:jc w:val="left"/>
        </w:tblPrEx>
        <w:trPr>
          <w:trHeight w:val="946"/>
        </w:trPr>
        <w:tc>
          <w:tcPr>
            <w:tcW w:w="4905" w:type="dxa"/>
            <w:gridSpan w:val="13"/>
            <w:shd w:val="clear" w:color="auto" w:fill="FFFFFF"/>
          </w:tcPr>
          <w:p w14:paraId="498B1FD9" w14:textId="77777777" w:rsidR="003A6F7A" w:rsidRPr="008A3FA9" w:rsidRDefault="003A6F7A" w:rsidP="008A3FA9">
            <w:pPr>
              <w:spacing w:before="60" w:after="60"/>
              <w:rPr>
                <w:rFonts w:ascii="Times New Roman" w:hAnsi="Times New Roman" w:cs="Times New Roman"/>
                <w:color w:val="000000" w:themeColor="text1"/>
                <w:spacing w:val="-2"/>
              </w:rPr>
            </w:pPr>
            <w:r w:rsidRPr="008A3FA9">
              <w:rPr>
                <w:rFonts w:ascii="Times New Roman" w:hAnsi="Times New Roman" w:cs="Times New Roman"/>
                <w:color w:val="000000" w:themeColor="text1"/>
                <w:spacing w:val="-2"/>
              </w:rPr>
              <w:t xml:space="preserve">Wprowadzane są obciążenia poza bezwzględnie wymaganymi przez UE </w:t>
            </w:r>
            <w:r w:rsidRPr="008A3FA9">
              <w:rPr>
                <w:rFonts w:ascii="Times New Roman" w:hAnsi="Times New Roman" w:cs="Times New Roman"/>
                <w:color w:val="000000" w:themeColor="text1"/>
              </w:rPr>
              <w:t>(szczegóły w odwróconej tabeli zgodności).</w:t>
            </w:r>
          </w:p>
        </w:tc>
        <w:tc>
          <w:tcPr>
            <w:tcW w:w="5756" w:type="dxa"/>
            <w:gridSpan w:val="16"/>
            <w:shd w:val="clear" w:color="auto" w:fill="FFFFFF"/>
          </w:tcPr>
          <w:p w14:paraId="7951AF88" w14:textId="77777777" w:rsidR="003A6F7A" w:rsidRPr="008A3FA9" w:rsidRDefault="003A6F7A" w:rsidP="008A3FA9">
            <w:pPr>
              <w:spacing w:before="60" w:after="60"/>
              <w:rPr>
                <w:rFonts w:ascii="Times New Roman" w:hAnsi="Times New Roman" w:cs="Times New Roman"/>
                <w:color w:val="000000" w:themeColor="text1"/>
              </w:rPr>
            </w:pPr>
            <w:r w:rsidRPr="008A3FA9">
              <w:rPr>
                <w:rFonts w:ascii="MS Mincho" w:eastAsia="MS Mincho" w:hAnsi="MS Mincho" w:cs="MS Mincho"/>
                <w:color w:val="000000" w:themeColor="text1"/>
              </w:rPr>
              <w:t>☐</w:t>
            </w:r>
            <w:r w:rsidRPr="008A3FA9">
              <w:rPr>
                <w:rFonts w:ascii="Times New Roman" w:hAnsi="Times New Roman" w:cs="Times New Roman"/>
                <w:color w:val="000000" w:themeColor="text1"/>
              </w:rPr>
              <w:t xml:space="preserve"> tak</w:t>
            </w:r>
          </w:p>
          <w:p w14:paraId="4DC7DD3B" w14:textId="77777777" w:rsidR="003A6F7A" w:rsidRPr="008A3FA9" w:rsidRDefault="003A6F7A" w:rsidP="008A3FA9">
            <w:pPr>
              <w:spacing w:before="60" w:after="60"/>
              <w:rPr>
                <w:rFonts w:ascii="Times New Roman" w:hAnsi="Times New Roman" w:cs="Times New Roman"/>
                <w:color w:val="000000" w:themeColor="text1"/>
              </w:rPr>
            </w:pPr>
            <w:r w:rsidRPr="008A3FA9">
              <w:rPr>
                <w:rFonts w:ascii="MS Mincho" w:eastAsia="MS Mincho" w:hAnsi="MS Mincho" w:cs="MS Mincho"/>
                <w:color w:val="000000" w:themeColor="text1"/>
              </w:rPr>
              <w:t>☐</w:t>
            </w:r>
            <w:r w:rsidRPr="008A3FA9">
              <w:rPr>
                <w:rFonts w:ascii="Times New Roman" w:hAnsi="Times New Roman" w:cs="Times New Roman"/>
                <w:color w:val="000000" w:themeColor="text1"/>
              </w:rPr>
              <w:t xml:space="preserve"> nie</w:t>
            </w:r>
          </w:p>
          <w:p w14:paraId="077EFEC6" w14:textId="77777777" w:rsidR="003A6F7A" w:rsidRPr="008A3FA9" w:rsidRDefault="003A6F7A" w:rsidP="008A3FA9">
            <w:pPr>
              <w:spacing w:before="60" w:after="60"/>
              <w:rPr>
                <w:rFonts w:ascii="Times New Roman" w:hAnsi="Times New Roman" w:cs="Times New Roman"/>
                <w:color w:val="000000" w:themeColor="text1"/>
              </w:rPr>
            </w:pPr>
            <w:r w:rsidRPr="008A3FA9">
              <w:rPr>
                <w:rFonts w:ascii="MS Mincho" w:eastAsia="MS Mincho" w:hAnsi="MS Mincho" w:cs="MS Mincho"/>
                <w:color w:val="000000" w:themeColor="text1"/>
              </w:rPr>
              <w:t>☒</w:t>
            </w:r>
            <w:r w:rsidRPr="008A3FA9">
              <w:rPr>
                <w:rFonts w:ascii="Times New Roman" w:hAnsi="Times New Roman" w:cs="Times New Roman"/>
                <w:color w:val="000000" w:themeColor="text1"/>
              </w:rPr>
              <w:t xml:space="preserve"> nie dotyczy</w:t>
            </w:r>
          </w:p>
        </w:tc>
      </w:tr>
      <w:tr w:rsidR="005C3FCE" w:rsidRPr="00E42D6D" w14:paraId="4AE14011" w14:textId="77777777" w:rsidTr="008A3FA9">
        <w:tblPrEx>
          <w:jc w:val="left"/>
        </w:tblPrEx>
        <w:trPr>
          <w:trHeight w:val="1245"/>
        </w:trPr>
        <w:tc>
          <w:tcPr>
            <w:tcW w:w="4905" w:type="dxa"/>
            <w:gridSpan w:val="13"/>
            <w:shd w:val="clear" w:color="auto" w:fill="FFFFFF"/>
          </w:tcPr>
          <w:p w14:paraId="68078D46" w14:textId="77777777" w:rsidR="003A6F7A" w:rsidRPr="008A3FA9" w:rsidRDefault="003A6F7A" w:rsidP="008A3FA9">
            <w:pPr>
              <w:spacing w:before="60" w:after="60"/>
              <w:rPr>
                <w:rFonts w:ascii="Times New Roman" w:hAnsi="Times New Roman" w:cs="Times New Roman"/>
                <w:color w:val="000000" w:themeColor="text1"/>
                <w:spacing w:val="-2"/>
              </w:rPr>
            </w:pPr>
            <w:r w:rsidRPr="008A3FA9">
              <w:rPr>
                <w:rFonts w:ascii="MS Mincho" w:eastAsia="MS Mincho" w:hAnsi="MS Mincho" w:cs="MS Mincho"/>
                <w:color w:val="000000" w:themeColor="text1"/>
                <w:spacing w:val="-2"/>
              </w:rPr>
              <w:t>☒</w:t>
            </w:r>
            <w:r w:rsidRPr="008A3FA9">
              <w:rPr>
                <w:rFonts w:ascii="Times New Roman" w:hAnsi="Times New Roman" w:cs="Times New Roman"/>
                <w:color w:val="000000" w:themeColor="text1"/>
                <w:spacing w:val="-2"/>
              </w:rPr>
              <w:t xml:space="preserve"> zmniejszenie liczby dokumentów </w:t>
            </w:r>
          </w:p>
          <w:p w14:paraId="04C39B23" w14:textId="77777777" w:rsidR="003A6F7A" w:rsidRPr="008A3FA9" w:rsidRDefault="003A6F7A" w:rsidP="008A3FA9">
            <w:pPr>
              <w:spacing w:before="60" w:after="60"/>
              <w:rPr>
                <w:rFonts w:ascii="Times New Roman" w:hAnsi="Times New Roman" w:cs="Times New Roman"/>
                <w:color w:val="000000" w:themeColor="text1"/>
                <w:spacing w:val="-2"/>
              </w:rPr>
            </w:pPr>
            <w:r w:rsidRPr="008A3FA9">
              <w:rPr>
                <w:rFonts w:ascii="MS Mincho" w:eastAsia="MS Mincho" w:hAnsi="MS Mincho" w:cs="MS Mincho"/>
                <w:color w:val="000000" w:themeColor="text1"/>
                <w:spacing w:val="-2"/>
              </w:rPr>
              <w:t>☐</w:t>
            </w:r>
            <w:r w:rsidRPr="008A3FA9">
              <w:rPr>
                <w:rFonts w:ascii="Times New Roman" w:hAnsi="Times New Roman" w:cs="Times New Roman"/>
                <w:color w:val="000000" w:themeColor="text1"/>
                <w:spacing w:val="-2"/>
              </w:rPr>
              <w:t xml:space="preserve"> zmniejszenie liczby procedur</w:t>
            </w:r>
          </w:p>
          <w:p w14:paraId="5F2345FC" w14:textId="77777777" w:rsidR="003A6F7A" w:rsidRPr="008A3FA9" w:rsidRDefault="003A6F7A" w:rsidP="008A3FA9">
            <w:pPr>
              <w:spacing w:before="60" w:after="60"/>
              <w:rPr>
                <w:rFonts w:ascii="Times New Roman" w:hAnsi="Times New Roman" w:cs="Times New Roman"/>
                <w:color w:val="000000" w:themeColor="text1"/>
                <w:spacing w:val="-2"/>
              </w:rPr>
            </w:pPr>
            <w:r w:rsidRPr="008A3FA9">
              <w:rPr>
                <w:rFonts w:ascii="MS Mincho" w:eastAsia="MS Mincho" w:hAnsi="MS Mincho" w:cs="MS Mincho"/>
                <w:color w:val="000000" w:themeColor="text1"/>
                <w:spacing w:val="-2"/>
              </w:rPr>
              <w:t>☒</w:t>
            </w:r>
            <w:r w:rsidRPr="008A3FA9">
              <w:rPr>
                <w:rFonts w:ascii="Times New Roman" w:hAnsi="Times New Roman" w:cs="Times New Roman"/>
                <w:color w:val="000000" w:themeColor="text1"/>
                <w:spacing w:val="-2"/>
              </w:rPr>
              <w:t xml:space="preserve"> skrócenie czasu na załatwienie sprawy</w:t>
            </w:r>
          </w:p>
          <w:p w14:paraId="6740BE32" w14:textId="77777777" w:rsidR="003A6F7A" w:rsidRPr="008A3FA9" w:rsidRDefault="003A6F7A" w:rsidP="008A3FA9">
            <w:pPr>
              <w:spacing w:before="60" w:after="60"/>
              <w:rPr>
                <w:rFonts w:ascii="Times New Roman" w:hAnsi="Times New Roman" w:cs="Times New Roman"/>
                <w:b/>
                <w:color w:val="000000" w:themeColor="text1"/>
                <w:spacing w:val="-2"/>
              </w:rPr>
            </w:pPr>
            <w:r w:rsidRPr="008A3FA9">
              <w:rPr>
                <w:rFonts w:ascii="MS Mincho" w:eastAsia="MS Mincho" w:hAnsi="MS Mincho" w:cs="MS Mincho"/>
                <w:color w:val="000000" w:themeColor="text1"/>
                <w:spacing w:val="-2"/>
              </w:rPr>
              <w:t>☐</w:t>
            </w:r>
            <w:r w:rsidRPr="008A3FA9">
              <w:rPr>
                <w:rFonts w:ascii="Times New Roman" w:hAnsi="Times New Roman" w:cs="Times New Roman"/>
                <w:color w:val="000000" w:themeColor="text1"/>
                <w:spacing w:val="-2"/>
              </w:rPr>
              <w:t xml:space="preserve"> inne:</w:t>
            </w:r>
            <w:r w:rsidRPr="008A3FA9">
              <w:rPr>
                <w:rFonts w:ascii="Times New Roman" w:hAnsi="Times New Roman" w:cs="Times New Roman"/>
                <w:color w:val="000000" w:themeColor="text1"/>
              </w:rPr>
              <w:t xml:space="preserve"> …</w:t>
            </w:r>
          </w:p>
        </w:tc>
        <w:tc>
          <w:tcPr>
            <w:tcW w:w="5756" w:type="dxa"/>
            <w:gridSpan w:val="16"/>
            <w:shd w:val="clear" w:color="auto" w:fill="FFFFFF"/>
          </w:tcPr>
          <w:p w14:paraId="39CD625A" w14:textId="77777777" w:rsidR="003A6F7A" w:rsidRPr="008A3FA9" w:rsidRDefault="003A6F7A" w:rsidP="008A3FA9">
            <w:pPr>
              <w:spacing w:before="60" w:after="60"/>
              <w:rPr>
                <w:rFonts w:ascii="Times New Roman" w:hAnsi="Times New Roman" w:cs="Times New Roman"/>
                <w:color w:val="000000" w:themeColor="text1"/>
                <w:spacing w:val="-2"/>
              </w:rPr>
            </w:pPr>
            <w:r w:rsidRPr="008A3FA9">
              <w:rPr>
                <w:rFonts w:ascii="MS Mincho" w:eastAsia="MS Mincho" w:hAnsi="MS Mincho" w:cs="MS Mincho"/>
                <w:color w:val="000000" w:themeColor="text1"/>
                <w:spacing w:val="-2"/>
              </w:rPr>
              <w:t>☐</w:t>
            </w:r>
            <w:r w:rsidRPr="008A3FA9">
              <w:rPr>
                <w:rFonts w:ascii="Times New Roman" w:hAnsi="Times New Roman" w:cs="Times New Roman"/>
                <w:color w:val="000000" w:themeColor="text1"/>
                <w:spacing w:val="-2"/>
              </w:rPr>
              <w:t xml:space="preserve"> zwiększenie liczby dokumentów</w:t>
            </w:r>
          </w:p>
          <w:p w14:paraId="1742D689" w14:textId="77777777" w:rsidR="003A6F7A" w:rsidRPr="008A3FA9" w:rsidRDefault="003A6F7A" w:rsidP="008A3FA9">
            <w:pPr>
              <w:spacing w:before="60" w:after="60"/>
              <w:rPr>
                <w:rFonts w:ascii="Times New Roman" w:hAnsi="Times New Roman" w:cs="Times New Roman"/>
                <w:color w:val="000000" w:themeColor="text1"/>
                <w:spacing w:val="-2"/>
              </w:rPr>
            </w:pPr>
            <w:r w:rsidRPr="008A3FA9">
              <w:rPr>
                <w:rFonts w:ascii="MS Mincho" w:eastAsia="MS Mincho" w:hAnsi="MS Mincho" w:cs="MS Mincho"/>
                <w:color w:val="000000" w:themeColor="text1"/>
              </w:rPr>
              <w:t>☐</w:t>
            </w:r>
            <w:r w:rsidRPr="008A3FA9">
              <w:rPr>
                <w:rFonts w:ascii="Times New Roman" w:hAnsi="Times New Roman" w:cs="Times New Roman"/>
                <w:color w:val="000000" w:themeColor="text1"/>
              </w:rPr>
              <w:t xml:space="preserve"> </w:t>
            </w:r>
            <w:r w:rsidRPr="008A3FA9">
              <w:rPr>
                <w:rFonts w:ascii="Times New Roman" w:hAnsi="Times New Roman" w:cs="Times New Roman"/>
                <w:color w:val="000000" w:themeColor="text1"/>
                <w:spacing w:val="-2"/>
              </w:rPr>
              <w:t>zwiększenie liczby procedur</w:t>
            </w:r>
          </w:p>
          <w:p w14:paraId="7A2D1650" w14:textId="77777777" w:rsidR="003A6F7A" w:rsidRPr="008A3FA9" w:rsidRDefault="003A6F7A" w:rsidP="008A3FA9">
            <w:pPr>
              <w:spacing w:before="60" w:after="60"/>
              <w:rPr>
                <w:rFonts w:ascii="Times New Roman" w:hAnsi="Times New Roman" w:cs="Times New Roman"/>
                <w:color w:val="000000" w:themeColor="text1"/>
                <w:spacing w:val="-2"/>
              </w:rPr>
            </w:pPr>
            <w:r w:rsidRPr="008A3FA9">
              <w:rPr>
                <w:rFonts w:ascii="MS Mincho" w:eastAsia="MS Mincho" w:hAnsi="MS Mincho" w:cs="MS Mincho"/>
                <w:color w:val="000000" w:themeColor="text1"/>
                <w:spacing w:val="-2"/>
              </w:rPr>
              <w:t>☐</w:t>
            </w:r>
            <w:r w:rsidRPr="008A3FA9">
              <w:rPr>
                <w:rFonts w:ascii="Times New Roman" w:hAnsi="Times New Roman" w:cs="Times New Roman"/>
                <w:color w:val="000000" w:themeColor="text1"/>
                <w:spacing w:val="-2"/>
              </w:rPr>
              <w:t xml:space="preserve"> wydłużenie czasu na załatwienie sprawy</w:t>
            </w:r>
          </w:p>
          <w:p w14:paraId="2EBE0562" w14:textId="77777777" w:rsidR="003A6F7A" w:rsidRPr="008A3FA9" w:rsidRDefault="003A6F7A" w:rsidP="008A3FA9">
            <w:pPr>
              <w:spacing w:before="60" w:after="60"/>
              <w:rPr>
                <w:rFonts w:ascii="Times New Roman" w:hAnsi="Times New Roman" w:cs="Times New Roman"/>
                <w:color w:val="000000" w:themeColor="text1"/>
              </w:rPr>
            </w:pPr>
            <w:r w:rsidRPr="008A3FA9">
              <w:rPr>
                <w:rFonts w:ascii="MS Mincho" w:eastAsia="MS Mincho" w:hAnsi="MS Mincho" w:cs="MS Mincho"/>
                <w:color w:val="000000" w:themeColor="text1"/>
                <w:spacing w:val="-2"/>
              </w:rPr>
              <w:t>☐</w:t>
            </w:r>
            <w:r w:rsidRPr="008A3FA9">
              <w:rPr>
                <w:rFonts w:ascii="Times New Roman" w:hAnsi="Times New Roman" w:cs="Times New Roman"/>
                <w:color w:val="000000" w:themeColor="text1"/>
                <w:spacing w:val="-2"/>
              </w:rPr>
              <w:t xml:space="preserve"> inne:</w:t>
            </w:r>
          </w:p>
        </w:tc>
      </w:tr>
      <w:tr w:rsidR="005C3FCE" w:rsidRPr="00E42D6D" w14:paraId="4B99AC8D" w14:textId="77777777" w:rsidTr="008A3FA9">
        <w:tblPrEx>
          <w:jc w:val="left"/>
        </w:tblPrEx>
        <w:trPr>
          <w:trHeight w:val="870"/>
        </w:trPr>
        <w:tc>
          <w:tcPr>
            <w:tcW w:w="4905" w:type="dxa"/>
            <w:gridSpan w:val="13"/>
            <w:shd w:val="clear" w:color="auto" w:fill="FFFFFF"/>
          </w:tcPr>
          <w:p w14:paraId="3E63A03F" w14:textId="77777777" w:rsidR="003A6F7A" w:rsidRPr="008A3FA9" w:rsidRDefault="003A6F7A" w:rsidP="008A3FA9">
            <w:pPr>
              <w:spacing w:before="60" w:after="60"/>
              <w:rPr>
                <w:rFonts w:ascii="Times New Roman" w:hAnsi="Times New Roman" w:cs="Times New Roman"/>
                <w:color w:val="000000" w:themeColor="text1"/>
              </w:rPr>
            </w:pPr>
            <w:r w:rsidRPr="008A3FA9">
              <w:rPr>
                <w:rFonts w:ascii="Times New Roman" w:hAnsi="Times New Roman" w:cs="Times New Roman"/>
                <w:color w:val="000000" w:themeColor="text1"/>
                <w:spacing w:val="-2"/>
              </w:rPr>
              <w:t xml:space="preserve">Wprowadzane obciążenia są przystosowane do ich elektronizacji. </w:t>
            </w:r>
          </w:p>
        </w:tc>
        <w:tc>
          <w:tcPr>
            <w:tcW w:w="5756" w:type="dxa"/>
            <w:gridSpan w:val="16"/>
            <w:shd w:val="clear" w:color="auto" w:fill="FFFFFF"/>
          </w:tcPr>
          <w:p w14:paraId="0F076316" w14:textId="77777777" w:rsidR="003A6F7A" w:rsidRPr="008A3FA9" w:rsidRDefault="003A6F7A" w:rsidP="008A3FA9">
            <w:pPr>
              <w:spacing w:before="60" w:after="60"/>
              <w:rPr>
                <w:rFonts w:ascii="Times New Roman" w:hAnsi="Times New Roman" w:cs="Times New Roman"/>
                <w:color w:val="000000" w:themeColor="text1"/>
              </w:rPr>
            </w:pPr>
            <w:r w:rsidRPr="008A3FA9">
              <w:rPr>
                <w:rFonts w:ascii="MS Mincho" w:eastAsia="MS Mincho" w:hAnsi="MS Mincho" w:cs="MS Mincho"/>
                <w:color w:val="000000" w:themeColor="text1"/>
              </w:rPr>
              <w:t>☒</w:t>
            </w:r>
            <w:r w:rsidRPr="008A3FA9">
              <w:rPr>
                <w:rFonts w:ascii="Times New Roman" w:hAnsi="Times New Roman" w:cs="Times New Roman"/>
                <w:color w:val="000000" w:themeColor="text1"/>
              </w:rPr>
              <w:t xml:space="preserve"> tak</w:t>
            </w:r>
          </w:p>
          <w:p w14:paraId="2971006F" w14:textId="77777777" w:rsidR="003A6F7A" w:rsidRPr="008A3FA9" w:rsidRDefault="003A6F7A" w:rsidP="008A3FA9">
            <w:pPr>
              <w:spacing w:before="60" w:after="60"/>
              <w:rPr>
                <w:rFonts w:ascii="Times New Roman" w:hAnsi="Times New Roman" w:cs="Times New Roman"/>
                <w:color w:val="000000" w:themeColor="text1"/>
              </w:rPr>
            </w:pPr>
            <w:r w:rsidRPr="008A3FA9">
              <w:rPr>
                <w:rFonts w:ascii="MS Mincho" w:eastAsia="MS Mincho" w:hAnsi="MS Mincho" w:cs="MS Mincho"/>
                <w:color w:val="000000" w:themeColor="text1"/>
              </w:rPr>
              <w:t>☐</w:t>
            </w:r>
            <w:r w:rsidRPr="008A3FA9">
              <w:rPr>
                <w:rFonts w:ascii="Times New Roman" w:hAnsi="Times New Roman" w:cs="Times New Roman"/>
                <w:color w:val="000000" w:themeColor="text1"/>
              </w:rPr>
              <w:t xml:space="preserve"> nie</w:t>
            </w:r>
          </w:p>
          <w:p w14:paraId="6F2A7A10" w14:textId="77777777" w:rsidR="003A6F7A" w:rsidRPr="008A3FA9" w:rsidRDefault="003A6F7A" w:rsidP="008A3FA9">
            <w:pPr>
              <w:spacing w:before="60" w:after="60"/>
              <w:rPr>
                <w:rFonts w:ascii="Times New Roman" w:hAnsi="Times New Roman" w:cs="Times New Roman"/>
                <w:color w:val="000000" w:themeColor="text1"/>
              </w:rPr>
            </w:pPr>
            <w:r w:rsidRPr="008A3FA9">
              <w:rPr>
                <w:rFonts w:ascii="MS Mincho" w:eastAsia="MS Mincho" w:hAnsi="MS Mincho" w:cs="MS Mincho"/>
                <w:color w:val="000000" w:themeColor="text1"/>
              </w:rPr>
              <w:t>☐</w:t>
            </w:r>
            <w:r w:rsidRPr="008A3FA9">
              <w:rPr>
                <w:rFonts w:ascii="Times New Roman" w:hAnsi="Times New Roman" w:cs="Times New Roman"/>
                <w:color w:val="000000" w:themeColor="text1"/>
              </w:rPr>
              <w:t xml:space="preserve"> nie dotyczy</w:t>
            </w:r>
          </w:p>
        </w:tc>
      </w:tr>
      <w:tr w:rsidR="005C3FCE" w:rsidRPr="00E42D6D" w14:paraId="24D50EEA" w14:textId="77777777" w:rsidTr="008A3FA9">
        <w:tblPrEx>
          <w:jc w:val="left"/>
        </w:tblPrEx>
        <w:trPr>
          <w:trHeight w:val="630"/>
        </w:trPr>
        <w:tc>
          <w:tcPr>
            <w:tcW w:w="10661" w:type="dxa"/>
            <w:gridSpan w:val="29"/>
            <w:shd w:val="clear" w:color="auto" w:fill="FFFFFF"/>
          </w:tcPr>
          <w:p w14:paraId="617D770F" w14:textId="77777777" w:rsidR="003A6F7A" w:rsidRPr="008A3FA9" w:rsidRDefault="003A6F7A" w:rsidP="008A3FA9">
            <w:pPr>
              <w:spacing w:before="60" w:after="60"/>
              <w:ind w:left="62" w:right="-4"/>
              <w:jc w:val="both"/>
              <w:rPr>
                <w:rFonts w:ascii="Times New Roman" w:hAnsi="Times New Roman" w:cs="Times New Roman"/>
                <w:color w:val="000000" w:themeColor="text1"/>
              </w:rPr>
            </w:pPr>
            <w:r w:rsidRPr="008A3FA9">
              <w:rPr>
                <w:rFonts w:ascii="Times New Roman" w:hAnsi="Times New Roman" w:cs="Times New Roman"/>
                <w:color w:val="000000" w:themeColor="text1"/>
              </w:rPr>
              <w:t>Komentarz:</w:t>
            </w:r>
          </w:p>
          <w:p w14:paraId="254D727C" w14:textId="1B31C329" w:rsidR="003A6F7A" w:rsidRPr="008A3FA9" w:rsidRDefault="003A6F7A" w:rsidP="008A3FA9">
            <w:pPr>
              <w:spacing w:before="60" w:after="60"/>
              <w:ind w:left="62" w:right="-4"/>
              <w:jc w:val="both"/>
              <w:rPr>
                <w:rFonts w:ascii="Times New Roman" w:hAnsi="Times New Roman" w:cs="Times New Roman"/>
                <w:color w:val="000000" w:themeColor="text1"/>
              </w:rPr>
            </w:pPr>
            <w:r w:rsidRPr="008A3FA9">
              <w:rPr>
                <w:rFonts w:ascii="Times New Roman" w:hAnsi="Times New Roman" w:cs="Times New Roman"/>
                <w:color w:val="000000" w:themeColor="text1"/>
              </w:rPr>
              <w:t>Wprowadzane obciążenia regulacyjne dotyczą kwalifikowanych dostawców usług zaufania. Podmioty te</w:t>
            </w:r>
            <w:r w:rsidR="00AB04E9">
              <w:rPr>
                <w:rFonts w:ascii="Times New Roman" w:hAnsi="Times New Roman" w:cs="Times New Roman"/>
                <w:color w:val="000000" w:themeColor="text1"/>
              </w:rPr>
              <w:t xml:space="preserve"> </w:t>
            </w:r>
            <w:r w:rsidRPr="008A3FA9">
              <w:rPr>
                <w:rFonts w:ascii="Times New Roman" w:hAnsi="Times New Roman" w:cs="Times New Roman"/>
                <w:color w:val="000000" w:themeColor="text1"/>
              </w:rPr>
              <w:t>będą m</w:t>
            </w:r>
            <w:r w:rsidR="00B42A36" w:rsidRPr="008A3FA9">
              <w:rPr>
                <w:rFonts w:ascii="Times New Roman" w:hAnsi="Times New Roman" w:cs="Times New Roman"/>
                <w:color w:val="000000" w:themeColor="text1"/>
              </w:rPr>
              <w:t>ogły</w:t>
            </w:r>
            <w:r w:rsidRPr="008A3FA9">
              <w:rPr>
                <w:rFonts w:ascii="Times New Roman" w:hAnsi="Times New Roman" w:cs="Times New Roman"/>
                <w:color w:val="000000" w:themeColor="text1"/>
              </w:rPr>
              <w:t xml:space="preserve"> świadczyć kwalifikowaną usługę rejestrowanego doręczenia elektronicznego</w:t>
            </w:r>
            <w:r w:rsidR="00B42A36" w:rsidRPr="008A3FA9">
              <w:rPr>
                <w:rFonts w:ascii="Times New Roman" w:hAnsi="Times New Roman" w:cs="Times New Roman"/>
                <w:color w:val="000000" w:themeColor="text1"/>
              </w:rPr>
              <w:t>. Chcąc dostarczać w ramach tej kwalifikowanej usługi korespondencję elektroniczną do podmiotów, których adres do doręczeń posiada skrzynkę utrzymywaną przez operatora wyznaczonego</w:t>
            </w:r>
            <w:r w:rsidR="00B31FBF">
              <w:rPr>
                <w:rFonts w:ascii="Times New Roman" w:hAnsi="Times New Roman" w:cs="Times New Roman"/>
                <w:color w:val="000000" w:themeColor="text1"/>
              </w:rPr>
              <w:t>,</w:t>
            </w:r>
            <w:r w:rsidR="00B42A36" w:rsidRPr="008A3FA9">
              <w:rPr>
                <w:rFonts w:ascii="Times New Roman" w:hAnsi="Times New Roman" w:cs="Times New Roman"/>
                <w:color w:val="000000" w:themeColor="text1"/>
              </w:rPr>
              <w:t xml:space="preserve"> </w:t>
            </w:r>
            <w:r w:rsidR="00A10A88" w:rsidRPr="008A3FA9">
              <w:rPr>
                <w:rFonts w:ascii="Times New Roman" w:hAnsi="Times New Roman" w:cs="Times New Roman"/>
                <w:color w:val="000000" w:themeColor="text1"/>
              </w:rPr>
              <w:t xml:space="preserve">dostawcy </w:t>
            </w:r>
            <w:r w:rsidR="00B42A36" w:rsidRPr="008A3FA9">
              <w:rPr>
                <w:rFonts w:ascii="Times New Roman" w:hAnsi="Times New Roman" w:cs="Times New Roman"/>
                <w:color w:val="000000" w:themeColor="text1"/>
              </w:rPr>
              <w:t>będą zobligowani spełnić standard obejmujący interoperacyjność publicznej i kwalifikowanej</w:t>
            </w:r>
            <w:r w:rsidR="00B42A36" w:rsidRPr="008A3FA9">
              <w:rPr>
                <w:rFonts w:ascii="Times New Roman" w:eastAsiaTheme="minorEastAsia" w:hAnsi="Times New Roman" w:cs="Times New Roman"/>
                <w:color w:val="000000" w:themeColor="text1"/>
                <w:lang w:eastAsia="pl-PL"/>
              </w:rPr>
              <w:t xml:space="preserve"> </w:t>
            </w:r>
            <w:r w:rsidR="006C70CE" w:rsidRPr="008A3FA9">
              <w:rPr>
                <w:rFonts w:ascii="Times New Roman" w:hAnsi="Times New Roman" w:cs="Times New Roman"/>
                <w:color w:val="000000" w:themeColor="text1"/>
              </w:rPr>
              <w:t>usługi rejestrowanego doręczenia elektronicznego</w:t>
            </w:r>
            <w:r w:rsidR="00501401" w:rsidRPr="008A3FA9">
              <w:rPr>
                <w:rFonts w:ascii="Times New Roman" w:hAnsi="Times New Roman" w:cs="Times New Roman"/>
                <w:color w:val="000000" w:themeColor="text1"/>
              </w:rPr>
              <w:t xml:space="preserve">, </w:t>
            </w:r>
            <w:r w:rsidR="006C70CE" w:rsidRPr="008A3FA9">
              <w:rPr>
                <w:rFonts w:ascii="Times New Roman" w:hAnsi="Times New Roman" w:cs="Times New Roman"/>
                <w:color w:val="000000" w:themeColor="text1"/>
              </w:rPr>
              <w:t xml:space="preserve">który zostanie </w:t>
            </w:r>
            <w:r w:rsidR="00501401" w:rsidRPr="008A3FA9">
              <w:rPr>
                <w:rFonts w:ascii="Times New Roman" w:hAnsi="Times New Roman" w:cs="Times New Roman"/>
                <w:color w:val="000000" w:themeColor="text1"/>
              </w:rPr>
              <w:t xml:space="preserve">wypracowany </w:t>
            </w:r>
            <w:r w:rsidR="006C70CE" w:rsidRPr="008A3FA9">
              <w:rPr>
                <w:rFonts w:ascii="Times New Roman" w:hAnsi="Times New Roman" w:cs="Times New Roman"/>
                <w:color w:val="000000" w:themeColor="text1"/>
              </w:rPr>
              <w:t>w ramach projektu e-Doręczenia</w:t>
            </w:r>
            <w:r w:rsidR="00B42A36" w:rsidRPr="008A3FA9">
              <w:rPr>
                <w:rFonts w:ascii="Times New Roman" w:hAnsi="Times New Roman" w:cs="Times New Roman"/>
                <w:color w:val="000000" w:themeColor="text1"/>
              </w:rPr>
              <w:t>.</w:t>
            </w:r>
            <w:r w:rsidR="00501401" w:rsidRPr="008A3FA9">
              <w:rPr>
                <w:rFonts w:ascii="Times New Roman" w:hAnsi="Times New Roman" w:cs="Times New Roman"/>
                <w:color w:val="000000" w:themeColor="text1"/>
              </w:rPr>
              <w:t xml:space="preserve"> </w:t>
            </w:r>
            <w:r w:rsidR="00B42A36" w:rsidRPr="008A3FA9">
              <w:rPr>
                <w:rFonts w:ascii="Times New Roman" w:hAnsi="Times New Roman" w:cs="Times New Roman"/>
                <w:color w:val="000000" w:themeColor="text1"/>
              </w:rPr>
              <w:t>Standard ten będzie wypracowany po zapoznaniu się z</w:t>
            </w:r>
            <w:r w:rsidR="001B514F">
              <w:rPr>
                <w:rFonts w:ascii="Times New Roman" w:hAnsi="Times New Roman" w:cs="Times New Roman"/>
                <w:color w:val="000000" w:themeColor="text1"/>
              </w:rPr>
              <w:t> </w:t>
            </w:r>
            <w:r w:rsidR="00B42A36" w:rsidRPr="008A3FA9">
              <w:rPr>
                <w:rFonts w:ascii="Times New Roman" w:hAnsi="Times New Roman" w:cs="Times New Roman"/>
                <w:color w:val="000000" w:themeColor="text1"/>
              </w:rPr>
              <w:t>opublikowanymi normami</w:t>
            </w:r>
            <w:r w:rsidR="00501401" w:rsidRPr="008A3FA9">
              <w:rPr>
                <w:rFonts w:ascii="Times New Roman" w:hAnsi="Times New Roman" w:cs="Times New Roman"/>
                <w:color w:val="000000" w:themeColor="text1"/>
              </w:rPr>
              <w:t xml:space="preserve"> ETSI </w:t>
            </w:r>
            <w:r w:rsidR="00B42A36" w:rsidRPr="008A3FA9">
              <w:rPr>
                <w:rFonts w:ascii="Times New Roman" w:hAnsi="Times New Roman" w:cs="Times New Roman"/>
                <w:color w:val="000000" w:themeColor="text1"/>
              </w:rPr>
              <w:t xml:space="preserve">oraz specyfikacjami komisji europejskich (CEF) </w:t>
            </w:r>
            <w:r w:rsidR="00501401" w:rsidRPr="008A3FA9">
              <w:rPr>
                <w:rFonts w:ascii="Times New Roman" w:hAnsi="Times New Roman" w:cs="Times New Roman"/>
                <w:color w:val="000000" w:themeColor="text1"/>
              </w:rPr>
              <w:t>a następnie</w:t>
            </w:r>
            <w:r w:rsidR="00A10A88" w:rsidRPr="008A3FA9">
              <w:rPr>
                <w:rFonts w:ascii="Times New Roman" w:hAnsi="Times New Roman" w:cs="Times New Roman"/>
                <w:color w:val="000000" w:themeColor="text1"/>
              </w:rPr>
              <w:t>,</w:t>
            </w:r>
            <w:r w:rsidR="00501401" w:rsidRPr="008A3FA9">
              <w:rPr>
                <w:rFonts w:ascii="Times New Roman" w:hAnsi="Times New Roman" w:cs="Times New Roman"/>
                <w:color w:val="000000" w:themeColor="text1"/>
              </w:rPr>
              <w:t xml:space="preserve"> po odpowiednim procedowaniu</w:t>
            </w:r>
            <w:r w:rsidR="00A10A88" w:rsidRPr="008A3FA9">
              <w:rPr>
                <w:rFonts w:ascii="Times New Roman" w:hAnsi="Times New Roman" w:cs="Times New Roman"/>
                <w:color w:val="000000" w:themeColor="text1"/>
              </w:rPr>
              <w:t>,</w:t>
            </w:r>
            <w:r w:rsidR="00501401" w:rsidRPr="008A3FA9">
              <w:rPr>
                <w:rFonts w:ascii="Times New Roman" w:hAnsi="Times New Roman" w:cs="Times New Roman"/>
                <w:color w:val="000000" w:themeColor="text1"/>
              </w:rPr>
              <w:t xml:space="preserve"> określony i udostępniony w Biuletynie Informacji Publicznej przez Prezesa Rady Ministrów</w:t>
            </w:r>
            <w:r w:rsidRPr="008A3FA9">
              <w:rPr>
                <w:rFonts w:ascii="Times New Roman" w:hAnsi="Times New Roman" w:cs="Times New Roman"/>
                <w:color w:val="000000" w:themeColor="text1"/>
              </w:rPr>
              <w:t>. Standard będzie dotyczył technicznych aspektów rozwiązania.</w:t>
            </w:r>
          </w:p>
          <w:p w14:paraId="272DD870" w14:textId="6E805B89" w:rsidR="003A6F7A" w:rsidRPr="008A3FA9" w:rsidRDefault="003A6F7A" w:rsidP="008A3FA9">
            <w:pPr>
              <w:spacing w:before="60" w:after="60"/>
              <w:ind w:left="62" w:right="-4"/>
              <w:jc w:val="both"/>
              <w:rPr>
                <w:rFonts w:ascii="Times New Roman" w:hAnsi="Times New Roman" w:cs="Times New Roman"/>
                <w:color w:val="000000" w:themeColor="text1"/>
              </w:rPr>
            </w:pPr>
            <w:r w:rsidRPr="008A3FA9">
              <w:rPr>
                <w:rFonts w:ascii="Times New Roman" w:hAnsi="Times New Roman" w:cs="Times New Roman"/>
                <w:color w:val="000000" w:themeColor="text1"/>
              </w:rPr>
              <w:t xml:space="preserve">Pozostałe obowiązki dla kwalifikowanych dostawców usług zaufania wynikają z obecnie obowiązujących przepisów ustawy </w:t>
            </w:r>
            <w:r w:rsidR="00A10A88" w:rsidRPr="008A3FA9">
              <w:rPr>
                <w:rFonts w:ascii="Times New Roman" w:hAnsi="Times New Roman" w:cs="Times New Roman"/>
                <w:color w:val="000000" w:themeColor="text1"/>
              </w:rPr>
              <w:t xml:space="preserve">z dnia 5 września 2016 r. </w:t>
            </w:r>
            <w:r w:rsidRPr="008A3FA9">
              <w:rPr>
                <w:rFonts w:ascii="Times New Roman" w:hAnsi="Times New Roman" w:cs="Times New Roman"/>
                <w:color w:val="000000" w:themeColor="text1"/>
              </w:rPr>
              <w:t>o usługach zaufania oraz identyfikacji elektronicznej</w:t>
            </w:r>
            <w:r w:rsidR="00D71144">
              <w:rPr>
                <w:rFonts w:ascii="Times New Roman" w:hAnsi="Times New Roman" w:cs="Times New Roman"/>
                <w:color w:val="000000" w:themeColor="text1"/>
              </w:rPr>
              <w:t xml:space="preserve"> (</w:t>
            </w:r>
            <w:r w:rsidRPr="008A3FA9">
              <w:rPr>
                <w:rFonts w:ascii="Times New Roman" w:hAnsi="Times New Roman" w:cs="Times New Roman"/>
                <w:color w:val="000000" w:themeColor="text1"/>
              </w:rPr>
              <w:t>np. konieczność zgłoszenia do</w:t>
            </w:r>
            <w:r w:rsidR="00AB04E9">
              <w:rPr>
                <w:rFonts w:ascii="Times New Roman" w:hAnsi="Times New Roman" w:cs="Times New Roman"/>
                <w:color w:val="000000" w:themeColor="text1"/>
              </w:rPr>
              <w:t xml:space="preserve"> </w:t>
            </w:r>
            <w:r w:rsidRPr="008A3FA9">
              <w:rPr>
                <w:rFonts w:ascii="Times New Roman" w:hAnsi="Times New Roman" w:cs="Times New Roman"/>
                <w:color w:val="000000" w:themeColor="text1"/>
              </w:rPr>
              <w:t>rejestru rozpoczęcia świadczenia usługi zaufania (art. 3 ww. ustawy)</w:t>
            </w:r>
            <w:r w:rsidR="00D71144">
              <w:rPr>
                <w:rFonts w:ascii="Times New Roman" w:hAnsi="Times New Roman" w:cs="Times New Roman"/>
                <w:color w:val="000000" w:themeColor="text1"/>
              </w:rPr>
              <w:t>)</w:t>
            </w:r>
            <w:r w:rsidRPr="008A3FA9">
              <w:rPr>
                <w:rFonts w:ascii="Times New Roman" w:hAnsi="Times New Roman" w:cs="Times New Roman"/>
                <w:color w:val="000000" w:themeColor="text1"/>
              </w:rPr>
              <w:t>.</w:t>
            </w:r>
          </w:p>
        </w:tc>
      </w:tr>
      <w:tr w:rsidR="005C3FCE" w:rsidRPr="00E42D6D" w14:paraId="3ED2EED1" w14:textId="77777777" w:rsidTr="008A3FA9">
        <w:tblPrEx>
          <w:jc w:val="left"/>
        </w:tblPrEx>
        <w:trPr>
          <w:trHeight w:val="142"/>
        </w:trPr>
        <w:tc>
          <w:tcPr>
            <w:tcW w:w="10661" w:type="dxa"/>
            <w:gridSpan w:val="29"/>
            <w:shd w:val="clear" w:color="auto" w:fill="99CCFF"/>
          </w:tcPr>
          <w:p w14:paraId="1CA9F2C3" w14:textId="77777777" w:rsidR="003A6F7A" w:rsidRPr="008A3FA9" w:rsidRDefault="003A6F7A" w:rsidP="008A3FA9">
            <w:pPr>
              <w:numPr>
                <w:ilvl w:val="0"/>
                <w:numId w:val="1"/>
              </w:numPr>
              <w:spacing w:before="60" w:after="60"/>
              <w:rPr>
                <w:rFonts w:ascii="Times New Roman" w:hAnsi="Times New Roman" w:cs="Times New Roman"/>
                <w:b/>
                <w:color w:val="000000" w:themeColor="text1"/>
              </w:rPr>
            </w:pPr>
            <w:r w:rsidRPr="008A3FA9">
              <w:rPr>
                <w:rFonts w:ascii="Times New Roman" w:hAnsi="Times New Roman" w:cs="Times New Roman"/>
                <w:b/>
                <w:color w:val="000000" w:themeColor="text1"/>
              </w:rPr>
              <w:t xml:space="preserve">Wpływ na rynek pracy </w:t>
            </w:r>
          </w:p>
        </w:tc>
      </w:tr>
      <w:tr w:rsidR="005C3FCE" w:rsidRPr="00E42D6D" w14:paraId="3827F868" w14:textId="77777777" w:rsidTr="008A3FA9">
        <w:tblPrEx>
          <w:jc w:val="left"/>
        </w:tblPrEx>
        <w:trPr>
          <w:trHeight w:val="142"/>
        </w:trPr>
        <w:tc>
          <w:tcPr>
            <w:tcW w:w="10661" w:type="dxa"/>
            <w:gridSpan w:val="29"/>
            <w:shd w:val="clear" w:color="auto" w:fill="auto"/>
          </w:tcPr>
          <w:p w14:paraId="3D20A8CF" w14:textId="02C7F489" w:rsidR="00E2686A" w:rsidRPr="008A3FA9" w:rsidRDefault="003A6F7A" w:rsidP="008A3FA9">
            <w:pPr>
              <w:spacing w:before="60" w:after="60"/>
              <w:jc w:val="both"/>
              <w:rPr>
                <w:rFonts w:ascii="Times New Roman" w:hAnsi="Times New Roman" w:cs="Times New Roman"/>
                <w:color w:val="000000" w:themeColor="text1"/>
              </w:rPr>
            </w:pPr>
            <w:r w:rsidRPr="008A3FA9">
              <w:rPr>
                <w:rFonts w:ascii="Times New Roman" w:hAnsi="Times New Roman" w:cs="Times New Roman"/>
                <w:color w:val="000000" w:themeColor="text1"/>
              </w:rPr>
              <w:t xml:space="preserve">Elektronizacja doręczeń będzie miała wpływ na rynek pracy w dziedzinie usług pocztowych, m.in. przez możliwość świadczenia usługi rejestrowanego doręczenia i usługi </w:t>
            </w:r>
            <w:r w:rsidR="00BB2B18" w:rsidRPr="008A3FA9">
              <w:rPr>
                <w:rFonts w:ascii="Times New Roman" w:hAnsi="Times New Roman" w:cs="Times New Roman"/>
                <w:color w:val="000000" w:themeColor="text1"/>
              </w:rPr>
              <w:t>publicznej</w:t>
            </w:r>
            <w:r w:rsidRPr="008A3FA9">
              <w:rPr>
                <w:rFonts w:ascii="Times New Roman" w:hAnsi="Times New Roman" w:cs="Times New Roman"/>
                <w:color w:val="000000" w:themeColor="text1"/>
              </w:rPr>
              <w:t xml:space="preserve"> przesyłki hybrydowej przez </w:t>
            </w:r>
            <w:r w:rsidR="00B77812" w:rsidRPr="008A3FA9">
              <w:rPr>
                <w:rFonts w:ascii="Times New Roman" w:hAnsi="Times New Roman" w:cs="Times New Roman"/>
                <w:color w:val="000000" w:themeColor="text1"/>
              </w:rPr>
              <w:t xml:space="preserve">operatora wyznaczonego </w:t>
            </w:r>
            <w:r w:rsidRPr="008A3FA9">
              <w:rPr>
                <w:rFonts w:ascii="Times New Roman" w:hAnsi="Times New Roman" w:cs="Times New Roman"/>
                <w:color w:val="000000" w:themeColor="text1"/>
              </w:rPr>
              <w:t>lub świadczenia usługi rejestrowanego doręczenia przez kwalifikowanych dostawców usług. Powyższe spowoduje konieczność przekwalifikowania pracowników operatorów pocztowych do realizacji wyżej wymienionych usług oraz zapewnieni</w:t>
            </w:r>
            <w:r w:rsidR="006C70CE" w:rsidRPr="008A3FA9">
              <w:rPr>
                <w:rFonts w:ascii="Times New Roman" w:hAnsi="Times New Roman" w:cs="Times New Roman"/>
                <w:color w:val="000000" w:themeColor="text1"/>
              </w:rPr>
              <w:t>a</w:t>
            </w:r>
            <w:r w:rsidRPr="008A3FA9">
              <w:rPr>
                <w:rFonts w:ascii="Times New Roman" w:hAnsi="Times New Roman" w:cs="Times New Roman"/>
                <w:color w:val="000000" w:themeColor="text1"/>
              </w:rPr>
              <w:t xml:space="preserve"> dla tych osób nowego zakresu zadań.</w:t>
            </w:r>
            <w:r w:rsidR="00B77812" w:rsidRPr="008A3FA9">
              <w:rPr>
                <w:rFonts w:ascii="Times New Roman" w:hAnsi="Times New Roman" w:cs="Times New Roman"/>
                <w:color w:val="000000" w:themeColor="text1"/>
              </w:rPr>
              <w:t xml:space="preserve"> </w:t>
            </w:r>
            <w:r w:rsidRPr="008A3FA9">
              <w:rPr>
                <w:rFonts w:ascii="Times New Roman" w:hAnsi="Times New Roman" w:cs="Times New Roman"/>
                <w:color w:val="000000" w:themeColor="text1"/>
              </w:rPr>
              <w:t xml:space="preserve">Dodatkowo projektowane rozwiązanie będzie miało wpływ na służbę doręczeń operatorów pocztowych. Zmniejszenie liczby doręczanej tradycyjnie korespondencji będzie skutkowało koniecznością reorganizacji rejonów doręczeń, jak również stopniowym jej ograniczaniem. </w:t>
            </w:r>
            <w:r w:rsidR="008A78C1" w:rsidRPr="008A3FA9">
              <w:rPr>
                <w:rFonts w:ascii="Times New Roman" w:hAnsi="Times New Roman" w:cs="Times New Roman"/>
                <w:color w:val="000000" w:themeColor="text1"/>
              </w:rPr>
              <w:t xml:space="preserve">Niemniej w okresie pierwszych 5 lat funkcjonowania Poczta Polska </w:t>
            </w:r>
            <w:r w:rsidR="004C628A" w:rsidRPr="008A3FA9">
              <w:rPr>
                <w:rFonts w:ascii="Times New Roman" w:hAnsi="Times New Roman" w:cs="Times New Roman"/>
                <w:color w:val="000000" w:themeColor="text1"/>
              </w:rPr>
              <w:t xml:space="preserve">S.A. </w:t>
            </w:r>
            <w:r w:rsidR="008A78C1" w:rsidRPr="008A3FA9">
              <w:rPr>
                <w:rFonts w:ascii="Times New Roman" w:hAnsi="Times New Roman" w:cs="Times New Roman"/>
                <w:color w:val="000000" w:themeColor="text1"/>
              </w:rPr>
              <w:t>nie przewiduje negatywnego wpływu wdrożenia rozwiązania na rynek pracy. Rosnący</w:t>
            </w:r>
            <w:r w:rsidR="00487895" w:rsidRPr="008A3FA9">
              <w:rPr>
                <w:rFonts w:ascii="Times New Roman" w:hAnsi="Times New Roman" w:cs="Times New Roman"/>
                <w:color w:val="000000" w:themeColor="text1"/>
              </w:rPr>
              <w:t xml:space="preserve"> w szybkim tempie</w:t>
            </w:r>
            <w:r w:rsidR="008A78C1" w:rsidRPr="008A3FA9">
              <w:rPr>
                <w:rFonts w:ascii="Times New Roman" w:hAnsi="Times New Roman" w:cs="Times New Roman"/>
                <w:color w:val="000000" w:themeColor="text1"/>
              </w:rPr>
              <w:t xml:space="preserve"> rynek </w:t>
            </w:r>
            <w:r w:rsidR="00CE153E" w:rsidRPr="008A3FA9">
              <w:rPr>
                <w:rFonts w:ascii="Times New Roman" w:hAnsi="Times New Roman" w:cs="Times New Roman"/>
                <w:color w:val="000000" w:themeColor="text1"/>
              </w:rPr>
              <w:t xml:space="preserve">logistyki i </w:t>
            </w:r>
            <w:r w:rsidR="004C628A" w:rsidRPr="008A3FA9">
              <w:rPr>
                <w:rFonts w:ascii="Times New Roman" w:hAnsi="Times New Roman" w:cs="Times New Roman"/>
                <w:color w:val="000000" w:themeColor="text1"/>
              </w:rPr>
              <w:t>KEP</w:t>
            </w:r>
            <w:r w:rsidR="008A78C1" w:rsidRPr="008A3FA9">
              <w:rPr>
                <w:rFonts w:ascii="Times New Roman" w:hAnsi="Times New Roman" w:cs="Times New Roman"/>
                <w:color w:val="000000" w:themeColor="text1"/>
              </w:rPr>
              <w:t xml:space="preserve"> pozwoli przekwalifikować pracowników służby doręczeń jako kurierów paczkowych. Taka sama sytuacja będzie miała miejsce </w:t>
            </w:r>
            <w:r w:rsidR="00487895" w:rsidRPr="008A3FA9">
              <w:rPr>
                <w:rFonts w:ascii="Times New Roman" w:hAnsi="Times New Roman" w:cs="Times New Roman"/>
                <w:color w:val="000000" w:themeColor="text1"/>
              </w:rPr>
              <w:t>w przypadku pracowników sprzedaży</w:t>
            </w:r>
            <w:r w:rsidR="004C628A" w:rsidRPr="008A3FA9">
              <w:rPr>
                <w:rFonts w:ascii="Times New Roman" w:hAnsi="Times New Roman" w:cs="Times New Roman"/>
                <w:color w:val="000000" w:themeColor="text1"/>
              </w:rPr>
              <w:t>,</w:t>
            </w:r>
            <w:r w:rsidR="00487895" w:rsidRPr="008A3FA9">
              <w:rPr>
                <w:rFonts w:ascii="Times New Roman" w:hAnsi="Times New Roman" w:cs="Times New Roman"/>
                <w:color w:val="000000" w:themeColor="text1"/>
              </w:rPr>
              <w:t xml:space="preserve"> jak i rozdzielni oraz szeroko rozumianej ekspedycji. </w:t>
            </w:r>
            <w:r w:rsidR="00BB2B18" w:rsidRPr="008A3FA9">
              <w:rPr>
                <w:rFonts w:ascii="Times New Roman" w:hAnsi="Times New Roman" w:cs="Times New Roman"/>
                <w:color w:val="000000" w:themeColor="text1"/>
              </w:rPr>
              <w:t>Należy podkreślić, że obecnie</w:t>
            </w:r>
            <w:r w:rsidR="00487895" w:rsidRPr="008A3FA9">
              <w:rPr>
                <w:rFonts w:ascii="Times New Roman" w:hAnsi="Times New Roman" w:cs="Times New Roman"/>
                <w:color w:val="000000" w:themeColor="text1"/>
              </w:rPr>
              <w:t xml:space="preserve"> Poczta Polska </w:t>
            </w:r>
            <w:r w:rsidR="004C628A" w:rsidRPr="008A3FA9">
              <w:rPr>
                <w:rFonts w:ascii="Times New Roman" w:hAnsi="Times New Roman" w:cs="Times New Roman"/>
                <w:color w:val="000000" w:themeColor="text1"/>
              </w:rPr>
              <w:t xml:space="preserve">S.A. </w:t>
            </w:r>
            <w:r w:rsidR="00487895" w:rsidRPr="008A3FA9">
              <w:rPr>
                <w:rFonts w:ascii="Times New Roman" w:hAnsi="Times New Roman" w:cs="Times New Roman"/>
                <w:color w:val="000000" w:themeColor="text1"/>
              </w:rPr>
              <w:t>boryka się z</w:t>
            </w:r>
            <w:r w:rsidR="00AB04E9">
              <w:rPr>
                <w:rFonts w:ascii="Times New Roman" w:hAnsi="Times New Roman" w:cs="Times New Roman"/>
                <w:color w:val="000000" w:themeColor="text1"/>
              </w:rPr>
              <w:t xml:space="preserve"> </w:t>
            </w:r>
            <w:r w:rsidR="00487895" w:rsidRPr="008A3FA9">
              <w:rPr>
                <w:rFonts w:ascii="Times New Roman" w:hAnsi="Times New Roman" w:cs="Times New Roman"/>
                <w:color w:val="000000" w:themeColor="text1"/>
              </w:rPr>
              <w:t xml:space="preserve">trudnościami kadrowymi – braki etatowe spowodowane </w:t>
            </w:r>
            <w:r w:rsidR="00BB2B18" w:rsidRPr="008A3FA9">
              <w:rPr>
                <w:rFonts w:ascii="Times New Roman" w:hAnsi="Times New Roman" w:cs="Times New Roman"/>
                <w:color w:val="000000" w:themeColor="text1"/>
              </w:rPr>
              <w:t xml:space="preserve">są </w:t>
            </w:r>
            <w:r w:rsidR="00487895" w:rsidRPr="008A3FA9">
              <w:rPr>
                <w:rFonts w:ascii="Times New Roman" w:hAnsi="Times New Roman" w:cs="Times New Roman"/>
                <w:color w:val="000000" w:themeColor="text1"/>
              </w:rPr>
              <w:t>małym zainteresowaniem ofertami pracy w</w:t>
            </w:r>
            <w:r w:rsidR="00AB04E9">
              <w:rPr>
                <w:rFonts w:ascii="Times New Roman" w:hAnsi="Times New Roman" w:cs="Times New Roman"/>
                <w:color w:val="000000" w:themeColor="text1"/>
              </w:rPr>
              <w:t xml:space="preserve"> </w:t>
            </w:r>
            <w:r w:rsidR="00487895" w:rsidRPr="008A3FA9">
              <w:rPr>
                <w:rFonts w:ascii="Times New Roman" w:hAnsi="Times New Roman" w:cs="Times New Roman"/>
                <w:color w:val="000000" w:themeColor="text1"/>
              </w:rPr>
              <w:t>Poczcie Polskiej</w:t>
            </w:r>
            <w:r w:rsidR="007A1097" w:rsidRPr="008A3FA9">
              <w:rPr>
                <w:rFonts w:ascii="Times New Roman" w:hAnsi="Times New Roman" w:cs="Times New Roman"/>
                <w:color w:val="000000" w:themeColor="text1"/>
              </w:rPr>
              <w:t xml:space="preserve"> S.A</w:t>
            </w:r>
            <w:r w:rsidR="00487895" w:rsidRPr="008A3FA9">
              <w:rPr>
                <w:rFonts w:ascii="Times New Roman" w:hAnsi="Times New Roman" w:cs="Times New Roman"/>
                <w:color w:val="000000" w:themeColor="text1"/>
              </w:rPr>
              <w:t xml:space="preserve">. </w:t>
            </w:r>
            <w:r w:rsidR="00BB2B18" w:rsidRPr="008A3FA9">
              <w:rPr>
                <w:rFonts w:ascii="Times New Roman" w:hAnsi="Times New Roman" w:cs="Times New Roman"/>
                <w:color w:val="000000" w:themeColor="text1"/>
              </w:rPr>
              <w:t>Ponadto należy uwzględnić wpływ</w:t>
            </w:r>
            <w:r w:rsidR="00487895" w:rsidRPr="008A3FA9">
              <w:rPr>
                <w:rFonts w:ascii="Times New Roman" w:hAnsi="Times New Roman" w:cs="Times New Roman"/>
                <w:color w:val="000000" w:themeColor="text1"/>
              </w:rPr>
              <w:t xml:space="preserve"> naturaln</w:t>
            </w:r>
            <w:r w:rsidR="00044A10" w:rsidRPr="008A3FA9">
              <w:rPr>
                <w:rFonts w:ascii="Times New Roman" w:hAnsi="Times New Roman" w:cs="Times New Roman"/>
                <w:color w:val="000000" w:themeColor="text1"/>
              </w:rPr>
              <w:t>e</w:t>
            </w:r>
            <w:r w:rsidR="00BB2B18" w:rsidRPr="008A3FA9">
              <w:rPr>
                <w:rFonts w:ascii="Times New Roman" w:hAnsi="Times New Roman" w:cs="Times New Roman"/>
                <w:color w:val="000000" w:themeColor="text1"/>
              </w:rPr>
              <w:t>go</w:t>
            </w:r>
            <w:r w:rsidR="00487895" w:rsidRPr="008A3FA9">
              <w:rPr>
                <w:rFonts w:ascii="Times New Roman" w:hAnsi="Times New Roman" w:cs="Times New Roman"/>
                <w:color w:val="000000" w:themeColor="text1"/>
              </w:rPr>
              <w:t xml:space="preserve"> zmniejszeni</w:t>
            </w:r>
            <w:r w:rsidR="00BB2B18" w:rsidRPr="008A3FA9">
              <w:rPr>
                <w:rFonts w:ascii="Times New Roman" w:hAnsi="Times New Roman" w:cs="Times New Roman"/>
                <w:color w:val="000000" w:themeColor="text1"/>
              </w:rPr>
              <w:t>a</w:t>
            </w:r>
            <w:r w:rsidR="00487895" w:rsidRPr="008A3FA9">
              <w:rPr>
                <w:rFonts w:ascii="Times New Roman" w:hAnsi="Times New Roman" w:cs="Times New Roman"/>
                <w:color w:val="000000" w:themeColor="text1"/>
              </w:rPr>
              <w:t xml:space="preserve"> zatrudnienia wynikające</w:t>
            </w:r>
            <w:r w:rsidR="00BB2B18" w:rsidRPr="008A3FA9">
              <w:rPr>
                <w:rFonts w:ascii="Times New Roman" w:hAnsi="Times New Roman" w:cs="Times New Roman"/>
                <w:color w:val="000000" w:themeColor="text1"/>
              </w:rPr>
              <w:t>go</w:t>
            </w:r>
            <w:r w:rsidR="00487895" w:rsidRPr="008A3FA9">
              <w:rPr>
                <w:rFonts w:ascii="Times New Roman" w:hAnsi="Times New Roman" w:cs="Times New Roman"/>
                <w:color w:val="000000" w:themeColor="text1"/>
              </w:rPr>
              <w:t xml:space="preserve"> z osiąg</w:t>
            </w:r>
            <w:r w:rsidR="00BB2B18" w:rsidRPr="008A3FA9">
              <w:rPr>
                <w:rFonts w:ascii="Times New Roman" w:hAnsi="Times New Roman" w:cs="Times New Roman"/>
                <w:color w:val="000000" w:themeColor="text1"/>
              </w:rPr>
              <w:t>ania</w:t>
            </w:r>
            <w:r w:rsidR="00487895" w:rsidRPr="008A3FA9">
              <w:rPr>
                <w:rFonts w:ascii="Times New Roman" w:hAnsi="Times New Roman" w:cs="Times New Roman"/>
                <w:color w:val="000000" w:themeColor="text1"/>
              </w:rPr>
              <w:t xml:space="preserve"> przez </w:t>
            </w:r>
            <w:r w:rsidR="00BB2B18" w:rsidRPr="008A3FA9">
              <w:rPr>
                <w:rFonts w:ascii="Times New Roman" w:hAnsi="Times New Roman" w:cs="Times New Roman"/>
                <w:color w:val="000000" w:themeColor="text1"/>
              </w:rPr>
              <w:t xml:space="preserve">część </w:t>
            </w:r>
            <w:r w:rsidR="00487895" w:rsidRPr="008A3FA9">
              <w:rPr>
                <w:rFonts w:ascii="Times New Roman" w:hAnsi="Times New Roman" w:cs="Times New Roman"/>
                <w:color w:val="000000" w:themeColor="text1"/>
              </w:rPr>
              <w:t>pracowników wieku emerytalnego. Wobec powyższego</w:t>
            </w:r>
            <w:r w:rsidR="00AE1605" w:rsidRPr="008A3FA9">
              <w:rPr>
                <w:rFonts w:ascii="Times New Roman" w:hAnsi="Times New Roman" w:cs="Times New Roman"/>
                <w:color w:val="000000" w:themeColor="text1"/>
              </w:rPr>
              <w:t xml:space="preserve"> oraz z uwagi na uwarunkowanie wdrożenia e</w:t>
            </w:r>
            <w:r w:rsidR="006C70CE" w:rsidRPr="008A3FA9">
              <w:rPr>
                <w:rFonts w:ascii="Times New Roman" w:hAnsi="Times New Roman" w:cs="Times New Roman"/>
                <w:color w:val="000000" w:themeColor="text1"/>
              </w:rPr>
              <w:t>-</w:t>
            </w:r>
            <w:r w:rsidR="00AE1605" w:rsidRPr="008A3FA9">
              <w:rPr>
                <w:rFonts w:ascii="Times New Roman" w:hAnsi="Times New Roman" w:cs="Times New Roman"/>
                <w:color w:val="000000" w:themeColor="text1"/>
              </w:rPr>
              <w:t xml:space="preserve">Doręczenia w powiązaniu z </w:t>
            </w:r>
            <w:r w:rsidR="00BB2B18" w:rsidRPr="008A3FA9">
              <w:rPr>
                <w:rFonts w:ascii="Times New Roman" w:hAnsi="Times New Roman" w:cs="Times New Roman"/>
                <w:color w:val="000000" w:themeColor="text1"/>
              </w:rPr>
              <w:t>publiczną usługą</w:t>
            </w:r>
            <w:r w:rsidR="00AE1605" w:rsidRPr="008A3FA9">
              <w:rPr>
                <w:rFonts w:ascii="Times New Roman" w:hAnsi="Times New Roman" w:cs="Times New Roman"/>
                <w:color w:val="000000" w:themeColor="text1"/>
              </w:rPr>
              <w:t xml:space="preserve"> hybrydową i</w:t>
            </w:r>
            <w:r w:rsidR="001B514F">
              <w:rPr>
                <w:rFonts w:ascii="Times New Roman" w:hAnsi="Times New Roman" w:cs="Times New Roman"/>
                <w:color w:val="000000" w:themeColor="text1"/>
              </w:rPr>
              <w:t> </w:t>
            </w:r>
            <w:r w:rsidR="006C70CE" w:rsidRPr="008A3FA9">
              <w:rPr>
                <w:rFonts w:ascii="Times New Roman" w:hAnsi="Times New Roman" w:cs="Times New Roman"/>
                <w:color w:val="000000" w:themeColor="text1"/>
              </w:rPr>
              <w:t>decyzją</w:t>
            </w:r>
            <w:r w:rsidR="00AE1605" w:rsidRPr="008A3FA9">
              <w:rPr>
                <w:rFonts w:ascii="Times New Roman" w:hAnsi="Times New Roman" w:cs="Times New Roman"/>
                <w:color w:val="000000" w:themeColor="text1"/>
              </w:rPr>
              <w:t xml:space="preserve"> KERM o współudziale Poczty Polskiej </w:t>
            </w:r>
            <w:r w:rsidR="004C628A" w:rsidRPr="008A3FA9">
              <w:rPr>
                <w:rFonts w:ascii="Times New Roman" w:hAnsi="Times New Roman" w:cs="Times New Roman"/>
                <w:color w:val="000000" w:themeColor="text1"/>
              </w:rPr>
              <w:t xml:space="preserve">S.A. </w:t>
            </w:r>
            <w:r w:rsidR="00AE1605" w:rsidRPr="008A3FA9">
              <w:rPr>
                <w:rFonts w:ascii="Times New Roman" w:hAnsi="Times New Roman" w:cs="Times New Roman"/>
                <w:color w:val="000000" w:themeColor="text1"/>
              </w:rPr>
              <w:t>w elektronizacji doręczeń</w:t>
            </w:r>
            <w:r w:rsidR="00487895" w:rsidRPr="008A3FA9">
              <w:rPr>
                <w:rFonts w:ascii="Times New Roman" w:hAnsi="Times New Roman" w:cs="Times New Roman"/>
                <w:color w:val="000000" w:themeColor="text1"/>
              </w:rPr>
              <w:t xml:space="preserve"> </w:t>
            </w:r>
            <w:r w:rsidR="00BB2B18" w:rsidRPr="008A3FA9">
              <w:rPr>
                <w:rFonts w:ascii="Times New Roman" w:hAnsi="Times New Roman" w:cs="Times New Roman"/>
                <w:color w:val="000000" w:themeColor="text1"/>
              </w:rPr>
              <w:t>w średnim horyzoncie czasowym</w:t>
            </w:r>
            <w:r w:rsidR="00487895" w:rsidRPr="008A3FA9">
              <w:rPr>
                <w:rFonts w:ascii="Times New Roman" w:hAnsi="Times New Roman" w:cs="Times New Roman"/>
                <w:color w:val="000000" w:themeColor="text1"/>
              </w:rPr>
              <w:t xml:space="preserve"> wdrożenie rozwiązania nie będzie miało wpływu na ry</w:t>
            </w:r>
            <w:r w:rsidR="00044A10" w:rsidRPr="008A3FA9">
              <w:rPr>
                <w:rFonts w:ascii="Times New Roman" w:hAnsi="Times New Roman" w:cs="Times New Roman"/>
                <w:color w:val="000000" w:themeColor="text1"/>
              </w:rPr>
              <w:t>n</w:t>
            </w:r>
            <w:r w:rsidR="00487895" w:rsidRPr="008A3FA9">
              <w:rPr>
                <w:rFonts w:ascii="Times New Roman" w:hAnsi="Times New Roman" w:cs="Times New Roman"/>
                <w:color w:val="000000" w:themeColor="text1"/>
              </w:rPr>
              <w:t>ek pracy w Polsce.</w:t>
            </w:r>
            <w:r w:rsidR="00AE1605" w:rsidRPr="008A3FA9">
              <w:rPr>
                <w:rFonts w:ascii="Times New Roman" w:hAnsi="Times New Roman" w:cs="Times New Roman"/>
                <w:color w:val="000000" w:themeColor="text1"/>
              </w:rPr>
              <w:t xml:space="preserve"> Jest to również uwarunkowane akceptacją proponowanego przez Pocztę Polską </w:t>
            </w:r>
            <w:r w:rsidR="004C628A" w:rsidRPr="008A3FA9">
              <w:rPr>
                <w:rFonts w:ascii="Times New Roman" w:hAnsi="Times New Roman" w:cs="Times New Roman"/>
                <w:color w:val="000000" w:themeColor="text1"/>
              </w:rPr>
              <w:t xml:space="preserve">S.A. </w:t>
            </w:r>
            <w:r w:rsidR="00AE1605" w:rsidRPr="008A3FA9">
              <w:rPr>
                <w:rFonts w:ascii="Times New Roman" w:hAnsi="Times New Roman" w:cs="Times New Roman"/>
                <w:color w:val="000000" w:themeColor="text1"/>
              </w:rPr>
              <w:t xml:space="preserve">modelu finansowego. </w:t>
            </w:r>
          </w:p>
          <w:p w14:paraId="28F8E1B8" w14:textId="77777777" w:rsidR="003A6F7A" w:rsidRPr="008A3FA9" w:rsidRDefault="00AE1605" w:rsidP="008A3FA9">
            <w:pPr>
              <w:spacing w:before="60" w:after="60"/>
              <w:jc w:val="both"/>
              <w:rPr>
                <w:rFonts w:ascii="Times New Roman" w:hAnsi="Times New Roman" w:cs="Times New Roman"/>
                <w:color w:val="000000" w:themeColor="text1"/>
              </w:rPr>
            </w:pPr>
            <w:r w:rsidRPr="008A3FA9">
              <w:rPr>
                <w:rFonts w:ascii="Times New Roman" w:hAnsi="Times New Roman" w:cs="Times New Roman"/>
                <w:color w:val="000000" w:themeColor="text1"/>
              </w:rPr>
              <w:t xml:space="preserve">Brak uczestnictwa Poczty Polskiej </w:t>
            </w:r>
            <w:r w:rsidR="004C628A" w:rsidRPr="008A3FA9">
              <w:rPr>
                <w:rFonts w:ascii="Times New Roman" w:hAnsi="Times New Roman" w:cs="Times New Roman"/>
                <w:color w:val="000000" w:themeColor="text1"/>
              </w:rPr>
              <w:t xml:space="preserve">S.A. </w:t>
            </w:r>
            <w:r w:rsidRPr="008A3FA9">
              <w:rPr>
                <w:rFonts w:ascii="Times New Roman" w:hAnsi="Times New Roman" w:cs="Times New Roman"/>
                <w:color w:val="000000" w:themeColor="text1"/>
              </w:rPr>
              <w:t xml:space="preserve">w procesie elektronizacji doręczeń skutkowałby </w:t>
            </w:r>
            <w:r w:rsidR="00BB2B18" w:rsidRPr="008A3FA9">
              <w:rPr>
                <w:rFonts w:ascii="Times New Roman" w:hAnsi="Times New Roman" w:cs="Times New Roman"/>
                <w:color w:val="000000" w:themeColor="text1"/>
              </w:rPr>
              <w:t>natomiast silnym</w:t>
            </w:r>
            <w:r w:rsidRPr="008A3FA9">
              <w:rPr>
                <w:rFonts w:ascii="Times New Roman" w:hAnsi="Times New Roman" w:cs="Times New Roman"/>
                <w:color w:val="000000" w:themeColor="text1"/>
              </w:rPr>
              <w:t xml:space="preserve"> wpływem na rynek pracy w Polsce w związku z</w:t>
            </w:r>
            <w:r w:rsidR="00FA5690" w:rsidRPr="008A3FA9">
              <w:rPr>
                <w:rFonts w:ascii="Times New Roman" w:hAnsi="Times New Roman" w:cs="Times New Roman"/>
                <w:color w:val="000000" w:themeColor="text1"/>
              </w:rPr>
              <w:t xml:space="preserve">e spadkiem </w:t>
            </w:r>
            <w:r w:rsidR="00BB2B18" w:rsidRPr="008A3FA9">
              <w:rPr>
                <w:rFonts w:ascii="Times New Roman" w:hAnsi="Times New Roman" w:cs="Times New Roman"/>
                <w:color w:val="000000" w:themeColor="text1"/>
              </w:rPr>
              <w:t xml:space="preserve">wolumenu </w:t>
            </w:r>
            <w:r w:rsidR="00FA5690" w:rsidRPr="008A3FA9">
              <w:rPr>
                <w:rFonts w:ascii="Times New Roman" w:hAnsi="Times New Roman" w:cs="Times New Roman"/>
                <w:color w:val="000000" w:themeColor="text1"/>
              </w:rPr>
              <w:t>korespondencji tradycyjnej, a tym samym</w:t>
            </w:r>
            <w:r w:rsidRPr="008A3FA9">
              <w:rPr>
                <w:rFonts w:ascii="Times New Roman" w:hAnsi="Times New Roman" w:cs="Times New Roman"/>
                <w:color w:val="000000" w:themeColor="text1"/>
              </w:rPr>
              <w:t xml:space="preserve"> koniecznością zamknięcia </w:t>
            </w:r>
            <w:r w:rsidR="00FA5690" w:rsidRPr="008A3FA9">
              <w:rPr>
                <w:rFonts w:ascii="Times New Roman" w:hAnsi="Times New Roman" w:cs="Times New Roman"/>
                <w:color w:val="000000" w:themeColor="text1"/>
              </w:rPr>
              <w:t xml:space="preserve">znacznej liczby </w:t>
            </w:r>
            <w:r w:rsidRPr="008A3FA9">
              <w:rPr>
                <w:rFonts w:ascii="Times New Roman" w:hAnsi="Times New Roman" w:cs="Times New Roman"/>
                <w:color w:val="000000" w:themeColor="text1"/>
              </w:rPr>
              <w:t xml:space="preserve">placówek pocztowych pełniących rolę łącznika </w:t>
            </w:r>
            <w:r w:rsidR="00BB2B18" w:rsidRPr="008A3FA9">
              <w:rPr>
                <w:rFonts w:ascii="Times New Roman" w:hAnsi="Times New Roman" w:cs="Times New Roman"/>
                <w:color w:val="000000" w:themeColor="text1"/>
              </w:rPr>
              <w:t>p</w:t>
            </w:r>
            <w:r w:rsidRPr="008A3FA9">
              <w:rPr>
                <w:rFonts w:ascii="Times New Roman" w:hAnsi="Times New Roman" w:cs="Times New Roman"/>
                <w:color w:val="000000" w:themeColor="text1"/>
              </w:rPr>
              <w:t xml:space="preserve">aństwa z </w:t>
            </w:r>
            <w:r w:rsidR="00BB2B18" w:rsidRPr="008A3FA9">
              <w:rPr>
                <w:rFonts w:ascii="Times New Roman" w:hAnsi="Times New Roman" w:cs="Times New Roman"/>
                <w:color w:val="000000" w:themeColor="text1"/>
              </w:rPr>
              <w:t>o</w:t>
            </w:r>
            <w:r w:rsidRPr="008A3FA9">
              <w:rPr>
                <w:rFonts w:ascii="Times New Roman" w:hAnsi="Times New Roman" w:cs="Times New Roman"/>
                <w:color w:val="000000" w:themeColor="text1"/>
              </w:rPr>
              <w:t>bywatelem</w:t>
            </w:r>
            <w:r w:rsidR="00FA5690" w:rsidRPr="008A3FA9">
              <w:rPr>
                <w:rFonts w:ascii="Times New Roman" w:hAnsi="Times New Roman" w:cs="Times New Roman"/>
                <w:color w:val="000000" w:themeColor="text1"/>
              </w:rPr>
              <w:t>.</w:t>
            </w:r>
          </w:p>
          <w:p w14:paraId="6EF8257C" w14:textId="77777777" w:rsidR="003A6F7A" w:rsidRPr="008A3FA9" w:rsidRDefault="003A6F7A" w:rsidP="008A3FA9">
            <w:pPr>
              <w:spacing w:before="60" w:after="60"/>
              <w:jc w:val="both"/>
              <w:rPr>
                <w:rFonts w:ascii="Times New Roman" w:hAnsi="Times New Roman" w:cs="Times New Roman"/>
                <w:color w:val="000000" w:themeColor="text1"/>
              </w:rPr>
            </w:pPr>
            <w:r w:rsidRPr="008A3FA9">
              <w:rPr>
                <w:rFonts w:ascii="Times New Roman" w:hAnsi="Times New Roman" w:cs="Times New Roman"/>
                <w:color w:val="000000" w:themeColor="text1"/>
              </w:rPr>
              <w:t>Zgodnie z założeniami Strategii na rzecz Odpowiedzialnego Rozwoju projekt stworzy nowe szanse w</w:t>
            </w:r>
            <w:r w:rsidR="00AB04E9">
              <w:rPr>
                <w:rFonts w:ascii="Times New Roman" w:hAnsi="Times New Roman" w:cs="Times New Roman"/>
                <w:color w:val="000000" w:themeColor="text1"/>
              </w:rPr>
              <w:t xml:space="preserve"> </w:t>
            </w:r>
            <w:r w:rsidRPr="008A3FA9">
              <w:rPr>
                <w:rFonts w:ascii="Times New Roman" w:hAnsi="Times New Roman" w:cs="Times New Roman"/>
                <w:color w:val="000000" w:themeColor="text1"/>
              </w:rPr>
              <w:t>procesach gospodarczych poprzez zastosowanie mechanizmów efektywnej współpracy sektora publicznego z</w:t>
            </w:r>
            <w:r w:rsidR="00AB04E9">
              <w:rPr>
                <w:rFonts w:ascii="Times New Roman" w:hAnsi="Times New Roman" w:cs="Times New Roman"/>
                <w:color w:val="000000" w:themeColor="text1"/>
              </w:rPr>
              <w:t xml:space="preserve"> </w:t>
            </w:r>
            <w:r w:rsidRPr="008A3FA9">
              <w:rPr>
                <w:rFonts w:ascii="Times New Roman" w:hAnsi="Times New Roman" w:cs="Times New Roman"/>
                <w:color w:val="000000" w:themeColor="text1"/>
              </w:rPr>
              <w:t xml:space="preserve">niepublicznym, jak również przyczyni się do poprawy konkurencyjności przedsiębiorstw. </w:t>
            </w:r>
          </w:p>
          <w:p w14:paraId="40C2F77D" w14:textId="77777777" w:rsidR="003A6F7A" w:rsidRPr="008A3FA9" w:rsidRDefault="003A6F7A" w:rsidP="008A3FA9">
            <w:pPr>
              <w:spacing w:before="60" w:after="60"/>
              <w:jc w:val="both"/>
              <w:rPr>
                <w:rFonts w:ascii="Times New Roman" w:hAnsi="Times New Roman" w:cs="Times New Roman"/>
                <w:color w:val="000000" w:themeColor="text1"/>
              </w:rPr>
            </w:pPr>
            <w:r w:rsidRPr="008A3FA9">
              <w:rPr>
                <w:rFonts w:ascii="Times New Roman" w:hAnsi="Times New Roman" w:cs="Times New Roman"/>
                <w:color w:val="000000" w:themeColor="text1"/>
              </w:rPr>
              <w:t xml:space="preserve">Wprowadzenie standardu usługi rejestrowanego doręczenia elektronicznego w Polsce zachęci </w:t>
            </w:r>
            <w:r w:rsidR="00694E00" w:rsidRPr="008A3FA9">
              <w:rPr>
                <w:rFonts w:ascii="Times New Roman" w:hAnsi="Times New Roman" w:cs="Times New Roman"/>
                <w:color w:val="000000" w:themeColor="text1"/>
              </w:rPr>
              <w:t xml:space="preserve">podmioty komercyjne – </w:t>
            </w:r>
            <w:r w:rsidR="00694E00" w:rsidRPr="008A3FA9">
              <w:rPr>
                <w:rFonts w:ascii="Times New Roman" w:hAnsi="Times New Roman" w:cs="Times New Roman"/>
                <w:color w:val="000000" w:themeColor="text1"/>
              </w:rPr>
              <w:lastRenderedPageBreak/>
              <w:t>kwalifikowanych dostawców usług zaufania –</w:t>
            </w:r>
            <w:r w:rsidRPr="008A3FA9">
              <w:rPr>
                <w:rFonts w:ascii="Times New Roman" w:hAnsi="Times New Roman" w:cs="Times New Roman"/>
                <w:color w:val="000000" w:themeColor="text1"/>
              </w:rPr>
              <w:t xml:space="preserve"> do oferowania usługi rejestrowanego doręczenia elektronicznego, która będzie współdziałała z </w:t>
            </w:r>
            <w:r w:rsidR="00694E00" w:rsidRPr="008A3FA9">
              <w:rPr>
                <w:rFonts w:ascii="Times New Roman" w:hAnsi="Times New Roman" w:cs="Times New Roman"/>
                <w:color w:val="000000" w:themeColor="text1"/>
              </w:rPr>
              <w:t xml:space="preserve">publiczną </w:t>
            </w:r>
            <w:r w:rsidRPr="008A3FA9">
              <w:rPr>
                <w:rFonts w:ascii="Times New Roman" w:hAnsi="Times New Roman" w:cs="Times New Roman"/>
                <w:color w:val="000000" w:themeColor="text1"/>
              </w:rPr>
              <w:t xml:space="preserve">usługą rejestrowanego doręczenia elektronicznego świadczoną przez </w:t>
            </w:r>
            <w:r w:rsidR="00B77812" w:rsidRPr="008A3FA9">
              <w:rPr>
                <w:rFonts w:ascii="Times New Roman" w:hAnsi="Times New Roman" w:cs="Times New Roman"/>
                <w:color w:val="000000" w:themeColor="text1"/>
              </w:rPr>
              <w:t>operatora wyznaczonego</w:t>
            </w:r>
            <w:r w:rsidR="00B7368D" w:rsidRPr="008A3FA9">
              <w:rPr>
                <w:rFonts w:ascii="Times New Roman" w:hAnsi="Times New Roman" w:cs="Times New Roman"/>
                <w:color w:val="000000" w:themeColor="text1"/>
              </w:rPr>
              <w:t xml:space="preserve"> i co za ty</w:t>
            </w:r>
            <w:r w:rsidR="00271F42" w:rsidRPr="008A3FA9">
              <w:rPr>
                <w:rFonts w:ascii="Times New Roman" w:hAnsi="Times New Roman" w:cs="Times New Roman"/>
                <w:color w:val="000000" w:themeColor="text1"/>
              </w:rPr>
              <w:t>m</w:t>
            </w:r>
            <w:r w:rsidR="00B7368D" w:rsidRPr="008A3FA9">
              <w:rPr>
                <w:rFonts w:ascii="Times New Roman" w:hAnsi="Times New Roman" w:cs="Times New Roman"/>
                <w:color w:val="000000" w:themeColor="text1"/>
              </w:rPr>
              <w:t xml:space="preserve"> idzie będzie mogła zapewniać doręczanie elektroniczne do szerokiego spektrum odbiorców</w:t>
            </w:r>
            <w:r w:rsidRPr="008A3FA9">
              <w:rPr>
                <w:rFonts w:ascii="Times New Roman" w:hAnsi="Times New Roman" w:cs="Times New Roman"/>
                <w:color w:val="000000" w:themeColor="text1"/>
              </w:rPr>
              <w:t>. W związku z</w:t>
            </w:r>
            <w:r w:rsidR="00AB04E9">
              <w:rPr>
                <w:rFonts w:ascii="Times New Roman" w:hAnsi="Times New Roman" w:cs="Times New Roman"/>
                <w:color w:val="000000" w:themeColor="text1"/>
              </w:rPr>
              <w:t xml:space="preserve"> </w:t>
            </w:r>
            <w:r w:rsidRPr="008A3FA9">
              <w:rPr>
                <w:rFonts w:ascii="Times New Roman" w:hAnsi="Times New Roman" w:cs="Times New Roman"/>
                <w:color w:val="000000" w:themeColor="text1"/>
              </w:rPr>
              <w:t>powyższym spodziewane jest stworzenie nowych miejsc pracy w perspektywie wdrożenia, rozwoju rozwiązania, jak i</w:t>
            </w:r>
            <w:r w:rsidR="00AB04E9">
              <w:rPr>
                <w:rFonts w:ascii="Times New Roman" w:hAnsi="Times New Roman" w:cs="Times New Roman"/>
                <w:color w:val="000000" w:themeColor="text1"/>
              </w:rPr>
              <w:t xml:space="preserve"> </w:t>
            </w:r>
            <w:r w:rsidRPr="008A3FA9">
              <w:rPr>
                <w:rFonts w:ascii="Times New Roman" w:hAnsi="Times New Roman" w:cs="Times New Roman"/>
                <w:color w:val="000000" w:themeColor="text1"/>
              </w:rPr>
              <w:t xml:space="preserve">zapewnienia jego dodatkowych funkcjonalności. </w:t>
            </w:r>
          </w:p>
          <w:p w14:paraId="129D508D" w14:textId="7B9DE913" w:rsidR="00EB48C0" w:rsidRPr="008A3FA9" w:rsidRDefault="003A6F7A" w:rsidP="001B514F">
            <w:pPr>
              <w:spacing w:before="60" w:after="60"/>
              <w:jc w:val="both"/>
              <w:rPr>
                <w:rFonts w:ascii="Times New Roman" w:hAnsi="Times New Roman" w:cs="Times New Roman"/>
                <w:color w:val="000000" w:themeColor="text1"/>
              </w:rPr>
            </w:pPr>
            <w:r w:rsidRPr="008A3FA9">
              <w:rPr>
                <w:rFonts w:ascii="Times New Roman" w:hAnsi="Times New Roman" w:cs="Times New Roman"/>
                <w:color w:val="000000" w:themeColor="text1"/>
              </w:rPr>
              <w:t>Elektronizacja doręczeń będzie miała wymierny wpływ również na inne branże obecnie rozwijane w korelacji z</w:t>
            </w:r>
            <w:r w:rsidR="001B514F">
              <w:rPr>
                <w:rFonts w:ascii="Times New Roman" w:hAnsi="Times New Roman" w:cs="Times New Roman"/>
                <w:color w:val="000000" w:themeColor="text1"/>
              </w:rPr>
              <w:t> </w:t>
            </w:r>
            <w:r w:rsidRPr="008A3FA9">
              <w:rPr>
                <w:rFonts w:ascii="Times New Roman" w:hAnsi="Times New Roman" w:cs="Times New Roman"/>
                <w:color w:val="000000" w:themeColor="text1"/>
              </w:rPr>
              <w:t>usługami pocztowymi, takie jak druk wyrobów papierniczych, masowe drukarnie korespondencji, hurtownicy usług pocztowych specjalizujący się w usługach wydruku, konfekcji i czynności realizowanych w</w:t>
            </w:r>
            <w:r w:rsidR="00AB04E9">
              <w:rPr>
                <w:rFonts w:ascii="Times New Roman" w:hAnsi="Times New Roman" w:cs="Times New Roman"/>
                <w:color w:val="000000" w:themeColor="text1"/>
              </w:rPr>
              <w:t xml:space="preserve"> </w:t>
            </w:r>
            <w:r w:rsidRPr="008A3FA9">
              <w:rPr>
                <w:rFonts w:ascii="Times New Roman" w:hAnsi="Times New Roman" w:cs="Times New Roman"/>
                <w:color w:val="000000" w:themeColor="text1"/>
              </w:rPr>
              <w:t xml:space="preserve">imieniu nadawcy. </w:t>
            </w:r>
          </w:p>
        </w:tc>
      </w:tr>
      <w:tr w:rsidR="005C3FCE" w:rsidRPr="00E42D6D" w14:paraId="4BE30DA9" w14:textId="77777777" w:rsidTr="008A3FA9">
        <w:tblPrEx>
          <w:jc w:val="left"/>
        </w:tblPrEx>
        <w:trPr>
          <w:trHeight w:val="142"/>
        </w:trPr>
        <w:tc>
          <w:tcPr>
            <w:tcW w:w="10661" w:type="dxa"/>
            <w:gridSpan w:val="29"/>
            <w:shd w:val="clear" w:color="auto" w:fill="99CCFF"/>
          </w:tcPr>
          <w:p w14:paraId="707176AF" w14:textId="77777777" w:rsidR="003A6F7A" w:rsidRPr="008A3FA9" w:rsidRDefault="003A6F7A" w:rsidP="008A3FA9">
            <w:pPr>
              <w:numPr>
                <w:ilvl w:val="0"/>
                <w:numId w:val="1"/>
              </w:numPr>
              <w:spacing w:before="60" w:after="60"/>
              <w:rPr>
                <w:rFonts w:ascii="Times New Roman" w:hAnsi="Times New Roman" w:cs="Times New Roman"/>
                <w:b/>
                <w:color w:val="000000" w:themeColor="text1"/>
              </w:rPr>
            </w:pPr>
            <w:r w:rsidRPr="008A3FA9">
              <w:rPr>
                <w:rFonts w:ascii="Times New Roman" w:hAnsi="Times New Roman" w:cs="Times New Roman"/>
                <w:b/>
                <w:color w:val="000000" w:themeColor="text1"/>
              </w:rPr>
              <w:lastRenderedPageBreak/>
              <w:t>Wpływ na pozostałe obszary</w:t>
            </w:r>
          </w:p>
        </w:tc>
      </w:tr>
      <w:tr w:rsidR="005C3FCE" w:rsidRPr="00E42D6D" w14:paraId="3664DBC3" w14:textId="77777777" w:rsidTr="008A3FA9">
        <w:tblPrEx>
          <w:jc w:val="left"/>
        </w:tblPrEx>
        <w:trPr>
          <w:trHeight w:val="1031"/>
        </w:trPr>
        <w:tc>
          <w:tcPr>
            <w:tcW w:w="3356" w:type="dxa"/>
            <w:gridSpan w:val="7"/>
            <w:shd w:val="clear" w:color="auto" w:fill="FFFFFF"/>
          </w:tcPr>
          <w:p w14:paraId="608FF06C" w14:textId="77777777" w:rsidR="003A6F7A" w:rsidRPr="008A3FA9" w:rsidRDefault="003A6F7A" w:rsidP="008A3FA9">
            <w:pPr>
              <w:spacing w:before="60" w:after="60"/>
              <w:rPr>
                <w:rFonts w:ascii="Times New Roman" w:hAnsi="Times New Roman" w:cs="Times New Roman"/>
                <w:color w:val="000000" w:themeColor="text1"/>
                <w:spacing w:val="-2"/>
              </w:rPr>
            </w:pPr>
            <w:r w:rsidRPr="008A3FA9">
              <w:rPr>
                <w:rFonts w:ascii="MS Mincho" w:eastAsia="MS Mincho" w:hAnsi="MS Mincho" w:cs="MS Mincho"/>
                <w:color w:val="000000" w:themeColor="text1"/>
              </w:rPr>
              <w:t>☐</w:t>
            </w:r>
            <w:r w:rsidRPr="008A3FA9">
              <w:rPr>
                <w:rFonts w:ascii="Times New Roman" w:hAnsi="Times New Roman" w:cs="Times New Roman"/>
                <w:color w:val="000000" w:themeColor="text1"/>
              </w:rPr>
              <w:t xml:space="preserve"> </w:t>
            </w:r>
            <w:r w:rsidRPr="008A3FA9">
              <w:rPr>
                <w:rFonts w:ascii="Times New Roman" w:hAnsi="Times New Roman" w:cs="Times New Roman"/>
                <w:color w:val="000000" w:themeColor="text1"/>
                <w:spacing w:val="-2"/>
              </w:rPr>
              <w:t>środowisko naturalne</w:t>
            </w:r>
          </w:p>
          <w:p w14:paraId="0D074BE2" w14:textId="77777777" w:rsidR="003A6F7A" w:rsidRPr="008A3FA9" w:rsidRDefault="003A6F7A" w:rsidP="008A3FA9">
            <w:pPr>
              <w:spacing w:before="60" w:after="60"/>
              <w:rPr>
                <w:rFonts w:ascii="Times New Roman" w:hAnsi="Times New Roman" w:cs="Times New Roman"/>
                <w:color w:val="000000" w:themeColor="text1"/>
              </w:rPr>
            </w:pPr>
            <w:r w:rsidRPr="008A3FA9">
              <w:rPr>
                <w:rFonts w:ascii="MS Mincho" w:eastAsia="MS Mincho" w:hAnsi="MS Mincho" w:cs="MS Mincho"/>
                <w:color w:val="000000" w:themeColor="text1"/>
              </w:rPr>
              <w:t>☒</w:t>
            </w:r>
            <w:r w:rsidRPr="008A3FA9">
              <w:rPr>
                <w:rFonts w:ascii="Times New Roman" w:hAnsi="Times New Roman" w:cs="Times New Roman"/>
                <w:color w:val="000000" w:themeColor="text1"/>
              </w:rPr>
              <w:t>sytuacja i rozwój regionalny</w:t>
            </w:r>
          </w:p>
          <w:p w14:paraId="6BF6DF1C" w14:textId="77777777" w:rsidR="003A6F7A" w:rsidRPr="008A3FA9" w:rsidRDefault="00326D6C" w:rsidP="008A3FA9">
            <w:pPr>
              <w:spacing w:before="60" w:after="60"/>
              <w:rPr>
                <w:rFonts w:ascii="Times New Roman" w:hAnsi="Times New Roman" w:cs="Times New Roman"/>
                <w:color w:val="000000" w:themeColor="text1"/>
                <w:spacing w:val="-2"/>
              </w:rPr>
            </w:pPr>
            <w:r w:rsidRPr="008A3FA9">
              <w:rPr>
                <w:rFonts w:ascii="MS Mincho" w:eastAsia="MS Mincho" w:hAnsi="MS Mincho" w:cs="MS Mincho"/>
                <w:color w:val="000000" w:themeColor="text1"/>
              </w:rPr>
              <w:t>☒</w:t>
            </w:r>
            <w:r w:rsidR="003A6F7A" w:rsidRPr="008A3FA9">
              <w:rPr>
                <w:rFonts w:ascii="Times New Roman" w:hAnsi="Times New Roman" w:cs="Times New Roman"/>
                <w:color w:val="000000" w:themeColor="text1"/>
                <w:spacing w:val="-2"/>
              </w:rPr>
              <w:t xml:space="preserve"> inne:</w:t>
            </w:r>
            <w:r w:rsidRPr="008A3FA9">
              <w:rPr>
                <w:rFonts w:ascii="Times New Roman" w:hAnsi="Times New Roman" w:cs="Times New Roman"/>
                <w:color w:val="000000" w:themeColor="text1"/>
              </w:rPr>
              <w:t xml:space="preserve"> bezpieczeństwo przesyłanej korespondencji</w:t>
            </w:r>
            <w:r w:rsidR="00550C86" w:rsidRPr="008A3FA9">
              <w:rPr>
                <w:rFonts w:ascii="Times New Roman" w:hAnsi="Times New Roman" w:cs="Times New Roman"/>
                <w:color w:val="000000" w:themeColor="text1"/>
              </w:rPr>
              <w:t>, rynek papierniczy</w:t>
            </w:r>
          </w:p>
        </w:tc>
        <w:tc>
          <w:tcPr>
            <w:tcW w:w="3651" w:type="dxa"/>
            <w:gridSpan w:val="12"/>
            <w:shd w:val="clear" w:color="auto" w:fill="FFFFFF"/>
          </w:tcPr>
          <w:p w14:paraId="78DA3658" w14:textId="77777777" w:rsidR="003A6F7A" w:rsidRPr="008A3FA9" w:rsidRDefault="003A6F7A" w:rsidP="008A3FA9">
            <w:pPr>
              <w:spacing w:before="60" w:after="60"/>
              <w:rPr>
                <w:rFonts w:ascii="Times New Roman" w:hAnsi="Times New Roman" w:cs="Times New Roman"/>
                <w:color w:val="000000" w:themeColor="text1"/>
                <w:spacing w:val="-2"/>
              </w:rPr>
            </w:pPr>
            <w:r w:rsidRPr="008A3FA9">
              <w:rPr>
                <w:rFonts w:ascii="MS Mincho" w:eastAsia="MS Mincho" w:hAnsi="MS Mincho" w:cs="MS Mincho"/>
                <w:color w:val="000000" w:themeColor="text1"/>
                <w:spacing w:val="-2"/>
              </w:rPr>
              <w:t>☐</w:t>
            </w:r>
            <w:r w:rsidRPr="008A3FA9">
              <w:rPr>
                <w:rFonts w:ascii="Times New Roman" w:hAnsi="Times New Roman" w:cs="Times New Roman"/>
                <w:color w:val="000000" w:themeColor="text1"/>
                <w:spacing w:val="-2"/>
              </w:rPr>
              <w:t xml:space="preserve"> demografia</w:t>
            </w:r>
          </w:p>
          <w:p w14:paraId="6663D3DD" w14:textId="77777777" w:rsidR="003A6F7A" w:rsidRPr="008A3FA9" w:rsidRDefault="003A6F7A" w:rsidP="008A3FA9">
            <w:pPr>
              <w:spacing w:before="60" w:after="60"/>
              <w:rPr>
                <w:rFonts w:ascii="Times New Roman" w:hAnsi="Times New Roman" w:cs="Times New Roman"/>
                <w:color w:val="000000" w:themeColor="text1"/>
              </w:rPr>
            </w:pPr>
            <w:r w:rsidRPr="008A3FA9">
              <w:rPr>
                <w:rFonts w:ascii="MS Mincho" w:eastAsia="MS Mincho" w:hAnsi="MS Mincho" w:cs="MS Mincho"/>
                <w:color w:val="000000" w:themeColor="text1"/>
              </w:rPr>
              <w:t>☐</w:t>
            </w:r>
            <w:r w:rsidRPr="008A3FA9">
              <w:rPr>
                <w:rFonts w:ascii="Times New Roman" w:hAnsi="Times New Roman" w:cs="Times New Roman"/>
                <w:color w:val="000000" w:themeColor="text1"/>
              </w:rPr>
              <w:t xml:space="preserve"> mienie państwowe</w:t>
            </w:r>
          </w:p>
        </w:tc>
        <w:tc>
          <w:tcPr>
            <w:tcW w:w="3654" w:type="dxa"/>
            <w:gridSpan w:val="10"/>
            <w:shd w:val="clear" w:color="auto" w:fill="FFFFFF"/>
          </w:tcPr>
          <w:p w14:paraId="1EC3B5E8" w14:textId="77777777" w:rsidR="003A6F7A" w:rsidRPr="008A3FA9" w:rsidRDefault="003A6F7A" w:rsidP="008A3FA9">
            <w:pPr>
              <w:spacing w:before="60" w:after="60"/>
              <w:rPr>
                <w:rFonts w:ascii="Times New Roman" w:hAnsi="Times New Roman" w:cs="Times New Roman"/>
                <w:color w:val="000000" w:themeColor="text1"/>
                <w:spacing w:val="-2"/>
              </w:rPr>
            </w:pPr>
            <w:r w:rsidRPr="008A3FA9">
              <w:rPr>
                <w:rFonts w:ascii="MS Mincho" w:eastAsia="MS Mincho" w:hAnsi="MS Mincho" w:cs="MS Mincho"/>
                <w:color w:val="000000" w:themeColor="text1"/>
                <w:spacing w:val="-2"/>
              </w:rPr>
              <w:t>☒</w:t>
            </w:r>
            <w:r w:rsidRPr="008A3FA9">
              <w:rPr>
                <w:rFonts w:ascii="Times New Roman" w:hAnsi="Times New Roman" w:cs="Times New Roman"/>
                <w:color w:val="000000" w:themeColor="text1"/>
                <w:spacing w:val="-2"/>
              </w:rPr>
              <w:t xml:space="preserve"> informatyzacja</w:t>
            </w:r>
          </w:p>
          <w:p w14:paraId="552638FB" w14:textId="77777777" w:rsidR="003A6F7A" w:rsidRPr="008A3FA9" w:rsidRDefault="003A6F7A" w:rsidP="008A3FA9">
            <w:pPr>
              <w:spacing w:before="60" w:after="60"/>
              <w:rPr>
                <w:rFonts w:ascii="Times New Roman" w:hAnsi="Times New Roman" w:cs="Times New Roman"/>
                <w:color w:val="000000" w:themeColor="text1"/>
              </w:rPr>
            </w:pPr>
            <w:r w:rsidRPr="008A3FA9">
              <w:rPr>
                <w:rFonts w:ascii="MS Mincho" w:eastAsia="MS Mincho" w:hAnsi="MS Mincho" w:cs="MS Mincho"/>
                <w:color w:val="000000" w:themeColor="text1"/>
                <w:spacing w:val="-2"/>
              </w:rPr>
              <w:t>☐</w:t>
            </w:r>
            <w:r w:rsidRPr="008A3FA9">
              <w:rPr>
                <w:rFonts w:ascii="Times New Roman" w:hAnsi="Times New Roman" w:cs="Times New Roman"/>
                <w:color w:val="000000" w:themeColor="text1"/>
                <w:spacing w:val="-2"/>
              </w:rPr>
              <w:t xml:space="preserve"> zdrowie</w:t>
            </w:r>
          </w:p>
        </w:tc>
      </w:tr>
      <w:tr w:rsidR="005C3FCE" w:rsidRPr="00E42D6D" w14:paraId="4237512B" w14:textId="77777777" w:rsidTr="008A3FA9">
        <w:tblPrEx>
          <w:jc w:val="left"/>
        </w:tblPrEx>
        <w:trPr>
          <w:trHeight w:val="712"/>
        </w:trPr>
        <w:tc>
          <w:tcPr>
            <w:tcW w:w="1985" w:type="dxa"/>
            <w:gridSpan w:val="4"/>
            <w:shd w:val="clear" w:color="auto" w:fill="FFFFFF"/>
            <w:vAlign w:val="center"/>
          </w:tcPr>
          <w:p w14:paraId="564F94DD" w14:textId="77777777" w:rsidR="003A6F7A" w:rsidRPr="008A3FA9" w:rsidRDefault="003A6F7A" w:rsidP="008A3FA9">
            <w:pPr>
              <w:spacing w:before="60" w:after="60"/>
              <w:rPr>
                <w:rFonts w:ascii="Times New Roman" w:hAnsi="Times New Roman" w:cs="Times New Roman"/>
                <w:color w:val="000000" w:themeColor="text1"/>
              </w:rPr>
            </w:pPr>
            <w:r w:rsidRPr="008A3FA9">
              <w:rPr>
                <w:rFonts w:ascii="Times New Roman" w:hAnsi="Times New Roman" w:cs="Times New Roman"/>
                <w:color w:val="000000" w:themeColor="text1"/>
              </w:rPr>
              <w:t>Omówienie wpływu</w:t>
            </w:r>
          </w:p>
        </w:tc>
        <w:tc>
          <w:tcPr>
            <w:tcW w:w="8676" w:type="dxa"/>
            <w:gridSpan w:val="25"/>
            <w:shd w:val="clear" w:color="auto" w:fill="FFFFFF"/>
            <w:vAlign w:val="center"/>
          </w:tcPr>
          <w:p w14:paraId="460ED7FF" w14:textId="77777777" w:rsidR="00F765A9" w:rsidRPr="008A3FA9" w:rsidRDefault="003A6F7A" w:rsidP="008A3FA9">
            <w:pPr>
              <w:spacing w:before="60" w:after="60"/>
              <w:ind w:left="62"/>
              <w:jc w:val="both"/>
              <w:rPr>
                <w:rFonts w:ascii="Times New Roman" w:hAnsi="Times New Roman" w:cs="Times New Roman"/>
                <w:color w:val="000000" w:themeColor="text1"/>
              </w:rPr>
            </w:pPr>
            <w:r w:rsidRPr="008A3FA9">
              <w:rPr>
                <w:rFonts w:ascii="Times New Roman" w:hAnsi="Times New Roman" w:cs="Times New Roman"/>
                <w:color w:val="000000" w:themeColor="text1"/>
              </w:rPr>
              <w:t xml:space="preserve">Proponowane </w:t>
            </w:r>
            <w:r w:rsidRPr="008A3FA9">
              <w:rPr>
                <w:rFonts w:ascii="Times New Roman" w:hAnsi="Times New Roman" w:cs="Times New Roman"/>
                <w:color w:val="000000" w:themeColor="text1"/>
                <w:spacing w:val="-2"/>
              </w:rPr>
              <w:t>rozwiązanie</w:t>
            </w:r>
            <w:r w:rsidRPr="008A3FA9">
              <w:rPr>
                <w:rFonts w:ascii="Times New Roman" w:hAnsi="Times New Roman" w:cs="Times New Roman"/>
                <w:color w:val="000000" w:themeColor="text1"/>
              </w:rPr>
              <w:t xml:space="preserve"> przyczyni się do osiągnięcia przez pozostałe e-usługi wyższego poziomu dojrzałości oraz osiągnięcia korzyści z całościowego podejścia do</w:t>
            </w:r>
            <w:r w:rsidR="00AB04E9">
              <w:rPr>
                <w:rFonts w:ascii="Times New Roman" w:hAnsi="Times New Roman" w:cs="Times New Roman"/>
                <w:color w:val="000000" w:themeColor="text1"/>
              </w:rPr>
              <w:t xml:space="preserve"> </w:t>
            </w:r>
            <w:r w:rsidRPr="008A3FA9">
              <w:rPr>
                <w:rFonts w:ascii="Times New Roman" w:hAnsi="Times New Roman" w:cs="Times New Roman"/>
                <w:color w:val="000000" w:themeColor="text1"/>
              </w:rPr>
              <w:t>informatyzacji państwa w obszarze „e-Państwo”.</w:t>
            </w:r>
            <w:r w:rsidR="00F765A9" w:rsidRPr="008A3FA9">
              <w:rPr>
                <w:rFonts w:ascii="Times New Roman" w:hAnsi="Times New Roman" w:cs="Times New Roman"/>
                <w:color w:val="000000" w:themeColor="text1"/>
              </w:rPr>
              <w:t xml:space="preserve"> </w:t>
            </w:r>
          </w:p>
          <w:p w14:paraId="42813930" w14:textId="15071F84" w:rsidR="00F765A9" w:rsidRPr="008A3FA9" w:rsidRDefault="00F765A9" w:rsidP="008A3FA9">
            <w:pPr>
              <w:spacing w:before="60" w:after="60"/>
              <w:ind w:left="62"/>
              <w:jc w:val="both"/>
              <w:rPr>
                <w:rFonts w:ascii="Times New Roman" w:hAnsi="Times New Roman" w:cs="Times New Roman"/>
                <w:color w:val="000000" w:themeColor="text1"/>
              </w:rPr>
            </w:pPr>
            <w:r w:rsidRPr="008A3FA9">
              <w:rPr>
                <w:rFonts w:ascii="Times New Roman" w:hAnsi="Times New Roman" w:cs="Times New Roman"/>
                <w:color w:val="000000" w:themeColor="text1"/>
              </w:rPr>
              <w:t>Bezpieczeństwo i niezaprzeczalność realizowanej komunikacji w projekcie wynika z</w:t>
            </w:r>
            <w:r w:rsidR="001B514F">
              <w:rPr>
                <w:rFonts w:ascii="Times New Roman" w:hAnsi="Times New Roman" w:cs="Times New Roman"/>
                <w:color w:val="000000" w:themeColor="text1"/>
              </w:rPr>
              <w:t> </w:t>
            </w:r>
            <w:r w:rsidRPr="008A3FA9">
              <w:rPr>
                <w:rFonts w:ascii="Times New Roman" w:hAnsi="Times New Roman" w:cs="Times New Roman"/>
                <w:color w:val="000000" w:themeColor="text1"/>
              </w:rPr>
              <w:t xml:space="preserve">rozporządzenia </w:t>
            </w:r>
            <w:r w:rsidR="00A10A88" w:rsidRPr="008A3FA9">
              <w:rPr>
                <w:rFonts w:ascii="Times New Roman" w:hAnsi="Times New Roman" w:cs="Times New Roman"/>
                <w:color w:val="000000" w:themeColor="text1"/>
              </w:rPr>
              <w:t>eIDAS</w:t>
            </w:r>
            <w:r w:rsidRPr="008A3FA9">
              <w:rPr>
                <w:rFonts w:ascii="Times New Roman" w:hAnsi="Times New Roman" w:cs="Times New Roman"/>
                <w:color w:val="000000" w:themeColor="text1"/>
              </w:rPr>
              <w:t xml:space="preserve"> w zakresie usług zaufania, a w szczególności rejestrowanego doręczenia elektronicznego. Oznacza to, że wysłanie i otrzymanie danych będzie zabezpieczone zaawansowaną pieczęcią elektroniczną dostawcy usług zaufania w taki sposób, by wykluczyć możliwość niewykrywalnej zmiany danych</w:t>
            </w:r>
            <w:r w:rsidR="00694E00" w:rsidRPr="008A3FA9">
              <w:rPr>
                <w:rFonts w:ascii="Times New Roman" w:hAnsi="Times New Roman" w:cs="Times New Roman"/>
                <w:color w:val="000000" w:themeColor="text1"/>
              </w:rPr>
              <w:t xml:space="preserve"> </w:t>
            </w:r>
            <w:r w:rsidR="005F6337">
              <w:rPr>
                <w:rFonts w:ascii="Times New Roman" w:hAnsi="Times New Roman" w:cs="Times New Roman"/>
                <w:color w:val="000000" w:themeColor="text1"/>
              </w:rPr>
              <w:t>–</w:t>
            </w:r>
            <w:r w:rsidRPr="008A3FA9">
              <w:rPr>
                <w:rFonts w:ascii="Times New Roman" w:hAnsi="Times New Roman" w:cs="Times New Roman"/>
                <w:color w:val="000000" w:themeColor="text1"/>
              </w:rPr>
              <w:t xml:space="preserve"> każda zmiana danych niezbędna do celów wysłania lub otrzymania danych będzie wyraźnie wskazana nadawcy i adresatowi danych, </w:t>
            </w:r>
            <w:r w:rsidR="00A10A88" w:rsidRPr="008A3FA9">
              <w:rPr>
                <w:rFonts w:ascii="Times New Roman" w:hAnsi="Times New Roman" w:cs="Times New Roman"/>
                <w:color w:val="000000" w:themeColor="text1"/>
              </w:rPr>
              <w:t xml:space="preserve">a </w:t>
            </w:r>
            <w:r w:rsidRPr="008A3FA9">
              <w:rPr>
                <w:rFonts w:ascii="Times New Roman" w:hAnsi="Times New Roman" w:cs="Times New Roman"/>
                <w:color w:val="000000" w:themeColor="text1"/>
              </w:rPr>
              <w:t>data i</w:t>
            </w:r>
            <w:r w:rsidR="00AB04E9">
              <w:rPr>
                <w:rFonts w:ascii="Times New Roman" w:hAnsi="Times New Roman" w:cs="Times New Roman"/>
                <w:color w:val="000000" w:themeColor="text1"/>
              </w:rPr>
              <w:t xml:space="preserve"> </w:t>
            </w:r>
            <w:r w:rsidRPr="008A3FA9">
              <w:rPr>
                <w:rFonts w:ascii="Times New Roman" w:hAnsi="Times New Roman" w:cs="Times New Roman"/>
                <w:color w:val="000000" w:themeColor="text1"/>
              </w:rPr>
              <w:t xml:space="preserve">czas wysłania, otrzymania i wszelkiej zmiany danych będą wskazane za pomocą kwalifikowanego elektronicznego znacznika czasu. Wdrożone rozwiązanie będzie </w:t>
            </w:r>
            <w:r w:rsidR="00F42476" w:rsidRPr="008A3FA9">
              <w:rPr>
                <w:rFonts w:ascii="Times New Roman" w:hAnsi="Times New Roman" w:cs="Times New Roman"/>
                <w:color w:val="000000" w:themeColor="text1"/>
              </w:rPr>
              <w:t xml:space="preserve">opracowane zgodnie ze specyfikacją Komisji Europejskiej a także </w:t>
            </w:r>
            <w:r w:rsidR="00053532" w:rsidRPr="008A3FA9">
              <w:rPr>
                <w:rFonts w:ascii="Times New Roman" w:hAnsi="Times New Roman" w:cs="Times New Roman"/>
                <w:color w:val="000000" w:themeColor="text1"/>
              </w:rPr>
              <w:t>z</w:t>
            </w:r>
            <w:r w:rsidR="001F3390" w:rsidRPr="008A3FA9">
              <w:rPr>
                <w:rFonts w:ascii="Times New Roman" w:hAnsi="Times New Roman" w:cs="Times New Roman"/>
                <w:color w:val="000000" w:themeColor="text1"/>
              </w:rPr>
              <w:t xml:space="preserve"> </w:t>
            </w:r>
            <w:r w:rsidR="00053532" w:rsidRPr="008A3FA9">
              <w:rPr>
                <w:rFonts w:ascii="Times New Roman" w:hAnsi="Times New Roman" w:cs="Times New Roman"/>
                <w:color w:val="000000" w:themeColor="text1"/>
              </w:rPr>
              <w:t xml:space="preserve">wykorzystaniem </w:t>
            </w:r>
            <w:r w:rsidR="00AB27EA" w:rsidRPr="008A3FA9">
              <w:rPr>
                <w:rFonts w:ascii="Times New Roman" w:hAnsi="Times New Roman" w:cs="Times New Roman"/>
                <w:color w:val="000000" w:themeColor="text1"/>
              </w:rPr>
              <w:t>norm</w:t>
            </w:r>
            <w:r w:rsidRPr="008A3FA9">
              <w:rPr>
                <w:rFonts w:ascii="Times New Roman" w:hAnsi="Times New Roman" w:cs="Times New Roman"/>
                <w:color w:val="000000" w:themeColor="text1"/>
              </w:rPr>
              <w:t xml:space="preserve"> Europejskiego Instytutu Norm Telekomunikacyjnych z zakresu realizacji usługi rejestrowanego doręczenia elektronicznego (ETSI EN 319 522) oraz zapewnienia bezpieczeństwa korespondencji (ETSI EN 319 521). Cała wymiana wiadomości będzie odbywała się z wykorzystaniem szyfrowanych połączeń. </w:t>
            </w:r>
          </w:p>
          <w:p w14:paraId="727BC153" w14:textId="77777777" w:rsidR="00326D6C" w:rsidRPr="008A3FA9" w:rsidRDefault="00F765A9" w:rsidP="008A3FA9">
            <w:pPr>
              <w:spacing w:before="60" w:after="60"/>
              <w:ind w:left="62"/>
              <w:jc w:val="both"/>
              <w:rPr>
                <w:rFonts w:ascii="Times New Roman" w:hAnsi="Times New Roman" w:cs="Times New Roman"/>
                <w:color w:val="000000" w:themeColor="text1"/>
              </w:rPr>
            </w:pPr>
            <w:r w:rsidRPr="008A3FA9">
              <w:rPr>
                <w:rFonts w:ascii="Times New Roman" w:hAnsi="Times New Roman" w:cs="Times New Roman"/>
                <w:color w:val="000000" w:themeColor="text1"/>
              </w:rPr>
              <w:t>Ponadto na poziomie krajowym planuje się wskazanie wymogu wykorzystani</w:t>
            </w:r>
            <w:r w:rsidR="00694E00" w:rsidRPr="008A3FA9">
              <w:rPr>
                <w:rFonts w:ascii="Times New Roman" w:hAnsi="Times New Roman" w:cs="Times New Roman"/>
                <w:color w:val="000000" w:themeColor="text1"/>
              </w:rPr>
              <w:t>a</w:t>
            </w:r>
            <w:r w:rsidRPr="008A3FA9">
              <w:rPr>
                <w:rFonts w:ascii="Times New Roman" w:hAnsi="Times New Roman" w:cs="Times New Roman"/>
                <w:color w:val="000000" w:themeColor="text1"/>
              </w:rPr>
              <w:t xml:space="preserve"> środka identyfikacji elektronicznej na poziomie przynajmniej średnim w celu uzyskani</w:t>
            </w:r>
            <w:r w:rsidR="00694E00" w:rsidRPr="008A3FA9">
              <w:rPr>
                <w:rFonts w:ascii="Times New Roman" w:hAnsi="Times New Roman" w:cs="Times New Roman"/>
                <w:color w:val="000000" w:themeColor="text1"/>
              </w:rPr>
              <w:t>a</w:t>
            </w:r>
            <w:r w:rsidRPr="008A3FA9">
              <w:rPr>
                <w:rFonts w:ascii="Times New Roman" w:hAnsi="Times New Roman" w:cs="Times New Roman"/>
                <w:color w:val="000000" w:themeColor="text1"/>
              </w:rPr>
              <w:t xml:space="preserve"> dostępu do usługi e-</w:t>
            </w:r>
            <w:r w:rsidR="00B77812" w:rsidRPr="008A3FA9">
              <w:rPr>
                <w:rFonts w:ascii="Times New Roman" w:hAnsi="Times New Roman" w:cs="Times New Roman"/>
                <w:color w:val="000000" w:themeColor="text1"/>
              </w:rPr>
              <w:t>D</w:t>
            </w:r>
            <w:r w:rsidRPr="008A3FA9">
              <w:rPr>
                <w:rFonts w:ascii="Times New Roman" w:hAnsi="Times New Roman" w:cs="Times New Roman"/>
                <w:color w:val="000000" w:themeColor="text1"/>
              </w:rPr>
              <w:t>oręczenia.</w:t>
            </w:r>
            <w:r w:rsidR="00035ECF" w:rsidRPr="008A3FA9">
              <w:rPr>
                <w:rFonts w:ascii="Times New Roman" w:hAnsi="Times New Roman" w:cs="Times New Roman"/>
                <w:color w:val="000000" w:themeColor="text1"/>
              </w:rPr>
              <w:t xml:space="preserve"> </w:t>
            </w:r>
          </w:p>
          <w:p w14:paraId="10B473A8" w14:textId="77777777" w:rsidR="002E7A3F" w:rsidRPr="008A3FA9" w:rsidRDefault="002E7A3F" w:rsidP="008A3FA9">
            <w:pPr>
              <w:spacing w:before="60" w:after="60"/>
              <w:ind w:left="62"/>
              <w:jc w:val="both"/>
              <w:rPr>
                <w:rFonts w:ascii="Times New Roman" w:hAnsi="Times New Roman" w:cs="Times New Roman"/>
                <w:color w:val="000000" w:themeColor="text1"/>
                <w:spacing w:val="-2"/>
              </w:rPr>
            </w:pPr>
            <w:r w:rsidRPr="008A3FA9">
              <w:rPr>
                <w:rFonts w:ascii="Times New Roman" w:hAnsi="Times New Roman" w:cs="Times New Roman"/>
                <w:color w:val="000000" w:themeColor="text1"/>
                <w:spacing w:val="-2"/>
              </w:rPr>
              <w:t xml:space="preserve">Zgodnie z ustawą </w:t>
            </w:r>
            <w:r w:rsidR="00A10A88" w:rsidRPr="008A3FA9">
              <w:rPr>
                <w:rFonts w:ascii="Times New Roman" w:hAnsi="Times New Roman" w:cs="Times New Roman"/>
                <w:color w:val="000000" w:themeColor="text1"/>
                <w:spacing w:val="-2"/>
              </w:rPr>
              <w:t>z dnia 23 listopada 2012 r.</w:t>
            </w:r>
            <w:r w:rsidRPr="008A3FA9">
              <w:rPr>
                <w:rFonts w:ascii="Times New Roman" w:hAnsi="Times New Roman" w:cs="Times New Roman"/>
                <w:color w:val="000000" w:themeColor="text1"/>
                <w:spacing w:val="-2"/>
              </w:rPr>
              <w:t>– Prawo pocztowe operator wyznaczony zobowiązany jest do zapewnienia tajemnicy pocztowej i w tym zakresie podlega ocenie Urzędu Komunikacji Elektronicznej. W związku z tym zapewnienie bezpieczeństwa i tajemnicy korespondencji doręczanej w ramach usługi przesyłki hybrydowej będzie przedmiotem bieżącego nadzoru oraz rozszerzonej oceny w ramach konkursu na operatora wyznaczonego od 2025 r.</w:t>
            </w:r>
          </w:p>
          <w:p w14:paraId="75C5BA16" w14:textId="77777777" w:rsidR="002E7A3F" w:rsidRPr="008A3FA9" w:rsidRDefault="002E7A3F" w:rsidP="008A3FA9">
            <w:pPr>
              <w:spacing w:before="60" w:after="60"/>
              <w:ind w:left="62"/>
              <w:jc w:val="both"/>
              <w:rPr>
                <w:rFonts w:ascii="Times New Roman" w:hAnsi="Times New Roman" w:cs="Times New Roman"/>
                <w:color w:val="000000" w:themeColor="text1"/>
                <w:spacing w:val="-2"/>
              </w:rPr>
            </w:pPr>
            <w:r w:rsidRPr="008A3FA9">
              <w:rPr>
                <w:rFonts w:ascii="Times New Roman" w:hAnsi="Times New Roman" w:cs="Times New Roman"/>
                <w:color w:val="000000" w:themeColor="text1"/>
                <w:spacing w:val="-2"/>
              </w:rPr>
              <w:t xml:space="preserve">Poczta Polska zgodnie z wymaganiami określonymi w ustawie </w:t>
            </w:r>
            <w:r w:rsidR="00A10A88" w:rsidRPr="008A3FA9">
              <w:rPr>
                <w:rFonts w:ascii="Times New Roman" w:hAnsi="Times New Roman" w:cs="Times New Roman"/>
                <w:color w:val="000000" w:themeColor="text1"/>
                <w:spacing w:val="-2"/>
              </w:rPr>
              <w:t xml:space="preserve">z dnia 23 listopada 2012 r. </w:t>
            </w:r>
            <w:r w:rsidR="005F6337">
              <w:rPr>
                <w:rFonts w:ascii="Times New Roman" w:hAnsi="Times New Roman" w:cs="Times New Roman"/>
                <w:color w:val="000000" w:themeColor="text1"/>
                <w:spacing w:val="-2"/>
              </w:rPr>
              <w:t>–</w:t>
            </w:r>
            <w:r w:rsidR="00A10A88" w:rsidRPr="008A3FA9">
              <w:rPr>
                <w:rFonts w:ascii="Times New Roman" w:hAnsi="Times New Roman" w:cs="Times New Roman"/>
                <w:color w:val="000000" w:themeColor="text1"/>
                <w:spacing w:val="-2"/>
              </w:rPr>
              <w:t xml:space="preserve"> </w:t>
            </w:r>
            <w:r w:rsidRPr="008A3FA9">
              <w:rPr>
                <w:rFonts w:ascii="Times New Roman" w:hAnsi="Times New Roman" w:cs="Times New Roman"/>
                <w:color w:val="000000" w:themeColor="text1"/>
                <w:spacing w:val="-2"/>
              </w:rPr>
              <w:t xml:space="preserve">Prawo pocztowe: </w:t>
            </w:r>
          </w:p>
          <w:p w14:paraId="3D80D7D3" w14:textId="77777777" w:rsidR="002E7A3F" w:rsidRPr="008A3FA9" w:rsidRDefault="002E7A3F" w:rsidP="008A3FA9">
            <w:pPr>
              <w:spacing w:before="60" w:after="60"/>
              <w:ind w:left="62"/>
              <w:jc w:val="both"/>
              <w:rPr>
                <w:rFonts w:ascii="Times New Roman" w:hAnsi="Times New Roman" w:cs="Times New Roman"/>
                <w:color w:val="000000" w:themeColor="text1"/>
                <w:spacing w:val="-2"/>
              </w:rPr>
            </w:pPr>
            <w:r w:rsidRPr="008A3FA9">
              <w:rPr>
                <w:rFonts w:ascii="Times New Roman" w:hAnsi="Times New Roman" w:cs="Times New Roman"/>
                <w:color w:val="000000" w:themeColor="text1"/>
                <w:spacing w:val="-2"/>
              </w:rPr>
              <w:t>1)</w:t>
            </w:r>
            <w:r w:rsidRPr="008A3FA9">
              <w:rPr>
                <w:rFonts w:ascii="Times New Roman" w:hAnsi="Times New Roman" w:cs="Times New Roman"/>
                <w:color w:val="000000" w:themeColor="text1"/>
                <w:spacing w:val="-2"/>
              </w:rPr>
              <w:tab/>
              <w:t xml:space="preserve">zapewnia warunki do przestrzegania tajemnicy pocztowej zgodnie z art. 41 </w:t>
            </w:r>
            <w:r w:rsidR="00A10A88" w:rsidRPr="008A3FA9">
              <w:rPr>
                <w:rFonts w:ascii="Times New Roman" w:hAnsi="Times New Roman" w:cs="Times New Roman"/>
                <w:color w:val="000000" w:themeColor="text1"/>
                <w:spacing w:val="-2"/>
              </w:rPr>
              <w:t xml:space="preserve">tej </w:t>
            </w:r>
            <w:r w:rsidRPr="008A3FA9">
              <w:rPr>
                <w:rFonts w:ascii="Times New Roman" w:hAnsi="Times New Roman" w:cs="Times New Roman"/>
                <w:color w:val="000000" w:themeColor="text1"/>
                <w:spacing w:val="-2"/>
              </w:rPr>
              <w:t>ustawy. Tajemnicą objęte są m.in. informacje przekazywane w</w:t>
            </w:r>
            <w:r w:rsidR="00AB04E9">
              <w:rPr>
                <w:rFonts w:ascii="Times New Roman" w:hAnsi="Times New Roman" w:cs="Times New Roman"/>
                <w:color w:val="000000" w:themeColor="text1"/>
                <w:spacing w:val="-2"/>
              </w:rPr>
              <w:t xml:space="preserve"> </w:t>
            </w:r>
            <w:r w:rsidRPr="008A3FA9">
              <w:rPr>
                <w:rFonts w:ascii="Times New Roman" w:hAnsi="Times New Roman" w:cs="Times New Roman"/>
                <w:color w:val="000000" w:themeColor="text1"/>
                <w:spacing w:val="-2"/>
              </w:rPr>
              <w:t>przesyłkach, dane dotyczące podmiotów korzystających z usług pocztowych oraz dane dotyczące faktu i okoliczności świadczenia usług pocztowych lub korzystania z tych usług</w:t>
            </w:r>
            <w:r w:rsidR="00694E00" w:rsidRPr="008A3FA9">
              <w:rPr>
                <w:rFonts w:ascii="Times New Roman" w:hAnsi="Times New Roman" w:cs="Times New Roman"/>
                <w:color w:val="000000" w:themeColor="text1"/>
                <w:spacing w:val="-2"/>
              </w:rPr>
              <w:t>,</w:t>
            </w:r>
            <w:r w:rsidR="00A10A88" w:rsidRPr="008A3FA9">
              <w:rPr>
                <w:rFonts w:ascii="Times New Roman" w:hAnsi="Times New Roman" w:cs="Times New Roman"/>
                <w:color w:val="000000" w:themeColor="text1"/>
                <w:spacing w:val="-2"/>
              </w:rPr>
              <w:t>;</w:t>
            </w:r>
          </w:p>
          <w:p w14:paraId="12E4A0FB" w14:textId="77777777" w:rsidR="002E7A3F" w:rsidRPr="008A3FA9" w:rsidRDefault="002E7A3F" w:rsidP="008A3FA9">
            <w:pPr>
              <w:spacing w:before="60" w:after="60"/>
              <w:ind w:left="62"/>
              <w:jc w:val="both"/>
              <w:rPr>
                <w:rFonts w:ascii="Times New Roman" w:hAnsi="Times New Roman" w:cs="Times New Roman"/>
                <w:color w:val="000000" w:themeColor="text1"/>
                <w:spacing w:val="-2"/>
              </w:rPr>
            </w:pPr>
            <w:r w:rsidRPr="008A3FA9">
              <w:rPr>
                <w:rFonts w:ascii="Times New Roman" w:hAnsi="Times New Roman" w:cs="Times New Roman"/>
                <w:color w:val="000000" w:themeColor="text1"/>
                <w:spacing w:val="-2"/>
              </w:rPr>
              <w:t>2)</w:t>
            </w:r>
            <w:r w:rsidRPr="008A3FA9">
              <w:rPr>
                <w:rFonts w:ascii="Times New Roman" w:hAnsi="Times New Roman" w:cs="Times New Roman"/>
                <w:color w:val="000000" w:themeColor="text1"/>
                <w:spacing w:val="-2"/>
              </w:rPr>
              <w:tab/>
              <w:t>zapewnia warunki techniczne i organizacyjne świadczenia usług pocztowych</w:t>
            </w:r>
            <w:r w:rsidR="00AB04E9">
              <w:rPr>
                <w:rFonts w:ascii="Times New Roman" w:hAnsi="Times New Roman" w:cs="Times New Roman"/>
                <w:color w:val="000000" w:themeColor="text1"/>
                <w:spacing w:val="-2"/>
              </w:rPr>
              <w:t xml:space="preserve"> </w:t>
            </w:r>
            <w:r w:rsidRPr="008A3FA9">
              <w:rPr>
                <w:rFonts w:ascii="Times New Roman" w:hAnsi="Times New Roman" w:cs="Times New Roman"/>
                <w:color w:val="000000" w:themeColor="text1"/>
                <w:spacing w:val="-2"/>
              </w:rPr>
              <w:t>niezbędne dla zachowania bezpieczeństwa obrotu pocztowego</w:t>
            </w:r>
            <w:r w:rsidR="00A10A88" w:rsidRPr="008A3FA9">
              <w:rPr>
                <w:rFonts w:ascii="Times New Roman" w:hAnsi="Times New Roman" w:cs="Times New Roman"/>
                <w:color w:val="000000" w:themeColor="text1"/>
                <w:spacing w:val="-2"/>
              </w:rPr>
              <w:t>;</w:t>
            </w:r>
          </w:p>
          <w:p w14:paraId="6800832A" w14:textId="77777777" w:rsidR="002E7A3F" w:rsidRPr="008A3FA9" w:rsidRDefault="002E7A3F" w:rsidP="008A3FA9">
            <w:pPr>
              <w:spacing w:before="60" w:after="60"/>
              <w:ind w:left="62" w:right="159"/>
              <w:jc w:val="both"/>
              <w:rPr>
                <w:rFonts w:ascii="Times New Roman" w:hAnsi="Times New Roman" w:cs="Times New Roman"/>
                <w:color w:val="000000" w:themeColor="text1"/>
                <w:spacing w:val="-2"/>
              </w:rPr>
            </w:pPr>
            <w:r w:rsidRPr="008A3FA9">
              <w:rPr>
                <w:rFonts w:ascii="Times New Roman" w:hAnsi="Times New Roman" w:cs="Times New Roman"/>
                <w:color w:val="000000" w:themeColor="text1"/>
                <w:spacing w:val="-2"/>
              </w:rPr>
              <w:t>3)</w:t>
            </w:r>
            <w:r w:rsidRPr="008A3FA9">
              <w:rPr>
                <w:rFonts w:ascii="Times New Roman" w:hAnsi="Times New Roman" w:cs="Times New Roman"/>
                <w:color w:val="000000" w:themeColor="text1"/>
                <w:spacing w:val="-2"/>
              </w:rPr>
              <w:tab/>
              <w:t>posiada stosowane i wymagane regulaminy świadczenia usług pocztowych</w:t>
            </w:r>
            <w:r w:rsidR="00A10A88" w:rsidRPr="008A3FA9">
              <w:rPr>
                <w:rFonts w:ascii="Times New Roman" w:hAnsi="Times New Roman" w:cs="Times New Roman"/>
                <w:color w:val="000000" w:themeColor="text1"/>
                <w:spacing w:val="-2"/>
              </w:rPr>
              <w:t>;</w:t>
            </w:r>
          </w:p>
          <w:p w14:paraId="76B4D51F" w14:textId="77777777" w:rsidR="002E7A3F" w:rsidRPr="008A3FA9" w:rsidRDefault="002E7A3F" w:rsidP="008A3FA9">
            <w:pPr>
              <w:spacing w:before="60" w:after="60"/>
              <w:ind w:left="62" w:right="159"/>
              <w:jc w:val="both"/>
              <w:rPr>
                <w:rFonts w:ascii="Times New Roman" w:hAnsi="Times New Roman" w:cs="Times New Roman"/>
                <w:color w:val="000000" w:themeColor="text1"/>
                <w:spacing w:val="-2"/>
              </w:rPr>
            </w:pPr>
            <w:r w:rsidRPr="008A3FA9">
              <w:rPr>
                <w:rFonts w:ascii="Times New Roman" w:hAnsi="Times New Roman" w:cs="Times New Roman"/>
                <w:color w:val="000000" w:themeColor="text1"/>
                <w:spacing w:val="-2"/>
              </w:rPr>
              <w:t>4)</w:t>
            </w:r>
            <w:r w:rsidRPr="008A3FA9">
              <w:rPr>
                <w:rFonts w:ascii="Times New Roman" w:hAnsi="Times New Roman" w:cs="Times New Roman"/>
                <w:color w:val="000000" w:themeColor="text1"/>
                <w:spacing w:val="-2"/>
              </w:rPr>
              <w:tab/>
              <w:t xml:space="preserve">zapewnia, że wykonywanie działalności nie zagraża obronności, bezpieczeństwu państwa lub bezpieczeństwu i porządkowi publicznemu. </w:t>
            </w:r>
          </w:p>
          <w:p w14:paraId="1260F190" w14:textId="77777777" w:rsidR="000679FD" w:rsidRPr="008A3FA9" w:rsidRDefault="002E7A3F" w:rsidP="008A3FA9">
            <w:pPr>
              <w:spacing w:before="60" w:after="60"/>
              <w:ind w:left="62"/>
              <w:jc w:val="both"/>
              <w:rPr>
                <w:rFonts w:ascii="Times New Roman" w:hAnsi="Times New Roman" w:cs="Times New Roman"/>
                <w:color w:val="000000" w:themeColor="text1"/>
                <w:spacing w:val="-2"/>
              </w:rPr>
            </w:pPr>
            <w:r w:rsidRPr="008A3FA9">
              <w:rPr>
                <w:rFonts w:ascii="Times New Roman" w:hAnsi="Times New Roman" w:cs="Times New Roman"/>
                <w:color w:val="000000" w:themeColor="text1"/>
                <w:spacing w:val="-2"/>
              </w:rPr>
              <w:t xml:space="preserve">Ponadto Poczta Polska S.A. spełnia wymogi bezpieczeństwa w zakresie wydruków korespondencji realizowanych w Ośrodkach Wydruku i Konfekcjonowania (OWiK) </w:t>
            </w:r>
            <w:r w:rsidR="005F6337">
              <w:rPr>
                <w:rFonts w:ascii="Times New Roman" w:hAnsi="Times New Roman" w:cs="Times New Roman"/>
                <w:color w:val="000000" w:themeColor="text1"/>
                <w:spacing w:val="-2"/>
              </w:rPr>
              <w:t>–</w:t>
            </w:r>
            <w:r w:rsidRPr="008A3FA9">
              <w:rPr>
                <w:rFonts w:ascii="Times New Roman" w:hAnsi="Times New Roman" w:cs="Times New Roman"/>
                <w:color w:val="000000" w:themeColor="text1"/>
                <w:spacing w:val="-2"/>
              </w:rPr>
              <w:t xml:space="preserve"> posiada certyfikaty zgodności z normami ISO:27001, ISO:22301, ISO:9001, ISO:31000.</w:t>
            </w:r>
          </w:p>
          <w:p w14:paraId="2C1FD8FC" w14:textId="343753EE" w:rsidR="00550C86" w:rsidRPr="008A3FA9" w:rsidRDefault="00550C86" w:rsidP="008A3FA9">
            <w:pPr>
              <w:spacing w:before="60" w:after="60"/>
              <w:jc w:val="both"/>
              <w:rPr>
                <w:rFonts w:ascii="Times New Roman" w:hAnsi="Times New Roman" w:cs="Times New Roman"/>
                <w:color w:val="000000" w:themeColor="text1"/>
                <w:shd w:val="clear" w:color="auto" w:fill="FFFFFF"/>
              </w:rPr>
            </w:pPr>
            <w:r w:rsidRPr="008A3FA9">
              <w:rPr>
                <w:rFonts w:ascii="Times New Roman" w:hAnsi="Times New Roman" w:cs="Times New Roman"/>
                <w:color w:val="000000" w:themeColor="text1"/>
                <w:shd w:val="clear" w:color="auto" w:fill="FFFFFF"/>
              </w:rPr>
              <w:t>Analizując wpływ cyfryzacji na rynek producentów papieru</w:t>
            </w:r>
            <w:r w:rsidR="004435E8">
              <w:rPr>
                <w:rFonts w:ascii="Times New Roman" w:hAnsi="Times New Roman" w:cs="Times New Roman"/>
                <w:color w:val="000000" w:themeColor="text1"/>
                <w:shd w:val="clear" w:color="auto" w:fill="FFFFFF"/>
              </w:rPr>
              <w:t>,</w:t>
            </w:r>
            <w:r w:rsidRPr="008A3FA9">
              <w:rPr>
                <w:rFonts w:ascii="Times New Roman" w:hAnsi="Times New Roman" w:cs="Times New Roman"/>
                <w:color w:val="000000" w:themeColor="text1"/>
                <w:shd w:val="clear" w:color="auto" w:fill="FFFFFF"/>
              </w:rPr>
              <w:t xml:space="preserve"> należy wskazać kilka aspektów:</w:t>
            </w:r>
          </w:p>
          <w:p w14:paraId="5CD413D0" w14:textId="77777777" w:rsidR="00550C86" w:rsidRPr="008A3FA9" w:rsidRDefault="00694E00" w:rsidP="008A3FA9">
            <w:pPr>
              <w:pStyle w:val="Akapitzlist"/>
              <w:numPr>
                <w:ilvl w:val="0"/>
                <w:numId w:val="17"/>
              </w:numPr>
              <w:spacing w:before="60" w:after="60"/>
              <w:jc w:val="both"/>
              <w:rPr>
                <w:rFonts w:ascii="Times New Roman" w:hAnsi="Times New Roman" w:cs="Times New Roman"/>
                <w:color w:val="000000" w:themeColor="text1"/>
              </w:rPr>
            </w:pPr>
            <w:r w:rsidRPr="008A3FA9">
              <w:rPr>
                <w:rFonts w:ascii="Times New Roman" w:hAnsi="Times New Roman" w:cs="Times New Roman"/>
                <w:color w:val="000000" w:themeColor="text1"/>
                <w:shd w:val="clear" w:color="auto" w:fill="FFFFFF"/>
              </w:rPr>
              <w:t>c</w:t>
            </w:r>
            <w:r w:rsidR="00550C86" w:rsidRPr="008A3FA9">
              <w:rPr>
                <w:rFonts w:ascii="Times New Roman" w:hAnsi="Times New Roman" w:cs="Times New Roman"/>
                <w:color w:val="000000" w:themeColor="text1"/>
                <w:shd w:val="clear" w:color="auto" w:fill="FFFFFF"/>
              </w:rPr>
              <w:t xml:space="preserve">elem </w:t>
            </w:r>
            <w:r w:rsidR="006E44CA" w:rsidRPr="008A3FA9">
              <w:rPr>
                <w:rFonts w:ascii="Times New Roman" w:hAnsi="Times New Roman" w:cs="Times New Roman"/>
                <w:color w:val="000000" w:themeColor="text1"/>
                <w:shd w:val="clear" w:color="auto" w:fill="FFFFFF"/>
              </w:rPr>
              <w:t xml:space="preserve">wprowadzenia </w:t>
            </w:r>
            <w:r w:rsidR="00550C86" w:rsidRPr="008A3FA9">
              <w:rPr>
                <w:rFonts w:ascii="Times New Roman" w:hAnsi="Times New Roman" w:cs="Times New Roman"/>
                <w:color w:val="000000" w:themeColor="text1"/>
                <w:shd w:val="clear" w:color="auto" w:fill="FFFFFF"/>
              </w:rPr>
              <w:t>doręczeń</w:t>
            </w:r>
            <w:r w:rsidR="006E44CA" w:rsidRPr="008A3FA9">
              <w:rPr>
                <w:rFonts w:ascii="Times New Roman" w:hAnsi="Times New Roman" w:cs="Times New Roman"/>
                <w:color w:val="000000" w:themeColor="text1"/>
                <w:shd w:val="clear" w:color="auto" w:fill="FFFFFF"/>
              </w:rPr>
              <w:t xml:space="preserve"> elektronicznych</w:t>
            </w:r>
            <w:r w:rsidR="00550C86" w:rsidRPr="008A3FA9">
              <w:rPr>
                <w:rFonts w:ascii="Times New Roman" w:hAnsi="Times New Roman" w:cs="Times New Roman"/>
                <w:color w:val="000000" w:themeColor="text1"/>
                <w:shd w:val="clear" w:color="auto" w:fill="FFFFFF"/>
              </w:rPr>
              <w:t xml:space="preserve"> nie jest </w:t>
            </w:r>
            <w:r w:rsidR="008950C9" w:rsidRPr="008A3FA9">
              <w:rPr>
                <w:rFonts w:ascii="Times New Roman" w:hAnsi="Times New Roman" w:cs="Times New Roman"/>
                <w:color w:val="000000" w:themeColor="text1"/>
                <w:shd w:val="clear" w:color="auto" w:fill="FFFFFF"/>
              </w:rPr>
              <w:t xml:space="preserve">całkowita </w:t>
            </w:r>
            <w:r w:rsidR="00550C86" w:rsidRPr="008A3FA9">
              <w:rPr>
                <w:rFonts w:ascii="Times New Roman" w:hAnsi="Times New Roman" w:cs="Times New Roman"/>
                <w:color w:val="000000" w:themeColor="text1"/>
                <w:shd w:val="clear" w:color="auto" w:fill="FFFFFF"/>
              </w:rPr>
              <w:t>eliminacja doręczeń papierowych</w:t>
            </w:r>
            <w:r w:rsidR="00A10A88" w:rsidRPr="008A3FA9">
              <w:rPr>
                <w:rFonts w:ascii="Times New Roman" w:hAnsi="Times New Roman" w:cs="Times New Roman"/>
                <w:color w:val="000000" w:themeColor="text1"/>
                <w:shd w:val="clear" w:color="auto" w:fill="FFFFFF"/>
              </w:rPr>
              <w:t>,</w:t>
            </w:r>
            <w:r w:rsidR="00550C86" w:rsidRPr="008A3FA9">
              <w:rPr>
                <w:rFonts w:ascii="Times New Roman" w:hAnsi="Times New Roman" w:cs="Times New Roman"/>
                <w:color w:val="000000" w:themeColor="text1"/>
                <w:shd w:val="clear" w:color="auto" w:fill="FFFFFF"/>
              </w:rPr>
              <w:t xml:space="preserve"> a </w:t>
            </w:r>
            <w:r w:rsidR="008950C9" w:rsidRPr="008A3FA9">
              <w:rPr>
                <w:rFonts w:ascii="Times New Roman" w:hAnsi="Times New Roman" w:cs="Times New Roman"/>
                <w:color w:val="000000" w:themeColor="text1"/>
                <w:shd w:val="clear" w:color="auto" w:fill="FFFFFF"/>
              </w:rPr>
              <w:t>raczej</w:t>
            </w:r>
            <w:r w:rsidR="00550C86" w:rsidRPr="008A3FA9">
              <w:rPr>
                <w:rFonts w:ascii="Times New Roman" w:hAnsi="Times New Roman" w:cs="Times New Roman"/>
                <w:color w:val="000000" w:themeColor="text1"/>
                <w:shd w:val="clear" w:color="auto" w:fill="FFFFFF"/>
              </w:rPr>
              <w:t xml:space="preserve"> ich uzupełnienie</w:t>
            </w:r>
            <w:r w:rsidR="008950C9" w:rsidRPr="008A3FA9">
              <w:rPr>
                <w:rFonts w:ascii="Times New Roman" w:hAnsi="Times New Roman" w:cs="Times New Roman"/>
                <w:color w:val="000000" w:themeColor="text1"/>
                <w:shd w:val="clear" w:color="auto" w:fill="FFFFFF"/>
              </w:rPr>
              <w:t>,</w:t>
            </w:r>
            <w:r w:rsidR="00550C86" w:rsidRPr="008A3FA9">
              <w:rPr>
                <w:rFonts w:ascii="Times New Roman" w:hAnsi="Times New Roman" w:cs="Times New Roman"/>
                <w:color w:val="000000" w:themeColor="text1"/>
                <w:shd w:val="clear" w:color="auto" w:fill="FFFFFF"/>
              </w:rPr>
              <w:t xml:space="preserve"> przez wprowadzenie równoważnych co do </w:t>
            </w:r>
            <w:r w:rsidR="00550C86" w:rsidRPr="008A3FA9">
              <w:rPr>
                <w:rFonts w:ascii="Times New Roman" w:hAnsi="Times New Roman" w:cs="Times New Roman"/>
                <w:color w:val="000000" w:themeColor="text1"/>
                <w:shd w:val="clear" w:color="auto" w:fill="FFFFFF"/>
              </w:rPr>
              <w:lastRenderedPageBreak/>
              <w:t>skutków prawnych</w:t>
            </w:r>
            <w:r w:rsidR="008950C9" w:rsidRPr="008A3FA9">
              <w:rPr>
                <w:rFonts w:ascii="Times New Roman" w:hAnsi="Times New Roman" w:cs="Times New Roman"/>
                <w:color w:val="000000" w:themeColor="text1"/>
                <w:shd w:val="clear" w:color="auto" w:fill="FFFFFF"/>
              </w:rPr>
              <w:t>,</w:t>
            </w:r>
            <w:r w:rsidR="00550C86" w:rsidRPr="008A3FA9">
              <w:rPr>
                <w:rFonts w:ascii="Times New Roman" w:hAnsi="Times New Roman" w:cs="Times New Roman"/>
                <w:color w:val="000000" w:themeColor="text1"/>
                <w:shd w:val="clear" w:color="auto" w:fill="FFFFFF"/>
              </w:rPr>
              <w:t xml:space="preserve"> doręczeń elektronicznych</w:t>
            </w:r>
            <w:r w:rsidR="008950C9" w:rsidRPr="008A3FA9">
              <w:rPr>
                <w:rFonts w:ascii="Times New Roman" w:hAnsi="Times New Roman" w:cs="Times New Roman"/>
                <w:color w:val="000000" w:themeColor="text1"/>
                <w:shd w:val="clear" w:color="auto" w:fill="FFFFFF"/>
              </w:rPr>
              <w:t>.</w:t>
            </w:r>
            <w:r w:rsidR="00550C86" w:rsidRPr="008A3FA9">
              <w:rPr>
                <w:rFonts w:ascii="Times New Roman" w:hAnsi="Times New Roman" w:cs="Times New Roman"/>
                <w:color w:val="000000" w:themeColor="text1"/>
                <w:shd w:val="clear" w:color="auto" w:fill="FFFFFF"/>
              </w:rPr>
              <w:t xml:space="preserve"> </w:t>
            </w:r>
            <w:r w:rsidR="008950C9" w:rsidRPr="008A3FA9">
              <w:rPr>
                <w:rFonts w:ascii="Times New Roman" w:hAnsi="Times New Roman" w:cs="Times New Roman"/>
                <w:color w:val="000000" w:themeColor="text1"/>
                <w:shd w:val="clear" w:color="auto" w:fill="FFFFFF"/>
              </w:rPr>
              <w:t>A więc celem jest</w:t>
            </w:r>
            <w:r w:rsidR="00550C86" w:rsidRPr="008A3FA9">
              <w:rPr>
                <w:rFonts w:ascii="Times New Roman" w:hAnsi="Times New Roman" w:cs="Times New Roman"/>
                <w:color w:val="000000" w:themeColor="text1"/>
                <w:shd w:val="clear" w:color="auto" w:fill="FFFFFF"/>
              </w:rPr>
              <w:t xml:space="preserve"> także stworzenie pomostu między tradycyjnym doręczeniem a doręczeniem cyfrowym – takim pomostem będzie publiczna usługa hybrydowa</w:t>
            </w:r>
            <w:r w:rsidR="00A10A88" w:rsidRPr="008A3FA9">
              <w:rPr>
                <w:rFonts w:ascii="Times New Roman" w:hAnsi="Times New Roman" w:cs="Times New Roman"/>
                <w:color w:val="000000" w:themeColor="text1"/>
                <w:shd w:val="clear" w:color="auto" w:fill="FFFFFF"/>
              </w:rPr>
              <w:t>;</w:t>
            </w:r>
          </w:p>
          <w:p w14:paraId="4F08EB5A" w14:textId="77777777" w:rsidR="00550C86" w:rsidRPr="008A3FA9" w:rsidRDefault="00694E00" w:rsidP="008A3FA9">
            <w:pPr>
              <w:pStyle w:val="Akapitzlist"/>
              <w:numPr>
                <w:ilvl w:val="0"/>
                <w:numId w:val="17"/>
              </w:numPr>
              <w:spacing w:before="60" w:after="60"/>
              <w:jc w:val="both"/>
              <w:rPr>
                <w:rFonts w:ascii="Times New Roman" w:hAnsi="Times New Roman" w:cs="Times New Roman"/>
                <w:color w:val="000000" w:themeColor="text1"/>
              </w:rPr>
            </w:pPr>
            <w:r w:rsidRPr="008A3FA9">
              <w:rPr>
                <w:rFonts w:ascii="Times New Roman" w:hAnsi="Times New Roman" w:cs="Times New Roman"/>
                <w:color w:val="000000" w:themeColor="text1"/>
                <w:shd w:val="clear" w:color="auto" w:fill="FFFFFF"/>
              </w:rPr>
              <w:t>p</w:t>
            </w:r>
            <w:r w:rsidR="00550C86" w:rsidRPr="008A3FA9">
              <w:rPr>
                <w:rFonts w:ascii="Times New Roman" w:hAnsi="Times New Roman" w:cs="Times New Roman"/>
                <w:color w:val="000000" w:themeColor="text1"/>
                <w:shd w:val="clear" w:color="auto" w:fill="FFFFFF"/>
              </w:rPr>
              <w:t>ubliczna usługa hybrydowa zawiera w sobie proces przekształcania przesyłki z postaci elektronicznej w postać papierową przez usługi wydruku, co wiąże się z koniecznością zapewnienia odpowiednich zasobów papieru</w:t>
            </w:r>
            <w:r w:rsidR="00BC3AB0" w:rsidRPr="008A3FA9">
              <w:rPr>
                <w:rFonts w:ascii="Times New Roman" w:hAnsi="Times New Roman" w:cs="Times New Roman"/>
                <w:color w:val="000000" w:themeColor="text1"/>
                <w:shd w:val="clear" w:color="auto" w:fill="FFFFFF"/>
              </w:rPr>
              <w:t>;</w:t>
            </w:r>
          </w:p>
          <w:p w14:paraId="2439BEE7" w14:textId="6DFA41F6" w:rsidR="00550C86" w:rsidRPr="008A3FA9" w:rsidRDefault="00694E00" w:rsidP="008A3FA9">
            <w:pPr>
              <w:pStyle w:val="Akapitzlist"/>
              <w:numPr>
                <w:ilvl w:val="0"/>
                <w:numId w:val="17"/>
              </w:numPr>
              <w:spacing w:before="60" w:after="60"/>
              <w:jc w:val="both"/>
              <w:rPr>
                <w:rFonts w:ascii="Times New Roman" w:hAnsi="Times New Roman" w:cs="Times New Roman"/>
                <w:color w:val="000000" w:themeColor="text1"/>
              </w:rPr>
            </w:pPr>
            <w:r w:rsidRPr="008A3FA9">
              <w:rPr>
                <w:rFonts w:ascii="Times New Roman" w:hAnsi="Times New Roman" w:cs="Times New Roman"/>
                <w:color w:val="000000" w:themeColor="text1"/>
              </w:rPr>
              <w:t>z</w:t>
            </w:r>
            <w:r w:rsidR="00550C86" w:rsidRPr="008A3FA9">
              <w:rPr>
                <w:rFonts w:ascii="Times New Roman" w:hAnsi="Times New Roman" w:cs="Times New Roman"/>
                <w:color w:val="000000" w:themeColor="text1"/>
              </w:rPr>
              <w:t xml:space="preserve"> doręczeń </w:t>
            </w:r>
            <w:r w:rsidR="006E44CA" w:rsidRPr="008A3FA9">
              <w:rPr>
                <w:rFonts w:ascii="Times New Roman" w:hAnsi="Times New Roman" w:cs="Times New Roman"/>
                <w:color w:val="000000" w:themeColor="text1"/>
              </w:rPr>
              <w:t xml:space="preserve">elektronicznych </w:t>
            </w:r>
            <w:r w:rsidR="00550C86" w:rsidRPr="008A3FA9">
              <w:rPr>
                <w:rFonts w:ascii="Times New Roman" w:hAnsi="Times New Roman" w:cs="Times New Roman"/>
                <w:color w:val="000000" w:themeColor="text1"/>
              </w:rPr>
              <w:t>wyłączone są niektóre kategorie przesyłek papierowych</w:t>
            </w:r>
            <w:r w:rsidR="007D7479" w:rsidRPr="008A3FA9">
              <w:rPr>
                <w:rFonts w:ascii="Times New Roman" w:hAnsi="Times New Roman" w:cs="Times New Roman"/>
                <w:color w:val="000000" w:themeColor="text1"/>
              </w:rPr>
              <w:t>,</w:t>
            </w:r>
            <w:r w:rsidR="00550C86" w:rsidRPr="008A3FA9">
              <w:rPr>
                <w:rFonts w:ascii="Times New Roman" w:hAnsi="Times New Roman" w:cs="Times New Roman"/>
                <w:color w:val="000000" w:themeColor="text1"/>
              </w:rPr>
              <w:t xml:space="preserve"> np. </w:t>
            </w:r>
            <w:r w:rsidR="007D7479" w:rsidRPr="008A3FA9">
              <w:rPr>
                <w:rFonts w:ascii="Times New Roman" w:hAnsi="Times New Roman" w:cs="Times New Roman"/>
                <w:color w:val="000000" w:themeColor="text1"/>
              </w:rPr>
              <w:t>z uwagi na objętość i rozmiar</w:t>
            </w:r>
            <w:r w:rsidR="00D15C7A">
              <w:rPr>
                <w:rFonts w:ascii="Times New Roman" w:hAnsi="Times New Roman" w:cs="Times New Roman"/>
                <w:color w:val="000000" w:themeColor="text1"/>
              </w:rPr>
              <w:t xml:space="preserve"> – dotyczy to również</w:t>
            </w:r>
            <w:r w:rsidR="007D7479" w:rsidRPr="008A3FA9">
              <w:rPr>
                <w:rFonts w:ascii="Times New Roman" w:hAnsi="Times New Roman" w:cs="Times New Roman"/>
                <w:color w:val="000000" w:themeColor="text1"/>
              </w:rPr>
              <w:t xml:space="preserve"> sytuacji</w:t>
            </w:r>
            <w:r w:rsidRPr="008A3FA9">
              <w:rPr>
                <w:rFonts w:ascii="Times New Roman" w:hAnsi="Times New Roman" w:cs="Times New Roman"/>
                <w:color w:val="000000" w:themeColor="text1"/>
              </w:rPr>
              <w:t>,</w:t>
            </w:r>
            <w:r w:rsidR="007D7479" w:rsidRPr="008A3FA9">
              <w:rPr>
                <w:rFonts w:ascii="Times New Roman" w:hAnsi="Times New Roman" w:cs="Times New Roman"/>
                <w:color w:val="000000" w:themeColor="text1"/>
              </w:rPr>
              <w:t xml:space="preserve"> gdy ze względu na unikatowość</w:t>
            </w:r>
            <w:r w:rsidR="00D15C7A">
              <w:rPr>
                <w:rFonts w:ascii="Times New Roman" w:hAnsi="Times New Roman" w:cs="Times New Roman"/>
                <w:color w:val="000000" w:themeColor="text1"/>
              </w:rPr>
              <w:t xml:space="preserve"> przesyłka papierowa</w:t>
            </w:r>
            <w:r w:rsidR="007D7479" w:rsidRPr="008A3FA9">
              <w:rPr>
                <w:rFonts w:ascii="Times New Roman" w:hAnsi="Times New Roman" w:cs="Times New Roman"/>
                <w:color w:val="000000" w:themeColor="text1"/>
              </w:rPr>
              <w:t xml:space="preserve"> nie może zostać zastąpiona dokumentem elektronicznym powstałym w wyniku przekształcenia</w:t>
            </w:r>
            <w:r w:rsidR="00BC3AB0" w:rsidRPr="008A3FA9">
              <w:rPr>
                <w:rFonts w:ascii="Times New Roman" w:hAnsi="Times New Roman" w:cs="Times New Roman"/>
                <w:color w:val="000000" w:themeColor="text1"/>
              </w:rPr>
              <w:t>;</w:t>
            </w:r>
          </w:p>
          <w:p w14:paraId="565D6A46" w14:textId="449F9F5B" w:rsidR="00550C86" w:rsidRPr="008A3FA9" w:rsidRDefault="00694E00" w:rsidP="008A3FA9">
            <w:pPr>
              <w:pStyle w:val="Akapitzlist"/>
              <w:numPr>
                <w:ilvl w:val="0"/>
                <w:numId w:val="17"/>
              </w:numPr>
              <w:spacing w:before="60" w:after="60"/>
              <w:jc w:val="both"/>
              <w:rPr>
                <w:rFonts w:ascii="Times New Roman" w:hAnsi="Times New Roman" w:cs="Times New Roman"/>
                <w:color w:val="000000" w:themeColor="text1"/>
              </w:rPr>
            </w:pPr>
            <w:r w:rsidRPr="008A3FA9">
              <w:rPr>
                <w:rFonts w:ascii="Times New Roman" w:hAnsi="Times New Roman" w:cs="Times New Roman"/>
                <w:color w:val="000000" w:themeColor="text1"/>
              </w:rPr>
              <w:t>i</w:t>
            </w:r>
            <w:r w:rsidR="00550C86" w:rsidRPr="008A3FA9">
              <w:rPr>
                <w:rFonts w:ascii="Times New Roman" w:hAnsi="Times New Roman" w:cs="Times New Roman"/>
                <w:color w:val="000000" w:themeColor="text1"/>
              </w:rPr>
              <w:t xml:space="preserve">stnieje już na rynku zbliżona do projektowanej w ustawie </w:t>
            </w:r>
            <w:r w:rsidRPr="008A3FA9">
              <w:rPr>
                <w:rFonts w:ascii="Times New Roman" w:hAnsi="Times New Roman" w:cs="Times New Roman"/>
                <w:color w:val="000000" w:themeColor="text1"/>
              </w:rPr>
              <w:t>p</w:t>
            </w:r>
            <w:r w:rsidR="00550C86" w:rsidRPr="008A3FA9">
              <w:rPr>
                <w:rFonts w:ascii="Times New Roman" w:hAnsi="Times New Roman" w:cs="Times New Roman"/>
                <w:color w:val="000000" w:themeColor="text1"/>
              </w:rPr>
              <w:t xml:space="preserve">ublicznej </w:t>
            </w:r>
            <w:r w:rsidRPr="008A3FA9">
              <w:rPr>
                <w:rFonts w:ascii="Times New Roman" w:hAnsi="Times New Roman" w:cs="Times New Roman"/>
                <w:color w:val="000000" w:themeColor="text1"/>
              </w:rPr>
              <w:t>u</w:t>
            </w:r>
            <w:r w:rsidR="00550C86" w:rsidRPr="008A3FA9">
              <w:rPr>
                <w:rFonts w:ascii="Times New Roman" w:hAnsi="Times New Roman" w:cs="Times New Roman"/>
                <w:color w:val="000000" w:themeColor="text1"/>
              </w:rPr>
              <w:t xml:space="preserve">sługi </w:t>
            </w:r>
            <w:r w:rsidRPr="008A3FA9">
              <w:rPr>
                <w:rFonts w:ascii="Times New Roman" w:hAnsi="Times New Roman" w:cs="Times New Roman"/>
                <w:color w:val="000000" w:themeColor="text1"/>
              </w:rPr>
              <w:t>h</w:t>
            </w:r>
            <w:r w:rsidR="00550C86" w:rsidRPr="008A3FA9">
              <w:rPr>
                <w:rFonts w:ascii="Times New Roman" w:hAnsi="Times New Roman" w:cs="Times New Roman"/>
                <w:color w:val="000000" w:themeColor="text1"/>
              </w:rPr>
              <w:t xml:space="preserve">ybrydowej </w:t>
            </w:r>
            <w:r w:rsidRPr="008A3FA9">
              <w:rPr>
                <w:rFonts w:ascii="Times New Roman" w:hAnsi="Times New Roman" w:cs="Times New Roman"/>
                <w:color w:val="000000" w:themeColor="text1"/>
              </w:rPr>
              <w:t xml:space="preserve">usługa </w:t>
            </w:r>
            <w:r w:rsidR="00550C86" w:rsidRPr="008A3FA9">
              <w:rPr>
                <w:rFonts w:ascii="Times New Roman" w:hAnsi="Times New Roman" w:cs="Times New Roman"/>
                <w:color w:val="000000" w:themeColor="text1"/>
              </w:rPr>
              <w:t>realizowana obecnie przez Pocztę Polską (za pomocą spółki Envelo)</w:t>
            </w:r>
            <w:r w:rsidRPr="008A3FA9">
              <w:rPr>
                <w:rFonts w:ascii="Times New Roman" w:hAnsi="Times New Roman" w:cs="Times New Roman"/>
                <w:color w:val="000000" w:themeColor="text1"/>
              </w:rPr>
              <w:t>,</w:t>
            </w:r>
            <w:r w:rsidR="00550C86" w:rsidRPr="008A3FA9">
              <w:rPr>
                <w:rFonts w:ascii="Times New Roman" w:hAnsi="Times New Roman" w:cs="Times New Roman"/>
                <w:color w:val="000000" w:themeColor="text1"/>
              </w:rPr>
              <w:t xml:space="preserve"> w której następuje przekształcenie w ramach doręczeń korespondencji w</w:t>
            </w:r>
            <w:r w:rsidR="001B514F">
              <w:rPr>
                <w:rFonts w:ascii="Times New Roman" w:hAnsi="Times New Roman" w:cs="Times New Roman"/>
                <w:color w:val="000000" w:themeColor="text1"/>
              </w:rPr>
              <w:t> </w:t>
            </w:r>
            <w:r w:rsidR="00550C86" w:rsidRPr="008A3FA9">
              <w:rPr>
                <w:rFonts w:ascii="Times New Roman" w:hAnsi="Times New Roman" w:cs="Times New Roman"/>
                <w:color w:val="000000" w:themeColor="text1"/>
              </w:rPr>
              <w:t>postaci cyfrowej w postać papierową. W ramach tej usługi zrealizowano wydruk ponad 2</w:t>
            </w:r>
            <w:r w:rsidRPr="008A3FA9">
              <w:rPr>
                <w:rFonts w:ascii="Times New Roman" w:hAnsi="Times New Roman" w:cs="Times New Roman"/>
                <w:color w:val="000000" w:themeColor="text1"/>
              </w:rPr>
              <w:t xml:space="preserve"> </w:t>
            </w:r>
            <w:r w:rsidR="00550C86" w:rsidRPr="008A3FA9">
              <w:rPr>
                <w:rFonts w:ascii="Times New Roman" w:hAnsi="Times New Roman" w:cs="Times New Roman"/>
                <w:color w:val="000000" w:themeColor="text1"/>
              </w:rPr>
              <w:t>mln przesyłek poleconych i ok</w:t>
            </w:r>
            <w:r w:rsidRPr="008A3FA9">
              <w:rPr>
                <w:rFonts w:ascii="Times New Roman" w:hAnsi="Times New Roman" w:cs="Times New Roman"/>
                <w:color w:val="000000" w:themeColor="text1"/>
              </w:rPr>
              <w:t>.</w:t>
            </w:r>
            <w:r w:rsidR="00550C86" w:rsidRPr="008A3FA9">
              <w:rPr>
                <w:rFonts w:ascii="Times New Roman" w:hAnsi="Times New Roman" w:cs="Times New Roman"/>
                <w:color w:val="000000" w:themeColor="text1"/>
              </w:rPr>
              <w:t xml:space="preserve"> 20</w:t>
            </w:r>
            <w:r w:rsidRPr="008A3FA9">
              <w:rPr>
                <w:rFonts w:ascii="Times New Roman" w:hAnsi="Times New Roman" w:cs="Times New Roman"/>
                <w:color w:val="000000" w:themeColor="text1"/>
              </w:rPr>
              <w:t xml:space="preserve"> </w:t>
            </w:r>
            <w:r w:rsidR="00550C86" w:rsidRPr="008A3FA9">
              <w:rPr>
                <w:rFonts w:ascii="Times New Roman" w:hAnsi="Times New Roman" w:cs="Times New Roman"/>
                <w:color w:val="000000" w:themeColor="text1"/>
              </w:rPr>
              <w:t>mln przesyłek listowych w 2017 r.</w:t>
            </w:r>
            <w:r w:rsidRPr="008A3FA9">
              <w:rPr>
                <w:rFonts w:ascii="Times New Roman" w:hAnsi="Times New Roman" w:cs="Times New Roman"/>
                <w:color w:val="000000" w:themeColor="text1"/>
              </w:rPr>
              <w:t>, c</w:t>
            </w:r>
            <w:r w:rsidR="00550C86" w:rsidRPr="008A3FA9">
              <w:rPr>
                <w:rFonts w:ascii="Times New Roman" w:hAnsi="Times New Roman" w:cs="Times New Roman"/>
                <w:color w:val="000000" w:themeColor="text1"/>
              </w:rPr>
              <w:t xml:space="preserve">o </w:t>
            </w:r>
            <w:r w:rsidR="007D7479" w:rsidRPr="008A3FA9">
              <w:rPr>
                <w:rFonts w:ascii="Times New Roman" w:hAnsi="Times New Roman" w:cs="Times New Roman"/>
                <w:color w:val="000000" w:themeColor="text1"/>
              </w:rPr>
              <w:t xml:space="preserve">przekłada się na znaczącą </w:t>
            </w:r>
            <w:r w:rsidR="00550C86" w:rsidRPr="008A3FA9">
              <w:rPr>
                <w:rFonts w:ascii="Times New Roman" w:hAnsi="Times New Roman" w:cs="Times New Roman"/>
                <w:color w:val="000000" w:themeColor="text1"/>
              </w:rPr>
              <w:t>konsumpcję papieru</w:t>
            </w:r>
            <w:r w:rsidR="00D728D1" w:rsidRPr="008A3FA9">
              <w:rPr>
                <w:rFonts w:ascii="Times New Roman" w:hAnsi="Times New Roman" w:cs="Times New Roman"/>
                <w:color w:val="000000" w:themeColor="text1"/>
              </w:rPr>
              <w:t>. Wedłu</w:t>
            </w:r>
            <w:r w:rsidR="007D7479" w:rsidRPr="008A3FA9">
              <w:rPr>
                <w:rFonts w:ascii="Times New Roman" w:hAnsi="Times New Roman" w:cs="Times New Roman"/>
                <w:color w:val="000000" w:themeColor="text1"/>
              </w:rPr>
              <w:t xml:space="preserve">g danych </w:t>
            </w:r>
            <w:r w:rsidR="00D728D1" w:rsidRPr="008A3FA9">
              <w:rPr>
                <w:rFonts w:ascii="Times New Roman" w:hAnsi="Times New Roman" w:cs="Times New Roman"/>
                <w:color w:val="000000" w:themeColor="text1"/>
              </w:rPr>
              <w:t>w</w:t>
            </w:r>
            <w:r w:rsidR="007D7479" w:rsidRPr="008A3FA9">
              <w:rPr>
                <w:rFonts w:ascii="Times New Roman" w:hAnsi="Times New Roman" w:cs="Times New Roman"/>
                <w:color w:val="000000" w:themeColor="text1"/>
              </w:rPr>
              <w:t xml:space="preserve"> 2018 r</w:t>
            </w:r>
            <w:r w:rsidR="00BC3AB0" w:rsidRPr="008A3FA9">
              <w:rPr>
                <w:rFonts w:ascii="Times New Roman" w:hAnsi="Times New Roman" w:cs="Times New Roman"/>
                <w:color w:val="000000" w:themeColor="text1"/>
              </w:rPr>
              <w:t>.</w:t>
            </w:r>
            <w:r w:rsidR="007D7479" w:rsidRPr="008A3FA9">
              <w:rPr>
                <w:rFonts w:ascii="Times New Roman" w:hAnsi="Times New Roman" w:cs="Times New Roman"/>
                <w:color w:val="000000" w:themeColor="text1"/>
              </w:rPr>
              <w:t xml:space="preserve"> wydrukowano </w:t>
            </w:r>
            <w:r w:rsidR="007D7479" w:rsidRPr="008A3FA9">
              <w:rPr>
                <w:rFonts w:ascii="Times New Roman" w:eastAsia="Times New Roman" w:hAnsi="Times New Roman" w:cs="Times New Roman"/>
                <w:b/>
                <w:bCs/>
                <w:color w:val="000000" w:themeColor="text1"/>
              </w:rPr>
              <w:t>72 miliony stron</w:t>
            </w:r>
            <w:r w:rsidR="00550C86" w:rsidRPr="008A3FA9">
              <w:rPr>
                <w:rFonts w:ascii="Times New Roman" w:hAnsi="Times New Roman" w:cs="Times New Roman"/>
                <w:color w:val="000000" w:themeColor="text1"/>
              </w:rPr>
              <w:t>.</w:t>
            </w:r>
          </w:p>
          <w:p w14:paraId="58C2EEC6" w14:textId="2D3D2087" w:rsidR="00550C86" w:rsidRPr="008A3FA9" w:rsidRDefault="00550C86" w:rsidP="008A3FA9">
            <w:pPr>
              <w:spacing w:before="60" w:after="60"/>
              <w:jc w:val="both"/>
              <w:rPr>
                <w:rFonts w:ascii="Times New Roman" w:hAnsi="Times New Roman" w:cs="Times New Roman"/>
                <w:color w:val="000000" w:themeColor="text1"/>
                <w:shd w:val="clear" w:color="auto" w:fill="FFFFFF"/>
              </w:rPr>
            </w:pPr>
            <w:r w:rsidRPr="008A3FA9">
              <w:rPr>
                <w:rFonts w:ascii="Times New Roman" w:hAnsi="Times New Roman" w:cs="Times New Roman"/>
                <w:color w:val="000000" w:themeColor="text1"/>
                <w:shd w:val="clear" w:color="auto" w:fill="FFFFFF"/>
              </w:rPr>
              <w:t>Analizując wpływ na rynek papierniczy</w:t>
            </w:r>
            <w:r w:rsidR="004B44DE">
              <w:rPr>
                <w:rFonts w:ascii="Times New Roman" w:hAnsi="Times New Roman" w:cs="Times New Roman"/>
                <w:color w:val="000000" w:themeColor="text1"/>
                <w:shd w:val="clear" w:color="auto" w:fill="FFFFFF"/>
              </w:rPr>
              <w:t>,</w:t>
            </w:r>
            <w:r w:rsidRPr="008A3FA9">
              <w:rPr>
                <w:rFonts w:ascii="Times New Roman" w:hAnsi="Times New Roman" w:cs="Times New Roman"/>
                <w:color w:val="000000" w:themeColor="text1"/>
                <w:shd w:val="clear" w:color="auto" w:fill="FFFFFF"/>
              </w:rPr>
              <w:t xml:space="preserve"> należy zatem wymienić czynniki pozytywnie wpływające na popyt kształtowany na tym rynku jak również negatywne, które prezentuje poniższa tabela:</w:t>
            </w:r>
          </w:p>
          <w:tbl>
            <w:tblPr>
              <w:tblStyle w:val="Tabela-Siatka"/>
              <w:tblW w:w="0" w:type="auto"/>
              <w:tblLayout w:type="fixed"/>
              <w:tblLook w:val="04A0" w:firstRow="1" w:lastRow="0" w:firstColumn="1" w:lastColumn="0" w:noHBand="0" w:noVBand="1"/>
            </w:tblPr>
            <w:tblGrid>
              <w:gridCol w:w="4531"/>
              <w:gridCol w:w="3890"/>
            </w:tblGrid>
            <w:tr w:rsidR="005C3FCE" w:rsidRPr="00E42D6D" w14:paraId="4E264C24" w14:textId="77777777" w:rsidTr="00271F42">
              <w:tc>
                <w:tcPr>
                  <w:tcW w:w="4531" w:type="dxa"/>
                  <w:shd w:val="clear" w:color="auto" w:fill="FFFFFF" w:themeFill="background1"/>
                </w:tcPr>
                <w:p w14:paraId="494EF89F" w14:textId="77777777" w:rsidR="00550C86" w:rsidRPr="008A3FA9" w:rsidRDefault="00550C86" w:rsidP="008A3FA9">
                  <w:pPr>
                    <w:spacing w:before="60" w:after="60"/>
                    <w:rPr>
                      <w:rFonts w:ascii="Times New Roman" w:hAnsi="Times New Roman" w:cs="Times New Roman"/>
                      <w:b/>
                      <w:color w:val="000000" w:themeColor="text1"/>
                      <w:shd w:val="clear" w:color="auto" w:fill="FFFFFF"/>
                    </w:rPr>
                  </w:pPr>
                  <w:r w:rsidRPr="008A3FA9">
                    <w:rPr>
                      <w:rFonts w:ascii="Times New Roman" w:hAnsi="Times New Roman" w:cs="Times New Roman"/>
                      <w:b/>
                      <w:color w:val="000000" w:themeColor="text1"/>
                      <w:shd w:val="clear" w:color="auto" w:fill="FFFFFF"/>
                    </w:rPr>
                    <w:t>Czynniki potencjalnie zwiększające popyt na papier</w:t>
                  </w:r>
                </w:p>
              </w:tc>
              <w:tc>
                <w:tcPr>
                  <w:tcW w:w="3890" w:type="dxa"/>
                  <w:shd w:val="clear" w:color="auto" w:fill="FFFFFF" w:themeFill="background1"/>
                </w:tcPr>
                <w:p w14:paraId="75A4CBAB" w14:textId="77777777" w:rsidR="00550C86" w:rsidRPr="008A3FA9" w:rsidRDefault="00550C86" w:rsidP="008A3FA9">
                  <w:pPr>
                    <w:spacing w:before="60" w:after="60"/>
                    <w:rPr>
                      <w:rFonts w:ascii="Times New Roman" w:hAnsi="Times New Roman" w:cs="Times New Roman"/>
                      <w:b/>
                      <w:color w:val="000000" w:themeColor="text1"/>
                      <w:shd w:val="clear" w:color="auto" w:fill="FFFFFF"/>
                    </w:rPr>
                  </w:pPr>
                  <w:r w:rsidRPr="008A3FA9">
                    <w:rPr>
                      <w:rFonts w:ascii="Times New Roman" w:hAnsi="Times New Roman" w:cs="Times New Roman"/>
                      <w:b/>
                      <w:color w:val="000000" w:themeColor="text1"/>
                      <w:shd w:val="clear" w:color="auto" w:fill="FFFFFF"/>
                    </w:rPr>
                    <w:t>Czynniki potencjalnie zmniejszające popyt na papier</w:t>
                  </w:r>
                </w:p>
              </w:tc>
            </w:tr>
            <w:tr w:rsidR="005C3FCE" w:rsidRPr="00E42D6D" w14:paraId="6EC52633" w14:textId="77777777" w:rsidTr="00271F42">
              <w:tc>
                <w:tcPr>
                  <w:tcW w:w="4531" w:type="dxa"/>
                </w:tcPr>
                <w:p w14:paraId="2E43E602" w14:textId="064069F5" w:rsidR="00550C86" w:rsidRPr="008A3FA9" w:rsidRDefault="00550C86" w:rsidP="008A3FA9">
                  <w:pPr>
                    <w:spacing w:before="60" w:after="60"/>
                    <w:rPr>
                      <w:rFonts w:ascii="Times New Roman" w:hAnsi="Times New Roman" w:cs="Times New Roman"/>
                      <w:color w:val="000000" w:themeColor="text1"/>
                      <w:shd w:val="clear" w:color="auto" w:fill="FFFFFF"/>
                    </w:rPr>
                  </w:pPr>
                  <w:r w:rsidRPr="008A3FA9">
                    <w:rPr>
                      <w:rFonts w:ascii="Times New Roman" w:hAnsi="Times New Roman" w:cs="Times New Roman"/>
                      <w:color w:val="000000" w:themeColor="text1"/>
                      <w:shd w:val="clear" w:color="auto" w:fill="FFFFFF"/>
                    </w:rPr>
                    <w:t xml:space="preserve">Wprowadzenie i popularyzacja </w:t>
                  </w:r>
                  <w:r w:rsidR="00D728D1" w:rsidRPr="008A3FA9">
                    <w:rPr>
                      <w:rFonts w:ascii="Times New Roman" w:hAnsi="Times New Roman" w:cs="Times New Roman"/>
                      <w:color w:val="000000" w:themeColor="text1"/>
                      <w:shd w:val="clear" w:color="auto" w:fill="FFFFFF"/>
                    </w:rPr>
                    <w:t>p</w:t>
                  </w:r>
                  <w:r w:rsidRPr="008A3FA9">
                    <w:rPr>
                      <w:rFonts w:ascii="Times New Roman" w:hAnsi="Times New Roman" w:cs="Times New Roman"/>
                      <w:color w:val="000000" w:themeColor="text1"/>
                      <w:shd w:val="clear" w:color="auto" w:fill="FFFFFF"/>
                    </w:rPr>
                    <w:t xml:space="preserve">ublicznej </w:t>
                  </w:r>
                  <w:r w:rsidR="00D728D1" w:rsidRPr="008A3FA9">
                    <w:rPr>
                      <w:rFonts w:ascii="Times New Roman" w:hAnsi="Times New Roman" w:cs="Times New Roman"/>
                      <w:color w:val="000000" w:themeColor="text1"/>
                      <w:shd w:val="clear" w:color="auto" w:fill="FFFFFF"/>
                    </w:rPr>
                    <w:t>u</w:t>
                  </w:r>
                  <w:r w:rsidRPr="008A3FA9">
                    <w:rPr>
                      <w:rFonts w:ascii="Times New Roman" w:hAnsi="Times New Roman" w:cs="Times New Roman"/>
                      <w:color w:val="000000" w:themeColor="text1"/>
                      <w:shd w:val="clear" w:color="auto" w:fill="FFFFFF"/>
                    </w:rPr>
                    <w:t xml:space="preserve">sługi </w:t>
                  </w:r>
                  <w:r w:rsidR="00D728D1" w:rsidRPr="008A3FA9">
                    <w:rPr>
                      <w:rFonts w:ascii="Times New Roman" w:hAnsi="Times New Roman" w:cs="Times New Roman"/>
                      <w:color w:val="000000" w:themeColor="text1"/>
                      <w:shd w:val="clear" w:color="auto" w:fill="FFFFFF"/>
                    </w:rPr>
                    <w:t>h</w:t>
                  </w:r>
                  <w:r w:rsidRPr="008A3FA9">
                    <w:rPr>
                      <w:rFonts w:ascii="Times New Roman" w:hAnsi="Times New Roman" w:cs="Times New Roman"/>
                      <w:color w:val="000000" w:themeColor="text1"/>
                      <w:shd w:val="clear" w:color="auto" w:fill="FFFFFF"/>
                    </w:rPr>
                    <w:t>ybrydowej dla wykluczonych cyfrowo oraz tych</w:t>
                  </w:r>
                  <w:r w:rsidR="008A5EF4">
                    <w:rPr>
                      <w:rFonts w:ascii="Times New Roman" w:hAnsi="Times New Roman" w:cs="Times New Roman"/>
                      <w:color w:val="000000" w:themeColor="text1"/>
                      <w:shd w:val="clear" w:color="auto" w:fill="FFFFFF"/>
                    </w:rPr>
                    <w:t>,</w:t>
                  </w:r>
                  <w:r w:rsidRPr="008A3FA9">
                    <w:rPr>
                      <w:rFonts w:ascii="Times New Roman" w:hAnsi="Times New Roman" w:cs="Times New Roman"/>
                      <w:color w:val="000000" w:themeColor="text1"/>
                      <w:shd w:val="clear" w:color="auto" w:fill="FFFFFF"/>
                    </w:rPr>
                    <w:t xml:space="preserve"> którzy nie zgodzili się na </w:t>
                  </w:r>
                  <w:r w:rsidR="00B7368D" w:rsidRPr="008A3FA9">
                    <w:rPr>
                      <w:rFonts w:ascii="Times New Roman" w:hAnsi="Times New Roman" w:cs="Times New Roman"/>
                      <w:color w:val="000000" w:themeColor="text1"/>
                      <w:shd w:val="clear" w:color="auto" w:fill="FFFFFF"/>
                    </w:rPr>
                    <w:t>doręczenia elektroniczne</w:t>
                  </w:r>
                  <w:r w:rsidRPr="008A3FA9">
                    <w:rPr>
                      <w:rFonts w:ascii="Times New Roman" w:hAnsi="Times New Roman" w:cs="Times New Roman"/>
                      <w:color w:val="000000" w:themeColor="text1"/>
                      <w:shd w:val="clear" w:color="auto" w:fill="FFFFFF"/>
                    </w:rPr>
                    <w:t xml:space="preserve"> </w:t>
                  </w:r>
                </w:p>
              </w:tc>
              <w:tc>
                <w:tcPr>
                  <w:tcW w:w="3890" w:type="dxa"/>
                </w:tcPr>
                <w:p w14:paraId="7DDBA7E6" w14:textId="77777777" w:rsidR="00271F42" w:rsidRPr="008A3FA9" w:rsidRDefault="00550C86" w:rsidP="008A3FA9">
                  <w:pPr>
                    <w:spacing w:before="60" w:after="60"/>
                    <w:rPr>
                      <w:rFonts w:ascii="Times New Roman" w:hAnsi="Times New Roman" w:cs="Times New Roman"/>
                      <w:color w:val="000000" w:themeColor="text1"/>
                      <w:shd w:val="clear" w:color="auto" w:fill="FFFFFF"/>
                    </w:rPr>
                  </w:pPr>
                  <w:r w:rsidRPr="008A3FA9">
                    <w:rPr>
                      <w:rFonts w:ascii="Times New Roman" w:hAnsi="Times New Roman" w:cs="Times New Roman"/>
                      <w:color w:val="000000" w:themeColor="text1"/>
                      <w:shd w:val="clear" w:color="auto" w:fill="FFFFFF"/>
                    </w:rPr>
                    <w:t>W projekcie zakłada się</w:t>
                  </w:r>
                  <w:r w:rsidR="0066629F" w:rsidRPr="008A3FA9">
                    <w:rPr>
                      <w:rFonts w:ascii="Times New Roman" w:hAnsi="Times New Roman" w:cs="Times New Roman"/>
                      <w:color w:val="000000" w:themeColor="text1"/>
                      <w:shd w:val="clear" w:color="auto" w:fill="FFFFFF"/>
                    </w:rPr>
                    <w:t>,</w:t>
                  </w:r>
                  <w:r w:rsidRPr="008A3FA9">
                    <w:rPr>
                      <w:rFonts w:ascii="Times New Roman" w:hAnsi="Times New Roman" w:cs="Times New Roman"/>
                      <w:color w:val="000000" w:themeColor="text1"/>
                      <w:shd w:val="clear" w:color="auto" w:fill="FFFFFF"/>
                    </w:rPr>
                    <w:t xml:space="preserve"> że redukcję skali zjawiska wydruków wtórnych realizowanych przez podmioty publiczne</w:t>
                  </w:r>
                  <w:r w:rsidR="0066629F" w:rsidRPr="008A3FA9">
                    <w:rPr>
                      <w:rFonts w:ascii="Times New Roman" w:hAnsi="Times New Roman" w:cs="Times New Roman"/>
                      <w:color w:val="000000" w:themeColor="text1"/>
                      <w:shd w:val="clear" w:color="auto" w:fill="FFFFFF"/>
                    </w:rPr>
                    <w:t>,</w:t>
                  </w:r>
                  <w:r w:rsidR="00271F42" w:rsidRPr="008A3FA9">
                    <w:rPr>
                      <w:rFonts w:ascii="Times New Roman" w:hAnsi="Times New Roman" w:cs="Times New Roman"/>
                      <w:color w:val="000000" w:themeColor="text1"/>
                      <w:shd w:val="clear" w:color="auto" w:fill="FFFFFF"/>
                    </w:rPr>
                    <w:t xml:space="preserve"> a także część informacji, która mogła być zwielokrotniona za pomocą postaci papierowej (kserokopie), ulegnie digitalizacji </w:t>
                  </w:r>
                  <w:r w:rsidR="00271F42" w:rsidRPr="008A3FA9">
                    <w:rPr>
                      <w:rFonts w:ascii="Times New Roman" w:hAnsi="Times New Roman" w:cs="Times New Roman"/>
                      <w:color w:val="000000" w:themeColor="text1"/>
                      <w:shd w:val="clear" w:color="auto" w:fill="FFFFFF"/>
                    </w:rPr>
                    <w:br/>
                    <w:t>w procesie przekształcenia</w:t>
                  </w:r>
                  <w:r w:rsidR="00271F42" w:rsidRPr="008A3FA9">
                    <w:rPr>
                      <w:rFonts w:ascii="Times New Roman" w:hAnsi="Times New Roman" w:cs="Times New Roman"/>
                      <w:color w:val="000000" w:themeColor="text1"/>
                      <w:shd w:val="clear" w:color="auto" w:fill="FFFFFF"/>
                    </w:rPr>
                    <w:br/>
                    <w:t>do postaci cyfrowej</w:t>
                  </w:r>
                  <w:r w:rsidR="00C40035" w:rsidRPr="008A3FA9">
                    <w:rPr>
                      <w:rFonts w:ascii="Times New Roman" w:hAnsi="Times New Roman" w:cs="Times New Roman"/>
                      <w:color w:val="000000" w:themeColor="text1"/>
                      <w:shd w:val="clear" w:color="auto" w:fill="FFFFFF"/>
                    </w:rPr>
                    <w:t xml:space="preserve"> i wysyłki za pomocą publicznej usługi rejestrowanego doręczenia elektronicznego bądź publicznej usługi hybrydowej</w:t>
                  </w:r>
                </w:p>
              </w:tc>
            </w:tr>
            <w:tr w:rsidR="005C3FCE" w:rsidRPr="00E42D6D" w14:paraId="47142C7A" w14:textId="77777777" w:rsidTr="00271F42">
              <w:tc>
                <w:tcPr>
                  <w:tcW w:w="4531" w:type="dxa"/>
                </w:tcPr>
                <w:p w14:paraId="1C577847" w14:textId="13F98FD5" w:rsidR="00550C86" w:rsidRPr="008A3FA9" w:rsidRDefault="00271F42" w:rsidP="008A3FA9">
                  <w:pPr>
                    <w:spacing w:before="60" w:after="60"/>
                    <w:rPr>
                      <w:rFonts w:ascii="Times New Roman" w:hAnsi="Times New Roman" w:cs="Times New Roman"/>
                      <w:color w:val="000000" w:themeColor="text1"/>
                      <w:shd w:val="clear" w:color="auto" w:fill="FFFFFF"/>
                    </w:rPr>
                  </w:pPr>
                  <w:r w:rsidRPr="008A3FA9">
                    <w:rPr>
                      <w:rFonts w:ascii="Times New Roman" w:hAnsi="Times New Roman" w:cs="Times New Roman"/>
                      <w:color w:val="000000" w:themeColor="text1"/>
                      <w:shd w:val="clear" w:color="auto" w:fill="FFFFFF"/>
                    </w:rPr>
                    <w:t>Cyfryzacja</w:t>
                  </w:r>
                  <w:r w:rsidR="0076229A" w:rsidRPr="008A3FA9">
                    <w:rPr>
                      <w:rFonts w:ascii="Times New Roman" w:hAnsi="Times New Roman" w:cs="Times New Roman"/>
                      <w:color w:val="000000" w:themeColor="text1"/>
                      <w:shd w:val="clear" w:color="auto" w:fill="FFFFFF"/>
                    </w:rPr>
                    <w:t xml:space="preserve"> nadania po stronie podmiotów publicznych w przypadku publicznej usługi hybrydowej nie likwiduje użycia papieru</w:t>
                  </w:r>
                  <w:r w:rsidR="00AE2F57">
                    <w:rPr>
                      <w:rFonts w:ascii="Times New Roman" w:hAnsi="Times New Roman" w:cs="Times New Roman"/>
                      <w:color w:val="000000" w:themeColor="text1"/>
                      <w:shd w:val="clear" w:color="auto" w:fill="FFFFFF"/>
                    </w:rPr>
                    <w:t>,</w:t>
                  </w:r>
                  <w:r w:rsidR="0076229A" w:rsidRPr="008A3FA9">
                    <w:rPr>
                      <w:rFonts w:ascii="Times New Roman" w:hAnsi="Times New Roman" w:cs="Times New Roman"/>
                      <w:color w:val="000000" w:themeColor="text1"/>
                      <w:shd w:val="clear" w:color="auto" w:fill="FFFFFF"/>
                    </w:rPr>
                    <w:t xml:space="preserve"> lecz przenosi je na operatora wyznaczonego (wydruk, kopertowanie)</w:t>
                  </w:r>
                </w:p>
              </w:tc>
              <w:tc>
                <w:tcPr>
                  <w:tcW w:w="3890" w:type="dxa"/>
                </w:tcPr>
                <w:p w14:paraId="62ADF81C" w14:textId="77777777" w:rsidR="00550C86" w:rsidRPr="008A3FA9" w:rsidRDefault="00550C86" w:rsidP="008A3FA9">
                  <w:pPr>
                    <w:spacing w:before="60" w:after="60"/>
                    <w:rPr>
                      <w:rFonts w:ascii="Times New Roman" w:hAnsi="Times New Roman" w:cs="Times New Roman"/>
                      <w:color w:val="000000" w:themeColor="text1"/>
                      <w:shd w:val="clear" w:color="auto" w:fill="FFFFFF"/>
                    </w:rPr>
                  </w:pPr>
                  <w:r w:rsidRPr="008A3FA9">
                    <w:rPr>
                      <w:rFonts w:ascii="Times New Roman" w:hAnsi="Times New Roman" w:cs="Times New Roman"/>
                      <w:color w:val="000000" w:themeColor="text1"/>
                      <w:shd w:val="clear" w:color="auto" w:fill="FFFFFF"/>
                    </w:rPr>
                    <w:t>Realizacja korespondencji za pomocą publicznej usługi rejestrowanego doręczenia elektronicznego może zredukować zapotrzebowanie na wybrane rodzaje papieru jak koperty, znaczki, druki nadania/odbioru</w:t>
                  </w:r>
                  <w:r w:rsidR="0076229A" w:rsidRPr="008A3FA9">
                    <w:rPr>
                      <w:rFonts w:ascii="Times New Roman" w:hAnsi="Times New Roman" w:cs="Times New Roman"/>
                      <w:color w:val="000000" w:themeColor="text1"/>
                      <w:shd w:val="clear" w:color="auto" w:fill="FFFFFF"/>
                    </w:rPr>
                    <w:t xml:space="preserve"> po stronie nadawcy</w:t>
                  </w:r>
                </w:p>
              </w:tc>
            </w:tr>
            <w:tr w:rsidR="005C3FCE" w:rsidRPr="00E42D6D" w14:paraId="3CDCAEB9" w14:textId="77777777" w:rsidTr="00271F42">
              <w:tc>
                <w:tcPr>
                  <w:tcW w:w="4531" w:type="dxa"/>
                </w:tcPr>
                <w:p w14:paraId="6BFB2A25" w14:textId="77777777" w:rsidR="00550C86" w:rsidRPr="008A3FA9" w:rsidRDefault="00550C86" w:rsidP="008A3FA9">
                  <w:pPr>
                    <w:spacing w:before="60" w:after="60"/>
                    <w:rPr>
                      <w:rFonts w:ascii="Times New Roman" w:hAnsi="Times New Roman" w:cs="Times New Roman"/>
                      <w:color w:val="000000" w:themeColor="text1"/>
                      <w:shd w:val="clear" w:color="auto" w:fill="FFFFFF"/>
                    </w:rPr>
                  </w:pPr>
                </w:p>
              </w:tc>
              <w:tc>
                <w:tcPr>
                  <w:tcW w:w="3890" w:type="dxa"/>
                </w:tcPr>
                <w:p w14:paraId="1D8CC7E0" w14:textId="768A7E2F" w:rsidR="00550C86" w:rsidRPr="008A3FA9" w:rsidRDefault="00550C86" w:rsidP="008A3FA9">
                  <w:pPr>
                    <w:spacing w:before="60" w:after="60"/>
                    <w:rPr>
                      <w:rFonts w:ascii="Times New Roman" w:hAnsi="Times New Roman" w:cs="Times New Roman"/>
                      <w:color w:val="000000" w:themeColor="text1"/>
                      <w:shd w:val="clear" w:color="auto" w:fill="FFFFFF"/>
                    </w:rPr>
                  </w:pPr>
                  <w:r w:rsidRPr="008A3FA9">
                    <w:rPr>
                      <w:rFonts w:ascii="Times New Roman" w:hAnsi="Times New Roman" w:cs="Times New Roman"/>
                      <w:color w:val="000000" w:themeColor="text1"/>
                      <w:shd w:val="clear" w:color="auto" w:fill="FFFFFF"/>
                    </w:rPr>
                    <w:t>Realizacja części procesów biznesowych odbywać się będzie z wykorzystaniem e-usług w których używane będą usługi formularzowe (e-formularze)</w:t>
                  </w:r>
                  <w:r w:rsidR="00AE2F57">
                    <w:rPr>
                      <w:rFonts w:ascii="Times New Roman" w:hAnsi="Times New Roman" w:cs="Times New Roman"/>
                      <w:color w:val="000000" w:themeColor="text1"/>
                      <w:shd w:val="clear" w:color="auto" w:fill="FFFFFF"/>
                    </w:rPr>
                    <w:t>,</w:t>
                  </w:r>
                  <w:r w:rsidRPr="008A3FA9">
                    <w:rPr>
                      <w:rFonts w:ascii="Times New Roman" w:hAnsi="Times New Roman" w:cs="Times New Roman"/>
                      <w:color w:val="000000" w:themeColor="text1"/>
                      <w:shd w:val="clear" w:color="auto" w:fill="FFFFFF"/>
                    </w:rPr>
                    <w:t xml:space="preserve"> z jednoczesnym odwrotem od możliw</w:t>
                  </w:r>
                  <w:r w:rsidR="008950C9" w:rsidRPr="008A3FA9">
                    <w:rPr>
                      <w:rFonts w:ascii="Times New Roman" w:hAnsi="Times New Roman" w:cs="Times New Roman"/>
                      <w:color w:val="000000" w:themeColor="text1"/>
                      <w:shd w:val="clear" w:color="auto" w:fill="FFFFFF"/>
                    </w:rPr>
                    <w:t xml:space="preserve">ości procesowania tradycyjnych </w:t>
                  </w:r>
                  <w:r w:rsidRPr="008A3FA9">
                    <w:rPr>
                      <w:rFonts w:ascii="Times New Roman" w:hAnsi="Times New Roman" w:cs="Times New Roman"/>
                      <w:color w:val="000000" w:themeColor="text1"/>
                      <w:shd w:val="clear" w:color="auto" w:fill="FFFFFF"/>
                    </w:rPr>
                    <w:t>papierowych) wniosków składanych w urzędach</w:t>
                  </w:r>
                </w:p>
              </w:tc>
            </w:tr>
          </w:tbl>
          <w:p w14:paraId="7927BA95" w14:textId="16A13F93" w:rsidR="00550C86" w:rsidRPr="008A3FA9" w:rsidRDefault="00550C86" w:rsidP="008A3FA9">
            <w:pPr>
              <w:spacing w:before="60" w:after="60"/>
              <w:jc w:val="both"/>
              <w:rPr>
                <w:rFonts w:ascii="Times New Roman" w:hAnsi="Times New Roman" w:cs="Times New Roman"/>
                <w:color w:val="000000" w:themeColor="text1"/>
                <w:shd w:val="clear" w:color="auto" w:fill="FFFFFF"/>
              </w:rPr>
            </w:pPr>
            <w:r w:rsidRPr="008A3FA9">
              <w:rPr>
                <w:rFonts w:ascii="Times New Roman" w:hAnsi="Times New Roman" w:cs="Times New Roman"/>
                <w:color w:val="000000" w:themeColor="text1"/>
                <w:shd w:val="clear" w:color="auto" w:fill="FFFFFF"/>
              </w:rPr>
              <w:t>Pomimo że projekt e-Doręczenia znacząco przyczyni się do zmniejszenia obrotu korespondencji papierowej w urzędach oraz ob</w:t>
            </w:r>
            <w:r w:rsidR="00D728D1" w:rsidRPr="008A3FA9">
              <w:rPr>
                <w:rFonts w:ascii="Times New Roman" w:hAnsi="Times New Roman" w:cs="Times New Roman"/>
                <w:color w:val="000000" w:themeColor="text1"/>
                <w:shd w:val="clear" w:color="auto" w:fill="FFFFFF"/>
              </w:rPr>
              <w:t>rotu</w:t>
            </w:r>
            <w:r w:rsidRPr="008A3FA9">
              <w:rPr>
                <w:rFonts w:ascii="Times New Roman" w:hAnsi="Times New Roman" w:cs="Times New Roman"/>
                <w:color w:val="000000" w:themeColor="text1"/>
                <w:shd w:val="clear" w:color="auto" w:fill="FFFFFF"/>
              </w:rPr>
              <w:t xml:space="preserve"> dokumentacji wewnątrz podmiotów publicznych</w:t>
            </w:r>
            <w:r w:rsidR="00D728D1" w:rsidRPr="008A3FA9">
              <w:rPr>
                <w:rFonts w:ascii="Times New Roman" w:hAnsi="Times New Roman" w:cs="Times New Roman"/>
                <w:color w:val="000000" w:themeColor="text1"/>
                <w:shd w:val="clear" w:color="auto" w:fill="FFFFFF"/>
              </w:rPr>
              <w:t>,</w:t>
            </w:r>
            <w:r w:rsidRPr="008A3FA9">
              <w:rPr>
                <w:rFonts w:ascii="Times New Roman" w:hAnsi="Times New Roman" w:cs="Times New Roman"/>
                <w:color w:val="000000" w:themeColor="text1"/>
                <w:shd w:val="clear" w:color="auto" w:fill="FFFFFF"/>
              </w:rPr>
              <w:t xml:space="preserve"> to korespondencja papierowa nadal zostanie w obrocie, aby umożliwić kontakt z</w:t>
            </w:r>
            <w:r w:rsidR="001B514F">
              <w:rPr>
                <w:rFonts w:ascii="Times New Roman" w:hAnsi="Times New Roman" w:cs="Times New Roman"/>
                <w:color w:val="000000" w:themeColor="text1"/>
                <w:shd w:val="clear" w:color="auto" w:fill="FFFFFF"/>
              </w:rPr>
              <w:t> </w:t>
            </w:r>
            <w:r w:rsidRPr="008A3FA9">
              <w:rPr>
                <w:rFonts w:ascii="Times New Roman" w:hAnsi="Times New Roman" w:cs="Times New Roman"/>
                <w:color w:val="000000" w:themeColor="text1"/>
                <w:shd w:val="clear" w:color="auto" w:fill="FFFFFF"/>
              </w:rPr>
              <w:t>administracją osobom wykluczonym cyfrowo lub nie wyrażającym chęci doręczania elektronicznego</w:t>
            </w:r>
          </w:p>
          <w:p w14:paraId="042DDBFF" w14:textId="61188982" w:rsidR="008950C9" w:rsidRPr="008A3FA9" w:rsidRDefault="00550C86" w:rsidP="008A3FA9">
            <w:pPr>
              <w:spacing w:before="60" w:after="60"/>
              <w:jc w:val="both"/>
              <w:rPr>
                <w:rFonts w:ascii="Times New Roman" w:hAnsi="Times New Roman" w:cs="Times New Roman"/>
                <w:color w:val="000000" w:themeColor="text1"/>
                <w:shd w:val="clear" w:color="auto" w:fill="FFFFFF"/>
              </w:rPr>
            </w:pPr>
            <w:r w:rsidRPr="008A3FA9">
              <w:rPr>
                <w:rFonts w:ascii="Times New Roman" w:hAnsi="Times New Roman" w:cs="Times New Roman"/>
                <w:color w:val="000000" w:themeColor="text1"/>
                <w:shd w:val="clear" w:color="auto" w:fill="FFFFFF"/>
              </w:rPr>
              <w:t>Warto zwrócić uwagę</w:t>
            </w:r>
            <w:r w:rsidR="00D728D1" w:rsidRPr="008A3FA9">
              <w:rPr>
                <w:rFonts w:ascii="Times New Roman" w:hAnsi="Times New Roman" w:cs="Times New Roman"/>
                <w:color w:val="000000" w:themeColor="text1"/>
                <w:shd w:val="clear" w:color="auto" w:fill="FFFFFF"/>
              </w:rPr>
              <w:t>,</w:t>
            </w:r>
            <w:r w:rsidRPr="008A3FA9">
              <w:rPr>
                <w:rFonts w:ascii="Times New Roman" w:hAnsi="Times New Roman" w:cs="Times New Roman"/>
                <w:color w:val="000000" w:themeColor="text1"/>
                <w:shd w:val="clear" w:color="auto" w:fill="FFFFFF"/>
              </w:rPr>
              <w:t xml:space="preserve"> że </w:t>
            </w:r>
            <w:r w:rsidR="0066629F" w:rsidRPr="008A3FA9">
              <w:rPr>
                <w:rFonts w:ascii="Times New Roman" w:hAnsi="Times New Roman" w:cs="Times New Roman"/>
                <w:color w:val="000000" w:themeColor="text1"/>
                <w:shd w:val="clear" w:color="auto" w:fill="FFFFFF"/>
              </w:rPr>
              <w:t xml:space="preserve">projekt ustawy </w:t>
            </w:r>
            <w:r w:rsidRPr="008A3FA9">
              <w:rPr>
                <w:rFonts w:ascii="Times New Roman" w:hAnsi="Times New Roman" w:cs="Times New Roman"/>
                <w:color w:val="000000" w:themeColor="text1"/>
                <w:shd w:val="clear" w:color="auto" w:fill="FFFFFF"/>
              </w:rPr>
              <w:t xml:space="preserve">nie godzi w interesy artykułowane przez lobby papiernicze do którego zaliczyć można wydawnictwa czy lobby księgarskie (np. nie wpływa na proponowaną przez Polską Izbę Książki </w:t>
            </w:r>
            <w:r w:rsidR="0066629F" w:rsidRPr="008A3FA9">
              <w:rPr>
                <w:rFonts w:ascii="Times New Roman" w:hAnsi="Times New Roman" w:cs="Times New Roman"/>
                <w:color w:val="000000" w:themeColor="text1"/>
                <w:shd w:val="clear" w:color="auto" w:fill="FFFFFF"/>
              </w:rPr>
              <w:t>u</w:t>
            </w:r>
            <w:r w:rsidRPr="008A3FA9">
              <w:rPr>
                <w:rFonts w:ascii="Times New Roman" w:hAnsi="Times New Roman" w:cs="Times New Roman"/>
                <w:color w:val="000000" w:themeColor="text1"/>
                <w:shd w:val="clear" w:color="auto" w:fill="FFFFFF"/>
              </w:rPr>
              <w:t>stawę o książce)</w:t>
            </w:r>
            <w:r w:rsidR="00D728D1" w:rsidRPr="008A3FA9">
              <w:rPr>
                <w:rFonts w:ascii="Times New Roman" w:hAnsi="Times New Roman" w:cs="Times New Roman"/>
                <w:color w:val="000000" w:themeColor="text1"/>
                <w:shd w:val="clear" w:color="auto" w:fill="FFFFFF"/>
              </w:rPr>
              <w:t xml:space="preserve">, </w:t>
            </w:r>
            <w:r w:rsidRPr="008A3FA9">
              <w:rPr>
                <w:rFonts w:ascii="Times New Roman" w:hAnsi="Times New Roman" w:cs="Times New Roman"/>
                <w:color w:val="000000" w:themeColor="text1"/>
                <w:shd w:val="clear" w:color="auto" w:fill="FFFFFF"/>
              </w:rPr>
              <w:t xml:space="preserve">a część procesów cyfryzacji już i tak następuje np. doręczenie elektroniczne na elektroniczne skrzynki podawcze podmiotów </w:t>
            </w:r>
            <w:r w:rsidRPr="008A3FA9">
              <w:rPr>
                <w:rFonts w:ascii="Times New Roman" w:hAnsi="Times New Roman" w:cs="Times New Roman"/>
                <w:color w:val="000000" w:themeColor="text1"/>
                <w:shd w:val="clear" w:color="auto" w:fill="FFFFFF"/>
              </w:rPr>
              <w:lastRenderedPageBreak/>
              <w:t>publicznych, choć pozbawione nowych projektowanych funkcjonalności</w:t>
            </w:r>
            <w:r w:rsidR="00E238A2">
              <w:rPr>
                <w:rFonts w:ascii="Times New Roman" w:hAnsi="Times New Roman" w:cs="Times New Roman"/>
                <w:color w:val="000000" w:themeColor="text1"/>
                <w:shd w:val="clear" w:color="auto" w:fill="FFFFFF"/>
              </w:rPr>
              <w:t>,</w:t>
            </w:r>
            <w:r w:rsidRPr="008A3FA9">
              <w:rPr>
                <w:rFonts w:ascii="Times New Roman" w:hAnsi="Times New Roman" w:cs="Times New Roman"/>
                <w:color w:val="000000" w:themeColor="text1"/>
                <w:shd w:val="clear" w:color="auto" w:fill="FFFFFF"/>
              </w:rPr>
              <w:t xml:space="preserve"> jest dostępne od dawna za pomocą platformy ePUAP. </w:t>
            </w:r>
          </w:p>
          <w:p w14:paraId="6E5D6E78" w14:textId="77777777" w:rsidR="00550C86" w:rsidRPr="008A3FA9" w:rsidRDefault="00550C86" w:rsidP="008A3FA9">
            <w:pPr>
              <w:spacing w:before="60" w:after="60"/>
              <w:jc w:val="both"/>
              <w:rPr>
                <w:rFonts w:ascii="Times New Roman" w:hAnsi="Times New Roman" w:cs="Times New Roman"/>
                <w:color w:val="000000" w:themeColor="text1"/>
                <w:shd w:val="clear" w:color="auto" w:fill="FFFFFF"/>
              </w:rPr>
            </w:pPr>
            <w:r w:rsidRPr="008A3FA9">
              <w:rPr>
                <w:rFonts w:ascii="Times New Roman" w:hAnsi="Times New Roman" w:cs="Times New Roman"/>
                <w:color w:val="000000" w:themeColor="text1"/>
                <w:shd w:val="clear" w:color="auto" w:fill="FFFFFF"/>
              </w:rPr>
              <w:t>Należy także zwrócić uwagę na pozytywny wpływ na logistykę papieru podlegającego archiwizacji</w:t>
            </w:r>
            <w:r w:rsidR="00D728D1" w:rsidRPr="008A3FA9">
              <w:rPr>
                <w:rFonts w:ascii="Times New Roman" w:hAnsi="Times New Roman" w:cs="Times New Roman"/>
                <w:color w:val="000000" w:themeColor="text1"/>
                <w:shd w:val="clear" w:color="auto" w:fill="FFFFFF"/>
              </w:rPr>
              <w:t>,</w:t>
            </w:r>
            <w:r w:rsidRPr="008A3FA9">
              <w:rPr>
                <w:rFonts w:ascii="Times New Roman" w:hAnsi="Times New Roman" w:cs="Times New Roman"/>
                <w:color w:val="000000" w:themeColor="text1"/>
                <w:shd w:val="clear" w:color="auto" w:fill="FFFFFF"/>
              </w:rPr>
              <w:t xml:space="preserve"> gdzie normy w zakresie jego przechowywania są bardzo restrykcyjne (konieczność nakładów na specjalne pomieszczenia, ryzyko uszkodzeń i przebarwień).</w:t>
            </w:r>
          </w:p>
          <w:p w14:paraId="1163F193" w14:textId="1B985830" w:rsidR="00550C86" w:rsidRPr="008A3FA9" w:rsidRDefault="00550C86" w:rsidP="001B514F">
            <w:pPr>
              <w:spacing w:before="60" w:after="60"/>
              <w:jc w:val="both"/>
              <w:rPr>
                <w:rFonts w:ascii="Times New Roman" w:hAnsi="Times New Roman" w:cs="Times New Roman"/>
                <w:color w:val="000000" w:themeColor="text1"/>
                <w:spacing w:val="-2"/>
              </w:rPr>
            </w:pPr>
            <w:r w:rsidRPr="008A3FA9">
              <w:rPr>
                <w:rFonts w:ascii="Times New Roman" w:hAnsi="Times New Roman" w:cs="Times New Roman"/>
                <w:color w:val="000000" w:themeColor="text1"/>
              </w:rPr>
              <w:t>Reasumując</w:t>
            </w:r>
            <w:r w:rsidR="00452D02">
              <w:rPr>
                <w:rFonts w:ascii="Times New Roman" w:hAnsi="Times New Roman" w:cs="Times New Roman"/>
                <w:color w:val="000000" w:themeColor="text1"/>
              </w:rPr>
              <w:t>,</w:t>
            </w:r>
            <w:r w:rsidRPr="008A3FA9">
              <w:rPr>
                <w:rFonts w:ascii="Times New Roman" w:hAnsi="Times New Roman" w:cs="Times New Roman"/>
                <w:color w:val="000000" w:themeColor="text1"/>
              </w:rPr>
              <w:t xml:space="preserve"> należy stwierdzić</w:t>
            </w:r>
            <w:r w:rsidR="00D728D1" w:rsidRPr="008A3FA9">
              <w:rPr>
                <w:rFonts w:ascii="Times New Roman" w:hAnsi="Times New Roman" w:cs="Times New Roman"/>
                <w:color w:val="000000" w:themeColor="text1"/>
              </w:rPr>
              <w:t>,</w:t>
            </w:r>
            <w:r w:rsidRPr="008A3FA9">
              <w:rPr>
                <w:rFonts w:ascii="Times New Roman" w:hAnsi="Times New Roman" w:cs="Times New Roman"/>
                <w:color w:val="000000" w:themeColor="text1"/>
              </w:rPr>
              <w:t xml:space="preserve"> że w ogólnym rozrachunku nastąpi zbilansowanie się </w:t>
            </w:r>
            <w:r w:rsidRPr="008A3FA9">
              <w:rPr>
                <w:rFonts w:ascii="Times New Roman" w:hAnsi="Times New Roman" w:cs="Times New Roman"/>
                <w:color w:val="000000" w:themeColor="text1"/>
                <w:shd w:val="clear" w:color="auto" w:fill="FFFFFF"/>
              </w:rPr>
              <w:t>czynników pozytywnie wpływających na popyt kształtowany na rynku papierniczym z</w:t>
            </w:r>
            <w:r w:rsidR="001B514F">
              <w:rPr>
                <w:rFonts w:ascii="Times New Roman" w:hAnsi="Times New Roman" w:cs="Times New Roman"/>
                <w:color w:val="000000" w:themeColor="text1"/>
                <w:shd w:val="clear" w:color="auto" w:fill="FFFFFF"/>
              </w:rPr>
              <w:t> </w:t>
            </w:r>
            <w:r w:rsidRPr="008A3FA9">
              <w:rPr>
                <w:rFonts w:ascii="Times New Roman" w:hAnsi="Times New Roman" w:cs="Times New Roman"/>
                <w:color w:val="000000" w:themeColor="text1"/>
                <w:shd w:val="clear" w:color="auto" w:fill="FFFFFF"/>
              </w:rPr>
              <w:t>czynnikami negatywnymi</w:t>
            </w:r>
            <w:r w:rsidR="00D728D1" w:rsidRPr="008A3FA9">
              <w:rPr>
                <w:rFonts w:ascii="Times New Roman" w:hAnsi="Times New Roman" w:cs="Times New Roman"/>
                <w:color w:val="000000" w:themeColor="text1"/>
                <w:shd w:val="clear" w:color="auto" w:fill="FFFFFF"/>
              </w:rPr>
              <w:t>,</w:t>
            </w:r>
            <w:r w:rsidRPr="008A3FA9">
              <w:rPr>
                <w:rFonts w:ascii="Times New Roman" w:hAnsi="Times New Roman" w:cs="Times New Roman"/>
                <w:color w:val="000000" w:themeColor="text1"/>
                <w:shd w:val="clear" w:color="auto" w:fill="FFFFFF"/>
              </w:rPr>
              <w:t xml:space="preserve"> w związku z tym projekt będzie miał marginalny wpływ na rozmiar tego rynku jak również skalę</w:t>
            </w:r>
            <w:r w:rsidR="008950C9" w:rsidRPr="008A3FA9">
              <w:rPr>
                <w:rFonts w:ascii="Times New Roman" w:hAnsi="Times New Roman" w:cs="Times New Roman"/>
                <w:color w:val="000000" w:themeColor="text1"/>
                <w:shd w:val="clear" w:color="auto" w:fill="FFFFFF"/>
              </w:rPr>
              <w:t xml:space="preserve"> zachodzących w nim</w:t>
            </w:r>
            <w:r w:rsidRPr="008A3FA9">
              <w:rPr>
                <w:rFonts w:ascii="Times New Roman" w:hAnsi="Times New Roman" w:cs="Times New Roman"/>
                <w:color w:val="000000" w:themeColor="text1"/>
                <w:shd w:val="clear" w:color="auto" w:fill="FFFFFF"/>
              </w:rPr>
              <w:t xml:space="preserve"> zmian.</w:t>
            </w:r>
          </w:p>
        </w:tc>
      </w:tr>
      <w:tr w:rsidR="005C3FCE" w:rsidRPr="00E42D6D" w14:paraId="134763FB" w14:textId="77777777" w:rsidTr="008A3FA9">
        <w:tblPrEx>
          <w:jc w:val="left"/>
        </w:tblPrEx>
        <w:trPr>
          <w:trHeight w:val="142"/>
        </w:trPr>
        <w:tc>
          <w:tcPr>
            <w:tcW w:w="10661" w:type="dxa"/>
            <w:gridSpan w:val="29"/>
            <w:shd w:val="clear" w:color="auto" w:fill="99CCFF"/>
          </w:tcPr>
          <w:p w14:paraId="5F31C45F" w14:textId="77777777" w:rsidR="003A6F7A" w:rsidRPr="008A3FA9" w:rsidRDefault="003A6F7A" w:rsidP="008A3FA9">
            <w:pPr>
              <w:numPr>
                <w:ilvl w:val="0"/>
                <w:numId w:val="1"/>
              </w:numPr>
              <w:spacing w:before="60" w:after="60"/>
              <w:rPr>
                <w:rFonts w:ascii="Times New Roman" w:hAnsi="Times New Roman" w:cs="Times New Roman"/>
                <w:b/>
                <w:color w:val="000000" w:themeColor="text1"/>
              </w:rPr>
            </w:pPr>
            <w:r w:rsidRPr="008A3FA9">
              <w:rPr>
                <w:rFonts w:ascii="Times New Roman" w:hAnsi="Times New Roman" w:cs="Times New Roman"/>
                <w:b/>
                <w:color w:val="000000" w:themeColor="text1"/>
                <w:spacing w:val="-2"/>
              </w:rPr>
              <w:lastRenderedPageBreak/>
              <w:t xml:space="preserve">Planowane </w:t>
            </w:r>
            <w:r w:rsidRPr="008A3FA9">
              <w:rPr>
                <w:rFonts w:ascii="Times New Roman" w:hAnsi="Times New Roman" w:cs="Times New Roman"/>
                <w:b/>
                <w:color w:val="000000" w:themeColor="text1"/>
              </w:rPr>
              <w:t>wykonanie</w:t>
            </w:r>
            <w:r w:rsidRPr="008A3FA9">
              <w:rPr>
                <w:rFonts w:ascii="Times New Roman" w:hAnsi="Times New Roman" w:cs="Times New Roman"/>
                <w:b/>
                <w:color w:val="000000" w:themeColor="text1"/>
                <w:spacing w:val="-2"/>
              </w:rPr>
              <w:t xml:space="preserve"> przepisów aktu prawnego</w:t>
            </w:r>
          </w:p>
        </w:tc>
      </w:tr>
      <w:tr w:rsidR="005C3FCE" w:rsidRPr="00E42D6D" w14:paraId="4B2CB83A" w14:textId="77777777" w:rsidTr="008A3FA9">
        <w:tblPrEx>
          <w:jc w:val="left"/>
        </w:tblPrEx>
        <w:trPr>
          <w:trHeight w:val="142"/>
        </w:trPr>
        <w:tc>
          <w:tcPr>
            <w:tcW w:w="10661" w:type="dxa"/>
            <w:gridSpan w:val="29"/>
            <w:shd w:val="clear" w:color="auto" w:fill="FFFFFF"/>
          </w:tcPr>
          <w:p w14:paraId="34D34424" w14:textId="2CC8EC11" w:rsidR="008F6223" w:rsidRPr="008A3FA9" w:rsidRDefault="00B15DFA" w:rsidP="008A3FA9">
            <w:pPr>
              <w:spacing w:before="60" w:after="60"/>
              <w:ind w:left="62"/>
              <w:jc w:val="both"/>
              <w:rPr>
                <w:rFonts w:ascii="Times New Roman" w:hAnsi="Times New Roman" w:cs="Times New Roman"/>
                <w:color w:val="000000" w:themeColor="text1"/>
                <w:spacing w:val="-2"/>
              </w:rPr>
            </w:pPr>
            <w:r w:rsidRPr="008A3FA9">
              <w:rPr>
                <w:rFonts w:ascii="Times New Roman" w:hAnsi="Times New Roman" w:cs="Times New Roman"/>
                <w:color w:val="000000" w:themeColor="text1"/>
                <w:spacing w:val="-2"/>
              </w:rPr>
              <w:t xml:space="preserve">Planowany termin wejścia w życie ustawy </w:t>
            </w:r>
            <w:r w:rsidR="00B77812" w:rsidRPr="008A3FA9">
              <w:rPr>
                <w:rFonts w:ascii="Times New Roman" w:hAnsi="Times New Roman" w:cs="Times New Roman"/>
                <w:color w:val="000000" w:themeColor="text1"/>
                <w:spacing w:val="-2"/>
              </w:rPr>
              <w:t xml:space="preserve">to </w:t>
            </w:r>
            <w:r w:rsidR="008A759B" w:rsidRPr="008A3FA9">
              <w:rPr>
                <w:rFonts w:ascii="Times New Roman" w:hAnsi="Times New Roman" w:cs="Times New Roman"/>
                <w:color w:val="000000" w:themeColor="text1"/>
                <w:spacing w:val="-2"/>
              </w:rPr>
              <w:t>październik 2020</w:t>
            </w:r>
            <w:r w:rsidR="00F618E6" w:rsidRPr="008A3FA9">
              <w:rPr>
                <w:rFonts w:ascii="Times New Roman" w:hAnsi="Times New Roman" w:cs="Times New Roman"/>
                <w:color w:val="000000" w:themeColor="text1"/>
                <w:spacing w:val="-2"/>
              </w:rPr>
              <w:t xml:space="preserve"> r</w:t>
            </w:r>
            <w:r w:rsidR="0066629F" w:rsidRPr="008A3FA9">
              <w:rPr>
                <w:rFonts w:ascii="Times New Roman" w:hAnsi="Times New Roman" w:cs="Times New Roman"/>
                <w:color w:val="000000" w:themeColor="text1"/>
                <w:spacing w:val="-2"/>
              </w:rPr>
              <w:t>.</w:t>
            </w:r>
            <w:r w:rsidR="00F91543">
              <w:rPr>
                <w:rFonts w:ascii="Times New Roman" w:hAnsi="Times New Roman" w:cs="Times New Roman"/>
                <w:color w:val="000000" w:themeColor="text1"/>
                <w:spacing w:val="-2"/>
              </w:rPr>
              <w:t>,</w:t>
            </w:r>
            <w:r w:rsidR="00F909CC" w:rsidRPr="008A3FA9">
              <w:rPr>
                <w:rFonts w:ascii="Times New Roman" w:hAnsi="Times New Roman" w:cs="Times New Roman"/>
                <w:color w:val="000000" w:themeColor="text1"/>
                <w:spacing w:val="-2"/>
              </w:rPr>
              <w:t xml:space="preserve"> przy założeniu</w:t>
            </w:r>
            <w:r w:rsidR="00FE18E9" w:rsidRPr="008A3FA9">
              <w:rPr>
                <w:rFonts w:ascii="Times New Roman" w:hAnsi="Times New Roman" w:cs="Times New Roman"/>
                <w:color w:val="000000" w:themeColor="text1"/>
                <w:spacing w:val="-2"/>
              </w:rPr>
              <w:t>,</w:t>
            </w:r>
            <w:r w:rsidR="00F909CC" w:rsidRPr="008A3FA9">
              <w:rPr>
                <w:rFonts w:ascii="Times New Roman" w:hAnsi="Times New Roman" w:cs="Times New Roman"/>
                <w:color w:val="000000" w:themeColor="text1"/>
                <w:spacing w:val="-2"/>
              </w:rPr>
              <w:t xml:space="preserve"> że</w:t>
            </w:r>
            <w:r w:rsidR="00FE18E9" w:rsidRPr="008A3FA9">
              <w:rPr>
                <w:rFonts w:ascii="Times New Roman" w:hAnsi="Times New Roman" w:cs="Times New Roman"/>
                <w:color w:val="000000" w:themeColor="text1"/>
                <w:spacing w:val="-2"/>
              </w:rPr>
              <w:t xml:space="preserve"> </w:t>
            </w:r>
            <w:r w:rsidR="00F909CC" w:rsidRPr="008A3FA9">
              <w:rPr>
                <w:rFonts w:ascii="Times New Roman" w:hAnsi="Times New Roman" w:cs="Times New Roman"/>
                <w:color w:val="000000" w:themeColor="text1"/>
                <w:spacing w:val="-2"/>
              </w:rPr>
              <w:t xml:space="preserve">organy administracji rządowej oraz jednostki budżetowe je obsługujące będą zobligowane zastosować przepisy ustawy od dnia 1 stycznia 2021 r. </w:t>
            </w:r>
          </w:p>
          <w:p w14:paraId="27E9D625" w14:textId="59058AA4" w:rsidR="00066017" w:rsidRPr="008A3FA9" w:rsidRDefault="00F909CC" w:rsidP="008A3FA9">
            <w:pPr>
              <w:spacing w:before="60" w:after="60"/>
              <w:ind w:left="62"/>
              <w:jc w:val="both"/>
              <w:rPr>
                <w:rFonts w:ascii="Times New Roman" w:hAnsi="Times New Roman" w:cs="Times New Roman"/>
                <w:color w:val="000000" w:themeColor="text1"/>
                <w:spacing w:val="-2"/>
              </w:rPr>
            </w:pPr>
            <w:r w:rsidRPr="008A3FA9">
              <w:rPr>
                <w:rFonts w:ascii="Times New Roman" w:hAnsi="Times New Roman" w:cs="Times New Roman"/>
                <w:color w:val="000000" w:themeColor="text1"/>
                <w:spacing w:val="-2"/>
              </w:rPr>
              <w:t>Planuje się wprowadzić zróżnicowane okresy w wykonaniu przepisów</w:t>
            </w:r>
            <w:r w:rsidR="00066017" w:rsidRPr="008A3FA9">
              <w:rPr>
                <w:rFonts w:ascii="Times New Roman" w:hAnsi="Times New Roman" w:cs="Times New Roman"/>
                <w:color w:val="000000" w:themeColor="text1"/>
                <w:spacing w:val="-2"/>
              </w:rPr>
              <w:t xml:space="preserve"> także z uwagi na rodzaj podmiotu</w:t>
            </w:r>
            <w:r w:rsidR="00E238A2">
              <w:rPr>
                <w:rFonts w:ascii="Times New Roman" w:hAnsi="Times New Roman" w:cs="Times New Roman"/>
                <w:color w:val="000000" w:themeColor="text1"/>
                <w:spacing w:val="-2"/>
              </w:rPr>
              <w:t>,</w:t>
            </w:r>
            <w:r w:rsidR="00095680" w:rsidRPr="008A3FA9">
              <w:rPr>
                <w:rFonts w:ascii="Times New Roman" w:hAnsi="Times New Roman" w:cs="Times New Roman"/>
                <w:color w:val="000000" w:themeColor="text1"/>
                <w:spacing w:val="-2"/>
              </w:rPr>
              <w:t xml:space="preserve"> </w:t>
            </w:r>
            <w:r w:rsidR="00066017" w:rsidRPr="008A3FA9">
              <w:rPr>
                <w:rFonts w:ascii="Times New Roman" w:hAnsi="Times New Roman" w:cs="Times New Roman"/>
                <w:color w:val="000000" w:themeColor="text1"/>
                <w:spacing w:val="-2"/>
              </w:rPr>
              <w:t>skale wielkości, gotowość do korzystania z usług cyfrowych.</w:t>
            </w:r>
          </w:p>
          <w:p w14:paraId="50C924B4" w14:textId="77777777" w:rsidR="00066017" w:rsidRPr="008A3FA9" w:rsidRDefault="00066017" w:rsidP="008A3FA9">
            <w:pPr>
              <w:spacing w:before="60" w:after="60"/>
              <w:ind w:left="62"/>
              <w:jc w:val="both"/>
              <w:rPr>
                <w:rFonts w:ascii="Times New Roman" w:hAnsi="Times New Roman" w:cs="Times New Roman"/>
                <w:color w:val="000000" w:themeColor="text1"/>
                <w:spacing w:val="-2"/>
              </w:rPr>
            </w:pPr>
            <w:r w:rsidRPr="008A3FA9">
              <w:rPr>
                <w:rFonts w:ascii="Times New Roman" w:hAnsi="Times New Roman" w:cs="Times New Roman"/>
                <w:color w:val="000000" w:themeColor="text1"/>
                <w:spacing w:val="-2"/>
              </w:rPr>
              <w:t xml:space="preserve">Przyjęto założenie że </w:t>
            </w:r>
            <w:r w:rsidR="00095680" w:rsidRPr="008A3FA9">
              <w:rPr>
                <w:rFonts w:ascii="Times New Roman" w:hAnsi="Times New Roman" w:cs="Times New Roman"/>
                <w:color w:val="000000" w:themeColor="text1"/>
                <w:spacing w:val="-2"/>
              </w:rPr>
              <w:t>od</w:t>
            </w:r>
            <w:r w:rsidR="00AB04E9">
              <w:rPr>
                <w:rFonts w:ascii="Times New Roman" w:hAnsi="Times New Roman" w:cs="Times New Roman"/>
                <w:color w:val="000000" w:themeColor="text1"/>
                <w:spacing w:val="-2"/>
              </w:rPr>
              <w:t xml:space="preserve"> </w:t>
            </w:r>
            <w:r w:rsidR="00095680" w:rsidRPr="008A3FA9">
              <w:rPr>
                <w:rFonts w:ascii="Times New Roman" w:hAnsi="Times New Roman" w:cs="Times New Roman"/>
                <w:color w:val="000000" w:themeColor="text1"/>
                <w:spacing w:val="-2"/>
              </w:rPr>
              <w:t xml:space="preserve">października 2021 </w:t>
            </w:r>
            <w:r w:rsidR="0066629F" w:rsidRPr="008A3FA9">
              <w:rPr>
                <w:rFonts w:ascii="Times New Roman" w:hAnsi="Times New Roman" w:cs="Times New Roman"/>
                <w:color w:val="000000" w:themeColor="text1"/>
                <w:spacing w:val="-2"/>
              </w:rPr>
              <w:t xml:space="preserve">r. </w:t>
            </w:r>
            <w:r w:rsidR="003D32FE" w:rsidRPr="008A3FA9">
              <w:rPr>
                <w:rFonts w:ascii="Times New Roman" w:hAnsi="Times New Roman" w:cs="Times New Roman"/>
                <w:color w:val="000000" w:themeColor="text1"/>
                <w:spacing w:val="-2"/>
              </w:rPr>
              <w:t xml:space="preserve">przedsiębiorcy </w:t>
            </w:r>
            <w:r w:rsidR="00095680" w:rsidRPr="008A3FA9">
              <w:rPr>
                <w:rFonts w:ascii="Times New Roman" w:hAnsi="Times New Roman" w:cs="Times New Roman"/>
                <w:color w:val="000000" w:themeColor="text1"/>
                <w:spacing w:val="-2"/>
              </w:rPr>
              <w:t>w rozumieniu KRS będą posiadali wpis w BAE</w:t>
            </w:r>
            <w:r w:rsidR="0066629F" w:rsidRPr="008A3FA9">
              <w:rPr>
                <w:rFonts w:ascii="Times New Roman" w:hAnsi="Times New Roman" w:cs="Times New Roman"/>
                <w:color w:val="000000" w:themeColor="text1"/>
                <w:spacing w:val="-2"/>
              </w:rPr>
              <w:t>.</w:t>
            </w:r>
          </w:p>
          <w:p w14:paraId="4F91F05F" w14:textId="77777777" w:rsidR="00066017" w:rsidRPr="008A3FA9" w:rsidRDefault="00066017" w:rsidP="008A3FA9">
            <w:pPr>
              <w:spacing w:before="60" w:after="60"/>
              <w:ind w:left="62"/>
              <w:jc w:val="both"/>
              <w:rPr>
                <w:rFonts w:ascii="Times New Roman" w:hAnsi="Times New Roman" w:cs="Times New Roman"/>
                <w:color w:val="000000" w:themeColor="text1"/>
                <w:spacing w:val="-2"/>
              </w:rPr>
            </w:pPr>
            <w:r w:rsidRPr="008A3FA9">
              <w:rPr>
                <w:rFonts w:ascii="Times New Roman" w:hAnsi="Times New Roman" w:cs="Times New Roman"/>
                <w:color w:val="000000" w:themeColor="text1"/>
                <w:spacing w:val="-2"/>
              </w:rPr>
              <w:t xml:space="preserve">Wobec </w:t>
            </w:r>
            <w:r w:rsidR="003D32FE" w:rsidRPr="008A3FA9">
              <w:rPr>
                <w:rFonts w:ascii="Times New Roman" w:hAnsi="Times New Roman" w:cs="Times New Roman"/>
                <w:color w:val="000000" w:themeColor="text1"/>
                <w:spacing w:val="-2"/>
              </w:rPr>
              <w:t>p</w:t>
            </w:r>
            <w:r w:rsidR="00C209D3" w:rsidRPr="008A3FA9">
              <w:rPr>
                <w:rFonts w:ascii="Times New Roman" w:hAnsi="Times New Roman" w:cs="Times New Roman"/>
                <w:color w:val="000000" w:themeColor="text1"/>
                <w:spacing w:val="-2"/>
              </w:rPr>
              <w:t>rzedsiębiorc</w:t>
            </w:r>
            <w:r w:rsidRPr="008A3FA9">
              <w:rPr>
                <w:rFonts w:ascii="Times New Roman" w:hAnsi="Times New Roman" w:cs="Times New Roman"/>
                <w:color w:val="000000" w:themeColor="text1"/>
                <w:spacing w:val="-2"/>
              </w:rPr>
              <w:t>ów</w:t>
            </w:r>
            <w:r w:rsidR="00C209D3" w:rsidRPr="008A3FA9">
              <w:rPr>
                <w:rFonts w:ascii="Times New Roman" w:hAnsi="Times New Roman" w:cs="Times New Roman"/>
                <w:color w:val="000000" w:themeColor="text1"/>
                <w:spacing w:val="-2"/>
              </w:rPr>
              <w:t xml:space="preserve"> w rozumieniu CEIDG </w:t>
            </w:r>
            <w:r w:rsidRPr="008A3FA9">
              <w:rPr>
                <w:rFonts w:ascii="Times New Roman" w:hAnsi="Times New Roman" w:cs="Times New Roman"/>
                <w:color w:val="000000" w:themeColor="text1"/>
                <w:spacing w:val="-2"/>
              </w:rPr>
              <w:t>przyjęto następujące założenia w wykonaniu przepisów:</w:t>
            </w:r>
          </w:p>
          <w:p w14:paraId="2CBF4454" w14:textId="29671FF8" w:rsidR="00066017" w:rsidRPr="008A3FA9" w:rsidRDefault="0066629F" w:rsidP="008A3FA9">
            <w:pPr>
              <w:numPr>
                <w:ilvl w:val="0"/>
                <w:numId w:val="22"/>
              </w:numPr>
              <w:spacing w:before="60" w:after="60"/>
              <w:jc w:val="both"/>
              <w:rPr>
                <w:rFonts w:ascii="Times New Roman" w:hAnsi="Times New Roman" w:cs="Times New Roman"/>
                <w:iCs/>
                <w:color w:val="000000" w:themeColor="text1"/>
                <w:spacing w:val="-2"/>
              </w:rPr>
            </w:pPr>
            <w:r w:rsidRPr="008A3FA9">
              <w:rPr>
                <w:rFonts w:ascii="Times New Roman" w:hAnsi="Times New Roman" w:cs="Times New Roman"/>
                <w:iCs/>
                <w:color w:val="000000" w:themeColor="text1"/>
                <w:spacing w:val="-2"/>
              </w:rPr>
              <w:t>o</w:t>
            </w:r>
            <w:r w:rsidR="00066017" w:rsidRPr="008A3FA9">
              <w:rPr>
                <w:rFonts w:ascii="Times New Roman" w:hAnsi="Times New Roman" w:cs="Times New Roman"/>
                <w:iCs/>
                <w:color w:val="000000" w:themeColor="text1"/>
                <w:spacing w:val="-2"/>
              </w:rPr>
              <w:t xml:space="preserve">d 1.X.2021 </w:t>
            </w:r>
            <w:r w:rsidRPr="008A3FA9">
              <w:rPr>
                <w:rFonts w:ascii="Times New Roman" w:hAnsi="Times New Roman" w:cs="Times New Roman"/>
                <w:iCs/>
                <w:color w:val="000000" w:themeColor="text1"/>
                <w:spacing w:val="-2"/>
              </w:rPr>
              <w:t xml:space="preserve">r. </w:t>
            </w:r>
            <w:r w:rsidR="00066017" w:rsidRPr="008A3FA9">
              <w:rPr>
                <w:rFonts w:ascii="Times New Roman" w:hAnsi="Times New Roman" w:cs="Times New Roman"/>
                <w:iCs/>
                <w:color w:val="000000" w:themeColor="text1"/>
                <w:spacing w:val="-2"/>
              </w:rPr>
              <w:t>– umożliwienie złożenia wniosku i uzyskania wpisu do BAE (posiadania aktywnego adresu do doręczeń) dla przedsiębiorców</w:t>
            </w:r>
            <w:r w:rsidR="00D0370E">
              <w:rPr>
                <w:rFonts w:ascii="Times New Roman" w:hAnsi="Times New Roman" w:cs="Times New Roman"/>
                <w:iCs/>
                <w:color w:val="000000" w:themeColor="text1"/>
                <w:spacing w:val="-2"/>
              </w:rPr>
              <w:t>,</w:t>
            </w:r>
            <w:r w:rsidR="00066017" w:rsidRPr="008A3FA9">
              <w:rPr>
                <w:rFonts w:ascii="Times New Roman" w:hAnsi="Times New Roman" w:cs="Times New Roman"/>
                <w:iCs/>
                <w:color w:val="000000" w:themeColor="text1"/>
                <w:spacing w:val="-2"/>
              </w:rPr>
              <w:t xml:space="preserve"> tj. dobrowolność wpisu do BAE na równi z obywatelami</w:t>
            </w:r>
            <w:r w:rsidRPr="008A3FA9">
              <w:rPr>
                <w:rFonts w:ascii="Times New Roman" w:hAnsi="Times New Roman" w:cs="Times New Roman"/>
                <w:iCs/>
                <w:color w:val="000000" w:themeColor="text1"/>
                <w:spacing w:val="-2"/>
              </w:rPr>
              <w:t>,</w:t>
            </w:r>
          </w:p>
          <w:p w14:paraId="40AD1FDC" w14:textId="77777777" w:rsidR="00066017" w:rsidRPr="008A3FA9" w:rsidRDefault="0066629F" w:rsidP="008A3FA9">
            <w:pPr>
              <w:numPr>
                <w:ilvl w:val="0"/>
                <w:numId w:val="22"/>
              </w:numPr>
              <w:spacing w:before="60" w:after="60"/>
              <w:jc w:val="both"/>
              <w:rPr>
                <w:rFonts w:ascii="Times New Roman" w:hAnsi="Times New Roman" w:cs="Times New Roman"/>
                <w:iCs/>
                <w:color w:val="000000" w:themeColor="text1"/>
                <w:spacing w:val="-2"/>
              </w:rPr>
            </w:pPr>
            <w:r w:rsidRPr="008A3FA9">
              <w:rPr>
                <w:rFonts w:ascii="Times New Roman" w:hAnsi="Times New Roman" w:cs="Times New Roman"/>
                <w:iCs/>
                <w:color w:val="000000" w:themeColor="text1"/>
                <w:spacing w:val="-2"/>
              </w:rPr>
              <w:t>o</w:t>
            </w:r>
            <w:r w:rsidR="00066017" w:rsidRPr="008A3FA9">
              <w:rPr>
                <w:rFonts w:ascii="Times New Roman" w:hAnsi="Times New Roman" w:cs="Times New Roman"/>
                <w:iCs/>
                <w:color w:val="000000" w:themeColor="text1"/>
                <w:spacing w:val="-2"/>
              </w:rPr>
              <w:t xml:space="preserve">d 1.X.2022 </w:t>
            </w:r>
            <w:r w:rsidRPr="008A3FA9">
              <w:rPr>
                <w:rFonts w:ascii="Times New Roman" w:hAnsi="Times New Roman" w:cs="Times New Roman"/>
                <w:iCs/>
                <w:color w:val="000000" w:themeColor="text1"/>
                <w:spacing w:val="-2"/>
              </w:rPr>
              <w:t xml:space="preserve">r. </w:t>
            </w:r>
            <w:r w:rsidR="00066017" w:rsidRPr="008A3FA9">
              <w:rPr>
                <w:rFonts w:ascii="Times New Roman" w:hAnsi="Times New Roman" w:cs="Times New Roman"/>
                <w:iCs/>
                <w:color w:val="000000" w:themeColor="text1"/>
                <w:spacing w:val="-2"/>
              </w:rPr>
              <w:t xml:space="preserve">– obligatoryjność posiadania aktywnej skrzynki przez przedsiębiorców zakładających działalność </w:t>
            </w:r>
            <w:r w:rsidR="003D32FE" w:rsidRPr="008A3FA9">
              <w:rPr>
                <w:rFonts w:ascii="Times New Roman" w:hAnsi="Times New Roman" w:cs="Times New Roman"/>
                <w:iCs/>
                <w:color w:val="000000" w:themeColor="text1"/>
                <w:spacing w:val="-2"/>
              </w:rPr>
              <w:t>gospodarczą</w:t>
            </w:r>
            <w:r w:rsidRPr="008A3FA9">
              <w:rPr>
                <w:rFonts w:ascii="Times New Roman" w:hAnsi="Times New Roman" w:cs="Times New Roman"/>
                <w:iCs/>
                <w:color w:val="000000" w:themeColor="text1"/>
                <w:spacing w:val="-2"/>
              </w:rPr>
              <w:t>,</w:t>
            </w:r>
          </w:p>
          <w:p w14:paraId="4CAC107D" w14:textId="4F42AF53" w:rsidR="00066017" w:rsidRPr="008A3FA9" w:rsidRDefault="0066629F" w:rsidP="008A3FA9">
            <w:pPr>
              <w:numPr>
                <w:ilvl w:val="0"/>
                <w:numId w:val="22"/>
              </w:numPr>
              <w:spacing w:before="60" w:after="60"/>
              <w:jc w:val="both"/>
              <w:rPr>
                <w:rFonts w:ascii="Times New Roman" w:hAnsi="Times New Roman" w:cs="Times New Roman"/>
                <w:iCs/>
                <w:color w:val="000000" w:themeColor="text1"/>
                <w:spacing w:val="-2"/>
              </w:rPr>
            </w:pPr>
            <w:r w:rsidRPr="008A3FA9">
              <w:rPr>
                <w:rFonts w:ascii="Times New Roman" w:hAnsi="Times New Roman" w:cs="Times New Roman"/>
                <w:iCs/>
                <w:color w:val="000000" w:themeColor="text1"/>
                <w:spacing w:val="-2"/>
              </w:rPr>
              <w:t>o</w:t>
            </w:r>
            <w:r w:rsidR="00066017" w:rsidRPr="008A3FA9">
              <w:rPr>
                <w:rFonts w:ascii="Times New Roman" w:hAnsi="Times New Roman" w:cs="Times New Roman"/>
                <w:iCs/>
                <w:color w:val="000000" w:themeColor="text1"/>
                <w:spacing w:val="-2"/>
              </w:rPr>
              <w:t xml:space="preserve">d 1.X.2025 </w:t>
            </w:r>
            <w:r w:rsidRPr="008A3FA9">
              <w:rPr>
                <w:rFonts w:ascii="Times New Roman" w:hAnsi="Times New Roman" w:cs="Times New Roman"/>
                <w:iCs/>
                <w:color w:val="000000" w:themeColor="text1"/>
                <w:spacing w:val="-2"/>
              </w:rPr>
              <w:t xml:space="preserve">r. </w:t>
            </w:r>
            <w:r w:rsidR="00066017" w:rsidRPr="008A3FA9">
              <w:rPr>
                <w:rFonts w:ascii="Times New Roman" w:hAnsi="Times New Roman" w:cs="Times New Roman"/>
                <w:iCs/>
                <w:color w:val="000000" w:themeColor="text1"/>
                <w:spacing w:val="-2"/>
              </w:rPr>
              <w:t>– obligatoryjność posiadania aktywnej skrzynki przez przedsiębiorców składających wniosek o</w:t>
            </w:r>
            <w:r w:rsidR="001B514F">
              <w:rPr>
                <w:rFonts w:ascii="Times New Roman" w:hAnsi="Times New Roman" w:cs="Times New Roman"/>
                <w:iCs/>
                <w:color w:val="000000" w:themeColor="text1"/>
                <w:spacing w:val="-2"/>
              </w:rPr>
              <w:t> </w:t>
            </w:r>
            <w:r w:rsidR="00066017" w:rsidRPr="008A3FA9">
              <w:rPr>
                <w:rFonts w:ascii="Times New Roman" w:hAnsi="Times New Roman" w:cs="Times New Roman"/>
                <w:iCs/>
                <w:color w:val="000000" w:themeColor="text1"/>
                <w:spacing w:val="-2"/>
              </w:rPr>
              <w:t>wpis (w tym o zmianę wpisu i wznowienie działalności gospodarczej)</w:t>
            </w:r>
            <w:r w:rsidRPr="008A3FA9">
              <w:rPr>
                <w:rFonts w:ascii="Times New Roman" w:hAnsi="Times New Roman" w:cs="Times New Roman"/>
                <w:iCs/>
                <w:color w:val="000000" w:themeColor="text1"/>
                <w:spacing w:val="-2"/>
              </w:rPr>
              <w:t>,</w:t>
            </w:r>
          </w:p>
          <w:p w14:paraId="000175E3" w14:textId="77777777" w:rsidR="003D32FE" w:rsidRPr="008A3FA9" w:rsidRDefault="0066629F" w:rsidP="008A3FA9">
            <w:pPr>
              <w:numPr>
                <w:ilvl w:val="0"/>
                <w:numId w:val="22"/>
              </w:numPr>
              <w:spacing w:before="60" w:after="60"/>
              <w:jc w:val="both"/>
              <w:rPr>
                <w:rFonts w:ascii="Times New Roman" w:hAnsi="Times New Roman" w:cs="Times New Roman"/>
                <w:iCs/>
                <w:color w:val="000000" w:themeColor="text1"/>
                <w:spacing w:val="-2"/>
              </w:rPr>
            </w:pPr>
            <w:r w:rsidRPr="008A3FA9">
              <w:rPr>
                <w:rFonts w:ascii="Times New Roman" w:hAnsi="Times New Roman" w:cs="Times New Roman"/>
                <w:iCs/>
                <w:color w:val="000000" w:themeColor="text1"/>
                <w:spacing w:val="-2"/>
              </w:rPr>
              <w:t>o</w:t>
            </w:r>
            <w:r w:rsidR="003D32FE" w:rsidRPr="008A3FA9">
              <w:rPr>
                <w:rFonts w:ascii="Times New Roman" w:hAnsi="Times New Roman" w:cs="Times New Roman"/>
                <w:iCs/>
                <w:color w:val="000000" w:themeColor="text1"/>
                <w:spacing w:val="-2"/>
              </w:rPr>
              <w:t>d 1.X</w:t>
            </w:r>
            <w:r w:rsidRPr="008A3FA9">
              <w:rPr>
                <w:rFonts w:ascii="Times New Roman" w:hAnsi="Times New Roman" w:cs="Times New Roman"/>
                <w:iCs/>
                <w:color w:val="000000" w:themeColor="text1"/>
                <w:spacing w:val="-2"/>
              </w:rPr>
              <w:t>.</w:t>
            </w:r>
            <w:r w:rsidR="003D32FE" w:rsidRPr="008A3FA9">
              <w:rPr>
                <w:rFonts w:ascii="Times New Roman" w:hAnsi="Times New Roman" w:cs="Times New Roman"/>
                <w:iCs/>
                <w:color w:val="000000" w:themeColor="text1"/>
                <w:spacing w:val="-2"/>
              </w:rPr>
              <w:t xml:space="preserve">2026 </w:t>
            </w:r>
            <w:r w:rsidRPr="008A3FA9">
              <w:rPr>
                <w:rFonts w:ascii="Times New Roman" w:hAnsi="Times New Roman" w:cs="Times New Roman"/>
                <w:iCs/>
                <w:color w:val="000000" w:themeColor="text1"/>
                <w:spacing w:val="-2"/>
              </w:rPr>
              <w:t xml:space="preserve">r. </w:t>
            </w:r>
            <w:r w:rsidR="003D32FE" w:rsidRPr="008A3FA9">
              <w:rPr>
                <w:rFonts w:ascii="Times New Roman" w:hAnsi="Times New Roman" w:cs="Times New Roman"/>
                <w:iCs/>
                <w:color w:val="000000" w:themeColor="text1"/>
                <w:spacing w:val="-2"/>
              </w:rPr>
              <w:t>– obligatoryjność posiadania aktywnej skrzynki przez wszystkich przedsiębiorców.</w:t>
            </w:r>
          </w:p>
          <w:p w14:paraId="53143D36" w14:textId="6A76AFEE" w:rsidR="00F909CC" w:rsidRPr="008A3FA9" w:rsidRDefault="003D32FE" w:rsidP="008A3FA9">
            <w:pPr>
              <w:spacing w:before="60" w:after="60"/>
              <w:ind w:left="62"/>
              <w:jc w:val="both"/>
              <w:rPr>
                <w:rFonts w:ascii="Times New Roman" w:hAnsi="Times New Roman" w:cs="Times New Roman"/>
                <w:bCs/>
                <w:color w:val="000000" w:themeColor="text1"/>
                <w:spacing w:val="-2"/>
              </w:rPr>
            </w:pPr>
            <w:r w:rsidRPr="008A3FA9">
              <w:rPr>
                <w:rFonts w:ascii="Times New Roman" w:hAnsi="Times New Roman" w:cs="Times New Roman"/>
                <w:color w:val="000000" w:themeColor="text1"/>
                <w:spacing w:val="-2"/>
              </w:rPr>
              <w:t>S</w:t>
            </w:r>
            <w:r w:rsidR="00095680" w:rsidRPr="008A3FA9">
              <w:rPr>
                <w:rFonts w:ascii="Times New Roman" w:hAnsi="Times New Roman" w:cs="Times New Roman"/>
                <w:color w:val="000000" w:themeColor="text1"/>
                <w:spacing w:val="-2"/>
              </w:rPr>
              <w:t xml:space="preserve">ądownictwo </w:t>
            </w:r>
            <w:r w:rsidRPr="008A3FA9">
              <w:rPr>
                <w:rFonts w:ascii="Times New Roman" w:hAnsi="Times New Roman" w:cs="Times New Roman"/>
                <w:color w:val="000000" w:themeColor="text1"/>
                <w:spacing w:val="-2"/>
              </w:rPr>
              <w:t xml:space="preserve">obligatoryjnie stosuje przepisy ustawy </w:t>
            </w:r>
            <w:r w:rsidR="00095680" w:rsidRPr="008A3FA9">
              <w:rPr>
                <w:rFonts w:ascii="Times New Roman" w:hAnsi="Times New Roman" w:cs="Times New Roman"/>
                <w:color w:val="000000" w:themeColor="text1"/>
                <w:spacing w:val="-2"/>
              </w:rPr>
              <w:t>od października 2029</w:t>
            </w:r>
            <w:r w:rsidRPr="008A3FA9">
              <w:rPr>
                <w:rFonts w:ascii="Times New Roman" w:hAnsi="Times New Roman" w:cs="Times New Roman"/>
                <w:color w:val="000000" w:themeColor="text1"/>
                <w:spacing w:val="-2"/>
              </w:rPr>
              <w:t xml:space="preserve"> </w:t>
            </w:r>
            <w:r w:rsidR="0066629F" w:rsidRPr="008A3FA9">
              <w:rPr>
                <w:rFonts w:ascii="Times New Roman" w:hAnsi="Times New Roman" w:cs="Times New Roman"/>
                <w:color w:val="000000" w:themeColor="text1"/>
                <w:spacing w:val="-2"/>
              </w:rPr>
              <w:t xml:space="preserve">r. </w:t>
            </w:r>
            <w:r w:rsidRPr="008A3FA9">
              <w:rPr>
                <w:rFonts w:ascii="Times New Roman" w:hAnsi="Times New Roman" w:cs="Times New Roman"/>
                <w:color w:val="000000" w:themeColor="text1"/>
                <w:spacing w:val="-2"/>
              </w:rPr>
              <w:t xml:space="preserve">a przed tą datą </w:t>
            </w:r>
            <w:r w:rsidR="005F6337">
              <w:rPr>
                <w:rFonts w:ascii="Times New Roman" w:hAnsi="Times New Roman" w:cs="Times New Roman"/>
                <w:color w:val="000000" w:themeColor="text1"/>
                <w:spacing w:val="-2"/>
              </w:rPr>
              <w:t>–</w:t>
            </w:r>
            <w:r w:rsidR="0066629F" w:rsidRPr="008A3FA9">
              <w:rPr>
                <w:rFonts w:ascii="Times New Roman" w:hAnsi="Times New Roman" w:cs="Times New Roman"/>
                <w:color w:val="000000" w:themeColor="text1"/>
                <w:spacing w:val="-2"/>
              </w:rPr>
              <w:t xml:space="preserve"> </w:t>
            </w:r>
            <w:r w:rsidRPr="008A3FA9">
              <w:rPr>
                <w:rFonts w:ascii="Times New Roman" w:hAnsi="Times New Roman" w:cs="Times New Roman"/>
                <w:color w:val="000000" w:themeColor="text1"/>
                <w:spacing w:val="-2"/>
              </w:rPr>
              <w:t>na zasadzie dobrowolności dla tych jednostek resortu sprawiedliwości</w:t>
            </w:r>
            <w:r w:rsidR="00683D64">
              <w:rPr>
                <w:rFonts w:ascii="Times New Roman" w:hAnsi="Times New Roman" w:cs="Times New Roman"/>
                <w:color w:val="000000" w:themeColor="text1"/>
                <w:spacing w:val="-2"/>
              </w:rPr>
              <w:t>,</w:t>
            </w:r>
            <w:r w:rsidRPr="008A3FA9">
              <w:rPr>
                <w:rFonts w:ascii="Times New Roman" w:hAnsi="Times New Roman" w:cs="Times New Roman"/>
                <w:color w:val="000000" w:themeColor="text1"/>
                <w:spacing w:val="-2"/>
              </w:rPr>
              <w:t xml:space="preserve"> które będą gotowe do realizacji zadań płynących z</w:t>
            </w:r>
            <w:r w:rsidR="00AB04E9">
              <w:rPr>
                <w:rFonts w:ascii="Times New Roman" w:hAnsi="Times New Roman" w:cs="Times New Roman"/>
                <w:color w:val="000000" w:themeColor="text1"/>
                <w:spacing w:val="-2"/>
              </w:rPr>
              <w:t xml:space="preserve"> </w:t>
            </w:r>
            <w:r w:rsidRPr="008A3FA9">
              <w:rPr>
                <w:rFonts w:ascii="Times New Roman" w:hAnsi="Times New Roman" w:cs="Times New Roman"/>
                <w:color w:val="000000" w:themeColor="text1"/>
                <w:spacing w:val="-2"/>
              </w:rPr>
              <w:t>ustawy</w:t>
            </w:r>
            <w:r w:rsidR="00095680" w:rsidRPr="008A3FA9">
              <w:rPr>
                <w:rFonts w:ascii="Times New Roman" w:hAnsi="Times New Roman" w:cs="Times New Roman"/>
                <w:color w:val="000000" w:themeColor="text1"/>
                <w:spacing w:val="-2"/>
              </w:rPr>
              <w:t>.</w:t>
            </w:r>
            <w:r w:rsidR="003C4F5B" w:rsidRPr="008A3FA9">
              <w:rPr>
                <w:rFonts w:ascii="Times New Roman" w:hAnsi="Times New Roman" w:cs="Times New Roman"/>
                <w:color w:val="000000" w:themeColor="text1"/>
                <w:spacing w:val="-2"/>
              </w:rPr>
              <w:t xml:space="preserve"> </w:t>
            </w:r>
            <w:r w:rsidR="00F909CC" w:rsidRPr="008A3FA9">
              <w:rPr>
                <w:rFonts w:ascii="Times New Roman" w:hAnsi="Times New Roman" w:cs="Times New Roman"/>
                <w:bCs/>
                <w:color w:val="000000" w:themeColor="text1"/>
                <w:spacing w:val="-2"/>
              </w:rPr>
              <w:t>Od 1 stycznia 202</w:t>
            </w:r>
            <w:r w:rsidR="00181924" w:rsidRPr="008A3FA9">
              <w:rPr>
                <w:rFonts w:ascii="Times New Roman" w:hAnsi="Times New Roman" w:cs="Times New Roman"/>
                <w:bCs/>
                <w:color w:val="000000" w:themeColor="text1"/>
                <w:spacing w:val="-2"/>
              </w:rPr>
              <w:t>1</w:t>
            </w:r>
            <w:r w:rsidR="00F909CC" w:rsidRPr="008A3FA9">
              <w:rPr>
                <w:rFonts w:ascii="Times New Roman" w:hAnsi="Times New Roman" w:cs="Times New Roman"/>
                <w:bCs/>
                <w:color w:val="000000" w:themeColor="text1"/>
                <w:spacing w:val="-2"/>
              </w:rPr>
              <w:t xml:space="preserve"> r</w:t>
            </w:r>
            <w:r w:rsidR="0066629F" w:rsidRPr="008A3FA9">
              <w:rPr>
                <w:rFonts w:ascii="Times New Roman" w:hAnsi="Times New Roman" w:cs="Times New Roman"/>
                <w:bCs/>
                <w:color w:val="000000" w:themeColor="text1"/>
                <w:spacing w:val="-2"/>
              </w:rPr>
              <w:t>.</w:t>
            </w:r>
            <w:r w:rsidR="00F909CC" w:rsidRPr="008A3FA9">
              <w:rPr>
                <w:rFonts w:ascii="Times New Roman" w:hAnsi="Times New Roman" w:cs="Times New Roman"/>
                <w:bCs/>
                <w:color w:val="000000" w:themeColor="text1"/>
                <w:spacing w:val="-2"/>
              </w:rPr>
              <w:t xml:space="preserve"> będą obowiązan</w:t>
            </w:r>
            <w:r w:rsidR="00683D64">
              <w:rPr>
                <w:rFonts w:ascii="Times New Roman" w:hAnsi="Times New Roman" w:cs="Times New Roman"/>
                <w:bCs/>
                <w:color w:val="000000" w:themeColor="text1"/>
                <w:spacing w:val="-2"/>
              </w:rPr>
              <w:t>e</w:t>
            </w:r>
            <w:r w:rsidR="00F909CC" w:rsidRPr="008A3FA9">
              <w:rPr>
                <w:rFonts w:ascii="Times New Roman" w:hAnsi="Times New Roman" w:cs="Times New Roman"/>
                <w:bCs/>
                <w:color w:val="000000" w:themeColor="text1"/>
                <w:spacing w:val="-2"/>
              </w:rPr>
              <w:t xml:space="preserve"> stosować przepisy</w:t>
            </w:r>
            <w:r w:rsidR="00181924" w:rsidRPr="008A3FA9">
              <w:rPr>
                <w:rFonts w:ascii="Times New Roman" w:hAnsi="Times New Roman" w:cs="Times New Roman"/>
                <w:bCs/>
                <w:color w:val="000000" w:themeColor="text1"/>
                <w:spacing w:val="-2"/>
              </w:rPr>
              <w:t xml:space="preserve"> organy administracji rządowej oraz jednostki budżetowe je obsługujące</w:t>
            </w:r>
            <w:r w:rsidR="00C42AC8" w:rsidRPr="008A3FA9">
              <w:rPr>
                <w:rFonts w:ascii="Times New Roman" w:hAnsi="Times New Roman" w:cs="Times New Roman"/>
                <w:bCs/>
                <w:color w:val="000000" w:themeColor="text1"/>
                <w:spacing w:val="-2"/>
              </w:rPr>
              <w:t>,</w:t>
            </w:r>
            <w:r w:rsidR="003C4F5B" w:rsidRPr="008A3FA9">
              <w:rPr>
                <w:rFonts w:ascii="Times New Roman" w:hAnsi="Times New Roman" w:cs="Times New Roman"/>
                <w:bCs/>
                <w:color w:val="000000" w:themeColor="text1"/>
                <w:spacing w:val="-2"/>
              </w:rPr>
              <w:t xml:space="preserve"> natomiast od 1 stycznia 2022 r</w:t>
            </w:r>
            <w:r w:rsidR="0066629F" w:rsidRPr="008A3FA9">
              <w:rPr>
                <w:rFonts w:ascii="Times New Roman" w:hAnsi="Times New Roman" w:cs="Times New Roman"/>
                <w:bCs/>
                <w:color w:val="000000" w:themeColor="text1"/>
                <w:spacing w:val="-2"/>
              </w:rPr>
              <w:t>.</w:t>
            </w:r>
            <w:r w:rsidR="003C4F5B" w:rsidRPr="008A3FA9">
              <w:rPr>
                <w:rFonts w:ascii="Times New Roman" w:hAnsi="Times New Roman" w:cs="Times New Roman"/>
                <w:bCs/>
                <w:color w:val="000000" w:themeColor="text1"/>
                <w:spacing w:val="-2"/>
              </w:rPr>
              <w:t xml:space="preserve">  będą</w:t>
            </w:r>
            <w:r w:rsidR="00683D64">
              <w:rPr>
                <w:rFonts w:ascii="Times New Roman" w:hAnsi="Times New Roman" w:cs="Times New Roman"/>
                <w:bCs/>
                <w:color w:val="000000" w:themeColor="text1"/>
                <w:spacing w:val="-2"/>
              </w:rPr>
              <w:t xml:space="preserve"> obowiązane stosować przepisy</w:t>
            </w:r>
            <w:r w:rsidR="00F909CC" w:rsidRPr="008A3FA9">
              <w:rPr>
                <w:rFonts w:ascii="Times New Roman" w:hAnsi="Times New Roman" w:cs="Times New Roman"/>
                <w:bCs/>
                <w:color w:val="000000" w:themeColor="text1"/>
                <w:spacing w:val="-2"/>
              </w:rPr>
              <w:t>:</w:t>
            </w:r>
          </w:p>
          <w:p w14:paraId="4A7D1FDA" w14:textId="77777777" w:rsidR="00F909CC" w:rsidRPr="008A3FA9" w:rsidRDefault="0066629F" w:rsidP="008A3FA9">
            <w:pPr>
              <w:pStyle w:val="Akapitzlist"/>
              <w:numPr>
                <w:ilvl w:val="0"/>
                <w:numId w:val="8"/>
              </w:numPr>
              <w:spacing w:before="60" w:after="60"/>
              <w:jc w:val="both"/>
              <w:rPr>
                <w:rFonts w:ascii="Times New Roman" w:hAnsi="Times New Roman" w:cs="Times New Roman"/>
                <w:bCs/>
                <w:color w:val="000000" w:themeColor="text1"/>
                <w:spacing w:val="-2"/>
              </w:rPr>
            </w:pPr>
            <w:r w:rsidRPr="008A3FA9">
              <w:rPr>
                <w:rFonts w:ascii="Times New Roman" w:hAnsi="Times New Roman" w:cs="Times New Roman"/>
                <w:bCs/>
                <w:color w:val="000000" w:themeColor="text1"/>
                <w:spacing w:val="-2"/>
              </w:rPr>
              <w:t>o</w:t>
            </w:r>
            <w:r w:rsidR="00F909CC" w:rsidRPr="008A3FA9">
              <w:rPr>
                <w:rFonts w:ascii="Times New Roman" w:hAnsi="Times New Roman" w:cs="Times New Roman"/>
                <w:bCs/>
                <w:color w:val="000000" w:themeColor="text1"/>
                <w:spacing w:val="-2"/>
              </w:rPr>
              <w:t>rgany władzy publicznej, w tym organy kontroli państwowej i ochrony prawa oraz jednostki budżetowe je obsługujące</w:t>
            </w:r>
            <w:r w:rsidRPr="008A3FA9">
              <w:rPr>
                <w:rFonts w:ascii="Times New Roman" w:hAnsi="Times New Roman" w:cs="Times New Roman"/>
                <w:bCs/>
                <w:color w:val="000000" w:themeColor="text1"/>
                <w:spacing w:val="-2"/>
              </w:rPr>
              <w:t>,</w:t>
            </w:r>
          </w:p>
          <w:p w14:paraId="3D3BD0BA" w14:textId="77777777" w:rsidR="00F909CC" w:rsidRPr="008A3FA9" w:rsidRDefault="00F909CC" w:rsidP="008A3FA9">
            <w:pPr>
              <w:pStyle w:val="Akapitzlist"/>
              <w:numPr>
                <w:ilvl w:val="0"/>
                <w:numId w:val="8"/>
              </w:numPr>
              <w:spacing w:before="60" w:after="60"/>
              <w:jc w:val="both"/>
              <w:rPr>
                <w:rFonts w:ascii="Times New Roman" w:hAnsi="Times New Roman" w:cs="Times New Roman"/>
                <w:bCs/>
                <w:color w:val="000000" w:themeColor="text1"/>
                <w:spacing w:val="-2"/>
              </w:rPr>
            </w:pPr>
            <w:r w:rsidRPr="008A3FA9">
              <w:rPr>
                <w:rFonts w:ascii="Times New Roman" w:hAnsi="Times New Roman" w:cs="Times New Roman"/>
                <w:bCs/>
                <w:color w:val="000000" w:themeColor="text1"/>
                <w:spacing w:val="-2"/>
              </w:rPr>
              <w:t>Zakład Ubezpieczeń Społecznych i zarządzane przez niego fundusze oraz Kasa Rolniczego Ubezpieczenia Społecznego i fundusze zarządzane przez Prezesa Kasy Rolniczego Ubezpieczenia Społecznego</w:t>
            </w:r>
            <w:r w:rsidR="0066629F" w:rsidRPr="008A3FA9">
              <w:rPr>
                <w:rFonts w:ascii="Times New Roman" w:hAnsi="Times New Roman" w:cs="Times New Roman"/>
                <w:bCs/>
                <w:color w:val="000000" w:themeColor="text1"/>
                <w:spacing w:val="-2"/>
              </w:rPr>
              <w:t>,</w:t>
            </w:r>
          </w:p>
          <w:p w14:paraId="3AC343F1" w14:textId="77777777" w:rsidR="00F909CC" w:rsidRPr="008A3FA9" w:rsidRDefault="00F909CC" w:rsidP="008A3FA9">
            <w:pPr>
              <w:pStyle w:val="Akapitzlist"/>
              <w:numPr>
                <w:ilvl w:val="0"/>
                <w:numId w:val="8"/>
              </w:numPr>
              <w:spacing w:before="60" w:after="60"/>
              <w:jc w:val="both"/>
              <w:rPr>
                <w:rFonts w:ascii="Times New Roman" w:hAnsi="Times New Roman" w:cs="Times New Roman"/>
                <w:bCs/>
                <w:color w:val="000000" w:themeColor="text1"/>
                <w:spacing w:val="-2"/>
              </w:rPr>
            </w:pPr>
            <w:r w:rsidRPr="008A3FA9">
              <w:rPr>
                <w:rFonts w:ascii="Times New Roman" w:hAnsi="Times New Roman" w:cs="Times New Roman"/>
                <w:bCs/>
                <w:color w:val="000000" w:themeColor="text1"/>
                <w:spacing w:val="-2"/>
              </w:rPr>
              <w:t>Narodowy Fundusz Zdrowia</w:t>
            </w:r>
            <w:r w:rsidR="0066629F" w:rsidRPr="008A3FA9">
              <w:rPr>
                <w:rFonts w:ascii="Times New Roman" w:hAnsi="Times New Roman" w:cs="Times New Roman"/>
                <w:bCs/>
                <w:color w:val="000000" w:themeColor="text1"/>
                <w:spacing w:val="-2"/>
              </w:rPr>
              <w:t>.</w:t>
            </w:r>
          </w:p>
          <w:p w14:paraId="70123C41" w14:textId="21D3619B" w:rsidR="00F909CC" w:rsidRPr="008A3FA9" w:rsidRDefault="00F909CC" w:rsidP="008A3FA9">
            <w:pPr>
              <w:spacing w:before="60" w:after="60"/>
              <w:ind w:left="62"/>
              <w:jc w:val="both"/>
              <w:rPr>
                <w:rFonts w:ascii="Times New Roman" w:hAnsi="Times New Roman" w:cs="Times New Roman"/>
                <w:bCs/>
                <w:color w:val="000000" w:themeColor="text1"/>
                <w:spacing w:val="-2"/>
              </w:rPr>
            </w:pPr>
            <w:r w:rsidRPr="008A3FA9">
              <w:rPr>
                <w:rFonts w:ascii="Times New Roman" w:hAnsi="Times New Roman" w:cs="Times New Roman"/>
                <w:bCs/>
                <w:color w:val="000000" w:themeColor="text1"/>
                <w:spacing w:val="-2"/>
              </w:rPr>
              <w:t>Agencje wykonawcze, instytucje gospodarki budżetowej, państwowe fundusze celowe, samodzielne publiczne zakłady opieki zdrowotnej, uczelnie publiczne, Polska Akademia Nauk i tworzone przez nią jednostki organizacyjne, państwowe i samorządowe instytucje kultury, inne państwowe lub samorządowe osoby prawne utworzone na podstawie odrębnych ustaw w celu wykonywania zadań publicznych będą obowiązane stosować przepisy ustawy od dnia 1</w:t>
            </w:r>
            <w:r w:rsidR="001B514F">
              <w:rPr>
                <w:rFonts w:ascii="Times New Roman" w:hAnsi="Times New Roman" w:cs="Times New Roman"/>
                <w:bCs/>
                <w:color w:val="000000" w:themeColor="text1"/>
                <w:spacing w:val="-2"/>
              </w:rPr>
              <w:t> </w:t>
            </w:r>
            <w:r w:rsidRPr="008A3FA9">
              <w:rPr>
                <w:rFonts w:ascii="Times New Roman" w:hAnsi="Times New Roman" w:cs="Times New Roman"/>
                <w:bCs/>
                <w:color w:val="000000" w:themeColor="text1"/>
                <w:spacing w:val="-2"/>
              </w:rPr>
              <w:t>stycznia 2023 r.</w:t>
            </w:r>
          </w:p>
          <w:p w14:paraId="069E834D" w14:textId="77777777" w:rsidR="00F909CC" w:rsidRPr="008A3FA9" w:rsidRDefault="00F909CC" w:rsidP="008A3FA9">
            <w:pPr>
              <w:spacing w:before="60" w:after="60"/>
              <w:ind w:left="62"/>
              <w:jc w:val="both"/>
              <w:rPr>
                <w:rFonts w:ascii="Times New Roman" w:hAnsi="Times New Roman" w:cs="Times New Roman"/>
                <w:bCs/>
                <w:color w:val="000000" w:themeColor="text1"/>
                <w:spacing w:val="-2"/>
              </w:rPr>
            </w:pPr>
            <w:r w:rsidRPr="008A3FA9">
              <w:rPr>
                <w:rFonts w:ascii="Times New Roman" w:hAnsi="Times New Roman" w:cs="Times New Roman"/>
                <w:bCs/>
                <w:color w:val="000000" w:themeColor="text1"/>
                <w:spacing w:val="-2"/>
              </w:rPr>
              <w:t>Samorządy tj. jednostki samorządu terytorialnego i ich związki oraz związki metropolitalne oraz samorządowe zakłady budżetowe będą obowiązane stosować przepisy od dnia 1 stycznia 2024 r.</w:t>
            </w:r>
          </w:p>
          <w:p w14:paraId="0A1FD3DA" w14:textId="4C4CD86C" w:rsidR="00F909CC" w:rsidRPr="008A3FA9" w:rsidRDefault="00F909CC" w:rsidP="008A3FA9">
            <w:pPr>
              <w:spacing w:before="60" w:after="60"/>
              <w:ind w:left="62"/>
              <w:jc w:val="both"/>
              <w:rPr>
                <w:rFonts w:ascii="Times New Roman" w:hAnsi="Times New Roman" w:cs="Times New Roman"/>
                <w:color w:val="000000" w:themeColor="text1"/>
                <w:spacing w:val="-2"/>
              </w:rPr>
            </w:pPr>
            <w:r w:rsidRPr="008A3FA9">
              <w:rPr>
                <w:rFonts w:ascii="Times New Roman" w:hAnsi="Times New Roman" w:cs="Times New Roman"/>
                <w:color w:val="000000" w:themeColor="text1"/>
                <w:spacing w:val="-2"/>
              </w:rPr>
              <w:t xml:space="preserve">Sądy i trybunały, </w:t>
            </w:r>
            <w:r w:rsidR="00A1415D" w:rsidRPr="008A3FA9">
              <w:rPr>
                <w:rFonts w:ascii="Times New Roman" w:hAnsi="Times New Roman" w:cs="Times New Roman"/>
                <w:color w:val="000000" w:themeColor="text1"/>
                <w:spacing w:val="-2"/>
              </w:rPr>
              <w:t xml:space="preserve">komornicy oraz </w:t>
            </w:r>
            <w:r w:rsidRPr="008A3FA9">
              <w:rPr>
                <w:rFonts w:ascii="Times New Roman" w:hAnsi="Times New Roman" w:cs="Times New Roman"/>
                <w:color w:val="000000" w:themeColor="text1"/>
                <w:spacing w:val="-2"/>
              </w:rPr>
              <w:t>prokuratura oraz organy ścigania są obowiązane stosować przepisy ustawy od dnia 1</w:t>
            </w:r>
            <w:r w:rsidR="001B514F">
              <w:rPr>
                <w:rFonts w:ascii="Times New Roman" w:hAnsi="Times New Roman" w:cs="Times New Roman"/>
                <w:color w:val="000000" w:themeColor="text1"/>
                <w:spacing w:val="-2"/>
              </w:rPr>
              <w:t> </w:t>
            </w:r>
            <w:r w:rsidR="0066629F" w:rsidRPr="008A3FA9">
              <w:rPr>
                <w:rFonts w:ascii="Times New Roman" w:hAnsi="Times New Roman" w:cs="Times New Roman"/>
                <w:color w:val="000000" w:themeColor="text1"/>
                <w:spacing w:val="-2"/>
              </w:rPr>
              <w:t xml:space="preserve">października </w:t>
            </w:r>
            <w:r w:rsidRPr="008A3FA9">
              <w:rPr>
                <w:rFonts w:ascii="Times New Roman" w:hAnsi="Times New Roman" w:cs="Times New Roman"/>
                <w:color w:val="000000" w:themeColor="text1"/>
                <w:spacing w:val="-2"/>
              </w:rPr>
              <w:t>202</w:t>
            </w:r>
            <w:r w:rsidR="008F6223" w:rsidRPr="008A3FA9">
              <w:rPr>
                <w:rFonts w:ascii="Times New Roman" w:hAnsi="Times New Roman" w:cs="Times New Roman"/>
                <w:color w:val="000000" w:themeColor="text1"/>
                <w:spacing w:val="-2"/>
              </w:rPr>
              <w:t>9</w:t>
            </w:r>
            <w:r w:rsidRPr="008A3FA9">
              <w:rPr>
                <w:rFonts w:ascii="Times New Roman" w:hAnsi="Times New Roman" w:cs="Times New Roman"/>
                <w:color w:val="000000" w:themeColor="text1"/>
                <w:spacing w:val="-2"/>
              </w:rPr>
              <w:t xml:space="preserve"> r</w:t>
            </w:r>
            <w:r w:rsidR="00A1415D" w:rsidRPr="008A3FA9">
              <w:rPr>
                <w:rFonts w:ascii="Times New Roman" w:hAnsi="Times New Roman" w:cs="Times New Roman"/>
                <w:color w:val="000000" w:themeColor="text1"/>
                <w:spacing w:val="-2"/>
              </w:rPr>
              <w:t xml:space="preserve">. </w:t>
            </w:r>
            <w:r w:rsidR="00A1415D" w:rsidRPr="008A3FA9">
              <w:rPr>
                <w:rFonts w:ascii="Times New Roman" w:hAnsi="Times New Roman" w:cs="Times New Roman"/>
              </w:rPr>
              <w:t xml:space="preserve">Pozostałe </w:t>
            </w:r>
            <w:r w:rsidR="00A1415D" w:rsidRPr="008A3FA9">
              <w:rPr>
                <w:rFonts w:ascii="Times New Roman" w:hAnsi="Times New Roman" w:cs="Times New Roman"/>
                <w:color w:val="000000" w:themeColor="text1"/>
                <w:spacing w:val="-2"/>
              </w:rPr>
              <w:t>podmioty publiczne od 1</w:t>
            </w:r>
            <w:r w:rsidR="00A95432">
              <w:rPr>
                <w:rFonts w:ascii="Times New Roman" w:hAnsi="Times New Roman" w:cs="Times New Roman"/>
                <w:color w:val="000000" w:themeColor="text1"/>
                <w:spacing w:val="-2"/>
              </w:rPr>
              <w:t xml:space="preserve"> stycznia </w:t>
            </w:r>
            <w:r w:rsidR="00A1415D" w:rsidRPr="008A3FA9">
              <w:rPr>
                <w:rFonts w:ascii="Times New Roman" w:hAnsi="Times New Roman" w:cs="Times New Roman"/>
                <w:color w:val="000000" w:themeColor="text1"/>
                <w:spacing w:val="-2"/>
              </w:rPr>
              <w:t>2025 r</w:t>
            </w:r>
            <w:r w:rsidR="0066629F" w:rsidRPr="008A3FA9">
              <w:rPr>
                <w:rFonts w:ascii="Times New Roman" w:hAnsi="Times New Roman" w:cs="Times New Roman"/>
                <w:color w:val="000000" w:themeColor="text1"/>
                <w:spacing w:val="-2"/>
              </w:rPr>
              <w:t>.</w:t>
            </w:r>
          </w:p>
          <w:p w14:paraId="020F127D" w14:textId="1DB0A0BF" w:rsidR="003A6F7A" w:rsidRPr="008A3FA9" w:rsidRDefault="003A6F7A" w:rsidP="008A3FA9">
            <w:pPr>
              <w:spacing w:before="60" w:after="60"/>
              <w:ind w:left="62"/>
              <w:jc w:val="both"/>
              <w:rPr>
                <w:rFonts w:ascii="Times New Roman" w:hAnsi="Times New Roman" w:cs="Times New Roman"/>
                <w:color w:val="000000" w:themeColor="text1"/>
                <w:spacing w:val="-2"/>
              </w:rPr>
            </w:pPr>
            <w:r w:rsidRPr="008A3FA9">
              <w:rPr>
                <w:rFonts w:ascii="Times New Roman" w:hAnsi="Times New Roman" w:cs="Times New Roman"/>
                <w:color w:val="000000" w:themeColor="text1"/>
                <w:spacing w:val="-2"/>
              </w:rPr>
              <w:t xml:space="preserve">Wejście w </w:t>
            </w:r>
            <w:r w:rsidRPr="008A3FA9">
              <w:rPr>
                <w:rFonts w:ascii="Times New Roman" w:hAnsi="Times New Roman" w:cs="Times New Roman"/>
                <w:color w:val="000000" w:themeColor="text1"/>
              </w:rPr>
              <w:t>życie</w:t>
            </w:r>
            <w:r w:rsidRPr="008A3FA9">
              <w:rPr>
                <w:rFonts w:ascii="Times New Roman" w:hAnsi="Times New Roman" w:cs="Times New Roman"/>
                <w:color w:val="000000" w:themeColor="text1"/>
                <w:spacing w:val="-2"/>
              </w:rPr>
              <w:t xml:space="preserve"> ustawy stworzy ramy prawne dla opracowywanego </w:t>
            </w:r>
            <w:r w:rsidRPr="008A3FA9">
              <w:rPr>
                <w:rFonts w:ascii="Times New Roman" w:hAnsi="Times New Roman" w:cs="Times New Roman"/>
                <w:color w:val="000000" w:themeColor="text1"/>
              </w:rPr>
              <w:t>przez Ministerstwo Cyfryzacji standardu i</w:t>
            </w:r>
            <w:r w:rsidR="001B514F">
              <w:rPr>
                <w:rFonts w:ascii="Times New Roman" w:hAnsi="Times New Roman" w:cs="Times New Roman"/>
                <w:color w:val="000000" w:themeColor="text1"/>
              </w:rPr>
              <w:t> </w:t>
            </w:r>
            <w:r w:rsidRPr="008A3FA9">
              <w:rPr>
                <w:rFonts w:ascii="Times New Roman" w:hAnsi="Times New Roman" w:cs="Times New Roman"/>
                <w:color w:val="000000" w:themeColor="text1"/>
              </w:rPr>
              <w:t>narzędzia teleinformatycznego umożliwiającego skuteczne i przyjazne dla użytkowników doręczenia dokumentów w postaci elektronicznej oraz w postaci papierowej.</w:t>
            </w:r>
          </w:p>
          <w:p w14:paraId="1744F30B" w14:textId="6652A9CF" w:rsidR="003A6F7A" w:rsidRPr="008A3FA9" w:rsidRDefault="003A6F7A" w:rsidP="001B514F">
            <w:pPr>
              <w:spacing w:before="60" w:after="60"/>
              <w:ind w:left="62"/>
              <w:jc w:val="both"/>
              <w:rPr>
                <w:rFonts w:ascii="Times New Roman" w:hAnsi="Times New Roman" w:cs="Times New Roman"/>
                <w:color w:val="000000" w:themeColor="text1"/>
                <w:spacing w:val="-2"/>
              </w:rPr>
            </w:pPr>
            <w:r w:rsidRPr="008A3FA9">
              <w:rPr>
                <w:rFonts w:ascii="Times New Roman" w:hAnsi="Times New Roman" w:cs="Times New Roman"/>
                <w:color w:val="000000" w:themeColor="text1"/>
              </w:rPr>
              <w:t>Minister Cyfryzacji i Minister Infrastruktury przewidują prowadzenie działań zmierzających do zwiększania świadomości społecznej w</w:t>
            </w:r>
            <w:r w:rsidR="00AB04E9">
              <w:rPr>
                <w:rFonts w:ascii="Times New Roman" w:hAnsi="Times New Roman" w:cs="Times New Roman"/>
                <w:color w:val="000000" w:themeColor="text1"/>
              </w:rPr>
              <w:t xml:space="preserve"> </w:t>
            </w:r>
            <w:r w:rsidRPr="008A3FA9">
              <w:rPr>
                <w:rFonts w:ascii="Times New Roman" w:hAnsi="Times New Roman" w:cs="Times New Roman"/>
                <w:color w:val="000000" w:themeColor="text1"/>
              </w:rPr>
              <w:t>przedmiocie zmiany przepisów o doręczeniach, w tym poprzez udział pracowników Ministerstwa Cyfryzacji i Ministerstwa Infrastruktury w licznych konferencjach oraz</w:t>
            </w:r>
            <w:r w:rsidR="00AB04E9">
              <w:rPr>
                <w:rFonts w:ascii="Times New Roman" w:hAnsi="Times New Roman" w:cs="Times New Roman"/>
                <w:color w:val="000000" w:themeColor="text1"/>
              </w:rPr>
              <w:t xml:space="preserve"> </w:t>
            </w:r>
            <w:r w:rsidRPr="008A3FA9">
              <w:rPr>
                <w:rFonts w:ascii="Times New Roman" w:hAnsi="Times New Roman" w:cs="Times New Roman"/>
                <w:color w:val="000000" w:themeColor="text1"/>
              </w:rPr>
              <w:t>przekazach prasowych. Ministerstwo Infrastruktury podejmie w szczególności działania informacyjne na</w:t>
            </w:r>
            <w:r w:rsidR="00AB04E9">
              <w:rPr>
                <w:rFonts w:ascii="Times New Roman" w:hAnsi="Times New Roman" w:cs="Times New Roman"/>
                <w:color w:val="000000" w:themeColor="text1"/>
              </w:rPr>
              <w:t xml:space="preserve"> </w:t>
            </w:r>
            <w:r w:rsidRPr="008A3FA9">
              <w:rPr>
                <w:rFonts w:ascii="Times New Roman" w:hAnsi="Times New Roman" w:cs="Times New Roman"/>
                <w:color w:val="000000" w:themeColor="text1"/>
              </w:rPr>
              <w:t>temat istoty i</w:t>
            </w:r>
            <w:r w:rsidR="00AB04E9">
              <w:rPr>
                <w:rFonts w:ascii="Times New Roman" w:hAnsi="Times New Roman" w:cs="Times New Roman"/>
                <w:color w:val="000000" w:themeColor="text1"/>
              </w:rPr>
              <w:t xml:space="preserve"> </w:t>
            </w:r>
            <w:r w:rsidRPr="008A3FA9">
              <w:rPr>
                <w:rFonts w:ascii="Times New Roman" w:hAnsi="Times New Roman" w:cs="Times New Roman"/>
                <w:color w:val="000000" w:themeColor="text1"/>
              </w:rPr>
              <w:t>korzyści z</w:t>
            </w:r>
            <w:r w:rsidR="001B514F">
              <w:rPr>
                <w:rFonts w:ascii="Times New Roman" w:hAnsi="Times New Roman" w:cs="Times New Roman"/>
                <w:color w:val="000000" w:themeColor="text1"/>
              </w:rPr>
              <w:t> </w:t>
            </w:r>
            <w:r w:rsidRPr="008A3FA9">
              <w:rPr>
                <w:rFonts w:ascii="Times New Roman" w:hAnsi="Times New Roman" w:cs="Times New Roman"/>
                <w:color w:val="000000" w:themeColor="text1"/>
              </w:rPr>
              <w:t>zastosowania doręczenia w postaci hybrydowej.</w:t>
            </w:r>
          </w:p>
        </w:tc>
      </w:tr>
      <w:tr w:rsidR="005C3FCE" w:rsidRPr="00E42D6D" w14:paraId="76427883" w14:textId="77777777" w:rsidTr="008A3FA9">
        <w:tblPrEx>
          <w:jc w:val="left"/>
        </w:tblPrEx>
        <w:trPr>
          <w:trHeight w:val="142"/>
        </w:trPr>
        <w:tc>
          <w:tcPr>
            <w:tcW w:w="10661" w:type="dxa"/>
            <w:gridSpan w:val="29"/>
            <w:shd w:val="clear" w:color="auto" w:fill="99CCFF"/>
          </w:tcPr>
          <w:p w14:paraId="0DA461A4" w14:textId="77777777" w:rsidR="003A6F7A" w:rsidRPr="008A3FA9" w:rsidRDefault="003A6F7A" w:rsidP="008A3FA9">
            <w:pPr>
              <w:numPr>
                <w:ilvl w:val="0"/>
                <w:numId w:val="1"/>
              </w:numPr>
              <w:spacing w:before="60" w:after="60"/>
              <w:rPr>
                <w:rFonts w:ascii="Times New Roman" w:hAnsi="Times New Roman" w:cs="Times New Roman"/>
                <w:b/>
                <w:color w:val="000000" w:themeColor="text1"/>
              </w:rPr>
            </w:pPr>
            <w:r w:rsidRPr="008A3FA9">
              <w:rPr>
                <w:rFonts w:ascii="Times New Roman" w:hAnsi="Times New Roman" w:cs="Times New Roman"/>
                <w:b/>
                <w:color w:val="000000" w:themeColor="text1"/>
                <w:spacing w:val="-2"/>
              </w:rPr>
              <w:t xml:space="preserve">W </w:t>
            </w:r>
            <w:r w:rsidRPr="008A3FA9">
              <w:rPr>
                <w:rFonts w:ascii="Times New Roman" w:hAnsi="Times New Roman" w:cs="Times New Roman"/>
                <w:b/>
                <w:color w:val="000000" w:themeColor="text1"/>
              </w:rPr>
              <w:t>jaki</w:t>
            </w:r>
            <w:r w:rsidRPr="008A3FA9">
              <w:rPr>
                <w:rFonts w:ascii="Times New Roman" w:hAnsi="Times New Roman" w:cs="Times New Roman"/>
                <w:b/>
                <w:color w:val="000000" w:themeColor="text1"/>
                <w:spacing w:val="-2"/>
              </w:rPr>
              <w:t xml:space="preserve"> sposób i kiedy nastąpi ewaluacja efektów projektu oraz jakie mierniki zostaną zastosowane?</w:t>
            </w:r>
          </w:p>
        </w:tc>
      </w:tr>
      <w:tr w:rsidR="005C3FCE" w:rsidRPr="00E42D6D" w14:paraId="15C84566" w14:textId="77777777" w:rsidTr="008A3FA9">
        <w:tblPrEx>
          <w:jc w:val="left"/>
        </w:tblPrEx>
        <w:trPr>
          <w:trHeight w:val="142"/>
        </w:trPr>
        <w:tc>
          <w:tcPr>
            <w:tcW w:w="10661" w:type="dxa"/>
            <w:gridSpan w:val="29"/>
            <w:shd w:val="clear" w:color="auto" w:fill="FFFFFF"/>
          </w:tcPr>
          <w:p w14:paraId="6F1632AC" w14:textId="77777777" w:rsidR="003A6F7A" w:rsidRPr="008A3FA9" w:rsidRDefault="003A6F7A" w:rsidP="008A3FA9">
            <w:pPr>
              <w:spacing w:before="60" w:after="60"/>
              <w:jc w:val="both"/>
              <w:rPr>
                <w:rFonts w:ascii="Times New Roman" w:hAnsi="Times New Roman" w:cs="Times New Roman"/>
                <w:color w:val="000000" w:themeColor="text1"/>
                <w:spacing w:val="-2"/>
              </w:rPr>
            </w:pPr>
            <w:r w:rsidRPr="008A3FA9">
              <w:rPr>
                <w:rFonts w:ascii="Times New Roman" w:hAnsi="Times New Roman" w:cs="Times New Roman"/>
                <w:color w:val="000000" w:themeColor="text1"/>
                <w:spacing w:val="-2"/>
              </w:rPr>
              <w:t>Ocena ex post</w:t>
            </w:r>
            <w:r w:rsidR="00A06050" w:rsidRPr="008A3FA9">
              <w:rPr>
                <w:rFonts w:ascii="Times New Roman" w:hAnsi="Times New Roman" w:cs="Times New Roman"/>
                <w:color w:val="000000" w:themeColor="text1"/>
                <w:spacing w:val="-2"/>
              </w:rPr>
              <w:t xml:space="preserve"> wstępna</w:t>
            </w:r>
            <w:r w:rsidRPr="008A3FA9">
              <w:rPr>
                <w:rFonts w:ascii="Times New Roman" w:hAnsi="Times New Roman" w:cs="Times New Roman"/>
                <w:color w:val="000000" w:themeColor="text1"/>
                <w:spacing w:val="-2"/>
              </w:rPr>
              <w:t xml:space="preserve"> nastąpi po 3 latach funkcjonowania przepisów – dokonana zostanie ocena:</w:t>
            </w:r>
          </w:p>
          <w:p w14:paraId="41A2DEB4" w14:textId="77777777" w:rsidR="003A6F7A" w:rsidRPr="008A3FA9" w:rsidRDefault="003A6F7A" w:rsidP="008A3FA9">
            <w:pPr>
              <w:pStyle w:val="Akapitzlist"/>
              <w:numPr>
                <w:ilvl w:val="0"/>
                <w:numId w:val="3"/>
              </w:numPr>
              <w:spacing w:before="60" w:after="60"/>
              <w:ind w:left="347" w:hanging="284"/>
              <w:jc w:val="both"/>
              <w:rPr>
                <w:rFonts w:ascii="Times New Roman" w:hAnsi="Times New Roman" w:cs="Times New Roman"/>
                <w:color w:val="000000" w:themeColor="text1"/>
                <w:spacing w:val="-2"/>
              </w:rPr>
            </w:pPr>
            <w:r w:rsidRPr="008A3FA9">
              <w:rPr>
                <w:rFonts w:ascii="Times New Roman" w:hAnsi="Times New Roman" w:cs="Times New Roman"/>
                <w:color w:val="000000" w:themeColor="text1"/>
                <w:spacing w:val="-2"/>
              </w:rPr>
              <w:t xml:space="preserve">liczby podmiotów korzystających z </w:t>
            </w:r>
            <w:r w:rsidR="00B77812" w:rsidRPr="008A3FA9">
              <w:rPr>
                <w:rFonts w:ascii="Times New Roman" w:hAnsi="Times New Roman" w:cs="Times New Roman"/>
                <w:color w:val="000000" w:themeColor="text1"/>
                <w:spacing w:val="-2"/>
              </w:rPr>
              <w:t>publicznej usługi rejestrowanego doręczenia elektronicznego i publicznej usługi hybrydowej</w:t>
            </w:r>
            <w:r w:rsidR="0066629F" w:rsidRPr="008A3FA9">
              <w:rPr>
                <w:rFonts w:ascii="Times New Roman" w:hAnsi="Times New Roman" w:cs="Times New Roman"/>
                <w:color w:val="000000" w:themeColor="text1"/>
                <w:spacing w:val="-2"/>
              </w:rPr>
              <w:t>;</w:t>
            </w:r>
          </w:p>
          <w:p w14:paraId="204680BA" w14:textId="77777777" w:rsidR="003A6F7A" w:rsidRPr="008A3FA9" w:rsidRDefault="003A6F7A" w:rsidP="008A3FA9">
            <w:pPr>
              <w:pStyle w:val="Akapitzlist"/>
              <w:numPr>
                <w:ilvl w:val="0"/>
                <w:numId w:val="3"/>
              </w:numPr>
              <w:spacing w:before="60" w:after="60"/>
              <w:ind w:left="347" w:hanging="284"/>
              <w:jc w:val="both"/>
              <w:rPr>
                <w:rFonts w:ascii="Times New Roman" w:hAnsi="Times New Roman" w:cs="Times New Roman"/>
                <w:color w:val="000000" w:themeColor="text1"/>
                <w:spacing w:val="-2"/>
              </w:rPr>
            </w:pPr>
            <w:r w:rsidRPr="008A3FA9">
              <w:rPr>
                <w:rFonts w:ascii="Times New Roman" w:hAnsi="Times New Roman" w:cs="Times New Roman"/>
                <w:color w:val="000000" w:themeColor="text1"/>
                <w:spacing w:val="-2"/>
              </w:rPr>
              <w:t>poziomu zadowolenia z usług</w:t>
            </w:r>
            <w:r w:rsidR="0066629F" w:rsidRPr="008A3FA9">
              <w:rPr>
                <w:rFonts w:ascii="Times New Roman" w:hAnsi="Times New Roman" w:cs="Times New Roman"/>
                <w:color w:val="000000" w:themeColor="text1"/>
                <w:spacing w:val="-2"/>
              </w:rPr>
              <w:t>;</w:t>
            </w:r>
          </w:p>
          <w:p w14:paraId="4BC5112C" w14:textId="63A190C5" w:rsidR="003A6F7A" w:rsidRPr="008A3FA9" w:rsidRDefault="003A6F7A" w:rsidP="008A3FA9">
            <w:pPr>
              <w:pStyle w:val="Akapitzlist"/>
              <w:numPr>
                <w:ilvl w:val="0"/>
                <w:numId w:val="3"/>
              </w:numPr>
              <w:spacing w:before="60" w:after="60"/>
              <w:ind w:left="347" w:hanging="284"/>
              <w:jc w:val="both"/>
              <w:rPr>
                <w:rFonts w:ascii="Times New Roman" w:hAnsi="Times New Roman" w:cs="Times New Roman"/>
                <w:color w:val="000000" w:themeColor="text1"/>
                <w:spacing w:val="-2"/>
              </w:rPr>
            </w:pPr>
            <w:r w:rsidRPr="008A3FA9">
              <w:rPr>
                <w:rFonts w:ascii="Times New Roman" w:hAnsi="Times New Roman" w:cs="Times New Roman"/>
                <w:color w:val="000000" w:themeColor="text1"/>
                <w:spacing w:val="-2"/>
              </w:rPr>
              <w:t>wpływu wprowadzenia do procedur rejestrowanego doręczenia elektronicznego i przesyłki hybrydowej na</w:t>
            </w:r>
            <w:r w:rsidR="00AB04E9">
              <w:rPr>
                <w:rFonts w:ascii="Times New Roman" w:hAnsi="Times New Roman" w:cs="Times New Roman"/>
                <w:color w:val="000000" w:themeColor="text1"/>
                <w:spacing w:val="-2"/>
              </w:rPr>
              <w:t xml:space="preserve"> </w:t>
            </w:r>
            <w:r w:rsidRPr="008A3FA9">
              <w:rPr>
                <w:rFonts w:ascii="Times New Roman" w:hAnsi="Times New Roman" w:cs="Times New Roman"/>
                <w:color w:val="000000" w:themeColor="text1"/>
                <w:spacing w:val="-2"/>
              </w:rPr>
              <w:t xml:space="preserve">czas </w:t>
            </w:r>
            <w:r w:rsidRPr="008A3FA9">
              <w:rPr>
                <w:rFonts w:ascii="Times New Roman" w:hAnsi="Times New Roman" w:cs="Times New Roman"/>
                <w:color w:val="000000" w:themeColor="text1"/>
                <w:spacing w:val="-2"/>
              </w:rPr>
              <w:lastRenderedPageBreak/>
              <w:t>i</w:t>
            </w:r>
            <w:r w:rsidR="008742F0">
              <w:rPr>
                <w:rFonts w:ascii="Times New Roman" w:hAnsi="Times New Roman" w:cs="Times New Roman"/>
                <w:color w:val="000000" w:themeColor="text1"/>
                <w:spacing w:val="-2"/>
              </w:rPr>
              <w:t> </w:t>
            </w:r>
            <w:r w:rsidRPr="008A3FA9">
              <w:rPr>
                <w:rFonts w:ascii="Times New Roman" w:hAnsi="Times New Roman" w:cs="Times New Roman"/>
                <w:color w:val="000000" w:themeColor="text1"/>
                <w:spacing w:val="-2"/>
              </w:rPr>
              <w:t>koszt rozpatrywania spraw administracyjnych.</w:t>
            </w:r>
          </w:p>
          <w:p w14:paraId="6230A843" w14:textId="5CE33C3D" w:rsidR="00A06050" w:rsidRPr="008A3FA9" w:rsidRDefault="00A06050" w:rsidP="008A3FA9">
            <w:pPr>
              <w:spacing w:before="60" w:after="60"/>
              <w:jc w:val="both"/>
              <w:rPr>
                <w:rFonts w:ascii="Times New Roman" w:hAnsi="Times New Roman" w:cs="Times New Roman"/>
                <w:color w:val="000000" w:themeColor="text1"/>
                <w:spacing w:val="-2"/>
              </w:rPr>
            </w:pPr>
            <w:r w:rsidRPr="008A3FA9">
              <w:rPr>
                <w:rFonts w:ascii="Times New Roman" w:hAnsi="Times New Roman" w:cs="Times New Roman"/>
                <w:color w:val="000000" w:themeColor="text1"/>
                <w:spacing w:val="-2"/>
              </w:rPr>
              <w:t>Końcowa ocena powyższych aspektów nastąpi w 2030 r</w:t>
            </w:r>
            <w:r w:rsidR="0066629F" w:rsidRPr="008A3FA9">
              <w:rPr>
                <w:rFonts w:ascii="Times New Roman" w:hAnsi="Times New Roman" w:cs="Times New Roman"/>
                <w:color w:val="000000" w:themeColor="text1"/>
                <w:spacing w:val="-2"/>
              </w:rPr>
              <w:t>.</w:t>
            </w:r>
            <w:r w:rsidR="001F43B7">
              <w:rPr>
                <w:rFonts w:ascii="Times New Roman" w:hAnsi="Times New Roman" w:cs="Times New Roman"/>
                <w:color w:val="000000" w:themeColor="text1"/>
                <w:spacing w:val="-2"/>
              </w:rPr>
              <w:t>,</w:t>
            </w:r>
            <w:r w:rsidRPr="008A3FA9">
              <w:rPr>
                <w:rFonts w:ascii="Times New Roman" w:hAnsi="Times New Roman" w:cs="Times New Roman"/>
                <w:color w:val="000000" w:themeColor="text1"/>
                <w:spacing w:val="-2"/>
              </w:rPr>
              <w:t xml:space="preserve"> przy czym uwzględniać będzie dodatkowo wpływ wprowadzenia do procedur rejestrowanego doręczenia elektronicznego i przesyłek hybrydowych na czas i koszt rozpatrywania spraw sądowych.</w:t>
            </w:r>
          </w:p>
          <w:p w14:paraId="7FB40607" w14:textId="77777777" w:rsidR="003A6F7A" w:rsidRPr="008A3FA9" w:rsidRDefault="003A6F7A" w:rsidP="008A3FA9">
            <w:pPr>
              <w:spacing w:before="60" w:after="60"/>
              <w:jc w:val="both"/>
              <w:rPr>
                <w:rFonts w:ascii="Times New Roman" w:hAnsi="Times New Roman" w:cs="Times New Roman"/>
                <w:color w:val="000000" w:themeColor="text1"/>
                <w:spacing w:val="-2"/>
              </w:rPr>
            </w:pPr>
            <w:r w:rsidRPr="008A3FA9">
              <w:rPr>
                <w:rFonts w:ascii="Times New Roman" w:hAnsi="Times New Roman" w:cs="Times New Roman"/>
                <w:color w:val="000000" w:themeColor="text1"/>
                <w:spacing w:val="-2"/>
              </w:rPr>
              <w:t>Ocena zostanie dokonana m.in. na podstawie:</w:t>
            </w:r>
          </w:p>
          <w:p w14:paraId="385825C4" w14:textId="77777777" w:rsidR="003A6F7A" w:rsidRPr="008A3FA9" w:rsidRDefault="003A6F7A" w:rsidP="008A3FA9">
            <w:pPr>
              <w:pStyle w:val="Akapitzlist"/>
              <w:numPr>
                <w:ilvl w:val="0"/>
                <w:numId w:val="2"/>
              </w:numPr>
              <w:spacing w:before="60" w:after="60"/>
              <w:ind w:left="347" w:hanging="284"/>
              <w:jc w:val="both"/>
              <w:rPr>
                <w:rFonts w:ascii="Times New Roman" w:hAnsi="Times New Roman" w:cs="Times New Roman"/>
                <w:color w:val="000000" w:themeColor="text1"/>
                <w:spacing w:val="-2"/>
              </w:rPr>
            </w:pPr>
            <w:r w:rsidRPr="008A3FA9">
              <w:rPr>
                <w:rFonts w:ascii="Times New Roman" w:hAnsi="Times New Roman" w:cs="Times New Roman"/>
                <w:color w:val="000000" w:themeColor="text1"/>
                <w:spacing w:val="-2"/>
              </w:rPr>
              <w:t>danych pochodzących z systemu teleinformatycznego, za pomocą którego będzie świadczona usługa rejestrowanego doręczenia elektronicznego</w:t>
            </w:r>
            <w:r w:rsidR="0066629F" w:rsidRPr="008A3FA9">
              <w:rPr>
                <w:rFonts w:ascii="Times New Roman" w:hAnsi="Times New Roman" w:cs="Times New Roman"/>
                <w:color w:val="000000" w:themeColor="text1"/>
                <w:spacing w:val="-2"/>
              </w:rPr>
              <w:t>;</w:t>
            </w:r>
          </w:p>
          <w:p w14:paraId="28ADA759" w14:textId="77777777" w:rsidR="003A6F7A" w:rsidRPr="008A3FA9" w:rsidRDefault="003A6F7A" w:rsidP="008A3FA9">
            <w:pPr>
              <w:pStyle w:val="Akapitzlist"/>
              <w:numPr>
                <w:ilvl w:val="0"/>
                <w:numId w:val="2"/>
              </w:numPr>
              <w:spacing w:before="60" w:after="60"/>
              <w:ind w:left="347" w:hanging="284"/>
              <w:jc w:val="both"/>
              <w:rPr>
                <w:rFonts w:ascii="Times New Roman" w:hAnsi="Times New Roman" w:cs="Times New Roman"/>
                <w:color w:val="000000" w:themeColor="text1"/>
                <w:spacing w:val="-2"/>
              </w:rPr>
            </w:pPr>
            <w:r w:rsidRPr="008A3FA9">
              <w:rPr>
                <w:rFonts w:ascii="Times New Roman" w:hAnsi="Times New Roman" w:cs="Times New Roman"/>
                <w:color w:val="000000" w:themeColor="text1"/>
                <w:spacing w:val="-2"/>
              </w:rPr>
              <w:t>danych i informacji statystycznych uzyskanych od kwalifikowanych dostawców usług zaufania</w:t>
            </w:r>
            <w:r w:rsidR="0066629F" w:rsidRPr="008A3FA9">
              <w:rPr>
                <w:rFonts w:ascii="Times New Roman" w:hAnsi="Times New Roman" w:cs="Times New Roman"/>
                <w:color w:val="000000" w:themeColor="text1"/>
                <w:spacing w:val="-2"/>
              </w:rPr>
              <w:t>;</w:t>
            </w:r>
            <w:r w:rsidRPr="008A3FA9">
              <w:rPr>
                <w:rFonts w:ascii="Times New Roman" w:hAnsi="Times New Roman" w:cs="Times New Roman"/>
                <w:color w:val="000000" w:themeColor="text1"/>
                <w:spacing w:val="-2"/>
              </w:rPr>
              <w:t xml:space="preserve"> </w:t>
            </w:r>
          </w:p>
          <w:p w14:paraId="28F9BE53" w14:textId="77777777" w:rsidR="003A6F7A" w:rsidRPr="008A3FA9" w:rsidRDefault="003A6F7A" w:rsidP="008A3FA9">
            <w:pPr>
              <w:pStyle w:val="Akapitzlist"/>
              <w:numPr>
                <w:ilvl w:val="0"/>
                <w:numId w:val="2"/>
              </w:numPr>
              <w:spacing w:before="60" w:after="60"/>
              <w:ind w:left="347" w:hanging="284"/>
              <w:jc w:val="both"/>
              <w:rPr>
                <w:rFonts w:ascii="Times New Roman" w:hAnsi="Times New Roman" w:cs="Times New Roman"/>
                <w:color w:val="000000" w:themeColor="text1"/>
                <w:spacing w:val="-2"/>
              </w:rPr>
            </w:pPr>
            <w:r w:rsidRPr="008A3FA9">
              <w:rPr>
                <w:rFonts w:ascii="Times New Roman" w:hAnsi="Times New Roman" w:cs="Times New Roman"/>
                <w:color w:val="000000" w:themeColor="text1"/>
                <w:spacing w:val="-2"/>
              </w:rPr>
              <w:t>danych pochodzących z badania GUS – Społeczeństwo Informacyjne</w:t>
            </w:r>
            <w:r w:rsidR="0066629F" w:rsidRPr="008A3FA9">
              <w:rPr>
                <w:rFonts w:ascii="Times New Roman" w:hAnsi="Times New Roman" w:cs="Times New Roman"/>
                <w:color w:val="000000" w:themeColor="text1"/>
                <w:spacing w:val="-2"/>
              </w:rPr>
              <w:t>;</w:t>
            </w:r>
          </w:p>
          <w:p w14:paraId="10074A73" w14:textId="77777777" w:rsidR="003A6F7A" w:rsidRPr="008A3FA9" w:rsidRDefault="003A6F7A" w:rsidP="008A3FA9">
            <w:pPr>
              <w:pStyle w:val="Akapitzlist"/>
              <w:numPr>
                <w:ilvl w:val="0"/>
                <w:numId w:val="2"/>
              </w:numPr>
              <w:spacing w:before="60" w:after="60"/>
              <w:ind w:left="347" w:hanging="284"/>
              <w:jc w:val="both"/>
              <w:rPr>
                <w:rFonts w:ascii="Times New Roman" w:hAnsi="Times New Roman" w:cs="Times New Roman"/>
                <w:color w:val="000000" w:themeColor="text1"/>
                <w:spacing w:val="-2"/>
              </w:rPr>
            </w:pPr>
            <w:r w:rsidRPr="008A3FA9">
              <w:rPr>
                <w:rFonts w:ascii="Times New Roman" w:hAnsi="Times New Roman" w:cs="Times New Roman"/>
                <w:color w:val="000000" w:themeColor="text1"/>
                <w:spacing w:val="-2"/>
              </w:rPr>
              <w:t>ewentualnych badań opinii społecznej</w:t>
            </w:r>
            <w:r w:rsidR="0066629F" w:rsidRPr="008A3FA9">
              <w:rPr>
                <w:rFonts w:ascii="Times New Roman" w:hAnsi="Times New Roman" w:cs="Times New Roman"/>
                <w:color w:val="000000" w:themeColor="text1"/>
                <w:spacing w:val="-2"/>
              </w:rPr>
              <w:t>;</w:t>
            </w:r>
          </w:p>
          <w:p w14:paraId="02BFDE85" w14:textId="77777777" w:rsidR="003A6F7A" w:rsidRPr="008A3FA9" w:rsidRDefault="003A6F7A" w:rsidP="008A3FA9">
            <w:pPr>
              <w:pStyle w:val="Akapitzlist"/>
              <w:numPr>
                <w:ilvl w:val="0"/>
                <w:numId w:val="2"/>
              </w:numPr>
              <w:spacing w:before="60" w:after="60"/>
              <w:ind w:left="347" w:hanging="284"/>
              <w:rPr>
                <w:rFonts w:ascii="Times New Roman" w:hAnsi="Times New Roman" w:cs="Times New Roman"/>
                <w:color w:val="000000" w:themeColor="text1"/>
                <w:spacing w:val="-2"/>
              </w:rPr>
            </w:pPr>
            <w:r w:rsidRPr="008A3FA9">
              <w:rPr>
                <w:rFonts w:ascii="Times New Roman" w:hAnsi="Times New Roman" w:cs="Times New Roman"/>
                <w:color w:val="000000" w:themeColor="text1"/>
                <w:spacing w:val="-2"/>
              </w:rPr>
              <w:t>danych i sygnałów pochodzących od podmiotów publicznych oraz organizacji reprezentujących przedsiębiorców.</w:t>
            </w:r>
          </w:p>
        </w:tc>
      </w:tr>
      <w:tr w:rsidR="005C3FCE" w:rsidRPr="00E42D6D" w14:paraId="0BBDA4C4" w14:textId="77777777" w:rsidTr="008A3FA9">
        <w:tblPrEx>
          <w:jc w:val="left"/>
        </w:tblPrEx>
        <w:trPr>
          <w:trHeight w:val="142"/>
        </w:trPr>
        <w:tc>
          <w:tcPr>
            <w:tcW w:w="10661" w:type="dxa"/>
            <w:gridSpan w:val="29"/>
            <w:shd w:val="clear" w:color="auto" w:fill="99CCFF"/>
          </w:tcPr>
          <w:p w14:paraId="3F1B0C8F" w14:textId="77777777" w:rsidR="003A6F7A" w:rsidRPr="008A3FA9" w:rsidRDefault="003A6F7A" w:rsidP="008A3FA9">
            <w:pPr>
              <w:numPr>
                <w:ilvl w:val="0"/>
                <w:numId w:val="1"/>
              </w:numPr>
              <w:spacing w:before="60" w:after="60"/>
              <w:rPr>
                <w:rFonts w:ascii="Times New Roman" w:hAnsi="Times New Roman" w:cs="Times New Roman"/>
                <w:b/>
                <w:color w:val="000000" w:themeColor="text1"/>
                <w:spacing w:val="-2"/>
              </w:rPr>
            </w:pPr>
            <w:r w:rsidRPr="008A3FA9">
              <w:rPr>
                <w:rFonts w:ascii="Times New Roman" w:hAnsi="Times New Roman" w:cs="Times New Roman"/>
                <w:b/>
                <w:color w:val="000000" w:themeColor="text1"/>
                <w:spacing w:val="-2"/>
              </w:rPr>
              <w:lastRenderedPageBreak/>
              <w:t xml:space="preserve">Załączniki (istotne dokumenty źródłowe, badania, analizy, itp.) </w:t>
            </w:r>
          </w:p>
        </w:tc>
      </w:tr>
      <w:tr w:rsidR="005C3FCE" w:rsidRPr="00E42D6D" w14:paraId="64D5BAF9" w14:textId="77777777" w:rsidTr="008A3FA9">
        <w:tblPrEx>
          <w:jc w:val="left"/>
        </w:tblPrEx>
        <w:trPr>
          <w:trHeight w:val="142"/>
        </w:trPr>
        <w:tc>
          <w:tcPr>
            <w:tcW w:w="10661" w:type="dxa"/>
            <w:gridSpan w:val="29"/>
            <w:shd w:val="clear" w:color="auto" w:fill="FFFFFF"/>
          </w:tcPr>
          <w:p w14:paraId="0566AC61" w14:textId="77777777" w:rsidR="00F765A9" w:rsidRPr="008A3FA9" w:rsidRDefault="00F765A9" w:rsidP="008A3FA9">
            <w:pPr>
              <w:spacing w:before="60" w:after="60"/>
              <w:rPr>
                <w:rFonts w:ascii="Times New Roman" w:hAnsi="Times New Roman" w:cs="Times New Roman"/>
                <w:color w:val="000000" w:themeColor="text1"/>
              </w:rPr>
            </w:pPr>
            <w:r w:rsidRPr="008A3FA9">
              <w:rPr>
                <w:rFonts w:ascii="Times New Roman" w:hAnsi="Times New Roman" w:cs="Times New Roman"/>
                <w:color w:val="000000" w:themeColor="text1"/>
              </w:rPr>
              <w:t>1. Społeczeństwo informacyjne w Polsce w 2017 r., GUS 2017, https://stat.gov.pl/download/gfx/portalinformacyjny/pl/defaultaktualnosci/5497/2/7/1/spoleczenstwo_informacyjne_w_polsce_w_2017.pdf</w:t>
            </w:r>
            <w:r w:rsidR="0066629F" w:rsidRPr="008A3FA9">
              <w:rPr>
                <w:rFonts w:ascii="Times New Roman" w:hAnsi="Times New Roman" w:cs="Times New Roman"/>
                <w:color w:val="000000" w:themeColor="text1"/>
              </w:rPr>
              <w:t>.</w:t>
            </w:r>
          </w:p>
          <w:p w14:paraId="4EEFA90E" w14:textId="77777777" w:rsidR="00F765A9" w:rsidRPr="008A3FA9" w:rsidRDefault="00F765A9" w:rsidP="008A3FA9">
            <w:pPr>
              <w:spacing w:before="60" w:after="60"/>
              <w:rPr>
                <w:rFonts w:ascii="Times New Roman" w:hAnsi="Times New Roman" w:cs="Times New Roman"/>
                <w:color w:val="000000" w:themeColor="text1"/>
              </w:rPr>
            </w:pPr>
            <w:r w:rsidRPr="008A3FA9">
              <w:rPr>
                <w:rFonts w:ascii="Times New Roman" w:hAnsi="Times New Roman" w:cs="Times New Roman"/>
                <w:color w:val="000000" w:themeColor="text1"/>
              </w:rPr>
              <w:t>2. Wpływ cyfryzacji na działanie urzędów administracji publicznej w Polsce w 2015 roku, MC 2015 r</w:t>
            </w:r>
            <w:r w:rsidR="0066629F" w:rsidRPr="008A3FA9">
              <w:rPr>
                <w:rFonts w:ascii="Times New Roman" w:hAnsi="Times New Roman" w:cs="Times New Roman"/>
                <w:color w:val="000000" w:themeColor="text1"/>
              </w:rPr>
              <w:t>.</w:t>
            </w:r>
            <w:r w:rsidRPr="008A3FA9">
              <w:rPr>
                <w:rFonts w:ascii="Times New Roman" w:hAnsi="Times New Roman" w:cs="Times New Roman"/>
                <w:color w:val="000000" w:themeColor="text1"/>
              </w:rPr>
              <w:t>, https://mc.bip.gov.pl/fobjects/download/97393/raport-wplyw-cyfryzacji-na-dzialanie-urzedow-administracji-publicznej-w-polsce-w-2015-r-pdf.html</w:t>
            </w:r>
            <w:r w:rsidR="0066629F" w:rsidRPr="008A3FA9">
              <w:rPr>
                <w:rFonts w:ascii="Times New Roman" w:hAnsi="Times New Roman" w:cs="Times New Roman"/>
                <w:color w:val="000000" w:themeColor="text1"/>
              </w:rPr>
              <w:t>.</w:t>
            </w:r>
          </w:p>
          <w:p w14:paraId="5B35512E" w14:textId="77777777" w:rsidR="00F765A9" w:rsidRPr="008A3FA9" w:rsidRDefault="00F765A9" w:rsidP="008A3FA9">
            <w:pPr>
              <w:spacing w:before="60" w:after="60"/>
              <w:rPr>
                <w:rFonts w:ascii="Times New Roman" w:hAnsi="Times New Roman" w:cs="Times New Roman"/>
                <w:color w:val="000000" w:themeColor="text1"/>
              </w:rPr>
            </w:pPr>
            <w:r w:rsidRPr="008A3FA9">
              <w:rPr>
                <w:rFonts w:ascii="Times New Roman" w:hAnsi="Times New Roman" w:cs="Times New Roman"/>
                <w:color w:val="000000" w:themeColor="text1"/>
              </w:rPr>
              <w:t>3. Program Zintegrowanej Informatyzacji Państwa, MC, 2016 r.</w:t>
            </w:r>
            <w:r w:rsidR="0066629F" w:rsidRPr="008A3FA9">
              <w:rPr>
                <w:rFonts w:ascii="Times New Roman" w:hAnsi="Times New Roman" w:cs="Times New Roman"/>
                <w:color w:val="000000" w:themeColor="text1"/>
              </w:rPr>
              <w:t>,</w:t>
            </w:r>
            <w:r w:rsidRPr="008A3FA9">
              <w:rPr>
                <w:rFonts w:ascii="Times New Roman" w:hAnsi="Times New Roman" w:cs="Times New Roman"/>
                <w:color w:val="000000" w:themeColor="text1"/>
              </w:rPr>
              <w:t xml:space="preserve"> https://www.gov.pl/documents/31305/436699/program_zintegrowanej_informatyzacji_panstwa_1.pdf/4dbc647e-a6f5-3c66-576a-b3006163bb5a</w:t>
            </w:r>
            <w:r w:rsidR="0066629F" w:rsidRPr="008A3FA9">
              <w:rPr>
                <w:rFonts w:ascii="Times New Roman" w:hAnsi="Times New Roman" w:cs="Times New Roman"/>
                <w:color w:val="000000" w:themeColor="text1"/>
              </w:rPr>
              <w:t>.</w:t>
            </w:r>
            <w:r w:rsidRPr="008A3FA9">
              <w:rPr>
                <w:rFonts w:ascii="Times New Roman" w:hAnsi="Times New Roman" w:cs="Times New Roman"/>
                <w:color w:val="000000" w:themeColor="text1"/>
              </w:rPr>
              <w:t xml:space="preserve"> </w:t>
            </w:r>
          </w:p>
          <w:p w14:paraId="27783C69" w14:textId="77777777" w:rsidR="00F765A9" w:rsidRPr="008A3FA9" w:rsidRDefault="00F765A9" w:rsidP="008A3FA9">
            <w:pPr>
              <w:spacing w:before="60" w:after="60"/>
              <w:rPr>
                <w:rFonts w:ascii="Times New Roman" w:hAnsi="Times New Roman" w:cs="Times New Roman"/>
                <w:color w:val="000000" w:themeColor="text1"/>
              </w:rPr>
            </w:pPr>
            <w:r w:rsidRPr="008A3FA9">
              <w:rPr>
                <w:rFonts w:ascii="Times New Roman" w:hAnsi="Times New Roman" w:cs="Times New Roman"/>
                <w:color w:val="000000" w:themeColor="text1"/>
              </w:rPr>
              <w:t>4. eAdministracja w oczach internautów, MC 2016 r</w:t>
            </w:r>
            <w:r w:rsidR="004B011B" w:rsidRPr="008A3FA9">
              <w:rPr>
                <w:rFonts w:ascii="Times New Roman" w:hAnsi="Times New Roman" w:cs="Times New Roman"/>
                <w:color w:val="000000" w:themeColor="text1"/>
              </w:rPr>
              <w:t>.</w:t>
            </w:r>
            <w:r w:rsidRPr="008A3FA9">
              <w:rPr>
                <w:rFonts w:ascii="Times New Roman" w:hAnsi="Times New Roman" w:cs="Times New Roman"/>
                <w:color w:val="000000" w:themeColor="text1"/>
              </w:rPr>
              <w:t xml:space="preserve">, http://archiwum.mc.gov.pl/files/raport_pbs_mc_e_administracja_12.09.2016.pdf </w:t>
            </w:r>
            <w:r w:rsidR="0066629F" w:rsidRPr="008A3FA9">
              <w:rPr>
                <w:rFonts w:ascii="Times New Roman" w:hAnsi="Times New Roman" w:cs="Times New Roman"/>
                <w:color w:val="000000" w:themeColor="text1"/>
              </w:rPr>
              <w:t>.</w:t>
            </w:r>
          </w:p>
          <w:p w14:paraId="4AB254CC" w14:textId="77777777" w:rsidR="00C54CED" w:rsidRPr="008A3FA9" w:rsidRDefault="00F765A9" w:rsidP="008A3FA9">
            <w:pPr>
              <w:spacing w:before="60" w:after="60"/>
              <w:rPr>
                <w:rFonts w:ascii="Times New Roman" w:hAnsi="Times New Roman" w:cs="Times New Roman"/>
                <w:color w:val="000000" w:themeColor="text1"/>
                <w:spacing w:val="-2"/>
              </w:rPr>
            </w:pPr>
            <w:r w:rsidRPr="008A3FA9">
              <w:rPr>
                <w:rFonts w:ascii="Times New Roman" w:hAnsi="Times New Roman" w:cs="Times New Roman"/>
                <w:color w:val="000000" w:themeColor="text1"/>
              </w:rPr>
              <w:t>5</w:t>
            </w:r>
            <w:r w:rsidR="00C54CED" w:rsidRPr="008A3FA9">
              <w:rPr>
                <w:rFonts w:ascii="Times New Roman" w:hAnsi="Times New Roman" w:cs="Times New Roman"/>
                <w:color w:val="000000" w:themeColor="text1"/>
              </w:rPr>
              <w:t xml:space="preserve">. </w:t>
            </w:r>
            <w:r w:rsidR="00C54CED" w:rsidRPr="008A3FA9">
              <w:rPr>
                <w:rFonts w:ascii="Times New Roman" w:hAnsi="Times New Roman" w:cs="Times New Roman"/>
                <w:color w:val="000000" w:themeColor="text1"/>
                <w:spacing w:val="-2"/>
              </w:rPr>
              <w:t>Raport o stanie rynku pocztowego w 2017 r., UKE 2018r.,</w:t>
            </w:r>
          </w:p>
          <w:p w14:paraId="366BE8FB" w14:textId="77777777" w:rsidR="003A6F7A" w:rsidRPr="008A3FA9" w:rsidRDefault="00C54CED" w:rsidP="008A3FA9">
            <w:pPr>
              <w:spacing w:before="60" w:after="60"/>
              <w:rPr>
                <w:rFonts w:ascii="Times New Roman" w:hAnsi="Times New Roman" w:cs="Times New Roman"/>
                <w:color w:val="000000" w:themeColor="text1"/>
                <w:spacing w:val="-2"/>
              </w:rPr>
            </w:pPr>
            <w:r w:rsidRPr="008A3FA9">
              <w:rPr>
                <w:rFonts w:ascii="Times New Roman" w:hAnsi="Times New Roman" w:cs="Times New Roman"/>
                <w:color w:val="000000" w:themeColor="text1"/>
                <w:spacing w:val="-2"/>
              </w:rPr>
              <w:t>https://uke.gov.pl/akt/raport-o-stanie-rynku-pocztowego-w-2017-roku,78.html</w:t>
            </w:r>
            <w:r w:rsidR="0066629F" w:rsidRPr="008A3FA9">
              <w:rPr>
                <w:rFonts w:ascii="Times New Roman" w:hAnsi="Times New Roman" w:cs="Times New Roman"/>
                <w:color w:val="000000" w:themeColor="text1"/>
                <w:spacing w:val="-2"/>
              </w:rPr>
              <w:t>.</w:t>
            </w:r>
          </w:p>
        </w:tc>
      </w:tr>
    </w:tbl>
    <w:p w14:paraId="7672E1D5" w14:textId="77777777" w:rsidR="006176ED" w:rsidRPr="005C3FCE" w:rsidRDefault="006176ED" w:rsidP="009626A9">
      <w:pPr>
        <w:pStyle w:val="Nagwek1"/>
        <w:spacing w:before="0" w:after="0" w:line="257" w:lineRule="auto"/>
        <w:rPr>
          <w:rFonts w:asciiTheme="minorHAnsi" w:hAnsiTheme="minorHAnsi" w:cstheme="minorHAnsi"/>
          <w:color w:val="000000" w:themeColor="text1"/>
          <w:sz w:val="24"/>
          <w:szCs w:val="24"/>
        </w:rPr>
      </w:pPr>
    </w:p>
    <w:sectPr w:rsidR="006176ED" w:rsidRPr="005C3FCE" w:rsidSect="008A3FA9">
      <w:footerReference w:type="default" r:id="rId14"/>
      <w:pgSz w:w="11906" w:h="16838"/>
      <w:pgMar w:top="567" w:right="709" w:bottom="567" w:left="720" w:header="709"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8D482" w14:textId="77777777" w:rsidR="00F62B90" w:rsidRDefault="00F62B90" w:rsidP="00044739">
      <w:r>
        <w:separator/>
      </w:r>
    </w:p>
  </w:endnote>
  <w:endnote w:type="continuationSeparator" w:id="0">
    <w:p w14:paraId="5DA12511" w14:textId="77777777" w:rsidR="00F62B90" w:rsidRDefault="00F62B90" w:rsidP="00044739">
      <w:r>
        <w:continuationSeparator/>
      </w:r>
    </w:p>
  </w:endnote>
  <w:endnote w:type="continuationNotice" w:id="1">
    <w:p w14:paraId="528624C2" w14:textId="77777777" w:rsidR="00F62B90" w:rsidRDefault="00F62B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2660075"/>
      <w:docPartObj>
        <w:docPartGallery w:val="Page Numbers (Bottom of Page)"/>
        <w:docPartUnique/>
      </w:docPartObj>
    </w:sdtPr>
    <w:sdtEndPr/>
    <w:sdtContent>
      <w:p w14:paraId="5CDAC663" w14:textId="20E259C7" w:rsidR="00661E0A" w:rsidRDefault="00661E0A" w:rsidP="008A3FA9">
        <w:pPr>
          <w:pStyle w:val="Stopka"/>
          <w:jc w:val="center"/>
        </w:pPr>
        <w:r w:rsidRPr="008A3FA9">
          <w:rPr>
            <w:rFonts w:ascii="Times New Roman" w:hAnsi="Times New Roman" w:cs="Times New Roman"/>
            <w:sz w:val="24"/>
            <w:szCs w:val="24"/>
          </w:rPr>
          <w:fldChar w:fldCharType="begin"/>
        </w:r>
        <w:r w:rsidRPr="008A3FA9">
          <w:rPr>
            <w:rFonts w:ascii="Times New Roman" w:hAnsi="Times New Roman" w:cs="Times New Roman"/>
            <w:sz w:val="24"/>
            <w:szCs w:val="24"/>
          </w:rPr>
          <w:instrText>PAGE   \* MERGEFORMAT</w:instrText>
        </w:r>
        <w:r w:rsidRPr="008A3FA9">
          <w:rPr>
            <w:rFonts w:ascii="Times New Roman" w:hAnsi="Times New Roman" w:cs="Times New Roman"/>
            <w:sz w:val="24"/>
            <w:szCs w:val="24"/>
          </w:rPr>
          <w:fldChar w:fldCharType="separate"/>
        </w:r>
        <w:r w:rsidR="00303493">
          <w:rPr>
            <w:rFonts w:ascii="Times New Roman" w:hAnsi="Times New Roman" w:cs="Times New Roman"/>
            <w:noProof/>
            <w:sz w:val="24"/>
            <w:szCs w:val="24"/>
          </w:rPr>
          <w:t>4</w:t>
        </w:r>
        <w:r w:rsidRPr="008A3FA9">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252B0" w14:textId="77777777" w:rsidR="00F62B90" w:rsidRDefault="00F62B90" w:rsidP="00044739">
      <w:r>
        <w:separator/>
      </w:r>
    </w:p>
  </w:footnote>
  <w:footnote w:type="continuationSeparator" w:id="0">
    <w:p w14:paraId="57DF3343" w14:textId="77777777" w:rsidR="00F62B90" w:rsidRDefault="00F62B90" w:rsidP="00044739">
      <w:r>
        <w:continuationSeparator/>
      </w:r>
    </w:p>
  </w:footnote>
  <w:footnote w:type="continuationNotice" w:id="1">
    <w:p w14:paraId="2C30F4BD" w14:textId="77777777" w:rsidR="00F62B90" w:rsidRDefault="00F62B90"/>
  </w:footnote>
  <w:footnote w:id="2">
    <w:p w14:paraId="0F07CF61" w14:textId="39255BFC" w:rsidR="00661E0A" w:rsidRPr="008A3FA9" w:rsidRDefault="00661E0A" w:rsidP="008A3FA9">
      <w:pPr>
        <w:pStyle w:val="Tekstprzypisudolnego"/>
        <w:ind w:left="284" w:hanging="284"/>
        <w:rPr>
          <w:rFonts w:ascii="Times New Roman" w:hAnsi="Times New Roman" w:cs="Times New Roman"/>
        </w:rPr>
      </w:pPr>
      <w:r w:rsidRPr="008A3FA9">
        <w:rPr>
          <w:rStyle w:val="Odwoanieprzypisudolnego"/>
          <w:rFonts w:ascii="Times New Roman" w:hAnsi="Times New Roman" w:cs="Times New Roman"/>
        </w:rPr>
        <w:footnoteRef/>
      </w:r>
      <w:r w:rsidRPr="008A3FA9">
        <w:rPr>
          <w:rFonts w:ascii="Times New Roman" w:hAnsi="Times New Roman" w:cs="Times New Roman"/>
          <w:vertAlign w:val="superscript"/>
        </w:rPr>
        <w:t>)</w:t>
      </w:r>
      <w:r>
        <w:rPr>
          <w:rFonts w:ascii="Times New Roman" w:hAnsi="Times New Roman" w:cs="Times New Roman"/>
        </w:rPr>
        <w:tab/>
      </w:r>
      <w:r w:rsidRPr="008A3FA9">
        <w:rPr>
          <w:rFonts w:ascii="Times New Roman" w:hAnsi="Times New Roman" w:cs="Times New Roman"/>
          <w:i/>
        </w:rPr>
        <w:t>Społeczeństwo informacyjne w Polsce w 2017 r</w:t>
      </w:r>
      <w:r w:rsidRPr="008A3FA9">
        <w:rPr>
          <w:rFonts w:ascii="Times New Roman" w:hAnsi="Times New Roman" w:cs="Times New Roman"/>
        </w:rPr>
        <w:t>., GUS 2017</w:t>
      </w:r>
      <w:r w:rsidR="00056AD8">
        <w:rPr>
          <w:rFonts w:ascii="Times New Roman" w:hAnsi="Times New Roman" w:cs="Times New Roman"/>
        </w:rPr>
        <w:t>.</w:t>
      </w:r>
    </w:p>
  </w:footnote>
  <w:footnote w:id="3">
    <w:p w14:paraId="39AB714A" w14:textId="77777777" w:rsidR="00661E0A" w:rsidRPr="008A3FA9" w:rsidRDefault="00661E0A" w:rsidP="008A3FA9">
      <w:pPr>
        <w:pStyle w:val="Tekstprzypisudolnego"/>
        <w:ind w:left="284" w:hanging="284"/>
        <w:rPr>
          <w:rFonts w:ascii="Times New Roman" w:hAnsi="Times New Roman" w:cs="Times New Roman"/>
        </w:rPr>
      </w:pPr>
      <w:r w:rsidRPr="008A3FA9">
        <w:rPr>
          <w:rStyle w:val="Odwoanieprzypisudolnego"/>
          <w:rFonts w:ascii="Times New Roman" w:hAnsi="Times New Roman" w:cs="Times New Roman"/>
        </w:rPr>
        <w:footnoteRef/>
      </w:r>
      <w:r w:rsidRPr="008A3FA9">
        <w:rPr>
          <w:rFonts w:ascii="Times New Roman" w:hAnsi="Times New Roman" w:cs="Times New Roman"/>
          <w:vertAlign w:val="superscript"/>
        </w:rPr>
        <w:t>)</w:t>
      </w:r>
      <w:r w:rsidRPr="008A3FA9">
        <w:rPr>
          <w:rFonts w:ascii="Times New Roman" w:hAnsi="Times New Roman" w:cs="Times New Roman"/>
        </w:rPr>
        <w:tab/>
        <w:t>Wpływ cyfryzacji na działanie urzędów administracji publicznej w Polsce w 2015 roku, MC 2015 r.</w:t>
      </w:r>
    </w:p>
  </w:footnote>
  <w:footnote w:id="4">
    <w:p w14:paraId="0125EE71" w14:textId="3B1775D6" w:rsidR="00661E0A" w:rsidRPr="00DD12F4" w:rsidRDefault="00661E0A" w:rsidP="008A3FA9">
      <w:pPr>
        <w:pStyle w:val="Tekstprzypisudolnego"/>
        <w:ind w:left="284" w:hanging="284"/>
        <w:rPr>
          <w:rFonts w:ascii="Times New Roman" w:hAnsi="Times New Roman" w:cs="Times New Roman"/>
        </w:rPr>
      </w:pPr>
      <w:r w:rsidRPr="00067989">
        <w:rPr>
          <w:rStyle w:val="Odwoanieprzypisudolnego"/>
          <w:rFonts w:ascii="Times New Roman" w:hAnsi="Times New Roman" w:cs="Times New Roman"/>
        </w:rPr>
        <w:footnoteRef/>
      </w:r>
      <w:r w:rsidRPr="008A3FA9">
        <w:rPr>
          <w:rFonts w:ascii="Times New Roman" w:hAnsi="Times New Roman" w:cs="Times New Roman"/>
          <w:vertAlign w:val="superscript"/>
        </w:rPr>
        <w:t>)</w:t>
      </w:r>
      <w:r w:rsidRPr="00067989">
        <w:rPr>
          <w:rFonts w:ascii="Times New Roman" w:hAnsi="Times New Roman" w:cs="Times New Roman"/>
        </w:rPr>
        <w:tab/>
        <w:t>np. art. 39</w:t>
      </w:r>
      <w:r w:rsidRPr="00067989">
        <w:rPr>
          <w:rFonts w:ascii="Times New Roman" w:hAnsi="Times New Roman" w:cs="Times New Roman"/>
          <w:vertAlign w:val="superscript"/>
        </w:rPr>
        <w:t>1</w:t>
      </w:r>
      <w:r w:rsidRPr="00067989">
        <w:rPr>
          <w:rFonts w:ascii="Times New Roman" w:hAnsi="Times New Roman" w:cs="Times New Roman"/>
        </w:rPr>
        <w:t xml:space="preserve"> §1</w:t>
      </w:r>
      <w:r>
        <w:rPr>
          <w:rFonts w:ascii="Times New Roman" w:hAnsi="Times New Roman" w:cs="Times New Roman"/>
        </w:rPr>
        <w:t>–</w:t>
      </w:r>
      <w:r w:rsidRPr="00067989">
        <w:rPr>
          <w:rFonts w:ascii="Times New Roman" w:hAnsi="Times New Roman" w:cs="Times New Roman"/>
        </w:rPr>
        <w:t xml:space="preserve">§1b, ustawa z dnia 14 czerwca 1960 r. </w:t>
      </w:r>
      <w:r>
        <w:rPr>
          <w:rFonts w:ascii="Times New Roman" w:hAnsi="Times New Roman" w:cs="Times New Roman"/>
        </w:rPr>
        <w:t>–</w:t>
      </w:r>
      <w:r w:rsidRPr="00067989">
        <w:rPr>
          <w:rFonts w:ascii="Times New Roman" w:hAnsi="Times New Roman" w:cs="Times New Roman"/>
        </w:rPr>
        <w:t xml:space="preserve"> Kodeks postępowania</w:t>
      </w:r>
      <w:r>
        <w:rPr>
          <w:rFonts w:ascii="Times New Roman" w:hAnsi="Times New Roman" w:cs="Times New Roman"/>
        </w:rPr>
        <w:t xml:space="preserve"> administracyjnego </w:t>
      </w:r>
      <w:r w:rsidRPr="00067989">
        <w:rPr>
          <w:rFonts w:ascii="Times New Roman" w:hAnsi="Times New Roman" w:cs="Times New Roman"/>
        </w:rPr>
        <w:t>oraz art. 144a ustawy z dnia 29 sierpnia 1997 r. Ordynacja podatkowa (Dz.</w:t>
      </w:r>
      <w:r>
        <w:rPr>
          <w:rFonts w:ascii="Times New Roman" w:hAnsi="Times New Roman" w:cs="Times New Roman"/>
        </w:rPr>
        <w:t xml:space="preserve"> </w:t>
      </w:r>
      <w:r w:rsidRPr="00067989">
        <w:rPr>
          <w:rFonts w:ascii="Times New Roman" w:hAnsi="Times New Roman" w:cs="Times New Roman"/>
        </w:rPr>
        <w:t>U. z 2019 r. poz. 900,</w:t>
      </w:r>
      <w:r>
        <w:rPr>
          <w:rFonts w:ascii="Times New Roman" w:hAnsi="Times New Roman" w:cs="Times New Roman"/>
        </w:rPr>
        <w:t xml:space="preserve"> </w:t>
      </w:r>
      <w:r w:rsidRPr="00067989">
        <w:rPr>
          <w:rFonts w:ascii="Times New Roman" w:hAnsi="Times New Roman" w:cs="Times New Roman"/>
        </w:rPr>
        <w:t>z późn. zm.).</w:t>
      </w:r>
    </w:p>
  </w:footnote>
  <w:footnote w:id="5">
    <w:p w14:paraId="27390E43" w14:textId="77777777" w:rsidR="00661E0A" w:rsidRPr="00067989" w:rsidRDefault="00661E0A" w:rsidP="008A3FA9">
      <w:pPr>
        <w:pStyle w:val="Tekstprzypisudolnego"/>
        <w:ind w:left="284" w:hanging="284"/>
        <w:jc w:val="both"/>
        <w:rPr>
          <w:rFonts w:ascii="Times New Roman" w:hAnsi="Times New Roman" w:cs="Times New Roman"/>
        </w:rPr>
      </w:pPr>
      <w:r w:rsidRPr="00067989">
        <w:rPr>
          <w:rStyle w:val="Odwoanieprzypisudolnego"/>
          <w:rFonts w:ascii="Times New Roman" w:hAnsi="Times New Roman" w:cs="Times New Roman"/>
        </w:rPr>
        <w:footnoteRef/>
      </w:r>
      <w:r w:rsidRPr="008A3FA9">
        <w:rPr>
          <w:rFonts w:ascii="Times New Roman" w:hAnsi="Times New Roman" w:cs="Times New Roman"/>
          <w:vertAlign w:val="superscript"/>
        </w:rPr>
        <w:t>)</w:t>
      </w:r>
      <w:r>
        <w:rPr>
          <w:rFonts w:ascii="Times New Roman" w:hAnsi="Times New Roman" w:cs="Times New Roman"/>
        </w:rPr>
        <w:tab/>
      </w:r>
      <w:r w:rsidRPr="00067989">
        <w:rPr>
          <w:rFonts w:ascii="Times New Roman" w:hAnsi="Times New Roman" w:cs="Times New Roman"/>
        </w:rPr>
        <w:t>Silosowość w informatyzacji podmiotów publicznych rozumiana jest jako tworzenie rozwiązań rozproszonych organizacyjnie rozwiązujących separowane problemy, ale nie współpracujących ze sobą (Program Zintegrowanej Informatyzacji Państwa, MC, 2016, str. 14).</w:t>
      </w:r>
    </w:p>
  </w:footnote>
  <w:footnote w:id="6">
    <w:p w14:paraId="52E4F66F" w14:textId="2E0BD8C3" w:rsidR="00661E0A" w:rsidRPr="00067989" w:rsidRDefault="00661E0A" w:rsidP="008A3FA9">
      <w:pPr>
        <w:pStyle w:val="Tekstprzypisudolnego"/>
        <w:ind w:left="284" w:hanging="284"/>
        <w:jc w:val="both"/>
        <w:rPr>
          <w:rFonts w:ascii="Times New Roman" w:hAnsi="Times New Roman" w:cs="Times New Roman"/>
        </w:rPr>
      </w:pPr>
      <w:r w:rsidRPr="00067989">
        <w:rPr>
          <w:rStyle w:val="Odwoanieprzypisudolnego"/>
          <w:rFonts w:ascii="Times New Roman" w:hAnsi="Times New Roman" w:cs="Times New Roman"/>
        </w:rPr>
        <w:footnoteRef/>
      </w:r>
      <w:r w:rsidRPr="008A3FA9">
        <w:rPr>
          <w:rFonts w:ascii="Times New Roman" w:hAnsi="Times New Roman" w:cs="Times New Roman"/>
          <w:vertAlign w:val="superscript"/>
        </w:rPr>
        <w:t>)</w:t>
      </w:r>
      <w:r>
        <w:rPr>
          <w:rFonts w:ascii="Times New Roman" w:hAnsi="Times New Roman" w:cs="Times New Roman"/>
        </w:rPr>
        <w:tab/>
      </w:r>
      <w:r w:rsidRPr="00067989">
        <w:rPr>
          <w:rFonts w:ascii="Times New Roman" w:hAnsi="Times New Roman" w:cs="Times New Roman"/>
        </w:rPr>
        <w:t>Przez które rozumie się jednostkę sektora finansów publicznych w rozumieniu przepisów ustawy z dnia 27 sierpnia 2009 r. o</w:t>
      </w:r>
      <w:r>
        <w:rPr>
          <w:rFonts w:ascii="Times New Roman" w:hAnsi="Times New Roman" w:cs="Times New Roman"/>
        </w:rPr>
        <w:t> </w:t>
      </w:r>
      <w:r w:rsidRPr="00067989">
        <w:rPr>
          <w:rFonts w:ascii="Times New Roman" w:hAnsi="Times New Roman" w:cs="Times New Roman"/>
        </w:rPr>
        <w:t>finansach publicznych (Dz. U. z 2019 r. poz. 869, z późn. zm.) lub inną państwową jednostkę organizacyjną nieposiadającą osobowości prawnej, a także inną osobę prawna, utworzoną w szczególnym celu zaspokajania potrzeb o charakterze powszechnym, niemających charakteru przemysłowego ani handlowego a także związek tych podmiotów, jeżeli podmioty, o</w:t>
      </w:r>
      <w:r>
        <w:rPr>
          <w:rFonts w:ascii="Times New Roman" w:hAnsi="Times New Roman" w:cs="Times New Roman"/>
        </w:rPr>
        <w:t> </w:t>
      </w:r>
      <w:r w:rsidRPr="00067989">
        <w:rPr>
          <w:rFonts w:ascii="Times New Roman" w:hAnsi="Times New Roman" w:cs="Times New Roman"/>
        </w:rPr>
        <w:t xml:space="preserve">których mowa w tym przepisie pojedynczo lub wspólnie, bezpośrednio albo pośrednio przez inny podmiot </w:t>
      </w:r>
    </w:p>
    <w:p w14:paraId="34CEDA5A" w14:textId="77777777" w:rsidR="00661E0A" w:rsidRPr="00067989" w:rsidRDefault="00661E0A" w:rsidP="008A3FA9">
      <w:pPr>
        <w:pStyle w:val="Tekstprzypisudolnego"/>
        <w:ind w:left="567" w:hanging="283"/>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Pr="00067989">
        <w:rPr>
          <w:rFonts w:ascii="Times New Roman" w:hAnsi="Times New Roman" w:cs="Times New Roman"/>
        </w:rPr>
        <w:t xml:space="preserve">finansują je w ponad 50% lub </w:t>
      </w:r>
    </w:p>
    <w:p w14:paraId="7E9B7E91" w14:textId="77777777" w:rsidR="00661E0A" w:rsidRPr="00067989" w:rsidRDefault="00661E0A" w:rsidP="008A3FA9">
      <w:pPr>
        <w:pStyle w:val="Tekstprzypisudolnego"/>
        <w:ind w:left="567" w:hanging="283"/>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Pr="00067989">
        <w:rPr>
          <w:rFonts w:ascii="Times New Roman" w:hAnsi="Times New Roman" w:cs="Times New Roman"/>
        </w:rPr>
        <w:t xml:space="preserve">posiadają ponad połowę udziałów albo akcji, lub </w:t>
      </w:r>
    </w:p>
    <w:p w14:paraId="2E5372A5" w14:textId="77777777" w:rsidR="00661E0A" w:rsidRPr="00067989" w:rsidRDefault="00661E0A" w:rsidP="008A3FA9">
      <w:pPr>
        <w:pStyle w:val="Tekstprzypisudolnego"/>
        <w:ind w:left="567" w:hanging="283"/>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Pr="00067989">
        <w:rPr>
          <w:rFonts w:ascii="Times New Roman" w:hAnsi="Times New Roman" w:cs="Times New Roman"/>
        </w:rPr>
        <w:t xml:space="preserve">sprawują nadzór nad organem zarządzającym, lub </w:t>
      </w:r>
    </w:p>
    <w:p w14:paraId="5261E20E" w14:textId="77777777" w:rsidR="00661E0A" w:rsidRPr="00067989" w:rsidRDefault="00661E0A" w:rsidP="008A3FA9">
      <w:pPr>
        <w:pStyle w:val="Tekstprzypisudolnego"/>
        <w:ind w:left="567" w:hanging="283"/>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Pr="00067989">
        <w:rPr>
          <w:rFonts w:ascii="Times New Roman" w:hAnsi="Times New Roman" w:cs="Times New Roman"/>
        </w:rPr>
        <w:t>mają prawo do powoływania ponad połowy składu organu nadzorczego lub zarządzającego.</w:t>
      </w:r>
    </w:p>
  </w:footnote>
  <w:footnote w:id="7">
    <w:p w14:paraId="102A232F" w14:textId="77777777" w:rsidR="00661E0A" w:rsidRDefault="00661E0A" w:rsidP="008A3FA9">
      <w:pPr>
        <w:pStyle w:val="Tekstprzypisudolnego"/>
        <w:ind w:left="284" w:hanging="284"/>
        <w:jc w:val="both"/>
      </w:pPr>
      <w:r w:rsidRPr="008A3FA9">
        <w:rPr>
          <w:rStyle w:val="Odwoanieprzypisudolnego"/>
          <w:rFonts w:ascii="Times New Roman" w:hAnsi="Times New Roman" w:cs="Times New Roman"/>
        </w:rPr>
        <w:footnoteRef/>
      </w:r>
      <w:r w:rsidRPr="008A3FA9">
        <w:rPr>
          <w:rFonts w:ascii="Times New Roman" w:hAnsi="Times New Roman" w:cs="Times New Roman"/>
          <w:vertAlign w:val="superscript"/>
        </w:rPr>
        <w:t>)</w:t>
      </w:r>
      <w:r>
        <w:rPr>
          <w:rFonts w:ascii="Times New Roman" w:hAnsi="Times New Roman" w:cs="Times New Roman"/>
        </w:rPr>
        <w:tab/>
      </w:r>
      <w:r w:rsidRPr="008A3FA9">
        <w:rPr>
          <w:rFonts w:ascii="Times New Roman" w:hAnsi="Times New Roman" w:cs="Times New Roman"/>
        </w:rPr>
        <w:t>Wykluczenie cyfrowe w Polsce, Kancelaria Senatu Grudzień 2015.</w:t>
      </w:r>
    </w:p>
  </w:footnote>
  <w:footnote w:id="8">
    <w:p w14:paraId="3B946B5C" w14:textId="025B289F" w:rsidR="00661E0A" w:rsidRPr="008A3FA9" w:rsidRDefault="00661E0A" w:rsidP="008A3FA9">
      <w:pPr>
        <w:pStyle w:val="Tekstprzypisudolnego"/>
        <w:ind w:left="284" w:hanging="284"/>
        <w:jc w:val="both"/>
        <w:rPr>
          <w:rFonts w:ascii="Times New Roman" w:hAnsi="Times New Roman" w:cs="Times New Roman"/>
        </w:rPr>
      </w:pPr>
      <w:r w:rsidRPr="008A3FA9">
        <w:rPr>
          <w:rStyle w:val="Odwoanieprzypisudolnego"/>
          <w:rFonts w:ascii="Times New Roman" w:hAnsi="Times New Roman" w:cs="Times New Roman"/>
        </w:rPr>
        <w:footnoteRef/>
      </w:r>
      <w:r w:rsidRPr="008A3FA9">
        <w:rPr>
          <w:rFonts w:ascii="Times New Roman" w:hAnsi="Times New Roman" w:cs="Times New Roman"/>
          <w:vertAlign w:val="superscript"/>
        </w:rPr>
        <w:t>)</w:t>
      </w:r>
      <w:r>
        <w:rPr>
          <w:rFonts w:ascii="Times New Roman" w:hAnsi="Times New Roman" w:cs="Times New Roman"/>
        </w:rPr>
        <w:tab/>
      </w:r>
      <w:r w:rsidRPr="008A3FA9">
        <w:rPr>
          <w:rFonts w:ascii="Times New Roman" w:hAnsi="Times New Roman" w:cs="Times New Roman"/>
        </w:rPr>
        <w:t>e</w:t>
      </w:r>
      <w:r>
        <w:rPr>
          <w:rFonts w:ascii="Times New Roman" w:hAnsi="Times New Roman" w:cs="Times New Roman"/>
        </w:rPr>
        <w:t>-</w:t>
      </w:r>
      <w:r w:rsidRPr="008A3FA9">
        <w:rPr>
          <w:rFonts w:ascii="Times New Roman" w:hAnsi="Times New Roman" w:cs="Times New Roman"/>
        </w:rPr>
        <w:t>Administracja w oczach internautów, MC 2016 r</w:t>
      </w:r>
      <w:r>
        <w:rPr>
          <w:rFonts w:ascii="Times New Roman" w:hAnsi="Times New Roman" w:cs="Times New Roman"/>
        </w:rPr>
        <w:t>.</w:t>
      </w:r>
    </w:p>
  </w:footnote>
  <w:footnote w:id="9">
    <w:p w14:paraId="47E7857C" w14:textId="69B2CF74" w:rsidR="00661E0A" w:rsidRPr="008A3FA9" w:rsidRDefault="00661E0A" w:rsidP="008A3FA9">
      <w:pPr>
        <w:pStyle w:val="Tekstprzypisudolnego"/>
        <w:ind w:left="284" w:hanging="284"/>
        <w:jc w:val="both"/>
        <w:rPr>
          <w:rFonts w:ascii="Times New Roman" w:hAnsi="Times New Roman" w:cs="Times New Roman"/>
        </w:rPr>
      </w:pPr>
      <w:r w:rsidRPr="008A3FA9">
        <w:rPr>
          <w:rStyle w:val="Odwoanieprzypisudolnego"/>
          <w:rFonts w:ascii="Times New Roman" w:hAnsi="Times New Roman" w:cs="Times New Roman"/>
        </w:rPr>
        <w:footnoteRef/>
      </w:r>
      <w:r w:rsidRPr="008A3FA9">
        <w:rPr>
          <w:rFonts w:ascii="Times New Roman" w:hAnsi="Times New Roman" w:cs="Times New Roman"/>
          <w:vertAlign w:val="superscript"/>
        </w:rPr>
        <w:t>)</w:t>
      </w:r>
      <w:r>
        <w:rPr>
          <w:rFonts w:ascii="Times New Roman" w:hAnsi="Times New Roman" w:cs="Times New Roman"/>
        </w:rPr>
        <w:tab/>
      </w:r>
      <w:r w:rsidRPr="008A3FA9">
        <w:rPr>
          <w:rFonts w:ascii="Times New Roman" w:hAnsi="Times New Roman" w:cs="Times New Roman"/>
          <w:iCs/>
        </w:rPr>
        <w:t>Na mocy projektowanej ustawy podmioty publiczne będą obowiązane do doręczania sobie wzajemnie korespondencji z</w:t>
      </w:r>
      <w:r>
        <w:rPr>
          <w:rFonts w:ascii="Times New Roman" w:hAnsi="Times New Roman" w:cs="Times New Roman"/>
          <w:iCs/>
        </w:rPr>
        <w:t> </w:t>
      </w:r>
      <w:r w:rsidRPr="008A3FA9">
        <w:rPr>
          <w:rFonts w:ascii="Times New Roman" w:hAnsi="Times New Roman" w:cs="Times New Roman"/>
          <w:iCs/>
        </w:rPr>
        <w:t>wykorzystaniem publicznej usługi doręczenia elektronicznego przy użyciu skrzynki do doręczeń, jednakże projektodawca przewiduje wyjątki od tej reguły w których dopuszczalne będzie doręczenie za pomocą innej usługi.</w:t>
      </w:r>
    </w:p>
  </w:footnote>
  <w:footnote w:id="10">
    <w:p w14:paraId="17F8B074" w14:textId="77777777" w:rsidR="00661E0A" w:rsidRPr="008A3FA9" w:rsidRDefault="00661E0A" w:rsidP="008A3FA9">
      <w:pPr>
        <w:pStyle w:val="Tekstprzypisudolnego"/>
        <w:ind w:left="284" w:hanging="284"/>
        <w:jc w:val="both"/>
        <w:rPr>
          <w:rFonts w:ascii="Times New Roman" w:hAnsi="Times New Roman" w:cs="Times New Roman"/>
        </w:rPr>
      </w:pPr>
      <w:r w:rsidRPr="008A3FA9">
        <w:rPr>
          <w:rStyle w:val="Odwoanieprzypisudolnego"/>
          <w:rFonts w:ascii="Times New Roman" w:hAnsi="Times New Roman" w:cs="Times New Roman"/>
        </w:rPr>
        <w:footnoteRef/>
      </w:r>
      <w:r w:rsidRPr="008A3FA9">
        <w:rPr>
          <w:rFonts w:ascii="Times New Roman" w:hAnsi="Times New Roman" w:cs="Times New Roman"/>
          <w:vertAlign w:val="superscript"/>
        </w:rPr>
        <w:t>)</w:t>
      </w:r>
      <w:r>
        <w:rPr>
          <w:rFonts w:ascii="Times New Roman" w:hAnsi="Times New Roman" w:cs="Times New Roman"/>
        </w:rPr>
        <w:tab/>
      </w:r>
      <w:r w:rsidRPr="008A3FA9">
        <w:rPr>
          <w:rFonts w:ascii="Times New Roman" w:hAnsi="Times New Roman" w:cs="Times New Roman"/>
          <w:iCs/>
        </w:rPr>
        <w:t>Oznacza podmioty wpisane do rejestru przedsiębiorców w rozumieniu ustawy z dnia 20 sierpnia 1997 r. o Krajowym Rejestrze Sądowym (Dz. U. z 2019 r. poz. 1500).</w:t>
      </w:r>
    </w:p>
  </w:footnote>
  <w:footnote w:id="11">
    <w:p w14:paraId="3A9613C7" w14:textId="77777777" w:rsidR="00661E0A" w:rsidRPr="008A3FA9" w:rsidRDefault="00661E0A" w:rsidP="008A3FA9">
      <w:pPr>
        <w:ind w:left="284" w:hanging="284"/>
        <w:rPr>
          <w:rFonts w:ascii="Times New Roman" w:hAnsi="Times New Roman" w:cs="Times New Roman"/>
          <w:spacing w:val="-2"/>
          <w:sz w:val="20"/>
          <w:szCs w:val="20"/>
        </w:rPr>
      </w:pPr>
      <w:r w:rsidRPr="008A3FA9">
        <w:rPr>
          <w:rStyle w:val="Odwoanieprzypisudolnego"/>
          <w:rFonts w:ascii="Times New Roman" w:hAnsi="Times New Roman" w:cs="Times New Roman"/>
          <w:sz w:val="20"/>
          <w:szCs w:val="20"/>
        </w:rPr>
        <w:footnoteRef/>
      </w:r>
      <w:r w:rsidRPr="008A3FA9">
        <w:rPr>
          <w:rFonts w:ascii="Times New Roman" w:hAnsi="Times New Roman" w:cs="Times New Roman"/>
          <w:sz w:val="20"/>
          <w:szCs w:val="20"/>
          <w:vertAlign w:val="superscript"/>
        </w:rPr>
        <w:t>)</w:t>
      </w:r>
      <w:r>
        <w:rPr>
          <w:rFonts w:ascii="Times New Roman" w:hAnsi="Times New Roman" w:cs="Times New Roman"/>
          <w:sz w:val="20"/>
          <w:szCs w:val="20"/>
        </w:rPr>
        <w:tab/>
      </w:r>
      <w:r w:rsidRPr="008A3FA9">
        <w:rPr>
          <w:rFonts w:ascii="Times New Roman" w:hAnsi="Times New Roman" w:cs="Times New Roman"/>
          <w:spacing w:val="-2"/>
          <w:sz w:val="20"/>
          <w:szCs w:val="20"/>
        </w:rPr>
        <w:t>Raport o stanie rynku pocztowego w 2017 r.https://uke.gov.pl/akt/raport-o-stanie-rynku-pocztowego-w-2017-roku,78.html.</w:t>
      </w:r>
    </w:p>
  </w:footnote>
  <w:footnote w:id="12">
    <w:p w14:paraId="2A8197A1" w14:textId="26A8B362" w:rsidR="00661E0A" w:rsidRPr="008A3FA9" w:rsidRDefault="00661E0A" w:rsidP="008A3FA9">
      <w:pPr>
        <w:pStyle w:val="Tekstprzypisudolnego"/>
        <w:ind w:left="284" w:hanging="284"/>
        <w:jc w:val="both"/>
        <w:rPr>
          <w:rFonts w:ascii="Times New Roman" w:hAnsi="Times New Roman" w:cs="Times New Roman"/>
        </w:rPr>
      </w:pPr>
      <w:r w:rsidRPr="008A3FA9">
        <w:rPr>
          <w:rStyle w:val="Odwoanieprzypisudolnego"/>
          <w:rFonts w:ascii="Times New Roman" w:hAnsi="Times New Roman" w:cs="Times New Roman"/>
        </w:rPr>
        <w:footnoteRef/>
      </w:r>
      <w:r w:rsidRPr="008A3FA9">
        <w:rPr>
          <w:rFonts w:ascii="Times New Roman" w:hAnsi="Times New Roman" w:cs="Times New Roman"/>
          <w:vertAlign w:val="superscript"/>
        </w:rPr>
        <w:t>)</w:t>
      </w:r>
      <w:r w:rsidRPr="008A3FA9">
        <w:rPr>
          <w:rFonts w:ascii="Times New Roman" w:hAnsi="Times New Roman" w:cs="Times New Roman"/>
        </w:rPr>
        <w:tab/>
        <w:t>Projektowane zmiany nie będą miały wpływu na zadania zlecone wykonywane przez urzędy stanu cywilnego, zgodnie z</w:t>
      </w:r>
      <w:r>
        <w:rPr>
          <w:rFonts w:ascii="Times New Roman" w:hAnsi="Times New Roman" w:cs="Times New Roman"/>
        </w:rPr>
        <w:t> </w:t>
      </w:r>
      <w:r w:rsidRPr="008A3FA9">
        <w:rPr>
          <w:rFonts w:ascii="Times New Roman" w:hAnsi="Times New Roman" w:cs="Times New Roman"/>
        </w:rPr>
        <w:t>ustawą z dnia 28 listopada 2014 r.</w:t>
      </w:r>
      <w:r>
        <w:rPr>
          <w:rFonts w:ascii="Times New Roman" w:hAnsi="Times New Roman" w:cs="Times New Roman"/>
        </w:rPr>
        <w:t xml:space="preserve"> </w:t>
      </w:r>
      <w:r w:rsidRPr="008A3FA9">
        <w:rPr>
          <w:rFonts w:ascii="Times New Roman" w:hAnsi="Times New Roman" w:cs="Times New Roman"/>
        </w:rPr>
        <w:t>– Prawo o aktach stanu cywilnego, ustawą z dnia 6 sierpnia 2010 r. o dowodach osobistych i ustawą z dnia 24 września 2010 r. o ewidencji ludności, w szczególności mając na uwadze przyjęty jednolity sposób kalkulacji kosztów na realizację tych zadań zleconych.</w:t>
      </w:r>
    </w:p>
  </w:footnote>
  <w:footnote w:id="13">
    <w:p w14:paraId="48A2C943" w14:textId="77777777" w:rsidR="00661E0A" w:rsidRPr="008A3FA9" w:rsidRDefault="00661E0A" w:rsidP="008A3FA9">
      <w:pPr>
        <w:pStyle w:val="Tekstprzypisudolnego"/>
        <w:ind w:left="284" w:hanging="284"/>
        <w:jc w:val="both"/>
        <w:rPr>
          <w:rFonts w:ascii="Times New Roman" w:hAnsi="Times New Roman" w:cs="Times New Roman"/>
        </w:rPr>
      </w:pPr>
      <w:r w:rsidRPr="008A3FA9">
        <w:rPr>
          <w:rStyle w:val="Odwoanieprzypisudolnego"/>
          <w:rFonts w:ascii="Times New Roman" w:hAnsi="Times New Roman" w:cs="Times New Roman"/>
        </w:rPr>
        <w:footnoteRef/>
      </w:r>
      <w:r w:rsidRPr="008A3FA9">
        <w:rPr>
          <w:rFonts w:ascii="Times New Roman" w:hAnsi="Times New Roman" w:cs="Times New Roman"/>
          <w:vertAlign w:val="superscript"/>
        </w:rPr>
        <w:t>)</w:t>
      </w:r>
      <w:r>
        <w:rPr>
          <w:rFonts w:ascii="Times New Roman" w:hAnsi="Times New Roman" w:cs="Times New Roman"/>
        </w:rPr>
        <w:tab/>
      </w:r>
      <w:r w:rsidRPr="008A3FA9">
        <w:rPr>
          <w:rFonts w:ascii="Times New Roman" w:hAnsi="Times New Roman" w:cs="Times New Roman"/>
        </w:rPr>
        <w:t>Wszystkie koszty nie przedstawione w regule wydatkowej związane z projektowanymi regulacjami zostaną pokryte w ramach budżetów odpowiednich dysponentów części budżetowych, bez konieczności występowania o dodatkowe środki z budżetu państwa na ten cel.</w:t>
      </w:r>
    </w:p>
  </w:footnote>
  <w:footnote w:id="14">
    <w:p w14:paraId="280FFE03" w14:textId="77777777" w:rsidR="00661E0A" w:rsidRPr="008A3FA9" w:rsidRDefault="00661E0A" w:rsidP="008A3FA9">
      <w:pPr>
        <w:pStyle w:val="Tekstprzypisudolnego"/>
        <w:ind w:left="284" w:hanging="284"/>
        <w:rPr>
          <w:rFonts w:ascii="Times New Roman" w:hAnsi="Times New Roman" w:cs="Times New Roman"/>
        </w:rPr>
      </w:pPr>
      <w:r w:rsidRPr="008A3FA9">
        <w:rPr>
          <w:rStyle w:val="Odwoanieprzypisudolnego"/>
          <w:rFonts w:ascii="Times New Roman" w:hAnsi="Times New Roman" w:cs="Times New Roman"/>
        </w:rPr>
        <w:footnoteRef/>
      </w:r>
      <w:r w:rsidRPr="008A3FA9">
        <w:rPr>
          <w:rFonts w:ascii="Times New Roman" w:hAnsi="Times New Roman" w:cs="Times New Roman"/>
          <w:vertAlign w:val="superscript"/>
        </w:rPr>
        <w:t>)</w:t>
      </w:r>
      <w:r>
        <w:rPr>
          <w:rFonts w:ascii="Times New Roman" w:hAnsi="Times New Roman" w:cs="Times New Roman"/>
        </w:rPr>
        <w:tab/>
      </w:r>
      <w:r w:rsidRPr="008A3FA9">
        <w:rPr>
          <w:rFonts w:ascii="Times New Roman" w:hAnsi="Times New Roman" w:cs="Times New Roman"/>
        </w:rPr>
        <w:t>Wycena ekspercka zakładająca zakończanie prac wdrożeniowych w 2022 roku.</w:t>
      </w:r>
    </w:p>
  </w:footnote>
  <w:footnote w:id="15">
    <w:p w14:paraId="0890776F" w14:textId="77777777" w:rsidR="00661E0A" w:rsidRPr="008A3FA9" w:rsidRDefault="00661E0A" w:rsidP="008A3FA9">
      <w:pPr>
        <w:pStyle w:val="Tekstprzypisudolnego"/>
        <w:ind w:left="284" w:hanging="284"/>
        <w:jc w:val="both"/>
        <w:rPr>
          <w:rFonts w:ascii="Times New Roman" w:hAnsi="Times New Roman" w:cs="Times New Roman"/>
        </w:rPr>
      </w:pPr>
      <w:r w:rsidRPr="008A3FA9">
        <w:rPr>
          <w:rStyle w:val="Odwoanieprzypisudolnego"/>
          <w:rFonts w:ascii="Times New Roman" w:hAnsi="Times New Roman" w:cs="Times New Roman"/>
        </w:rPr>
        <w:footnoteRef/>
      </w:r>
      <w:r w:rsidRPr="008A3FA9">
        <w:rPr>
          <w:rFonts w:ascii="Times New Roman" w:hAnsi="Times New Roman" w:cs="Times New Roman"/>
          <w:vertAlign w:val="superscript"/>
        </w:rPr>
        <w:t>)</w:t>
      </w:r>
      <w:r>
        <w:rPr>
          <w:rFonts w:ascii="Times New Roman" w:hAnsi="Times New Roman" w:cs="Times New Roman"/>
        </w:rPr>
        <w:tab/>
      </w:r>
      <w:r w:rsidRPr="008A3FA9">
        <w:rPr>
          <w:rFonts w:ascii="Times New Roman" w:hAnsi="Times New Roman" w:cs="Times New Roman"/>
        </w:rPr>
        <w:t xml:space="preserve">Operator wyznaczony rekomenduje zwolnienie z VAT. </w:t>
      </w:r>
    </w:p>
  </w:footnote>
  <w:footnote w:id="16">
    <w:p w14:paraId="29429599" w14:textId="77777777" w:rsidR="00661E0A" w:rsidRPr="008A3FA9" w:rsidRDefault="00661E0A" w:rsidP="008A3FA9">
      <w:pPr>
        <w:pStyle w:val="Tekstprzypisudolnego"/>
        <w:ind w:left="284" w:hanging="284"/>
        <w:jc w:val="both"/>
        <w:rPr>
          <w:rFonts w:ascii="Times New Roman" w:hAnsi="Times New Roman" w:cs="Times New Roman"/>
        </w:rPr>
      </w:pPr>
      <w:r w:rsidRPr="008A3FA9">
        <w:rPr>
          <w:rStyle w:val="Odwoanieprzypisudolnego"/>
          <w:rFonts w:ascii="Times New Roman" w:hAnsi="Times New Roman" w:cs="Times New Roman"/>
        </w:rPr>
        <w:footnoteRef/>
      </w:r>
      <w:r w:rsidRPr="008A3FA9">
        <w:rPr>
          <w:rFonts w:ascii="Times New Roman" w:hAnsi="Times New Roman" w:cs="Times New Roman"/>
          <w:vertAlign w:val="superscript"/>
        </w:rPr>
        <w:t>)</w:t>
      </w:r>
      <w:r>
        <w:rPr>
          <w:rFonts w:ascii="Times New Roman" w:hAnsi="Times New Roman" w:cs="Times New Roman"/>
        </w:rPr>
        <w:tab/>
      </w:r>
      <w:r w:rsidRPr="008A3FA9">
        <w:rPr>
          <w:rFonts w:ascii="Times New Roman" w:hAnsi="Times New Roman" w:cs="Times New Roman"/>
        </w:rPr>
        <w:t>Operator wyznaczony rekomenduje zwolnienie z VAT.</w:t>
      </w:r>
    </w:p>
  </w:footnote>
  <w:footnote w:id="17">
    <w:p w14:paraId="7A71D1DD" w14:textId="77777777" w:rsidR="00661E0A" w:rsidRPr="008A3FA9" w:rsidRDefault="00661E0A" w:rsidP="008A3FA9">
      <w:pPr>
        <w:pStyle w:val="Tekstprzypisudolnego"/>
        <w:ind w:left="284" w:hanging="284"/>
        <w:jc w:val="both"/>
        <w:rPr>
          <w:rFonts w:ascii="Times New Roman" w:hAnsi="Times New Roman" w:cs="Times New Roman"/>
        </w:rPr>
      </w:pPr>
      <w:r w:rsidRPr="008A3FA9">
        <w:rPr>
          <w:rStyle w:val="Odwoanieprzypisudolnego"/>
          <w:rFonts w:ascii="Times New Roman" w:hAnsi="Times New Roman" w:cs="Times New Roman"/>
        </w:rPr>
        <w:footnoteRef/>
      </w:r>
      <w:r w:rsidRPr="008A3FA9">
        <w:rPr>
          <w:rFonts w:ascii="Times New Roman" w:hAnsi="Times New Roman" w:cs="Times New Roman"/>
          <w:vertAlign w:val="superscript"/>
        </w:rPr>
        <w:t>)</w:t>
      </w:r>
      <w:r>
        <w:rPr>
          <w:rFonts w:ascii="Times New Roman" w:hAnsi="Times New Roman" w:cs="Times New Roman"/>
        </w:rPr>
        <w:tab/>
      </w:r>
      <w:r w:rsidRPr="008A3FA9">
        <w:rPr>
          <w:rFonts w:ascii="Times New Roman" w:hAnsi="Times New Roman" w:cs="Times New Roman"/>
        </w:rPr>
        <w:t>Operator wyznaczony rekomenduje zwolnienie z VAT.</w:t>
      </w:r>
    </w:p>
  </w:footnote>
  <w:footnote w:id="18">
    <w:p w14:paraId="7B8D0FD4" w14:textId="77777777" w:rsidR="00661E0A" w:rsidRPr="008A3FA9" w:rsidRDefault="00661E0A" w:rsidP="008A3FA9">
      <w:pPr>
        <w:pStyle w:val="Tekstprzypisudolnego"/>
        <w:ind w:left="284" w:hanging="284"/>
        <w:jc w:val="both"/>
        <w:rPr>
          <w:rFonts w:ascii="Times New Roman" w:hAnsi="Times New Roman" w:cs="Times New Roman"/>
        </w:rPr>
      </w:pPr>
      <w:r w:rsidRPr="008A3FA9">
        <w:rPr>
          <w:rStyle w:val="Odwoanieprzypisudolnego"/>
          <w:rFonts w:ascii="Times New Roman" w:hAnsi="Times New Roman" w:cs="Times New Roman"/>
        </w:rPr>
        <w:footnoteRef/>
      </w:r>
      <w:r w:rsidRPr="008A3FA9">
        <w:rPr>
          <w:rFonts w:ascii="Times New Roman" w:hAnsi="Times New Roman" w:cs="Times New Roman"/>
          <w:vertAlign w:val="superscript"/>
        </w:rPr>
        <w:t>)</w:t>
      </w:r>
      <w:r>
        <w:rPr>
          <w:rFonts w:ascii="Times New Roman" w:hAnsi="Times New Roman" w:cs="Times New Roman"/>
        </w:rPr>
        <w:tab/>
      </w:r>
      <w:r w:rsidRPr="008A3FA9">
        <w:rPr>
          <w:rFonts w:ascii="Times New Roman" w:hAnsi="Times New Roman" w:cs="Times New Roman"/>
        </w:rPr>
        <w:t>Oszacowano na bazie wolumenów przesyłek generowanych przez podmioty publiczne ok. 205,1 mln przesyłek na rok, planu podłączeń podmiotów publicznych do projektu zgodnie z projektem ustawy o doręczeniach elektronicznych, założonej na potrzeby modelu średniej ceny za publiczną usługę rejestrowanego doręczenia elektronicznego od podmiotu publicznego do podmiotu niepublicznego – 3,45 zł bez VAT oraz elektronizacji wolumenu przesyłek podmiotów publicznych począwszy od 2020 r. 2%, 2021 r. 4%, 2022 r. 9%, 2023 r. 15%, 2024 r. 25%, 2025 r. 30%, 2026 r. 33%, 2027 r. 46%, 2028 r. 47%, 2029 r. 72%, 2020 r. 97%.</w:t>
      </w:r>
    </w:p>
  </w:footnote>
  <w:footnote w:id="19">
    <w:p w14:paraId="6DA544A7" w14:textId="12EBFDD5" w:rsidR="00661E0A" w:rsidRPr="008A3FA9" w:rsidRDefault="00661E0A" w:rsidP="008A3FA9">
      <w:pPr>
        <w:pStyle w:val="Tekstprzypisudolnego"/>
        <w:ind w:left="284" w:hanging="284"/>
        <w:jc w:val="both"/>
        <w:rPr>
          <w:rFonts w:ascii="Times New Roman" w:hAnsi="Times New Roman" w:cs="Times New Roman"/>
        </w:rPr>
      </w:pPr>
      <w:r w:rsidRPr="008A3FA9">
        <w:rPr>
          <w:rStyle w:val="Odwoanieprzypisudolnego"/>
          <w:rFonts w:ascii="Times New Roman" w:hAnsi="Times New Roman" w:cs="Times New Roman"/>
        </w:rPr>
        <w:footnoteRef/>
      </w:r>
      <w:r w:rsidRPr="008A3FA9">
        <w:rPr>
          <w:rFonts w:ascii="Times New Roman" w:hAnsi="Times New Roman" w:cs="Times New Roman"/>
          <w:vertAlign w:val="superscript"/>
        </w:rPr>
        <w:t>)</w:t>
      </w:r>
      <w:r>
        <w:rPr>
          <w:rFonts w:ascii="Times New Roman" w:hAnsi="Times New Roman" w:cs="Times New Roman"/>
        </w:rPr>
        <w:tab/>
      </w:r>
      <w:r w:rsidRPr="008A3FA9">
        <w:rPr>
          <w:rFonts w:ascii="Times New Roman" w:hAnsi="Times New Roman" w:cs="Times New Roman"/>
        </w:rPr>
        <w:t>Wskazane wydatki JST wskazano w celu oszacowania skali oszczędności JST wynikającej z doręczeń elektronicznych, które zastąpią dotychczasowy tradycyjny kanał wysyłki. Obciążenia te wynikają z zamiany kanału wysyłki korespondencji, a zatem nie obciążają dodatkowo budżetu państwa i dlatego nie zostały ujęte w tabeli rozdziału 6. Będą one w istocie finansowane w</w:t>
      </w:r>
      <w:r>
        <w:rPr>
          <w:rFonts w:ascii="Times New Roman" w:hAnsi="Times New Roman" w:cs="Times New Roman"/>
        </w:rPr>
        <w:t> </w:t>
      </w:r>
      <w:r w:rsidRPr="008A3FA9">
        <w:rPr>
          <w:rFonts w:ascii="Times New Roman" w:hAnsi="Times New Roman" w:cs="Times New Roman"/>
        </w:rPr>
        <w:t xml:space="preserve">ramach istniejących limitów budżetowych tych jednostek. </w:t>
      </w:r>
    </w:p>
  </w:footnote>
  <w:footnote w:id="20">
    <w:p w14:paraId="7847B89F" w14:textId="77777777" w:rsidR="00661E0A" w:rsidRPr="00DB2BE5" w:rsidRDefault="00661E0A" w:rsidP="008A3FA9">
      <w:pPr>
        <w:pStyle w:val="Tekstprzypisudolnego"/>
        <w:ind w:left="284" w:hanging="284"/>
        <w:jc w:val="both"/>
      </w:pPr>
      <w:r w:rsidRPr="008A3FA9">
        <w:rPr>
          <w:rStyle w:val="Odwoanieprzypisudolnego"/>
          <w:rFonts w:ascii="Times New Roman" w:hAnsi="Times New Roman" w:cs="Times New Roman"/>
        </w:rPr>
        <w:footnoteRef/>
      </w:r>
      <w:r w:rsidRPr="008A3FA9">
        <w:rPr>
          <w:rFonts w:ascii="Times New Roman" w:hAnsi="Times New Roman" w:cs="Times New Roman"/>
          <w:vertAlign w:val="superscript"/>
        </w:rPr>
        <w:t>)</w:t>
      </w:r>
      <w:r>
        <w:rPr>
          <w:rFonts w:ascii="Times New Roman" w:hAnsi="Times New Roman" w:cs="Times New Roman"/>
        </w:rPr>
        <w:tab/>
      </w:r>
      <w:r w:rsidRPr="008A3FA9">
        <w:rPr>
          <w:rFonts w:ascii="Times New Roman" w:hAnsi="Times New Roman" w:cs="Times New Roman"/>
        </w:rPr>
        <w:t>Oszacowano na bazie wolumenów przesyłek generowanych przez podmioty publiczne ok. 205,1 mln przesyłek/rok planu podłączeń podmiotów publicznych do e-Doręczeń zgodnie z projektem ustawy o doręczeniach elektronicznych, założoną na potrzeby modelu średnią cenę za publiczną usługę hybrydową rejestrowaną od podmiotu publicznego do podmiotu niepublicznego – 5,64 zł bez VAT, założonych współczynników deklaracji cyfrowości podmiotów niepublicznych [powyżej].</w:t>
      </w:r>
    </w:p>
  </w:footnote>
  <w:footnote w:id="21">
    <w:p w14:paraId="728292A3" w14:textId="43D481C0" w:rsidR="00661E0A" w:rsidRPr="008A3FA9" w:rsidRDefault="00661E0A" w:rsidP="008A3FA9">
      <w:pPr>
        <w:pStyle w:val="Tekstprzypisudolnego"/>
        <w:ind w:left="284" w:hanging="284"/>
        <w:jc w:val="both"/>
        <w:rPr>
          <w:rFonts w:ascii="Times New Roman" w:hAnsi="Times New Roman" w:cs="Times New Roman"/>
        </w:rPr>
      </w:pPr>
      <w:r w:rsidRPr="008A3FA9">
        <w:rPr>
          <w:rStyle w:val="Odwoanieprzypisudolnego"/>
          <w:rFonts w:ascii="Times New Roman" w:hAnsi="Times New Roman" w:cs="Times New Roman"/>
        </w:rPr>
        <w:footnoteRef/>
      </w:r>
      <w:r w:rsidRPr="008A3FA9">
        <w:rPr>
          <w:rFonts w:ascii="Times New Roman" w:hAnsi="Times New Roman" w:cs="Times New Roman"/>
          <w:vertAlign w:val="superscript"/>
        </w:rPr>
        <w:t>)</w:t>
      </w:r>
      <w:r>
        <w:rPr>
          <w:rFonts w:ascii="Times New Roman" w:hAnsi="Times New Roman" w:cs="Times New Roman"/>
        </w:rPr>
        <w:tab/>
      </w:r>
      <w:r w:rsidRPr="008A3FA9">
        <w:rPr>
          <w:rFonts w:ascii="Times New Roman" w:hAnsi="Times New Roman" w:cs="Times New Roman"/>
        </w:rPr>
        <w:t>Oszacowano na bazie wolumenów planowanej generowanej przez podmioty publiczne ok. 97,35 mln przesyłek/rok, planu podłączeń podmiotów publicznych do projektu zgodnie</w:t>
      </w:r>
      <w:r w:rsidRPr="008A3FA9">
        <w:rPr>
          <w:rFonts w:ascii="Times New Roman" w:hAnsi="Times New Roman" w:cs="Times New Roman"/>
          <w:sz w:val="22"/>
          <w:szCs w:val="22"/>
        </w:rPr>
        <w:t xml:space="preserve"> </w:t>
      </w:r>
      <w:r w:rsidRPr="008A3FA9">
        <w:rPr>
          <w:rFonts w:ascii="Times New Roman" w:hAnsi="Times New Roman" w:cs="Times New Roman"/>
        </w:rPr>
        <w:t>z projektem ustawy o doręczeniach elektronicznych, założoną na potrzeby modelu średnią cenę za publiczną usługę hybrydową od podmiotu publicznego do podmiotu niepublicznego – 1,99</w:t>
      </w:r>
      <w:r>
        <w:rPr>
          <w:rFonts w:ascii="Times New Roman" w:hAnsi="Times New Roman" w:cs="Times New Roman"/>
        </w:rPr>
        <w:t> </w:t>
      </w:r>
      <w:r w:rsidRPr="008A3FA9">
        <w:rPr>
          <w:rFonts w:ascii="Times New Roman" w:hAnsi="Times New Roman" w:cs="Times New Roman"/>
        </w:rPr>
        <w:t>bez VAT i założonych współczynników deklaracji cyfrowości podmiotów niepublicznych przedstawiony w tabeli w OSR .</w:t>
      </w:r>
    </w:p>
  </w:footnote>
  <w:footnote w:id="22">
    <w:p w14:paraId="16406031" w14:textId="77777777" w:rsidR="00661E0A" w:rsidRPr="008A3FA9" w:rsidRDefault="00661E0A" w:rsidP="008A3FA9">
      <w:pPr>
        <w:pStyle w:val="Tekstprzypisudolnego"/>
        <w:ind w:left="284" w:hanging="284"/>
        <w:jc w:val="both"/>
        <w:rPr>
          <w:rFonts w:ascii="Times New Roman" w:hAnsi="Times New Roman" w:cs="Times New Roman"/>
        </w:rPr>
      </w:pPr>
      <w:r w:rsidRPr="008A3FA9">
        <w:rPr>
          <w:rStyle w:val="Odwoanieprzypisudolnego"/>
          <w:rFonts w:ascii="Times New Roman" w:hAnsi="Times New Roman" w:cs="Times New Roman"/>
        </w:rPr>
        <w:footnoteRef/>
      </w:r>
      <w:r w:rsidRPr="008A3FA9">
        <w:rPr>
          <w:rFonts w:ascii="Times New Roman" w:hAnsi="Times New Roman" w:cs="Times New Roman"/>
          <w:vertAlign w:val="superscript"/>
        </w:rPr>
        <w:t>)</w:t>
      </w:r>
      <w:r>
        <w:rPr>
          <w:rFonts w:ascii="Times New Roman" w:hAnsi="Times New Roman" w:cs="Times New Roman"/>
        </w:rPr>
        <w:tab/>
      </w:r>
      <w:r w:rsidRPr="008A3FA9">
        <w:rPr>
          <w:rFonts w:ascii="Times New Roman" w:hAnsi="Times New Roman" w:cs="Times New Roman"/>
        </w:rPr>
        <w:t>Przy założeniu wolumenu 205,1 mln przesyłek rejestrowanych nadawanych od podmiotów publicznych do podmiotów niepublicznych i zakładanej stałej ceny 5,35 zł przez 11 lat oraz 97,35 mln przesyłek ekonomicznych w stałej cenie 1,70 jako średnia opłata za nadanie przesyłki ekonomicznej przez podmiot publiczny (na podstawie umów Poczty Polskiej).</w:t>
      </w:r>
    </w:p>
  </w:footnote>
  <w:footnote w:id="23">
    <w:p w14:paraId="3EB6FDB6" w14:textId="77777777" w:rsidR="00661E0A" w:rsidRPr="008A3FA9" w:rsidRDefault="00661E0A" w:rsidP="008A3FA9">
      <w:pPr>
        <w:pStyle w:val="Tekstprzypisudolnego"/>
        <w:ind w:left="284" w:hanging="284"/>
        <w:jc w:val="both"/>
        <w:rPr>
          <w:rFonts w:ascii="Times New Roman" w:hAnsi="Times New Roman" w:cs="Times New Roman"/>
        </w:rPr>
      </w:pPr>
      <w:r w:rsidRPr="008A3FA9">
        <w:rPr>
          <w:rStyle w:val="Odwoanieprzypisudolnego"/>
          <w:rFonts w:ascii="Times New Roman" w:hAnsi="Times New Roman" w:cs="Times New Roman"/>
        </w:rPr>
        <w:footnoteRef/>
      </w:r>
      <w:r w:rsidRPr="008A3FA9">
        <w:rPr>
          <w:rFonts w:ascii="Times New Roman" w:hAnsi="Times New Roman" w:cs="Times New Roman"/>
          <w:vertAlign w:val="superscript"/>
        </w:rPr>
        <w:t>)</w:t>
      </w:r>
      <w:r>
        <w:rPr>
          <w:rFonts w:ascii="Times New Roman" w:hAnsi="Times New Roman" w:cs="Times New Roman"/>
        </w:rPr>
        <w:tab/>
      </w:r>
      <w:r w:rsidRPr="008A3FA9">
        <w:rPr>
          <w:rFonts w:ascii="Times New Roman" w:hAnsi="Times New Roman" w:cs="Times New Roman"/>
        </w:rPr>
        <w:t>Przy założeniu wolumenu 205,1 mln przesyłek rejestrowanych nadawanych od podmiotów publicznych do podmiotów niepublicznych oraz 97,35 mln przesyłek ekonomicznych.</w:t>
      </w:r>
    </w:p>
  </w:footnote>
  <w:footnote w:id="24">
    <w:p w14:paraId="0D2FF4A7" w14:textId="77777777" w:rsidR="00661E0A" w:rsidRPr="008A3FA9" w:rsidRDefault="00661E0A" w:rsidP="008A3FA9">
      <w:pPr>
        <w:pStyle w:val="Tekstprzypisudolnego"/>
        <w:ind w:left="284" w:hanging="284"/>
        <w:jc w:val="both"/>
        <w:rPr>
          <w:rFonts w:ascii="Times New Roman" w:hAnsi="Times New Roman" w:cs="Times New Roman"/>
        </w:rPr>
      </w:pPr>
      <w:r w:rsidRPr="008A3FA9">
        <w:rPr>
          <w:rStyle w:val="Odwoanieprzypisudolnego"/>
          <w:rFonts w:ascii="Times New Roman" w:hAnsi="Times New Roman" w:cs="Times New Roman"/>
        </w:rPr>
        <w:footnoteRef/>
      </w:r>
      <w:r w:rsidRPr="008A3FA9">
        <w:rPr>
          <w:rFonts w:ascii="Times New Roman" w:hAnsi="Times New Roman" w:cs="Times New Roman"/>
          <w:vertAlign w:val="superscript"/>
        </w:rPr>
        <w:t>)</w:t>
      </w:r>
      <w:r>
        <w:rPr>
          <w:rFonts w:ascii="Times New Roman" w:hAnsi="Times New Roman" w:cs="Times New Roman"/>
        </w:rPr>
        <w:tab/>
      </w:r>
      <w:r w:rsidRPr="008A3FA9">
        <w:rPr>
          <w:rFonts w:ascii="Times New Roman" w:hAnsi="Times New Roman" w:cs="Times New Roman"/>
        </w:rPr>
        <w:t>Liczone jako 13</w:t>
      </w:r>
      <w:r>
        <w:rPr>
          <w:rFonts w:ascii="Times New Roman" w:hAnsi="Times New Roman" w:cs="Times New Roman"/>
        </w:rPr>
        <w:t xml:space="preserve"> </w:t>
      </w:r>
      <w:r w:rsidRPr="008A3FA9">
        <w:rPr>
          <w:rFonts w:ascii="Times New Roman" w:hAnsi="Times New Roman" w:cs="Times New Roman"/>
        </w:rPr>
        <w:t xml:space="preserve">890,59 mln </w:t>
      </w:r>
      <w:r>
        <w:rPr>
          <w:rFonts w:ascii="Times New Roman" w:hAnsi="Times New Roman" w:cs="Times New Roman"/>
        </w:rPr>
        <w:t>–</w:t>
      </w:r>
      <w:r w:rsidRPr="008A3FA9">
        <w:rPr>
          <w:rFonts w:ascii="Times New Roman" w:hAnsi="Times New Roman" w:cs="Times New Roman"/>
        </w:rPr>
        <w:t xml:space="preserve"> 9</w:t>
      </w:r>
      <w:r>
        <w:rPr>
          <w:rFonts w:ascii="Times New Roman" w:hAnsi="Times New Roman" w:cs="Times New Roman"/>
        </w:rPr>
        <w:t xml:space="preserve"> </w:t>
      </w:r>
      <w:r w:rsidRPr="008A3FA9">
        <w:rPr>
          <w:rFonts w:ascii="Times New Roman" w:hAnsi="Times New Roman" w:cs="Times New Roman"/>
        </w:rPr>
        <w:t>066 mln – 4</w:t>
      </w:r>
      <w:r>
        <w:rPr>
          <w:rFonts w:ascii="Times New Roman" w:hAnsi="Times New Roman" w:cs="Times New Roman"/>
        </w:rPr>
        <w:t xml:space="preserve"> </w:t>
      </w:r>
      <w:r w:rsidRPr="008A3FA9">
        <w:rPr>
          <w:rFonts w:ascii="Times New Roman" w:hAnsi="Times New Roman" w:cs="Times New Roman"/>
        </w:rPr>
        <w:t>454 mln+ 1</w:t>
      </w:r>
      <w:r>
        <w:rPr>
          <w:rFonts w:ascii="Times New Roman" w:hAnsi="Times New Roman" w:cs="Times New Roman"/>
        </w:rPr>
        <w:t xml:space="preserve"> </w:t>
      </w:r>
      <w:r w:rsidRPr="008A3FA9">
        <w:rPr>
          <w:rFonts w:ascii="Times New Roman" w:hAnsi="Times New Roman" w:cs="Times New Roman"/>
        </w:rPr>
        <w:t xml:space="preserve">850 mln </w:t>
      </w:r>
      <w:r>
        <w:rPr>
          <w:rFonts w:ascii="Times New Roman" w:hAnsi="Times New Roman" w:cs="Times New Roman"/>
        </w:rPr>
        <w:t>–</w:t>
      </w:r>
      <w:r w:rsidRPr="008A3FA9">
        <w:rPr>
          <w:rFonts w:ascii="Times New Roman" w:hAnsi="Times New Roman" w:cs="Times New Roman"/>
        </w:rPr>
        <w:t xml:space="preserve"> 167,84 mln -1</w:t>
      </w:r>
      <w:r>
        <w:rPr>
          <w:rFonts w:ascii="Times New Roman" w:hAnsi="Times New Roman" w:cs="Times New Roman"/>
        </w:rPr>
        <w:t xml:space="preserve"> </w:t>
      </w:r>
      <w:r w:rsidRPr="008A3FA9">
        <w:rPr>
          <w:rFonts w:ascii="Times New Roman" w:hAnsi="Times New Roman" w:cs="Times New Roman"/>
        </w:rPr>
        <w:t>146,69 mln.</w:t>
      </w:r>
    </w:p>
  </w:footnote>
  <w:footnote w:id="25">
    <w:p w14:paraId="03C973BA" w14:textId="77777777" w:rsidR="00661E0A" w:rsidRDefault="00661E0A" w:rsidP="008A3FA9">
      <w:pPr>
        <w:pStyle w:val="Tekstprzypisudolnego"/>
        <w:ind w:left="284" w:hanging="284"/>
        <w:jc w:val="both"/>
      </w:pPr>
      <w:r w:rsidRPr="008A3FA9">
        <w:rPr>
          <w:rStyle w:val="Odwoanieprzypisudolnego"/>
          <w:rFonts w:ascii="Times New Roman" w:hAnsi="Times New Roman" w:cs="Times New Roman"/>
        </w:rPr>
        <w:footnoteRef/>
      </w:r>
      <w:r w:rsidRPr="008A3FA9">
        <w:rPr>
          <w:rFonts w:ascii="Times New Roman" w:hAnsi="Times New Roman" w:cs="Times New Roman"/>
          <w:vertAlign w:val="superscript"/>
        </w:rPr>
        <w:t>)</w:t>
      </w:r>
      <w:r>
        <w:rPr>
          <w:rFonts w:ascii="Times New Roman" w:hAnsi="Times New Roman" w:cs="Times New Roman"/>
        </w:rPr>
        <w:tab/>
      </w:r>
      <w:r w:rsidRPr="008A3FA9">
        <w:rPr>
          <w:rFonts w:ascii="Times New Roman" w:hAnsi="Times New Roman" w:cs="Times New Roman"/>
        </w:rPr>
        <w:t>Liczone jako 1</w:t>
      </w:r>
      <w:r>
        <w:rPr>
          <w:rFonts w:ascii="Times New Roman" w:hAnsi="Times New Roman" w:cs="Times New Roman"/>
        </w:rPr>
        <w:t xml:space="preserve"> </w:t>
      </w:r>
      <w:r w:rsidRPr="008A3FA9">
        <w:rPr>
          <w:rFonts w:ascii="Times New Roman" w:hAnsi="Times New Roman" w:cs="Times New Roman"/>
        </w:rPr>
        <w:t>850 mln – 1</w:t>
      </w:r>
      <w:r>
        <w:rPr>
          <w:rFonts w:ascii="Times New Roman" w:hAnsi="Times New Roman" w:cs="Times New Roman"/>
        </w:rPr>
        <w:t xml:space="preserve"> </w:t>
      </w:r>
      <w:r w:rsidRPr="008A3FA9">
        <w:rPr>
          <w:rFonts w:ascii="Times New Roman" w:hAnsi="Times New Roman" w:cs="Times New Roman"/>
        </w:rPr>
        <w:t>146, 69 -167,84 mln.</w:t>
      </w:r>
    </w:p>
  </w:footnote>
  <w:footnote w:id="26">
    <w:p w14:paraId="62695DDE" w14:textId="77777777" w:rsidR="00661E0A" w:rsidRPr="008A3FA9" w:rsidRDefault="00661E0A" w:rsidP="008A3FA9">
      <w:pPr>
        <w:ind w:left="284" w:hanging="284"/>
        <w:jc w:val="both"/>
        <w:rPr>
          <w:rFonts w:ascii="Times New Roman" w:hAnsi="Times New Roman" w:cs="Times New Roman"/>
          <w:sz w:val="18"/>
          <w:szCs w:val="18"/>
        </w:rPr>
      </w:pPr>
      <w:r w:rsidRPr="008A3FA9">
        <w:rPr>
          <w:rStyle w:val="Odwoanieprzypisudolnego"/>
          <w:rFonts w:ascii="Times New Roman" w:hAnsi="Times New Roman" w:cs="Times New Roman"/>
        </w:rPr>
        <w:footnoteRef/>
      </w:r>
      <w:r w:rsidRPr="008A3FA9">
        <w:rPr>
          <w:rFonts w:ascii="Times New Roman" w:hAnsi="Times New Roman" w:cs="Times New Roman"/>
          <w:vertAlign w:val="superscript"/>
        </w:rPr>
        <w:t>)</w:t>
      </w:r>
      <w:r>
        <w:rPr>
          <w:rFonts w:ascii="Times New Roman" w:hAnsi="Times New Roman" w:cs="Times New Roman"/>
        </w:rPr>
        <w:tab/>
      </w:r>
      <w:r w:rsidRPr="008A3FA9">
        <w:rPr>
          <w:rFonts w:ascii="Times New Roman" w:hAnsi="Times New Roman" w:cs="Times New Roman"/>
          <w:sz w:val="18"/>
          <w:szCs w:val="18"/>
        </w:rPr>
        <w:t>Zaprezentowane wyliczenie pokazuje</w:t>
      </w:r>
      <w:r w:rsidRPr="008A3FA9">
        <w:rPr>
          <w:rFonts w:ascii="Times New Roman" w:hAnsi="Times New Roman" w:cs="Times New Roman"/>
        </w:rPr>
        <w:t xml:space="preserve"> </w:t>
      </w:r>
      <w:r w:rsidRPr="008A3FA9">
        <w:rPr>
          <w:rFonts w:ascii="Times New Roman" w:hAnsi="Times New Roman" w:cs="Times New Roman"/>
          <w:sz w:val="18"/>
          <w:szCs w:val="18"/>
        </w:rPr>
        <w:t xml:space="preserve">skutek </w:t>
      </w:r>
      <w:r w:rsidRPr="008A3FA9">
        <w:rPr>
          <w:rFonts w:ascii="Times New Roman" w:eastAsia="Times New Roman" w:hAnsi="Times New Roman" w:cs="Times New Roman"/>
          <w:color w:val="000000"/>
          <w:sz w:val="18"/>
          <w:szCs w:val="18"/>
          <w:lang w:eastAsia="pl-PL"/>
        </w:rPr>
        <w:t>potencjalnej straty Poczty Polskiej z tytułu migracji przesyłek poczto</w:t>
      </w:r>
      <w:r w:rsidRPr="008A3FA9">
        <w:rPr>
          <w:rFonts w:ascii="Times New Roman" w:hAnsi="Times New Roman" w:cs="Times New Roman"/>
          <w:color w:val="000000"/>
          <w:sz w:val="18"/>
          <w:szCs w:val="18"/>
        </w:rPr>
        <w:t xml:space="preserve">wych do kanału elektronicznego </w:t>
      </w:r>
      <w:r w:rsidRPr="008A3FA9">
        <w:rPr>
          <w:rFonts w:ascii="Times New Roman" w:eastAsia="Times New Roman" w:hAnsi="Times New Roman" w:cs="Times New Roman"/>
          <w:color w:val="000000"/>
          <w:sz w:val="18"/>
          <w:szCs w:val="18"/>
          <w:lang w:eastAsia="pl-PL"/>
        </w:rPr>
        <w:t>w przypadku braku uczestnict</w:t>
      </w:r>
      <w:r w:rsidRPr="008A3FA9">
        <w:rPr>
          <w:rFonts w:ascii="Times New Roman" w:hAnsi="Times New Roman" w:cs="Times New Roman"/>
          <w:color w:val="000000"/>
          <w:sz w:val="18"/>
          <w:szCs w:val="18"/>
        </w:rPr>
        <w:t xml:space="preserve">wa Poczty Polskiej w realizacji usługi eDoręczenie. W wyliczeniu uwzględniono: 1) szacowany </w:t>
      </w:r>
      <w:r w:rsidRPr="008A3FA9">
        <w:rPr>
          <w:rFonts w:ascii="Times New Roman" w:eastAsia="Times New Roman" w:hAnsi="Times New Roman" w:cs="Times New Roman"/>
          <w:color w:val="000000"/>
          <w:sz w:val="18"/>
          <w:szCs w:val="18"/>
          <w:lang w:eastAsia="pl-PL"/>
        </w:rPr>
        <w:t>wolumen przesyłek poleconych i nierejestrowanych krajowych nadawanych za pośrednictwem Poczty Polskiej</w:t>
      </w:r>
      <w:r w:rsidRPr="008A3FA9">
        <w:rPr>
          <w:rFonts w:ascii="Times New Roman" w:hAnsi="Times New Roman" w:cs="Times New Roman"/>
          <w:color w:val="000000"/>
          <w:sz w:val="18"/>
          <w:szCs w:val="18"/>
        </w:rPr>
        <w:t>;</w:t>
      </w:r>
      <w:r w:rsidRPr="008A3FA9">
        <w:rPr>
          <w:rFonts w:ascii="Times New Roman" w:eastAsia="Times New Roman" w:hAnsi="Times New Roman" w:cs="Times New Roman"/>
          <w:color w:val="000000"/>
          <w:sz w:val="18"/>
          <w:szCs w:val="18"/>
          <w:lang w:eastAsia="pl-PL"/>
        </w:rPr>
        <w:t xml:space="preserve"> 2) założenia strategiczne PP na lata 2019</w:t>
      </w:r>
      <w:r>
        <w:rPr>
          <w:rFonts w:ascii="Times New Roman" w:eastAsia="Times New Roman" w:hAnsi="Times New Roman" w:cs="Times New Roman"/>
          <w:color w:val="000000"/>
          <w:sz w:val="18"/>
          <w:szCs w:val="18"/>
          <w:lang w:eastAsia="pl-PL"/>
        </w:rPr>
        <w:t>–</w:t>
      </w:r>
      <w:r w:rsidRPr="008A3FA9">
        <w:rPr>
          <w:rFonts w:ascii="Times New Roman" w:eastAsia="Times New Roman" w:hAnsi="Times New Roman" w:cs="Times New Roman"/>
          <w:color w:val="000000"/>
          <w:sz w:val="18"/>
          <w:szCs w:val="18"/>
          <w:lang w:eastAsia="pl-PL"/>
        </w:rPr>
        <w:t>2023; 3) założonego wg harmonogramu tempa przechodzenia klientów Poczty na nadania elektroniczne</w:t>
      </w:r>
      <w:r w:rsidRPr="008A3FA9">
        <w:rPr>
          <w:rFonts w:ascii="Times New Roman" w:hAnsi="Times New Roman" w:cs="Times New Roman"/>
          <w:color w:val="000000"/>
          <w:sz w:val="18"/>
          <w:szCs w:val="18"/>
        </w:rPr>
        <w:t>.</w:t>
      </w:r>
      <w:r w:rsidRPr="008A3FA9">
        <w:rPr>
          <w:rFonts w:ascii="Times New Roman" w:eastAsia="Times New Roman" w:hAnsi="Times New Roman" w:cs="Times New Roman"/>
          <w:color w:val="000000"/>
          <w:sz w:val="18"/>
          <w:szCs w:val="18"/>
          <w:lang w:eastAsia="pl-PL"/>
        </w:rPr>
        <w:t xml:space="preserve"> </w:t>
      </w:r>
    </w:p>
    <w:p w14:paraId="7F42E96F" w14:textId="77777777" w:rsidR="00661E0A" w:rsidRPr="008A3FA9" w:rsidRDefault="00661E0A" w:rsidP="001B514F">
      <w:pPr>
        <w:ind w:left="284"/>
        <w:jc w:val="both"/>
        <w:rPr>
          <w:rFonts w:ascii="Times New Roman" w:hAnsi="Times New Roman" w:cs="Times New Roman"/>
          <w:sz w:val="18"/>
          <w:szCs w:val="18"/>
        </w:rPr>
      </w:pPr>
      <w:r w:rsidRPr="008A3FA9">
        <w:rPr>
          <w:rFonts w:ascii="Times New Roman" w:hAnsi="Times New Roman" w:cs="Times New Roman"/>
          <w:sz w:val="18"/>
          <w:szCs w:val="18"/>
        </w:rPr>
        <w:t xml:space="preserve">Szacowane wolumeny przesyłek listowych poleconych i nierejestrowanych krajowych pomnożono przez średnią cenę jednostkową netto usług. Na otrzymane przychody nałożony został wskaźnik spadku z tytułu esubstytucji: w 1 roku świadczenia usługi przyjęto 4% poziom esubstytucji, w 5 roku 54% poziom e-substytucji w przesyłkach tradycyjnych (wzór: wolumen x średnia c.j. x %spadek=szacowana strata w danym roku). </w:t>
      </w:r>
    </w:p>
    <w:p w14:paraId="450234B8" w14:textId="77777777" w:rsidR="00661E0A" w:rsidRPr="008A3FA9" w:rsidRDefault="00661E0A" w:rsidP="008A3FA9">
      <w:pPr>
        <w:ind w:left="284"/>
        <w:jc w:val="both"/>
        <w:rPr>
          <w:rFonts w:ascii="Times New Roman" w:hAnsi="Times New Roman" w:cs="Times New Roman"/>
        </w:rPr>
      </w:pPr>
      <w:r w:rsidRPr="008A3FA9">
        <w:rPr>
          <w:rFonts w:ascii="Times New Roman" w:hAnsi="Times New Roman" w:cs="Times New Roman"/>
          <w:sz w:val="18"/>
          <w:szCs w:val="18"/>
        </w:rPr>
        <w:t>W przypadku braku uczestnictwa Poczty Polskiej przy realizacji projektu nie wystąpią koszty związane z wdrożeniem i utrzymaniem projektu. Nie wystąpią również przychody pochodzące z realizacji usługi eDoreczenia oraz publicznej usługi hybrydowej, które kompensowałyby koszty i utratę przychodów z doręczeń korespondencji w formie papierowej.</w:t>
      </w:r>
    </w:p>
  </w:footnote>
  <w:footnote w:id="27">
    <w:p w14:paraId="00AD582E" w14:textId="77777777" w:rsidR="00661E0A" w:rsidRPr="008A3FA9" w:rsidRDefault="00661E0A" w:rsidP="008A3FA9">
      <w:pPr>
        <w:ind w:left="284" w:hanging="284"/>
        <w:jc w:val="both"/>
        <w:rPr>
          <w:rFonts w:ascii="Times New Roman" w:hAnsi="Times New Roman" w:cs="Times New Roman"/>
        </w:rPr>
      </w:pPr>
      <w:r w:rsidRPr="008A3FA9">
        <w:rPr>
          <w:rStyle w:val="Odwoanieprzypisudolnego"/>
          <w:rFonts w:ascii="Times New Roman" w:hAnsi="Times New Roman" w:cs="Times New Roman"/>
        </w:rPr>
        <w:footnoteRef/>
      </w:r>
      <w:r w:rsidRPr="008A3FA9">
        <w:rPr>
          <w:rFonts w:ascii="Times New Roman" w:hAnsi="Times New Roman" w:cs="Times New Roman"/>
          <w:vertAlign w:val="superscript"/>
        </w:rPr>
        <w:t>)</w:t>
      </w:r>
      <w:r>
        <w:rPr>
          <w:rFonts w:ascii="Times New Roman" w:hAnsi="Times New Roman" w:cs="Times New Roman"/>
        </w:rPr>
        <w:tab/>
      </w:r>
      <w:r w:rsidRPr="008A3FA9">
        <w:rPr>
          <w:rFonts w:ascii="Times New Roman" w:hAnsi="Times New Roman" w:cs="Times New Roman"/>
        </w:rPr>
        <w:t>O</w:t>
      </w:r>
      <w:r w:rsidRPr="008A3FA9">
        <w:rPr>
          <w:rFonts w:ascii="Times New Roman" w:hAnsi="Times New Roman" w:cs="Times New Roman"/>
          <w:sz w:val="18"/>
          <w:szCs w:val="18"/>
        </w:rPr>
        <w:t>czekiwana</w:t>
      </w:r>
      <w:r w:rsidRPr="008A3FA9">
        <w:rPr>
          <w:rFonts w:ascii="Times New Roman" w:hAnsi="Times New Roman" w:cs="Times New Roman"/>
        </w:rPr>
        <w:t xml:space="preserve"> w</w:t>
      </w:r>
      <w:r w:rsidRPr="008A3FA9">
        <w:rPr>
          <w:rFonts w:ascii="Times New Roman" w:hAnsi="Times New Roman" w:cs="Times New Roman"/>
          <w:sz w:val="18"/>
          <w:szCs w:val="18"/>
        </w:rPr>
        <w:t>artość przychodów Poczty Polskiej wynikających ze scenariusza realizacji usługi z udziałem Poczty Polskiej S.A.</w:t>
      </w:r>
      <w:r>
        <w:rPr>
          <w:rFonts w:ascii="Times New Roman" w:hAnsi="Times New Roman" w:cs="Times New Roman"/>
          <w:sz w:val="18"/>
          <w:szCs w:val="18"/>
        </w:rPr>
        <w:t xml:space="preserve"> </w:t>
      </w:r>
      <w:r w:rsidRPr="008A3FA9">
        <w:rPr>
          <w:rFonts w:ascii="Times New Roman" w:hAnsi="Times New Roman" w:cs="Times New Roman"/>
          <w:sz w:val="18"/>
          <w:szCs w:val="18"/>
        </w:rPr>
        <w:t>została oszacowana na bazie średniej ceny w danym roku usługi PURDE i PUH. Wyliczenie zostało dokonane według wzoru: szacowane przychody w danym roku = strata w danym roku * (średnia cena PURDE i PUH w danym roku/ średnia obecna cena usługi poleconej i nierejestrowanej krajowej).</w:t>
      </w:r>
      <w:r>
        <w:rPr>
          <w:rFonts w:ascii="Times New Roman" w:hAnsi="Times New Roman" w:cs="Times New Roman"/>
          <w:sz w:val="18"/>
          <w:szCs w:val="18"/>
        </w:rPr>
        <w:t xml:space="preserve"> </w:t>
      </w:r>
      <w:r w:rsidRPr="008A3FA9">
        <w:rPr>
          <w:rFonts w:ascii="Times New Roman" w:hAnsi="Times New Roman" w:cs="Times New Roman"/>
          <w:sz w:val="18"/>
          <w:szCs w:val="18"/>
        </w:rPr>
        <w:t xml:space="preserve">Opłata za usługę PURDE (nadania podmiotów publicznych) została przyjęta na poziomie 3,45 zł netto. Dotacja dla operatora za nadania PURDE podmiotów niepublicznych do podmiotów publicznych została wyliczona na bazie kosztu na poziomie 2,00 zł, który został oszacowany przez MC i na tą chwilę nie został potwierdzony przez PP, weryfikacja poziomu kosztu nastąpi po zamknięciu uzgodnień technicznych. Opłata za PUH poleconą została przyjęta na poziomie 5,70 zł netto, za PUH zwykłą 1,99 zł netto. </w:t>
      </w:r>
    </w:p>
  </w:footnote>
  <w:footnote w:id="28">
    <w:p w14:paraId="151C8E51" w14:textId="532A1822" w:rsidR="00661E0A" w:rsidRDefault="00661E0A" w:rsidP="008A3FA9">
      <w:pPr>
        <w:ind w:left="284" w:hanging="284"/>
        <w:jc w:val="both"/>
      </w:pPr>
      <w:r w:rsidRPr="008A3FA9">
        <w:rPr>
          <w:rStyle w:val="Odwoanieprzypisudolnego"/>
          <w:rFonts w:ascii="Times New Roman" w:hAnsi="Times New Roman" w:cs="Times New Roman"/>
        </w:rPr>
        <w:footnoteRef/>
      </w:r>
      <w:r w:rsidRPr="008A3FA9">
        <w:rPr>
          <w:rFonts w:ascii="Times New Roman" w:hAnsi="Times New Roman" w:cs="Times New Roman"/>
          <w:vertAlign w:val="superscript"/>
        </w:rPr>
        <w:t>)</w:t>
      </w:r>
      <w:r>
        <w:rPr>
          <w:rFonts w:ascii="Times New Roman" w:hAnsi="Times New Roman" w:cs="Times New Roman"/>
        </w:rPr>
        <w:tab/>
      </w:r>
      <w:r w:rsidRPr="008A3FA9">
        <w:rPr>
          <w:rFonts w:ascii="Times New Roman" w:hAnsi="Times New Roman" w:cs="Times New Roman"/>
          <w:sz w:val="18"/>
          <w:szCs w:val="18"/>
        </w:rPr>
        <w:t xml:space="preserve">Wartość zmiany przychodów Poczty Polskiej wynikających ze scenariusza realizacji usługi z udziałem Poczty Polskiej S.A. stanowi sumę potencjalnej </w:t>
      </w:r>
      <w:r w:rsidRPr="008A3FA9">
        <w:rPr>
          <w:rFonts w:ascii="Times New Roman" w:eastAsia="Times New Roman" w:hAnsi="Times New Roman" w:cs="Times New Roman"/>
          <w:color w:val="000000"/>
          <w:sz w:val="18"/>
          <w:szCs w:val="18"/>
          <w:lang w:eastAsia="pl-PL"/>
        </w:rPr>
        <w:t>straty Poczty Polskiej z tytułu migracji przesyłek poczto</w:t>
      </w:r>
      <w:r w:rsidRPr="008A3FA9">
        <w:rPr>
          <w:rFonts w:ascii="Times New Roman" w:hAnsi="Times New Roman" w:cs="Times New Roman"/>
          <w:color w:val="000000"/>
          <w:sz w:val="18"/>
          <w:szCs w:val="18"/>
        </w:rPr>
        <w:t>wych do kanału elektronicznego oraz spodziewanych przychodów z</w:t>
      </w:r>
      <w:r>
        <w:rPr>
          <w:rFonts w:ascii="Times New Roman" w:hAnsi="Times New Roman" w:cs="Times New Roman"/>
          <w:color w:val="000000"/>
          <w:sz w:val="18"/>
          <w:szCs w:val="18"/>
        </w:rPr>
        <w:t> </w:t>
      </w:r>
      <w:r w:rsidRPr="008A3FA9">
        <w:rPr>
          <w:rFonts w:ascii="Times New Roman" w:hAnsi="Times New Roman" w:cs="Times New Roman"/>
          <w:color w:val="000000"/>
          <w:sz w:val="18"/>
          <w:szCs w:val="18"/>
        </w:rPr>
        <w:t>realizacji usługi e-Doręczeń i publicznej usługi hybrydowej.</w:t>
      </w:r>
      <w:r>
        <w:rPr>
          <w:rFonts w:asciiTheme="minorHAnsi" w:hAnsiTheme="minorHAnsi"/>
          <w:color w:val="000000"/>
          <w:sz w:val="18"/>
          <w:szCs w:val="18"/>
        </w:rPr>
        <w:t xml:space="preserve"> </w:t>
      </w:r>
    </w:p>
  </w:footnote>
  <w:footnote w:id="29">
    <w:p w14:paraId="038C7659" w14:textId="77777777" w:rsidR="00661E0A" w:rsidRPr="008A3FA9" w:rsidRDefault="00661E0A" w:rsidP="008A3FA9">
      <w:pPr>
        <w:pStyle w:val="Tekstprzypisudolnego"/>
        <w:ind w:left="284" w:hanging="284"/>
        <w:jc w:val="both"/>
        <w:rPr>
          <w:rFonts w:ascii="Times New Roman" w:hAnsi="Times New Roman" w:cs="Times New Roman"/>
        </w:rPr>
      </w:pPr>
      <w:r w:rsidRPr="008A3FA9">
        <w:rPr>
          <w:rStyle w:val="Odwoanieprzypisudolnego"/>
          <w:rFonts w:ascii="Times New Roman" w:hAnsi="Times New Roman" w:cs="Times New Roman"/>
        </w:rPr>
        <w:footnoteRef/>
      </w:r>
      <w:r w:rsidRPr="008A3FA9">
        <w:rPr>
          <w:rFonts w:ascii="Times New Roman" w:hAnsi="Times New Roman" w:cs="Times New Roman"/>
          <w:vertAlign w:val="superscript"/>
        </w:rPr>
        <w:t>)</w:t>
      </w:r>
      <w:r>
        <w:rPr>
          <w:rFonts w:ascii="Times New Roman" w:hAnsi="Times New Roman" w:cs="Times New Roman"/>
        </w:rPr>
        <w:tab/>
      </w:r>
      <w:r w:rsidRPr="008A3FA9">
        <w:rPr>
          <w:rFonts w:ascii="Times New Roman" w:hAnsi="Times New Roman" w:cs="Times New Roman"/>
        </w:rPr>
        <w:t>Na podstawie sprawozdań z prowadzonej działalności pocztowej w roku 2017 przekazanych przez operatorów pocztowych do</w:t>
      </w:r>
      <w:r>
        <w:rPr>
          <w:rFonts w:ascii="Times New Roman" w:hAnsi="Times New Roman" w:cs="Times New Roman"/>
        </w:rPr>
        <w:t xml:space="preserve"> </w:t>
      </w:r>
      <w:r w:rsidRPr="008A3FA9">
        <w:rPr>
          <w:rFonts w:ascii="Times New Roman" w:hAnsi="Times New Roman" w:cs="Times New Roman"/>
        </w:rPr>
        <w:t>Urzędu Komunikacji Elektronicznej.</w:t>
      </w:r>
    </w:p>
  </w:footnote>
  <w:footnote w:id="30">
    <w:p w14:paraId="3EA4E6CC" w14:textId="77777777" w:rsidR="00661E0A" w:rsidRPr="008A3FA9" w:rsidRDefault="00661E0A" w:rsidP="008A3FA9">
      <w:pPr>
        <w:pStyle w:val="Tekstprzypisudolnego"/>
        <w:ind w:left="284" w:hanging="284"/>
        <w:jc w:val="both"/>
        <w:rPr>
          <w:rFonts w:ascii="Times New Roman" w:hAnsi="Times New Roman" w:cs="Times New Roman"/>
        </w:rPr>
      </w:pPr>
      <w:r w:rsidRPr="008A3FA9">
        <w:rPr>
          <w:rStyle w:val="Odwoanieprzypisudolnego"/>
          <w:rFonts w:ascii="Times New Roman" w:hAnsi="Times New Roman" w:cs="Times New Roman"/>
        </w:rPr>
        <w:footnoteRef/>
      </w:r>
      <w:r w:rsidRPr="008A3FA9">
        <w:rPr>
          <w:rFonts w:ascii="Times New Roman" w:hAnsi="Times New Roman" w:cs="Times New Roman"/>
          <w:vertAlign w:val="superscript"/>
        </w:rPr>
        <w:t>)</w:t>
      </w:r>
      <w:r>
        <w:rPr>
          <w:rFonts w:ascii="Times New Roman" w:hAnsi="Times New Roman" w:cs="Times New Roman"/>
        </w:rPr>
        <w:tab/>
      </w:r>
      <w:r w:rsidRPr="008A3FA9">
        <w:rPr>
          <w:rFonts w:ascii="Times New Roman" w:hAnsi="Times New Roman" w:cs="Times New Roman"/>
        </w:rPr>
        <w:t>Na podstawie sprawozdań z prowadzonej działalności pocztowej w roku 2017 przekazanych przez operatorów pocztowych do</w:t>
      </w:r>
      <w:r>
        <w:rPr>
          <w:rFonts w:ascii="Times New Roman" w:hAnsi="Times New Roman" w:cs="Times New Roman"/>
        </w:rPr>
        <w:t xml:space="preserve"> </w:t>
      </w:r>
      <w:r w:rsidRPr="008A3FA9">
        <w:rPr>
          <w:rFonts w:ascii="Times New Roman" w:hAnsi="Times New Roman" w:cs="Times New Roman"/>
        </w:rPr>
        <w:t>Urzędu Komunikacji Elektronicznej.</w:t>
      </w:r>
    </w:p>
  </w:footnote>
  <w:footnote w:id="31">
    <w:p w14:paraId="5736F39E" w14:textId="77777777" w:rsidR="00661E0A" w:rsidRDefault="00661E0A" w:rsidP="008A3FA9">
      <w:pPr>
        <w:pStyle w:val="Tekstprzypisudolnego"/>
        <w:ind w:left="284" w:hanging="284"/>
        <w:jc w:val="both"/>
      </w:pPr>
      <w:r w:rsidRPr="008A3FA9">
        <w:rPr>
          <w:rStyle w:val="Odwoanieprzypisudolnego"/>
          <w:rFonts w:ascii="Times New Roman" w:hAnsi="Times New Roman" w:cs="Times New Roman"/>
        </w:rPr>
        <w:footnoteRef/>
      </w:r>
      <w:r w:rsidRPr="008A3FA9">
        <w:rPr>
          <w:rFonts w:ascii="Times New Roman" w:hAnsi="Times New Roman" w:cs="Times New Roman"/>
          <w:vertAlign w:val="superscript"/>
        </w:rPr>
        <w:t>)</w:t>
      </w:r>
      <w:r>
        <w:rPr>
          <w:rFonts w:ascii="Times New Roman" w:hAnsi="Times New Roman" w:cs="Times New Roman"/>
        </w:rPr>
        <w:tab/>
      </w:r>
      <w:r w:rsidRPr="008A3FA9">
        <w:rPr>
          <w:rFonts w:ascii="Times New Roman" w:hAnsi="Times New Roman" w:cs="Times New Roman"/>
          <w:spacing w:val="-2"/>
        </w:rPr>
        <w:t xml:space="preserve">Raport o stanie rynku pocztowego w 2017 r. </w:t>
      </w:r>
      <w:r w:rsidRPr="008A3FA9">
        <w:rPr>
          <w:rFonts w:ascii="Times New Roman" w:hAnsi="Times New Roman" w:cs="Times New Roman"/>
        </w:rPr>
        <w:t>http://uke.gov.pl/akt/raport-o-stanie-rynku-pocztowego-w-2017-roku,78.html.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23FFA"/>
    <w:multiLevelType w:val="hybridMultilevel"/>
    <w:tmpl w:val="126644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2553B8"/>
    <w:multiLevelType w:val="hybridMultilevel"/>
    <w:tmpl w:val="26D29D6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AAD51E3"/>
    <w:multiLevelType w:val="hybridMultilevel"/>
    <w:tmpl w:val="62526C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EAE4ECB"/>
    <w:multiLevelType w:val="hybridMultilevel"/>
    <w:tmpl w:val="C89EE34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50226DB"/>
    <w:multiLevelType w:val="hybridMultilevel"/>
    <w:tmpl w:val="E53E0DE4"/>
    <w:lvl w:ilvl="0" w:tplc="D2A6CABA">
      <w:start w:val="1"/>
      <w:numFmt w:val="decimal"/>
      <w:lvlText w:val="%1)"/>
      <w:lvlJc w:val="left"/>
      <w:pPr>
        <w:ind w:left="720" w:hanging="360"/>
      </w:pPr>
      <w:rPr>
        <w:rFonts w:ascii="Verdana" w:hAnsi="Verdana" w:hint="default"/>
        <w:color w:val="00000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5906241"/>
    <w:multiLevelType w:val="hybridMultilevel"/>
    <w:tmpl w:val="7646E24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nsid w:val="17315E67"/>
    <w:multiLevelType w:val="hybridMultilevel"/>
    <w:tmpl w:val="DF123712"/>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206E5A2E"/>
    <w:multiLevelType w:val="hybridMultilevel"/>
    <w:tmpl w:val="34A4CC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0FB001C"/>
    <w:multiLevelType w:val="hybridMultilevel"/>
    <w:tmpl w:val="B10457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92A41E7"/>
    <w:multiLevelType w:val="hybridMultilevel"/>
    <w:tmpl w:val="CB8A0E84"/>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9D15101"/>
    <w:multiLevelType w:val="hybridMultilevel"/>
    <w:tmpl w:val="D14E25C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3EF746C8"/>
    <w:multiLevelType w:val="hybridMultilevel"/>
    <w:tmpl w:val="509A86E2"/>
    <w:lvl w:ilvl="0" w:tplc="35D6D844">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2">
    <w:nsid w:val="51637C72"/>
    <w:multiLevelType w:val="hybridMultilevel"/>
    <w:tmpl w:val="A73C22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1C70BCA"/>
    <w:multiLevelType w:val="hybridMultilevel"/>
    <w:tmpl w:val="F1144584"/>
    <w:lvl w:ilvl="0" w:tplc="2124B0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565429A2"/>
    <w:multiLevelType w:val="hybridMultilevel"/>
    <w:tmpl w:val="E1CE4440"/>
    <w:lvl w:ilvl="0" w:tplc="02408992">
      <w:start w:val="1"/>
      <w:numFmt w:val="bullet"/>
      <w:lvlText w:val="–"/>
      <w:lvlJc w:val="left"/>
      <w:pPr>
        <w:ind w:left="360" w:hanging="360"/>
      </w:pPr>
      <w:rPr>
        <w:rFonts w:ascii="Times New Roman" w:hAnsi="Times New Roman"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5B064EA6"/>
    <w:multiLevelType w:val="hybridMultilevel"/>
    <w:tmpl w:val="DB54DAF6"/>
    <w:lvl w:ilvl="0" w:tplc="2124B0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5D8B55A1"/>
    <w:multiLevelType w:val="hybridMultilevel"/>
    <w:tmpl w:val="73B08D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5E2A39A6"/>
    <w:multiLevelType w:val="hybridMultilevel"/>
    <w:tmpl w:val="8D906B5C"/>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619A1F24"/>
    <w:multiLevelType w:val="hybridMultilevel"/>
    <w:tmpl w:val="C2D295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630A3564"/>
    <w:multiLevelType w:val="hybridMultilevel"/>
    <w:tmpl w:val="5C5CB5CC"/>
    <w:lvl w:ilvl="0" w:tplc="DC6A7CB8">
      <w:start w:val="1"/>
      <w:numFmt w:val="upperLetter"/>
      <w:lvlText w:val="%1."/>
      <w:lvlJc w:val="left"/>
      <w:pPr>
        <w:ind w:left="1131" w:hanging="360"/>
      </w:pPr>
      <w:rPr>
        <w:rFonts w:hint="default"/>
      </w:rPr>
    </w:lvl>
    <w:lvl w:ilvl="1" w:tplc="04150001">
      <w:start w:val="1"/>
      <w:numFmt w:val="bullet"/>
      <w:lvlText w:val=""/>
      <w:lvlJc w:val="left"/>
      <w:pPr>
        <w:ind w:left="1851" w:hanging="360"/>
      </w:pPr>
      <w:rPr>
        <w:rFonts w:ascii="Symbol" w:hAnsi="Symbol" w:hint="default"/>
      </w:rPr>
    </w:lvl>
    <w:lvl w:ilvl="2" w:tplc="0415001B" w:tentative="1">
      <w:start w:val="1"/>
      <w:numFmt w:val="lowerRoman"/>
      <w:lvlText w:val="%3."/>
      <w:lvlJc w:val="right"/>
      <w:pPr>
        <w:ind w:left="2571" w:hanging="180"/>
      </w:pPr>
    </w:lvl>
    <w:lvl w:ilvl="3" w:tplc="0415000F" w:tentative="1">
      <w:start w:val="1"/>
      <w:numFmt w:val="decimal"/>
      <w:lvlText w:val="%4."/>
      <w:lvlJc w:val="left"/>
      <w:pPr>
        <w:ind w:left="3291" w:hanging="360"/>
      </w:pPr>
    </w:lvl>
    <w:lvl w:ilvl="4" w:tplc="04150019" w:tentative="1">
      <w:start w:val="1"/>
      <w:numFmt w:val="lowerLetter"/>
      <w:lvlText w:val="%5."/>
      <w:lvlJc w:val="left"/>
      <w:pPr>
        <w:ind w:left="4011" w:hanging="360"/>
      </w:pPr>
    </w:lvl>
    <w:lvl w:ilvl="5" w:tplc="0415001B" w:tentative="1">
      <w:start w:val="1"/>
      <w:numFmt w:val="lowerRoman"/>
      <w:lvlText w:val="%6."/>
      <w:lvlJc w:val="right"/>
      <w:pPr>
        <w:ind w:left="4731" w:hanging="180"/>
      </w:pPr>
    </w:lvl>
    <w:lvl w:ilvl="6" w:tplc="0415000F" w:tentative="1">
      <w:start w:val="1"/>
      <w:numFmt w:val="decimal"/>
      <w:lvlText w:val="%7."/>
      <w:lvlJc w:val="left"/>
      <w:pPr>
        <w:ind w:left="5451" w:hanging="360"/>
      </w:pPr>
    </w:lvl>
    <w:lvl w:ilvl="7" w:tplc="04150019" w:tentative="1">
      <w:start w:val="1"/>
      <w:numFmt w:val="lowerLetter"/>
      <w:lvlText w:val="%8."/>
      <w:lvlJc w:val="left"/>
      <w:pPr>
        <w:ind w:left="6171" w:hanging="360"/>
      </w:pPr>
    </w:lvl>
    <w:lvl w:ilvl="8" w:tplc="0415001B" w:tentative="1">
      <w:start w:val="1"/>
      <w:numFmt w:val="lowerRoman"/>
      <w:lvlText w:val="%9."/>
      <w:lvlJc w:val="right"/>
      <w:pPr>
        <w:ind w:left="6891" w:hanging="180"/>
      </w:pPr>
    </w:lvl>
  </w:abstractNum>
  <w:abstractNum w:abstractNumId="20">
    <w:nsid w:val="67933709"/>
    <w:multiLevelType w:val="hybridMultilevel"/>
    <w:tmpl w:val="1DF0C6C4"/>
    <w:lvl w:ilvl="0" w:tplc="0415000F">
      <w:start w:val="1"/>
      <w:numFmt w:val="decimal"/>
      <w:lvlText w:val="%1."/>
      <w:lvlJc w:val="left"/>
      <w:pPr>
        <w:ind w:left="720" w:hanging="360"/>
      </w:pPr>
      <w:rPr>
        <w:rFonts w:hint="default"/>
      </w:rPr>
    </w:lvl>
    <w:lvl w:ilvl="1" w:tplc="DF3E03C8">
      <w:start w:val="1"/>
      <w:numFmt w:val="decimal"/>
      <w:lvlText w:val="%2)"/>
      <w:lvlJc w:val="left"/>
      <w:pPr>
        <w:ind w:left="1725" w:hanging="64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BD04E12"/>
    <w:multiLevelType w:val="hybridMultilevel"/>
    <w:tmpl w:val="AEEC050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3A5D32"/>
    <w:multiLevelType w:val="hybridMultilevel"/>
    <w:tmpl w:val="3E849D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75D1120F"/>
    <w:multiLevelType w:val="hybridMultilevel"/>
    <w:tmpl w:val="FBA80B5A"/>
    <w:lvl w:ilvl="0" w:tplc="04150011">
      <w:start w:val="1"/>
      <w:numFmt w:val="decimal"/>
      <w:lvlText w:val="%1)"/>
      <w:lvlJc w:val="left"/>
      <w:pPr>
        <w:ind w:left="1068" w:hanging="360"/>
      </w:pPr>
      <w:rPr>
        <w:rFont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num w:numId="1">
    <w:abstractNumId w:val="9"/>
  </w:num>
  <w:num w:numId="2">
    <w:abstractNumId w:val="5"/>
  </w:num>
  <w:num w:numId="3">
    <w:abstractNumId w:val="7"/>
  </w:num>
  <w:num w:numId="4">
    <w:abstractNumId w:val="12"/>
  </w:num>
  <w:num w:numId="5">
    <w:abstractNumId w:val="23"/>
  </w:num>
  <w:num w:numId="6">
    <w:abstractNumId w:val="20"/>
  </w:num>
  <w:num w:numId="7">
    <w:abstractNumId w:val="21"/>
  </w:num>
  <w:num w:numId="8">
    <w:abstractNumId w:val="3"/>
  </w:num>
  <w:num w:numId="9">
    <w:abstractNumId w:val="14"/>
  </w:num>
  <w:num w:numId="10">
    <w:abstractNumId w:val="8"/>
  </w:num>
  <w:num w:numId="11">
    <w:abstractNumId w:val="19"/>
  </w:num>
  <w:num w:numId="12">
    <w:abstractNumId w:val="13"/>
  </w:num>
  <w:num w:numId="13">
    <w:abstractNumId w:val="18"/>
  </w:num>
  <w:num w:numId="14">
    <w:abstractNumId w:val="0"/>
  </w:num>
  <w:num w:numId="15">
    <w:abstractNumId w:val="15"/>
  </w:num>
  <w:num w:numId="16">
    <w:abstractNumId w:val="10"/>
  </w:num>
  <w:num w:numId="17">
    <w:abstractNumId w:val="4"/>
  </w:num>
  <w:num w:numId="18">
    <w:abstractNumId w:val="17"/>
  </w:num>
  <w:num w:numId="19">
    <w:abstractNumId w:val="1"/>
  </w:num>
  <w:num w:numId="20">
    <w:abstractNumId w:val="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2"/>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activeWritingStyle w:appName="MSWord" w:lang="en-GB" w:vendorID="64" w:dllVersion="6" w:nlCheck="1" w:checkStyle="0"/>
  <w:activeWritingStyle w:appName="MSWord" w:lang="en-GB" w:vendorID="64" w:dllVersion="131078" w:nlCheck="1" w:checkStyle="1"/>
  <w:activeWritingStyle w:appName="MSWord" w:lang="en-US" w:vendorID="64" w:dllVersion="131078" w:nlCheck="1" w:checkStyle="1"/>
  <w:trackRevisions/>
  <w:documentProtection w:edit="forms" w:formatting="1" w:enforcement="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6CB"/>
    <w:rsid w:val="000006D5"/>
    <w:rsid w:val="000008E5"/>
    <w:rsid w:val="000013AD"/>
    <w:rsid w:val="000015EE"/>
    <w:rsid w:val="00001781"/>
    <w:rsid w:val="0000183E"/>
    <w:rsid w:val="000022D5"/>
    <w:rsid w:val="00003D9B"/>
    <w:rsid w:val="000046B8"/>
    <w:rsid w:val="00004C6A"/>
    <w:rsid w:val="000065AF"/>
    <w:rsid w:val="00010570"/>
    <w:rsid w:val="00010849"/>
    <w:rsid w:val="00010ADA"/>
    <w:rsid w:val="00012D11"/>
    <w:rsid w:val="00012E10"/>
    <w:rsid w:val="00013DA9"/>
    <w:rsid w:val="00013EB5"/>
    <w:rsid w:val="0001578B"/>
    <w:rsid w:val="00015B51"/>
    <w:rsid w:val="00016BE0"/>
    <w:rsid w:val="00017770"/>
    <w:rsid w:val="000204A9"/>
    <w:rsid w:val="00020A6E"/>
    <w:rsid w:val="00020AEF"/>
    <w:rsid w:val="00021293"/>
    <w:rsid w:val="0002253E"/>
    <w:rsid w:val="00022862"/>
    <w:rsid w:val="00022AA6"/>
    <w:rsid w:val="00022F10"/>
    <w:rsid w:val="0002340A"/>
    <w:rsid w:val="00023836"/>
    <w:rsid w:val="00023D0B"/>
    <w:rsid w:val="00024147"/>
    <w:rsid w:val="00025B66"/>
    <w:rsid w:val="00026DD8"/>
    <w:rsid w:val="0002728E"/>
    <w:rsid w:val="0002759D"/>
    <w:rsid w:val="00030B65"/>
    <w:rsid w:val="00031104"/>
    <w:rsid w:val="00034971"/>
    <w:rsid w:val="0003515E"/>
    <w:rsid w:val="0003559E"/>
    <w:rsid w:val="000356A9"/>
    <w:rsid w:val="00035ECF"/>
    <w:rsid w:val="000363DC"/>
    <w:rsid w:val="000411FC"/>
    <w:rsid w:val="000416AD"/>
    <w:rsid w:val="000422B4"/>
    <w:rsid w:val="000424A2"/>
    <w:rsid w:val="00043D7F"/>
    <w:rsid w:val="00044138"/>
    <w:rsid w:val="000444AC"/>
    <w:rsid w:val="00044739"/>
    <w:rsid w:val="00044A10"/>
    <w:rsid w:val="00051637"/>
    <w:rsid w:val="00051824"/>
    <w:rsid w:val="00053532"/>
    <w:rsid w:val="00055A48"/>
    <w:rsid w:val="00056613"/>
    <w:rsid w:val="00056681"/>
    <w:rsid w:val="0005675C"/>
    <w:rsid w:val="00056AD8"/>
    <w:rsid w:val="00061740"/>
    <w:rsid w:val="0006210C"/>
    <w:rsid w:val="00064335"/>
    <w:rsid w:val="000648A7"/>
    <w:rsid w:val="000650FD"/>
    <w:rsid w:val="00065795"/>
    <w:rsid w:val="00065903"/>
    <w:rsid w:val="00066017"/>
    <w:rsid w:val="0006618B"/>
    <w:rsid w:val="000670C0"/>
    <w:rsid w:val="00067453"/>
    <w:rsid w:val="0006781B"/>
    <w:rsid w:val="00067989"/>
    <w:rsid w:val="000679FD"/>
    <w:rsid w:val="00067DFD"/>
    <w:rsid w:val="00070781"/>
    <w:rsid w:val="00071B99"/>
    <w:rsid w:val="00073B7F"/>
    <w:rsid w:val="00073D5D"/>
    <w:rsid w:val="00073EFA"/>
    <w:rsid w:val="0007434C"/>
    <w:rsid w:val="000756D3"/>
    <w:rsid w:val="000756E5"/>
    <w:rsid w:val="00075A2A"/>
    <w:rsid w:val="0007704E"/>
    <w:rsid w:val="0008049B"/>
    <w:rsid w:val="00080920"/>
    <w:rsid w:val="00080EC8"/>
    <w:rsid w:val="00083238"/>
    <w:rsid w:val="00083EC7"/>
    <w:rsid w:val="00084333"/>
    <w:rsid w:val="0008649A"/>
    <w:rsid w:val="000869F8"/>
    <w:rsid w:val="000873F2"/>
    <w:rsid w:val="00087DBD"/>
    <w:rsid w:val="00090098"/>
    <w:rsid w:val="0009107D"/>
    <w:rsid w:val="0009178C"/>
    <w:rsid w:val="00091D16"/>
    <w:rsid w:val="00092005"/>
    <w:rsid w:val="000929D0"/>
    <w:rsid w:val="000931A6"/>
    <w:rsid w:val="00093AAD"/>
    <w:rsid w:val="00093AE5"/>
    <w:rsid w:val="00093BC6"/>
    <w:rsid w:val="00093D07"/>
    <w:rsid w:val="000944AC"/>
    <w:rsid w:val="00094CB9"/>
    <w:rsid w:val="00094E8B"/>
    <w:rsid w:val="00095680"/>
    <w:rsid w:val="000956B2"/>
    <w:rsid w:val="000969E7"/>
    <w:rsid w:val="000970B7"/>
    <w:rsid w:val="000A15C2"/>
    <w:rsid w:val="000A23DE"/>
    <w:rsid w:val="000A400E"/>
    <w:rsid w:val="000A4020"/>
    <w:rsid w:val="000A5E68"/>
    <w:rsid w:val="000A6D2E"/>
    <w:rsid w:val="000A7140"/>
    <w:rsid w:val="000B106B"/>
    <w:rsid w:val="000B194F"/>
    <w:rsid w:val="000B354A"/>
    <w:rsid w:val="000B54FB"/>
    <w:rsid w:val="000B58D9"/>
    <w:rsid w:val="000B6136"/>
    <w:rsid w:val="000B61EA"/>
    <w:rsid w:val="000B775D"/>
    <w:rsid w:val="000B78B6"/>
    <w:rsid w:val="000B7953"/>
    <w:rsid w:val="000B7DF9"/>
    <w:rsid w:val="000B7F75"/>
    <w:rsid w:val="000C014B"/>
    <w:rsid w:val="000C193F"/>
    <w:rsid w:val="000C29B0"/>
    <w:rsid w:val="000C2B69"/>
    <w:rsid w:val="000C3E1D"/>
    <w:rsid w:val="000C4A42"/>
    <w:rsid w:val="000C4B00"/>
    <w:rsid w:val="000C76FC"/>
    <w:rsid w:val="000D06C7"/>
    <w:rsid w:val="000D15C6"/>
    <w:rsid w:val="000D19EB"/>
    <w:rsid w:val="000D2703"/>
    <w:rsid w:val="000D2A3E"/>
    <w:rsid w:val="000D38FC"/>
    <w:rsid w:val="000D4D90"/>
    <w:rsid w:val="000E0B91"/>
    <w:rsid w:val="000E1481"/>
    <w:rsid w:val="000E2697"/>
    <w:rsid w:val="000E2B38"/>
    <w:rsid w:val="000E2D10"/>
    <w:rsid w:val="000E2DF4"/>
    <w:rsid w:val="000E4945"/>
    <w:rsid w:val="000E4EED"/>
    <w:rsid w:val="000E538E"/>
    <w:rsid w:val="000E53A8"/>
    <w:rsid w:val="000E6647"/>
    <w:rsid w:val="000E7CB7"/>
    <w:rsid w:val="000F13B7"/>
    <w:rsid w:val="000F15CD"/>
    <w:rsid w:val="000F15E3"/>
    <w:rsid w:val="000F19B7"/>
    <w:rsid w:val="000F2DBC"/>
    <w:rsid w:val="000F3204"/>
    <w:rsid w:val="000F3BEB"/>
    <w:rsid w:val="000F4368"/>
    <w:rsid w:val="000F45AE"/>
    <w:rsid w:val="000F4F98"/>
    <w:rsid w:val="000F5EDA"/>
    <w:rsid w:val="000F7738"/>
    <w:rsid w:val="00100DB4"/>
    <w:rsid w:val="00100F99"/>
    <w:rsid w:val="001012CF"/>
    <w:rsid w:val="00101807"/>
    <w:rsid w:val="001023F2"/>
    <w:rsid w:val="00102950"/>
    <w:rsid w:val="00104843"/>
    <w:rsid w:val="00105320"/>
    <w:rsid w:val="0010548B"/>
    <w:rsid w:val="00106020"/>
    <w:rsid w:val="00106634"/>
    <w:rsid w:val="001072D1"/>
    <w:rsid w:val="00112B64"/>
    <w:rsid w:val="0011399E"/>
    <w:rsid w:val="00115A3B"/>
    <w:rsid w:val="00115B85"/>
    <w:rsid w:val="00117017"/>
    <w:rsid w:val="001213C0"/>
    <w:rsid w:val="001215A3"/>
    <w:rsid w:val="001226E2"/>
    <w:rsid w:val="001226F8"/>
    <w:rsid w:val="001261B1"/>
    <w:rsid w:val="00126BB1"/>
    <w:rsid w:val="00126D47"/>
    <w:rsid w:val="00126D9B"/>
    <w:rsid w:val="00127006"/>
    <w:rsid w:val="00127CC8"/>
    <w:rsid w:val="00130C2C"/>
    <w:rsid w:val="00130E8E"/>
    <w:rsid w:val="00131413"/>
    <w:rsid w:val="0013144C"/>
    <w:rsid w:val="0013216E"/>
    <w:rsid w:val="00132E3B"/>
    <w:rsid w:val="0013328E"/>
    <w:rsid w:val="0013439F"/>
    <w:rsid w:val="00135110"/>
    <w:rsid w:val="00135AB9"/>
    <w:rsid w:val="00135D7C"/>
    <w:rsid w:val="00135EFE"/>
    <w:rsid w:val="00136003"/>
    <w:rsid w:val="001377EB"/>
    <w:rsid w:val="00137C34"/>
    <w:rsid w:val="001401B5"/>
    <w:rsid w:val="0014199A"/>
    <w:rsid w:val="001422B9"/>
    <w:rsid w:val="001422E7"/>
    <w:rsid w:val="0014263B"/>
    <w:rsid w:val="001447CF"/>
    <w:rsid w:val="00144CA4"/>
    <w:rsid w:val="00145356"/>
    <w:rsid w:val="001459E0"/>
    <w:rsid w:val="0014665F"/>
    <w:rsid w:val="00147E2B"/>
    <w:rsid w:val="001504F3"/>
    <w:rsid w:val="00150BAD"/>
    <w:rsid w:val="001518CF"/>
    <w:rsid w:val="00153464"/>
    <w:rsid w:val="001541B3"/>
    <w:rsid w:val="00155B15"/>
    <w:rsid w:val="00156039"/>
    <w:rsid w:val="0015770C"/>
    <w:rsid w:val="00160496"/>
    <w:rsid w:val="00160BE2"/>
    <w:rsid w:val="001625BE"/>
    <w:rsid w:val="001643A4"/>
    <w:rsid w:val="00164516"/>
    <w:rsid w:val="001669C9"/>
    <w:rsid w:val="00167EC4"/>
    <w:rsid w:val="00170255"/>
    <w:rsid w:val="001707A1"/>
    <w:rsid w:val="001724AC"/>
    <w:rsid w:val="001727BB"/>
    <w:rsid w:val="00173A5F"/>
    <w:rsid w:val="00173B5E"/>
    <w:rsid w:val="00173E80"/>
    <w:rsid w:val="00174A1E"/>
    <w:rsid w:val="00177F7B"/>
    <w:rsid w:val="00180D25"/>
    <w:rsid w:val="00181924"/>
    <w:rsid w:val="0018318D"/>
    <w:rsid w:val="0018572C"/>
    <w:rsid w:val="0018626D"/>
    <w:rsid w:val="0018643D"/>
    <w:rsid w:val="0018718D"/>
    <w:rsid w:val="00187D27"/>
    <w:rsid w:val="00187E79"/>
    <w:rsid w:val="00187EA6"/>
    <w:rsid w:val="00187F0D"/>
    <w:rsid w:val="00190FC9"/>
    <w:rsid w:val="00192CC5"/>
    <w:rsid w:val="001956A7"/>
    <w:rsid w:val="00197729"/>
    <w:rsid w:val="001A047D"/>
    <w:rsid w:val="001A069B"/>
    <w:rsid w:val="001A118A"/>
    <w:rsid w:val="001A27F4"/>
    <w:rsid w:val="001A2D95"/>
    <w:rsid w:val="001A40DF"/>
    <w:rsid w:val="001A5A2D"/>
    <w:rsid w:val="001B003A"/>
    <w:rsid w:val="001B17BD"/>
    <w:rsid w:val="001B1B0C"/>
    <w:rsid w:val="001B3460"/>
    <w:rsid w:val="001B3504"/>
    <w:rsid w:val="001B38BE"/>
    <w:rsid w:val="001B4CA1"/>
    <w:rsid w:val="001B514F"/>
    <w:rsid w:val="001B5491"/>
    <w:rsid w:val="001B58A8"/>
    <w:rsid w:val="001B5FB3"/>
    <w:rsid w:val="001B75D8"/>
    <w:rsid w:val="001C0219"/>
    <w:rsid w:val="001C0C23"/>
    <w:rsid w:val="001C1060"/>
    <w:rsid w:val="001C24B2"/>
    <w:rsid w:val="001C3C63"/>
    <w:rsid w:val="001C580D"/>
    <w:rsid w:val="001C66D4"/>
    <w:rsid w:val="001C6890"/>
    <w:rsid w:val="001D1AFD"/>
    <w:rsid w:val="001D2C24"/>
    <w:rsid w:val="001D2F95"/>
    <w:rsid w:val="001D377B"/>
    <w:rsid w:val="001D3A9E"/>
    <w:rsid w:val="001D4732"/>
    <w:rsid w:val="001D5A84"/>
    <w:rsid w:val="001D6A3C"/>
    <w:rsid w:val="001D6D51"/>
    <w:rsid w:val="001D7FBC"/>
    <w:rsid w:val="001E1A51"/>
    <w:rsid w:val="001E2106"/>
    <w:rsid w:val="001E2F52"/>
    <w:rsid w:val="001E4C78"/>
    <w:rsid w:val="001E4FF0"/>
    <w:rsid w:val="001E739A"/>
    <w:rsid w:val="001E7A9F"/>
    <w:rsid w:val="001F0652"/>
    <w:rsid w:val="001F0B31"/>
    <w:rsid w:val="001F1E5C"/>
    <w:rsid w:val="001F2C04"/>
    <w:rsid w:val="001F3390"/>
    <w:rsid w:val="001F43B7"/>
    <w:rsid w:val="001F5020"/>
    <w:rsid w:val="001F653A"/>
    <w:rsid w:val="001F6701"/>
    <w:rsid w:val="001F6979"/>
    <w:rsid w:val="001F7B8E"/>
    <w:rsid w:val="001F7CF5"/>
    <w:rsid w:val="00200FD3"/>
    <w:rsid w:val="002019C5"/>
    <w:rsid w:val="00201EA5"/>
    <w:rsid w:val="002026D6"/>
    <w:rsid w:val="00202A61"/>
    <w:rsid w:val="00202BC6"/>
    <w:rsid w:val="00204410"/>
    <w:rsid w:val="00204A38"/>
    <w:rsid w:val="00205141"/>
    <w:rsid w:val="0020516B"/>
    <w:rsid w:val="002072E1"/>
    <w:rsid w:val="00207955"/>
    <w:rsid w:val="00210056"/>
    <w:rsid w:val="00210173"/>
    <w:rsid w:val="00210C81"/>
    <w:rsid w:val="0021235C"/>
    <w:rsid w:val="00213559"/>
    <w:rsid w:val="00213EFD"/>
    <w:rsid w:val="0021555A"/>
    <w:rsid w:val="002172F1"/>
    <w:rsid w:val="00217523"/>
    <w:rsid w:val="00223C7B"/>
    <w:rsid w:val="00224AB1"/>
    <w:rsid w:val="00225827"/>
    <w:rsid w:val="0022687A"/>
    <w:rsid w:val="00227FB6"/>
    <w:rsid w:val="00230728"/>
    <w:rsid w:val="00230B22"/>
    <w:rsid w:val="00231802"/>
    <w:rsid w:val="00231EA4"/>
    <w:rsid w:val="00232312"/>
    <w:rsid w:val="00234040"/>
    <w:rsid w:val="0023435B"/>
    <w:rsid w:val="00234886"/>
    <w:rsid w:val="002357E9"/>
    <w:rsid w:val="0023591C"/>
    <w:rsid w:val="002359C7"/>
    <w:rsid w:val="00235CD2"/>
    <w:rsid w:val="002367AC"/>
    <w:rsid w:val="00236E5F"/>
    <w:rsid w:val="0024028B"/>
    <w:rsid w:val="002407F8"/>
    <w:rsid w:val="00241FC1"/>
    <w:rsid w:val="00242046"/>
    <w:rsid w:val="0024613F"/>
    <w:rsid w:val="0024671A"/>
    <w:rsid w:val="00246DD3"/>
    <w:rsid w:val="00250AFB"/>
    <w:rsid w:val="002510D7"/>
    <w:rsid w:val="002512C8"/>
    <w:rsid w:val="00252F09"/>
    <w:rsid w:val="0025435E"/>
    <w:rsid w:val="00254DED"/>
    <w:rsid w:val="00255619"/>
    <w:rsid w:val="00255DAD"/>
    <w:rsid w:val="00256108"/>
    <w:rsid w:val="00256A90"/>
    <w:rsid w:val="00256F3E"/>
    <w:rsid w:val="00257D2F"/>
    <w:rsid w:val="00260F33"/>
    <w:rsid w:val="00261324"/>
    <w:rsid w:val="002613BD"/>
    <w:rsid w:val="00261461"/>
    <w:rsid w:val="00261D20"/>
    <w:rsid w:val="00261E80"/>
    <w:rsid w:val="002624F1"/>
    <w:rsid w:val="002632C4"/>
    <w:rsid w:val="0026491C"/>
    <w:rsid w:val="00265D3B"/>
    <w:rsid w:val="00266BAD"/>
    <w:rsid w:val="00267C13"/>
    <w:rsid w:val="00270C81"/>
    <w:rsid w:val="00271558"/>
    <w:rsid w:val="00271F42"/>
    <w:rsid w:val="00272CE6"/>
    <w:rsid w:val="00274862"/>
    <w:rsid w:val="0028122F"/>
    <w:rsid w:val="00281526"/>
    <w:rsid w:val="00282D72"/>
    <w:rsid w:val="00283402"/>
    <w:rsid w:val="00284114"/>
    <w:rsid w:val="00284477"/>
    <w:rsid w:val="00284C48"/>
    <w:rsid w:val="00285EE9"/>
    <w:rsid w:val="00286591"/>
    <w:rsid w:val="00290D27"/>
    <w:rsid w:val="00290FD6"/>
    <w:rsid w:val="0029362F"/>
    <w:rsid w:val="00294259"/>
    <w:rsid w:val="002957DE"/>
    <w:rsid w:val="00295826"/>
    <w:rsid w:val="00297CB3"/>
    <w:rsid w:val="002A15FC"/>
    <w:rsid w:val="002A279F"/>
    <w:rsid w:val="002A2C81"/>
    <w:rsid w:val="002A3A56"/>
    <w:rsid w:val="002A502F"/>
    <w:rsid w:val="002A5B1E"/>
    <w:rsid w:val="002A5BF4"/>
    <w:rsid w:val="002B3D1A"/>
    <w:rsid w:val="002B5478"/>
    <w:rsid w:val="002B60AC"/>
    <w:rsid w:val="002B7496"/>
    <w:rsid w:val="002B7962"/>
    <w:rsid w:val="002C1755"/>
    <w:rsid w:val="002C1A97"/>
    <w:rsid w:val="002C27D0"/>
    <w:rsid w:val="002C2C9B"/>
    <w:rsid w:val="002C4854"/>
    <w:rsid w:val="002C492D"/>
    <w:rsid w:val="002C4C25"/>
    <w:rsid w:val="002C5FD6"/>
    <w:rsid w:val="002C695F"/>
    <w:rsid w:val="002D05E5"/>
    <w:rsid w:val="002D127E"/>
    <w:rsid w:val="002D17D6"/>
    <w:rsid w:val="002D18D7"/>
    <w:rsid w:val="002D1EF6"/>
    <w:rsid w:val="002D21CE"/>
    <w:rsid w:val="002D21D9"/>
    <w:rsid w:val="002D3D69"/>
    <w:rsid w:val="002D4793"/>
    <w:rsid w:val="002D4E36"/>
    <w:rsid w:val="002D4F25"/>
    <w:rsid w:val="002D680F"/>
    <w:rsid w:val="002D703D"/>
    <w:rsid w:val="002E2358"/>
    <w:rsid w:val="002E3DA3"/>
    <w:rsid w:val="002E450F"/>
    <w:rsid w:val="002E4FB5"/>
    <w:rsid w:val="002E520C"/>
    <w:rsid w:val="002E6B38"/>
    <w:rsid w:val="002E6D63"/>
    <w:rsid w:val="002E6E2B"/>
    <w:rsid w:val="002E7A3F"/>
    <w:rsid w:val="002E7D3F"/>
    <w:rsid w:val="002F0A74"/>
    <w:rsid w:val="002F0BE1"/>
    <w:rsid w:val="002F4564"/>
    <w:rsid w:val="002F456C"/>
    <w:rsid w:val="002F500B"/>
    <w:rsid w:val="002F513A"/>
    <w:rsid w:val="002F5AA5"/>
    <w:rsid w:val="002F6208"/>
    <w:rsid w:val="002F7579"/>
    <w:rsid w:val="002F75F6"/>
    <w:rsid w:val="00300991"/>
    <w:rsid w:val="0030157E"/>
    <w:rsid w:val="00301959"/>
    <w:rsid w:val="00302BAE"/>
    <w:rsid w:val="00303429"/>
    <w:rsid w:val="00303493"/>
    <w:rsid w:val="00303FA5"/>
    <w:rsid w:val="00305B8A"/>
    <w:rsid w:val="0030746B"/>
    <w:rsid w:val="00307512"/>
    <w:rsid w:val="00307651"/>
    <w:rsid w:val="003103FD"/>
    <w:rsid w:val="0031176E"/>
    <w:rsid w:val="003126FF"/>
    <w:rsid w:val="003134D5"/>
    <w:rsid w:val="00313843"/>
    <w:rsid w:val="00313D5A"/>
    <w:rsid w:val="00314415"/>
    <w:rsid w:val="003168C0"/>
    <w:rsid w:val="00321D6D"/>
    <w:rsid w:val="003223E4"/>
    <w:rsid w:val="003254A1"/>
    <w:rsid w:val="00326D6C"/>
    <w:rsid w:val="0032720B"/>
    <w:rsid w:val="003314F5"/>
    <w:rsid w:val="003318D0"/>
    <w:rsid w:val="00331BF9"/>
    <w:rsid w:val="00331D06"/>
    <w:rsid w:val="00331FB1"/>
    <w:rsid w:val="00331FBF"/>
    <w:rsid w:val="00332405"/>
    <w:rsid w:val="0033495E"/>
    <w:rsid w:val="00334A79"/>
    <w:rsid w:val="00334D8D"/>
    <w:rsid w:val="00337072"/>
    <w:rsid w:val="00337345"/>
    <w:rsid w:val="00337DD2"/>
    <w:rsid w:val="003404D1"/>
    <w:rsid w:val="003414BF"/>
    <w:rsid w:val="00341834"/>
    <w:rsid w:val="00342D45"/>
    <w:rsid w:val="00342D7F"/>
    <w:rsid w:val="003434D2"/>
    <w:rsid w:val="003442FD"/>
    <w:rsid w:val="003443FF"/>
    <w:rsid w:val="00345A97"/>
    <w:rsid w:val="00346DF4"/>
    <w:rsid w:val="00350165"/>
    <w:rsid w:val="003503D1"/>
    <w:rsid w:val="00350CB8"/>
    <w:rsid w:val="00351398"/>
    <w:rsid w:val="0035216A"/>
    <w:rsid w:val="003544B3"/>
    <w:rsid w:val="00354AD6"/>
    <w:rsid w:val="00355808"/>
    <w:rsid w:val="003567CB"/>
    <w:rsid w:val="00357511"/>
    <w:rsid w:val="0036035F"/>
    <w:rsid w:val="00362C7E"/>
    <w:rsid w:val="00363309"/>
    <w:rsid w:val="00363601"/>
    <w:rsid w:val="00366BAE"/>
    <w:rsid w:val="00367CCA"/>
    <w:rsid w:val="00370965"/>
    <w:rsid w:val="00371124"/>
    <w:rsid w:val="00371857"/>
    <w:rsid w:val="00371926"/>
    <w:rsid w:val="0037309E"/>
    <w:rsid w:val="00373F87"/>
    <w:rsid w:val="00374061"/>
    <w:rsid w:val="00374150"/>
    <w:rsid w:val="00374E30"/>
    <w:rsid w:val="00375E40"/>
    <w:rsid w:val="00376AC9"/>
    <w:rsid w:val="00377E37"/>
    <w:rsid w:val="00377E79"/>
    <w:rsid w:val="00383C03"/>
    <w:rsid w:val="00383D12"/>
    <w:rsid w:val="00383DC2"/>
    <w:rsid w:val="00384C29"/>
    <w:rsid w:val="003862E7"/>
    <w:rsid w:val="003912C4"/>
    <w:rsid w:val="00392627"/>
    <w:rsid w:val="003927CF"/>
    <w:rsid w:val="00393032"/>
    <w:rsid w:val="00394B69"/>
    <w:rsid w:val="00394F20"/>
    <w:rsid w:val="00395CE6"/>
    <w:rsid w:val="00396FA1"/>
    <w:rsid w:val="00397078"/>
    <w:rsid w:val="00397760"/>
    <w:rsid w:val="003A4B1D"/>
    <w:rsid w:val="003A56B7"/>
    <w:rsid w:val="003A5C81"/>
    <w:rsid w:val="003A6953"/>
    <w:rsid w:val="003A6A7D"/>
    <w:rsid w:val="003A6F7A"/>
    <w:rsid w:val="003A73AE"/>
    <w:rsid w:val="003A7C72"/>
    <w:rsid w:val="003B0CB3"/>
    <w:rsid w:val="003B108C"/>
    <w:rsid w:val="003B12BE"/>
    <w:rsid w:val="003B1D56"/>
    <w:rsid w:val="003B2768"/>
    <w:rsid w:val="003B2A22"/>
    <w:rsid w:val="003B3400"/>
    <w:rsid w:val="003B3933"/>
    <w:rsid w:val="003B4AEF"/>
    <w:rsid w:val="003B6083"/>
    <w:rsid w:val="003B6890"/>
    <w:rsid w:val="003B7749"/>
    <w:rsid w:val="003C00E9"/>
    <w:rsid w:val="003C079F"/>
    <w:rsid w:val="003C1522"/>
    <w:rsid w:val="003C1C5D"/>
    <w:rsid w:val="003C1D07"/>
    <w:rsid w:val="003C3838"/>
    <w:rsid w:val="003C42BE"/>
    <w:rsid w:val="003C4B76"/>
    <w:rsid w:val="003C4F5B"/>
    <w:rsid w:val="003C5847"/>
    <w:rsid w:val="003C6472"/>
    <w:rsid w:val="003C6F10"/>
    <w:rsid w:val="003D0681"/>
    <w:rsid w:val="003D0B90"/>
    <w:rsid w:val="003D0EEE"/>
    <w:rsid w:val="003D11C5"/>
    <w:rsid w:val="003D12F6"/>
    <w:rsid w:val="003D1426"/>
    <w:rsid w:val="003D32FE"/>
    <w:rsid w:val="003D39F6"/>
    <w:rsid w:val="003D3E9E"/>
    <w:rsid w:val="003D5277"/>
    <w:rsid w:val="003E0220"/>
    <w:rsid w:val="003E0716"/>
    <w:rsid w:val="003E298E"/>
    <w:rsid w:val="003E2DA5"/>
    <w:rsid w:val="003E2F4E"/>
    <w:rsid w:val="003E34D6"/>
    <w:rsid w:val="003E3F2F"/>
    <w:rsid w:val="003E43F7"/>
    <w:rsid w:val="003E5246"/>
    <w:rsid w:val="003E6A9A"/>
    <w:rsid w:val="003E7036"/>
    <w:rsid w:val="003E720A"/>
    <w:rsid w:val="003E7D62"/>
    <w:rsid w:val="003F0A31"/>
    <w:rsid w:val="003F0B4D"/>
    <w:rsid w:val="003F3DD5"/>
    <w:rsid w:val="003F40DC"/>
    <w:rsid w:val="003F4294"/>
    <w:rsid w:val="003F4905"/>
    <w:rsid w:val="003F4E1D"/>
    <w:rsid w:val="00400DFB"/>
    <w:rsid w:val="0040113D"/>
    <w:rsid w:val="004013EB"/>
    <w:rsid w:val="00403E6E"/>
    <w:rsid w:val="0040479F"/>
    <w:rsid w:val="00405067"/>
    <w:rsid w:val="00405816"/>
    <w:rsid w:val="004065CB"/>
    <w:rsid w:val="0040672E"/>
    <w:rsid w:val="00407CE1"/>
    <w:rsid w:val="00407DD6"/>
    <w:rsid w:val="00407F10"/>
    <w:rsid w:val="004114CD"/>
    <w:rsid w:val="00411DAC"/>
    <w:rsid w:val="00412686"/>
    <w:rsid w:val="004129B4"/>
    <w:rsid w:val="004144EF"/>
    <w:rsid w:val="00414E17"/>
    <w:rsid w:val="00416485"/>
    <w:rsid w:val="00416B5B"/>
    <w:rsid w:val="00416E2C"/>
    <w:rsid w:val="00417EF0"/>
    <w:rsid w:val="00421555"/>
    <w:rsid w:val="00422181"/>
    <w:rsid w:val="00422CEA"/>
    <w:rsid w:val="00422D71"/>
    <w:rsid w:val="00422FDF"/>
    <w:rsid w:val="00423F8E"/>
    <w:rsid w:val="004244A8"/>
    <w:rsid w:val="0042567A"/>
    <w:rsid w:val="00425F72"/>
    <w:rsid w:val="00426397"/>
    <w:rsid w:val="00427736"/>
    <w:rsid w:val="004309FE"/>
    <w:rsid w:val="004320C6"/>
    <w:rsid w:val="004342E8"/>
    <w:rsid w:val="00435D8D"/>
    <w:rsid w:val="00436B75"/>
    <w:rsid w:val="00437516"/>
    <w:rsid w:val="00440089"/>
    <w:rsid w:val="00440525"/>
    <w:rsid w:val="004408FB"/>
    <w:rsid w:val="00441787"/>
    <w:rsid w:val="00442338"/>
    <w:rsid w:val="00443157"/>
    <w:rsid w:val="004435E8"/>
    <w:rsid w:val="00443949"/>
    <w:rsid w:val="00444066"/>
    <w:rsid w:val="00444F2D"/>
    <w:rsid w:val="00446C23"/>
    <w:rsid w:val="00451C43"/>
    <w:rsid w:val="00452034"/>
    <w:rsid w:val="00452B6D"/>
    <w:rsid w:val="00452D02"/>
    <w:rsid w:val="00453250"/>
    <w:rsid w:val="004532C1"/>
    <w:rsid w:val="00455FA6"/>
    <w:rsid w:val="00460549"/>
    <w:rsid w:val="00460D2D"/>
    <w:rsid w:val="00462F64"/>
    <w:rsid w:val="004631DC"/>
    <w:rsid w:val="00463861"/>
    <w:rsid w:val="004640F4"/>
    <w:rsid w:val="00464A6B"/>
    <w:rsid w:val="00464EA3"/>
    <w:rsid w:val="00466C70"/>
    <w:rsid w:val="004702C9"/>
    <w:rsid w:val="00471A7A"/>
    <w:rsid w:val="00472790"/>
    <w:rsid w:val="00472E45"/>
    <w:rsid w:val="00473FEA"/>
    <w:rsid w:val="0047579D"/>
    <w:rsid w:val="00476752"/>
    <w:rsid w:val="00476F39"/>
    <w:rsid w:val="004770C7"/>
    <w:rsid w:val="0047721C"/>
    <w:rsid w:val="0048229A"/>
    <w:rsid w:val="00483262"/>
    <w:rsid w:val="00484107"/>
    <w:rsid w:val="00484553"/>
    <w:rsid w:val="004848B5"/>
    <w:rsid w:val="004849D7"/>
    <w:rsid w:val="00485673"/>
    <w:rsid w:val="00485CC5"/>
    <w:rsid w:val="0048708D"/>
    <w:rsid w:val="00487895"/>
    <w:rsid w:val="00487BCC"/>
    <w:rsid w:val="00490659"/>
    <w:rsid w:val="00492365"/>
    <w:rsid w:val="0049343F"/>
    <w:rsid w:val="00493D06"/>
    <w:rsid w:val="00494901"/>
    <w:rsid w:val="004964FC"/>
    <w:rsid w:val="00496784"/>
    <w:rsid w:val="004970AB"/>
    <w:rsid w:val="004A014E"/>
    <w:rsid w:val="004A025D"/>
    <w:rsid w:val="004A088D"/>
    <w:rsid w:val="004A145E"/>
    <w:rsid w:val="004A1F15"/>
    <w:rsid w:val="004A21C9"/>
    <w:rsid w:val="004A2A81"/>
    <w:rsid w:val="004A32C5"/>
    <w:rsid w:val="004A4420"/>
    <w:rsid w:val="004A5C41"/>
    <w:rsid w:val="004A7A04"/>
    <w:rsid w:val="004A7BD7"/>
    <w:rsid w:val="004B011B"/>
    <w:rsid w:val="004B0E9E"/>
    <w:rsid w:val="004B2BEF"/>
    <w:rsid w:val="004B44DE"/>
    <w:rsid w:val="004B513B"/>
    <w:rsid w:val="004C01DB"/>
    <w:rsid w:val="004C137D"/>
    <w:rsid w:val="004C15C2"/>
    <w:rsid w:val="004C36D8"/>
    <w:rsid w:val="004C38C0"/>
    <w:rsid w:val="004C628A"/>
    <w:rsid w:val="004C62F5"/>
    <w:rsid w:val="004C6D7A"/>
    <w:rsid w:val="004C780D"/>
    <w:rsid w:val="004D1248"/>
    <w:rsid w:val="004D1678"/>
    <w:rsid w:val="004D1808"/>
    <w:rsid w:val="004D198C"/>
    <w:rsid w:val="004D1D24"/>
    <w:rsid w:val="004D1E3C"/>
    <w:rsid w:val="004D2B88"/>
    <w:rsid w:val="004D4169"/>
    <w:rsid w:val="004D4FC7"/>
    <w:rsid w:val="004D5B06"/>
    <w:rsid w:val="004D6E14"/>
    <w:rsid w:val="004E0AF6"/>
    <w:rsid w:val="004E1095"/>
    <w:rsid w:val="004E14BC"/>
    <w:rsid w:val="004E1B7A"/>
    <w:rsid w:val="004E2623"/>
    <w:rsid w:val="004E2CAF"/>
    <w:rsid w:val="004E3A73"/>
    <w:rsid w:val="004E3A9E"/>
    <w:rsid w:val="004E3B66"/>
    <w:rsid w:val="004E3FF8"/>
    <w:rsid w:val="004E51BC"/>
    <w:rsid w:val="004E559C"/>
    <w:rsid w:val="004E5F2C"/>
    <w:rsid w:val="004E6DF3"/>
    <w:rsid w:val="004E7198"/>
    <w:rsid w:val="004F0575"/>
    <w:rsid w:val="004F0615"/>
    <w:rsid w:val="004F104A"/>
    <w:rsid w:val="004F1F91"/>
    <w:rsid w:val="004F32D4"/>
    <w:rsid w:val="004F4E17"/>
    <w:rsid w:val="004F5533"/>
    <w:rsid w:val="004F5BA0"/>
    <w:rsid w:val="004F7F2C"/>
    <w:rsid w:val="0050082F"/>
    <w:rsid w:val="005009EC"/>
    <w:rsid w:val="00500C56"/>
    <w:rsid w:val="00501401"/>
    <w:rsid w:val="00501713"/>
    <w:rsid w:val="0050379B"/>
    <w:rsid w:val="00506568"/>
    <w:rsid w:val="005065C6"/>
    <w:rsid w:val="005073CF"/>
    <w:rsid w:val="00510105"/>
    <w:rsid w:val="0051075F"/>
    <w:rsid w:val="00513EE7"/>
    <w:rsid w:val="00514C7F"/>
    <w:rsid w:val="0051551B"/>
    <w:rsid w:val="00515B2D"/>
    <w:rsid w:val="00516B4A"/>
    <w:rsid w:val="005177AF"/>
    <w:rsid w:val="00520B97"/>
    <w:rsid w:val="00520C57"/>
    <w:rsid w:val="00522D94"/>
    <w:rsid w:val="00523F5B"/>
    <w:rsid w:val="005270A1"/>
    <w:rsid w:val="0052744C"/>
    <w:rsid w:val="00530C18"/>
    <w:rsid w:val="00531489"/>
    <w:rsid w:val="0053185F"/>
    <w:rsid w:val="00532231"/>
    <w:rsid w:val="005327C5"/>
    <w:rsid w:val="00533045"/>
    <w:rsid w:val="00533BC9"/>
    <w:rsid w:val="00533D89"/>
    <w:rsid w:val="005363C0"/>
    <w:rsid w:val="00536564"/>
    <w:rsid w:val="00536F34"/>
    <w:rsid w:val="005406DE"/>
    <w:rsid w:val="00540706"/>
    <w:rsid w:val="00542F5E"/>
    <w:rsid w:val="00543363"/>
    <w:rsid w:val="00543BD7"/>
    <w:rsid w:val="00544597"/>
    <w:rsid w:val="00544E2B"/>
    <w:rsid w:val="00544FFE"/>
    <w:rsid w:val="00545D94"/>
    <w:rsid w:val="00546853"/>
    <w:rsid w:val="005473F5"/>
    <w:rsid w:val="005477E7"/>
    <w:rsid w:val="00550C86"/>
    <w:rsid w:val="00552794"/>
    <w:rsid w:val="00553B4E"/>
    <w:rsid w:val="00554472"/>
    <w:rsid w:val="00554B7B"/>
    <w:rsid w:val="0056117F"/>
    <w:rsid w:val="00561388"/>
    <w:rsid w:val="00561D56"/>
    <w:rsid w:val="00563199"/>
    <w:rsid w:val="00563712"/>
    <w:rsid w:val="00563A86"/>
    <w:rsid w:val="00564874"/>
    <w:rsid w:val="00565001"/>
    <w:rsid w:val="0056532E"/>
    <w:rsid w:val="00566835"/>
    <w:rsid w:val="00567963"/>
    <w:rsid w:val="0057009A"/>
    <w:rsid w:val="00571260"/>
    <w:rsid w:val="0057189C"/>
    <w:rsid w:val="00573658"/>
    <w:rsid w:val="00573740"/>
    <w:rsid w:val="00573FC1"/>
    <w:rsid w:val="005741EE"/>
    <w:rsid w:val="0057487C"/>
    <w:rsid w:val="005749D2"/>
    <w:rsid w:val="0057639B"/>
    <w:rsid w:val="00576551"/>
    <w:rsid w:val="0057668E"/>
    <w:rsid w:val="005778B3"/>
    <w:rsid w:val="00580FA7"/>
    <w:rsid w:val="005845C5"/>
    <w:rsid w:val="0058516D"/>
    <w:rsid w:val="00586AA3"/>
    <w:rsid w:val="00586BE5"/>
    <w:rsid w:val="0059113C"/>
    <w:rsid w:val="00592BF0"/>
    <w:rsid w:val="00592D7B"/>
    <w:rsid w:val="00595528"/>
    <w:rsid w:val="00595E83"/>
    <w:rsid w:val="005964F0"/>
    <w:rsid w:val="00596530"/>
    <w:rsid w:val="005967F3"/>
    <w:rsid w:val="005969C8"/>
    <w:rsid w:val="00597824"/>
    <w:rsid w:val="005A06DF"/>
    <w:rsid w:val="005A1CD8"/>
    <w:rsid w:val="005A225F"/>
    <w:rsid w:val="005A2593"/>
    <w:rsid w:val="005A2CA1"/>
    <w:rsid w:val="005A3C38"/>
    <w:rsid w:val="005A5527"/>
    <w:rsid w:val="005A5AE6"/>
    <w:rsid w:val="005A63CC"/>
    <w:rsid w:val="005B0163"/>
    <w:rsid w:val="005B0202"/>
    <w:rsid w:val="005B0F0A"/>
    <w:rsid w:val="005B1206"/>
    <w:rsid w:val="005B1A4E"/>
    <w:rsid w:val="005B1DFF"/>
    <w:rsid w:val="005B1E6C"/>
    <w:rsid w:val="005B2144"/>
    <w:rsid w:val="005B37E8"/>
    <w:rsid w:val="005B48C2"/>
    <w:rsid w:val="005B59D4"/>
    <w:rsid w:val="005B5F74"/>
    <w:rsid w:val="005C0056"/>
    <w:rsid w:val="005C02D3"/>
    <w:rsid w:val="005C2F5F"/>
    <w:rsid w:val="005C31D4"/>
    <w:rsid w:val="005C3FCE"/>
    <w:rsid w:val="005C4155"/>
    <w:rsid w:val="005C43F8"/>
    <w:rsid w:val="005C4D20"/>
    <w:rsid w:val="005C4E34"/>
    <w:rsid w:val="005C6625"/>
    <w:rsid w:val="005D12C5"/>
    <w:rsid w:val="005D1FB5"/>
    <w:rsid w:val="005D3085"/>
    <w:rsid w:val="005D4095"/>
    <w:rsid w:val="005D4C5E"/>
    <w:rsid w:val="005D4E7C"/>
    <w:rsid w:val="005D5D93"/>
    <w:rsid w:val="005D61D6"/>
    <w:rsid w:val="005D6286"/>
    <w:rsid w:val="005D68D4"/>
    <w:rsid w:val="005D6C8A"/>
    <w:rsid w:val="005D7315"/>
    <w:rsid w:val="005E00F5"/>
    <w:rsid w:val="005E0D13"/>
    <w:rsid w:val="005E1136"/>
    <w:rsid w:val="005E1D15"/>
    <w:rsid w:val="005E2EEB"/>
    <w:rsid w:val="005E3590"/>
    <w:rsid w:val="005E5047"/>
    <w:rsid w:val="005E5A43"/>
    <w:rsid w:val="005E62B9"/>
    <w:rsid w:val="005E63D0"/>
    <w:rsid w:val="005E6DC7"/>
    <w:rsid w:val="005E7198"/>
    <w:rsid w:val="005E7205"/>
    <w:rsid w:val="005E7371"/>
    <w:rsid w:val="005F0E8C"/>
    <w:rsid w:val="005F116C"/>
    <w:rsid w:val="005F20C1"/>
    <w:rsid w:val="005F2131"/>
    <w:rsid w:val="005F23C1"/>
    <w:rsid w:val="005F2BFB"/>
    <w:rsid w:val="005F6219"/>
    <w:rsid w:val="005F6337"/>
    <w:rsid w:val="005F78C9"/>
    <w:rsid w:val="005F7A79"/>
    <w:rsid w:val="006018CD"/>
    <w:rsid w:val="00604498"/>
    <w:rsid w:val="00604747"/>
    <w:rsid w:val="00604E14"/>
    <w:rsid w:val="00605EF6"/>
    <w:rsid w:val="00606455"/>
    <w:rsid w:val="00610EFE"/>
    <w:rsid w:val="00610F85"/>
    <w:rsid w:val="00612080"/>
    <w:rsid w:val="00612BEC"/>
    <w:rsid w:val="0061337B"/>
    <w:rsid w:val="00614929"/>
    <w:rsid w:val="00616511"/>
    <w:rsid w:val="0061744C"/>
    <w:rsid w:val="006176ED"/>
    <w:rsid w:val="00620276"/>
    <w:rsid w:val="006202F3"/>
    <w:rsid w:val="00620701"/>
    <w:rsid w:val="0062097A"/>
    <w:rsid w:val="00621DA6"/>
    <w:rsid w:val="00623CFE"/>
    <w:rsid w:val="0062410E"/>
    <w:rsid w:val="00625F83"/>
    <w:rsid w:val="00626947"/>
    <w:rsid w:val="00626AFA"/>
    <w:rsid w:val="00627221"/>
    <w:rsid w:val="00627EE8"/>
    <w:rsid w:val="00630DB2"/>
    <w:rsid w:val="0063166D"/>
    <w:rsid w:val="006316FA"/>
    <w:rsid w:val="00631750"/>
    <w:rsid w:val="00631843"/>
    <w:rsid w:val="00631BA9"/>
    <w:rsid w:val="0063275A"/>
    <w:rsid w:val="006370D2"/>
    <w:rsid w:val="0064074F"/>
    <w:rsid w:val="006409E6"/>
    <w:rsid w:val="0064140B"/>
    <w:rsid w:val="006415A2"/>
    <w:rsid w:val="00641F55"/>
    <w:rsid w:val="0064270E"/>
    <w:rsid w:val="00644677"/>
    <w:rsid w:val="00645E4A"/>
    <w:rsid w:val="00646494"/>
    <w:rsid w:val="006468D9"/>
    <w:rsid w:val="006477E7"/>
    <w:rsid w:val="00650086"/>
    <w:rsid w:val="006507C0"/>
    <w:rsid w:val="00651776"/>
    <w:rsid w:val="00651BEA"/>
    <w:rsid w:val="00651DEC"/>
    <w:rsid w:val="00653688"/>
    <w:rsid w:val="00653D62"/>
    <w:rsid w:val="006549DD"/>
    <w:rsid w:val="00655184"/>
    <w:rsid w:val="006551D7"/>
    <w:rsid w:val="00655E60"/>
    <w:rsid w:val="00656B45"/>
    <w:rsid w:val="00657E25"/>
    <w:rsid w:val="0066091B"/>
    <w:rsid w:val="00661E0A"/>
    <w:rsid w:val="00664C37"/>
    <w:rsid w:val="006660E9"/>
    <w:rsid w:val="0066629F"/>
    <w:rsid w:val="00667249"/>
    <w:rsid w:val="00667558"/>
    <w:rsid w:val="00670EE2"/>
    <w:rsid w:val="00671523"/>
    <w:rsid w:val="00671A32"/>
    <w:rsid w:val="00671E15"/>
    <w:rsid w:val="00673930"/>
    <w:rsid w:val="00674212"/>
    <w:rsid w:val="006750B0"/>
    <w:rsid w:val="006754EF"/>
    <w:rsid w:val="00675F1F"/>
    <w:rsid w:val="00676C8D"/>
    <w:rsid w:val="00676F1F"/>
    <w:rsid w:val="00677381"/>
    <w:rsid w:val="00677414"/>
    <w:rsid w:val="00681E38"/>
    <w:rsid w:val="006832CF"/>
    <w:rsid w:val="00683D64"/>
    <w:rsid w:val="00684A9F"/>
    <w:rsid w:val="00685F57"/>
    <w:rsid w:val="0068601E"/>
    <w:rsid w:val="006868DA"/>
    <w:rsid w:val="00687766"/>
    <w:rsid w:val="00687A05"/>
    <w:rsid w:val="00687B3B"/>
    <w:rsid w:val="00690B71"/>
    <w:rsid w:val="0069122C"/>
    <w:rsid w:val="006919EA"/>
    <w:rsid w:val="00692006"/>
    <w:rsid w:val="0069356B"/>
    <w:rsid w:val="00693C83"/>
    <w:rsid w:val="0069486B"/>
    <w:rsid w:val="00694CEC"/>
    <w:rsid w:val="00694E00"/>
    <w:rsid w:val="00694E2F"/>
    <w:rsid w:val="006A0AFD"/>
    <w:rsid w:val="006A0FE7"/>
    <w:rsid w:val="006A472F"/>
    <w:rsid w:val="006A4904"/>
    <w:rsid w:val="006A5009"/>
    <w:rsid w:val="006A548F"/>
    <w:rsid w:val="006A701A"/>
    <w:rsid w:val="006B32F1"/>
    <w:rsid w:val="006B3605"/>
    <w:rsid w:val="006B4F11"/>
    <w:rsid w:val="006B55D9"/>
    <w:rsid w:val="006B64DC"/>
    <w:rsid w:val="006B7A91"/>
    <w:rsid w:val="006C0347"/>
    <w:rsid w:val="006C12C4"/>
    <w:rsid w:val="006C45C7"/>
    <w:rsid w:val="006C4A10"/>
    <w:rsid w:val="006C5310"/>
    <w:rsid w:val="006C5D38"/>
    <w:rsid w:val="006C70CE"/>
    <w:rsid w:val="006D17D7"/>
    <w:rsid w:val="006D4704"/>
    <w:rsid w:val="006D4AF0"/>
    <w:rsid w:val="006D5CC1"/>
    <w:rsid w:val="006D6A2D"/>
    <w:rsid w:val="006D6FDE"/>
    <w:rsid w:val="006D7F5D"/>
    <w:rsid w:val="006E018E"/>
    <w:rsid w:val="006E0320"/>
    <w:rsid w:val="006E1851"/>
    <w:rsid w:val="006E1E18"/>
    <w:rsid w:val="006E294C"/>
    <w:rsid w:val="006E31CE"/>
    <w:rsid w:val="006E34D3"/>
    <w:rsid w:val="006E44CA"/>
    <w:rsid w:val="006E53B1"/>
    <w:rsid w:val="006E5488"/>
    <w:rsid w:val="006E7607"/>
    <w:rsid w:val="006F0059"/>
    <w:rsid w:val="006F0F79"/>
    <w:rsid w:val="006F1435"/>
    <w:rsid w:val="006F1EC1"/>
    <w:rsid w:val="006F371A"/>
    <w:rsid w:val="006F41F7"/>
    <w:rsid w:val="006F44D5"/>
    <w:rsid w:val="006F5788"/>
    <w:rsid w:val="006F78C4"/>
    <w:rsid w:val="00700B97"/>
    <w:rsid w:val="00701D93"/>
    <w:rsid w:val="007031A0"/>
    <w:rsid w:val="00703A54"/>
    <w:rsid w:val="00705979"/>
    <w:rsid w:val="00705A29"/>
    <w:rsid w:val="007067EA"/>
    <w:rsid w:val="00706CDF"/>
    <w:rsid w:val="00707498"/>
    <w:rsid w:val="00710BDE"/>
    <w:rsid w:val="00710CC3"/>
    <w:rsid w:val="00711A65"/>
    <w:rsid w:val="00713D4E"/>
    <w:rsid w:val="0071404E"/>
    <w:rsid w:val="00714133"/>
    <w:rsid w:val="00714DA4"/>
    <w:rsid w:val="007158B2"/>
    <w:rsid w:val="00716081"/>
    <w:rsid w:val="00716269"/>
    <w:rsid w:val="00717FED"/>
    <w:rsid w:val="00720D3E"/>
    <w:rsid w:val="007215D2"/>
    <w:rsid w:val="00722B48"/>
    <w:rsid w:val="007237D8"/>
    <w:rsid w:val="00724164"/>
    <w:rsid w:val="007247BA"/>
    <w:rsid w:val="00724C9C"/>
    <w:rsid w:val="00725DE7"/>
    <w:rsid w:val="00725E64"/>
    <w:rsid w:val="0072636A"/>
    <w:rsid w:val="00726B44"/>
    <w:rsid w:val="007276DF"/>
    <w:rsid w:val="007308A2"/>
    <w:rsid w:val="00731467"/>
    <w:rsid w:val="007318DD"/>
    <w:rsid w:val="00733167"/>
    <w:rsid w:val="007337F1"/>
    <w:rsid w:val="007337FC"/>
    <w:rsid w:val="00734323"/>
    <w:rsid w:val="007347A7"/>
    <w:rsid w:val="0073567E"/>
    <w:rsid w:val="00735944"/>
    <w:rsid w:val="007368C9"/>
    <w:rsid w:val="00736917"/>
    <w:rsid w:val="00736EF3"/>
    <w:rsid w:val="00740308"/>
    <w:rsid w:val="007408E0"/>
    <w:rsid w:val="007409B2"/>
    <w:rsid w:val="00740D2C"/>
    <w:rsid w:val="007415D0"/>
    <w:rsid w:val="00741893"/>
    <w:rsid w:val="00741AE6"/>
    <w:rsid w:val="0074322E"/>
    <w:rsid w:val="00744BF9"/>
    <w:rsid w:val="00744D1F"/>
    <w:rsid w:val="00746371"/>
    <w:rsid w:val="00750FC3"/>
    <w:rsid w:val="00752623"/>
    <w:rsid w:val="00752DD5"/>
    <w:rsid w:val="00755751"/>
    <w:rsid w:val="00760F1F"/>
    <w:rsid w:val="00761127"/>
    <w:rsid w:val="0076229A"/>
    <w:rsid w:val="007629F8"/>
    <w:rsid w:val="00762CE6"/>
    <w:rsid w:val="00762FA8"/>
    <w:rsid w:val="0076423E"/>
    <w:rsid w:val="0076447E"/>
    <w:rsid w:val="007646CB"/>
    <w:rsid w:val="00764FB0"/>
    <w:rsid w:val="0076658F"/>
    <w:rsid w:val="007665E0"/>
    <w:rsid w:val="0077040A"/>
    <w:rsid w:val="007707FA"/>
    <w:rsid w:val="007711CE"/>
    <w:rsid w:val="00771F12"/>
    <w:rsid w:val="00772A79"/>
    <w:rsid w:val="00772D64"/>
    <w:rsid w:val="007742AF"/>
    <w:rsid w:val="00774312"/>
    <w:rsid w:val="00774698"/>
    <w:rsid w:val="007777BE"/>
    <w:rsid w:val="0078072F"/>
    <w:rsid w:val="007813E1"/>
    <w:rsid w:val="0078217C"/>
    <w:rsid w:val="007823D7"/>
    <w:rsid w:val="00783A83"/>
    <w:rsid w:val="00784F06"/>
    <w:rsid w:val="0078772D"/>
    <w:rsid w:val="00787E16"/>
    <w:rsid w:val="00790390"/>
    <w:rsid w:val="0079130E"/>
    <w:rsid w:val="00792609"/>
    <w:rsid w:val="00792887"/>
    <w:rsid w:val="007943E2"/>
    <w:rsid w:val="00794F2C"/>
    <w:rsid w:val="00795F21"/>
    <w:rsid w:val="007A1097"/>
    <w:rsid w:val="007A19AD"/>
    <w:rsid w:val="007A216B"/>
    <w:rsid w:val="007A2388"/>
    <w:rsid w:val="007A3BC7"/>
    <w:rsid w:val="007A4020"/>
    <w:rsid w:val="007A46CE"/>
    <w:rsid w:val="007A4A08"/>
    <w:rsid w:val="007A5449"/>
    <w:rsid w:val="007A5AC4"/>
    <w:rsid w:val="007A6AB0"/>
    <w:rsid w:val="007A75BA"/>
    <w:rsid w:val="007B0211"/>
    <w:rsid w:val="007B0FDD"/>
    <w:rsid w:val="007B2D49"/>
    <w:rsid w:val="007B3277"/>
    <w:rsid w:val="007B359A"/>
    <w:rsid w:val="007B3873"/>
    <w:rsid w:val="007B41F5"/>
    <w:rsid w:val="007B4802"/>
    <w:rsid w:val="007B5D7B"/>
    <w:rsid w:val="007B65BA"/>
    <w:rsid w:val="007B6668"/>
    <w:rsid w:val="007B6B33"/>
    <w:rsid w:val="007B78AF"/>
    <w:rsid w:val="007B7D01"/>
    <w:rsid w:val="007B7FFE"/>
    <w:rsid w:val="007C03FA"/>
    <w:rsid w:val="007C2701"/>
    <w:rsid w:val="007C2CE4"/>
    <w:rsid w:val="007C385A"/>
    <w:rsid w:val="007C4189"/>
    <w:rsid w:val="007C4366"/>
    <w:rsid w:val="007C50C4"/>
    <w:rsid w:val="007C5B2C"/>
    <w:rsid w:val="007C5FB9"/>
    <w:rsid w:val="007C753E"/>
    <w:rsid w:val="007C75F5"/>
    <w:rsid w:val="007D0047"/>
    <w:rsid w:val="007D078D"/>
    <w:rsid w:val="007D2192"/>
    <w:rsid w:val="007D4446"/>
    <w:rsid w:val="007D5460"/>
    <w:rsid w:val="007D64DD"/>
    <w:rsid w:val="007D731F"/>
    <w:rsid w:val="007D7479"/>
    <w:rsid w:val="007E067D"/>
    <w:rsid w:val="007E132E"/>
    <w:rsid w:val="007E154B"/>
    <w:rsid w:val="007E230C"/>
    <w:rsid w:val="007E5A8F"/>
    <w:rsid w:val="007E772D"/>
    <w:rsid w:val="007F0021"/>
    <w:rsid w:val="007F0EC5"/>
    <w:rsid w:val="007F2955"/>
    <w:rsid w:val="007F2BF1"/>
    <w:rsid w:val="007F2DF8"/>
    <w:rsid w:val="007F2F52"/>
    <w:rsid w:val="007F3B60"/>
    <w:rsid w:val="007F4E08"/>
    <w:rsid w:val="00800862"/>
    <w:rsid w:val="00801A1D"/>
    <w:rsid w:val="00801F71"/>
    <w:rsid w:val="0080266A"/>
    <w:rsid w:val="0080480C"/>
    <w:rsid w:val="008055B7"/>
    <w:rsid w:val="00805F28"/>
    <w:rsid w:val="0080749F"/>
    <w:rsid w:val="00807EAB"/>
    <w:rsid w:val="00810D8B"/>
    <w:rsid w:val="00811A9F"/>
    <w:rsid w:val="00811D46"/>
    <w:rsid w:val="008125B0"/>
    <w:rsid w:val="008135AE"/>
    <w:rsid w:val="00814064"/>
    <w:rsid w:val="0081416C"/>
    <w:rsid w:val="008144CB"/>
    <w:rsid w:val="00816070"/>
    <w:rsid w:val="00816CE5"/>
    <w:rsid w:val="0082060A"/>
    <w:rsid w:val="0082131E"/>
    <w:rsid w:val="00821717"/>
    <w:rsid w:val="00822E39"/>
    <w:rsid w:val="00824210"/>
    <w:rsid w:val="00825C44"/>
    <w:rsid w:val="00825C65"/>
    <w:rsid w:val="008263C0"/>
    <w:rsid w:val="00826971"/>
    <w:rsid w:val="0082725F"/>
    <w:rsid w:val="00833049"/>
    <w:rsid w:val="008331A1"/>
    <w:rsid w:val="00836690"/>
    <w:rsid w:val="00840C61"/>
    <w:rsid w:val="00840D12"/>
    <w:rsid w:val="00841422"/>
    <w:rsid w:val="0084147C"/>
    <w:rsid w:val="00841571"/>
    <w:rsid w:val="00841D3B"/>
    <w:rsid w:val="00842608"/>
    <w:rsid w:val="0084270D"/>
    <w:rsid w:val="0084314C"/>
    <w:rsid w:val="00843171"/>
    <w:rsid w:val="00843ED1"/>
    <w:rsid w:val="00844004"/>
    <w:rsid w:val="00845246"/>
    <w:rsid w:val="00846FEE"/>
    <w:rsid w:val="008472EC"/>
    <w:rsid w:val="00847779"/>
    <w:rsid w:val="008507C4"/>
    <w:rsid w:val="008513B7"/>
    <w:rsid w:val="0085237B"/>
    <w:rsid w:val="008529E5"/>
    <w:rsid w:val="00852C51"/>
    <w:rsid w:val="00852ED5"/>
    <w:rsid w:val="008538D9"/>
    <w:rsid w:val="00854760"/>
    <w:rsid w:val="008556F4"/>
    <w:rsid w:val="00855ADE"/>
    <w:rsid w:val="00855BD1"/>
    <w:rsid w:val="00856799"/>
    <w:rsid w:val="008575C3"/>
    <w:rsid w:val="00857702"/>
    <w:rsid w:val="0085788B"/>
    <w:rsid w:val="00857C12"/>
    <w:rsid w:val="00861379"/>
    <w:rsid w:val="00861718"/>
    <w:rsid w:val="00861E5E"/>
    <w:rsid w:val="00863D28"/>
    <w:rsid w:val="008648C3"/>
    <w:rsid w:val="00864B97"/>
    <w:rsid w:val="008653CE"/>
    <w:rsid w:val="008656ED"/>
    <w:rsid w:val="00865E08"/>
    <w:rsid w:val="00867502"/>
    <w:rsid w:val="00870CD8"/>
    <w:rsid w:val="00871A39"/>
    <w:rsid w:val="00871B33"/>
    <w:rsid w:val="00872D96"/>
    <w:rsid w:val="008742F0"/>
    <w:rsid w:val="00874376"/>
    <w:rsid w:val="00874C60"/>
    <w:rsid w:val="00876914"/>
    <w:rsid w:val="0088047C"/>
    <w:rsid w:val="00880F26"/>
    <w:rsid w:val="00881AB7"/>
    <w:rsid w:val="00881EB8"/>
    <w:rsid w:val="00885003"/>
    <w:rsid w:val="00886CFD"/>
    <w:rsid w:val="00890BB6"/>
    <w:rsid w:val="00892320"/>
    <w:rsid w:val="00893568"/>
    <w:rsid w:val="00893F7B"/>
    <w:rsid w:val="008950C9"/>
    <w:rsid w:val="0089635D"/>
    <w:rsid w:val="008965D1"/>
    <w:rsid w:val="00896C2E"/>
    <w:rsid w:val="00897A94"/>
    <w:rsid w:val="008A0859"/>
    <w:rsid w:val="008A3FA9"/>
    <w:rsid w:val="008A5095"/>
    <w:rsid w:val="008A5CCE"/>
    <w:rsid w:val="008A5EF4"/>
    <w:rsid w:val="008A608F"/>
    <w:rsid w:val="008A7092"/>
    <w:rsid w:val="008A759B"/>
    <w:rsid w:val="008A78C1"/>
    <w:rsid w:val="008B067D"/>
    <w:rsid w:val="008B1A9A"/>
    <w:rsid w:val="008B2C53"/>
    <w:rsid w:val="008B31D7"/>
    <w:rsid w:val="008B4828"/>
    <w:rsid w:val="008B4FE6"/>
    <w:rsid w:val="008B50A7"/>
    <w:rsid w:val="008B55C8"/>
    <w:rsid w:val="008B6C37"/>
    <w:rsid w:val="008C07F5"/>
    <w:rsid w:val="008C27B0"/>
    <w:rsid w:val="008C2A45"/>
    <w:rsid w:val="008C7539"/>
    <w:rsid w:val="008D0C47"/>
    <w:rsid w:val="008D0F3C"/>
    <w:rsid w:val="008D126D"/>
    <w:rsid w:val="008D1352"/>
    <w:rsid w:val="008D322F"/>
    <w:rsid w:val="008D5F13"/>
    <w:rsid w:val="008D7A4F"/>
    <w:rsid w:val="008E0A0D"/>
    <w:rsid w:val="008E1124"/>
    <w:rsid w:val="008E15F8"/>
    <w:rsid w:val="008E18F7"/>
    <w:rsid w:val="008E1E10"/>
    <w:rsid w:val="008E291B"/>
    <w:rsid w:val="008E2974"/>
    <w:rsid w:val="008E4244"/>
    <w:rsid w:val="008E436F"/>
    <w:rsid w:val="008E4F2F"/>
    <w:rsid w:val="008E50CB"/>
    <w:rsid w:val="008E5200"/>
    <w:rsid w:val="008E6269"/>
    <w:rsid w:val="008E74B0"/>
    <w:rsid w:val="008E7F1B"/>
    <w:rsid w:val="008F0092"/>
    <w:rsid w:val="008F2D27"/>
    <w:rsid w:val="008F3B9E"/>
    <w:rsid w:val="008F438A"/>
    <w:rsid w:val="008F5176"/>
    <w:rsid w:val="008F52B2"/>
    <w:rsid w:val="008F6223"/>
    <w:rsid w:val="008F6DD6"/>
    <w:rsid w:val="008F7C74"/>
    <w:rsid w:val="009008A8"/>
    <w:rsid w:val="0090186A"/>
    <w:rsid w:val="00901917"/>
    <w:rsid w:val="009045EA"/>
    <w:rsid w:val="009046D4"/>
    <w:rsid w:val="00904BB2"/>
    <w:rsid w:val="00906393"/>
    <w:rsid w:val="009063B0"/>
    <w:rsid w:val="00906E17"/>
    <w:rsid w:val="00907106"/>
    <w:rsid w:val="009107FD"/>
    <w:rsid w:val="0091137C"/>
    <w:rsid w:val="00911567"/>
    <w:rsid w:val="00911F11"/>
    <w:rsid w:val="00913289"/>
    <w:rsid w:val="0091740D"/>
    <w:rsid w:val="00917864"/>
    <w:rsid w:val="00917AAE"/>
    <w:rsid w:val="00920F17"/>
    <w:rsid w:val="00921164"/>
    <w:rsid w:val="00922737"/>
    <w:rsid w:val="00922A24"/>
    <w:rsid w:val="00922DCD"/>
    <w:rsid w:val="009238B5"/>
    <w:rsid w:val="0092458E"/>
    <w:rsid w:val="009250CA"/>
    <w:rsid w:val="009251A9"/>
    <w:rsid w:val="00925576"/>
    <w:rsid w:val="00925B89"/>
    <w:rsid w:val="00927C23"/>
    <w:rsid w:val="009300BD"/>
    <w:rsid w:val="00930114"/>
    <w:rsid w:val="00930699"/>
    <w:rsid w:val="009310EB"/>
    <w:rsid w:val="0093193D"/>
    <w:rsid w:val="00931F69"/>
    <w:rsid w:val="0093266F"/>
    <w:rsid w:val="00934123"/>
    <w:rsid w:val="009341A8"/>
    <w:rsid w:val="009406B7"/>
    <w:rsid w:val="00943AB8"/>
    <w:rsid w:val="00944515"/>
    <w:rsid w:val="00944818"/>
    <w:rsid w:val="00945B0C"/>
    <w:rsid w:val="00945C78"/>
    <w:rsid w:val="00946A09"/>
    <w:rsid w:val="0095109B"/>
    <w:rsid w:val="0095337F"/>
    <w:rsid w:val="00953CC1"/>
    <w:rsid w:val="00954B9C"/>
    <w:rsid w:val="0095519B"/>
    <w:rsid w:val="00955554"/>
    <w:rsid w:val="00955774"/>
    <w:rsid w:val="009560B5"/>
    <w:rsid w:val="00957275"/>
    <w:rsid w:val="009605FD"/>
    <w:rsid w:val="009626A9"/>
    <w:rsid w:val="009626B7"/>
    <w:rsid w:val="00962A70"/>
    <w:rsid w:val="00962DF7"/>
    <w:rsid w:val="009637FD"/>
    <w:rsid w:val="00965E5E"/>
    <w:rsid w:val="00967331"/>
    <w:rsid w:val="00967B32"/>
    <w:rsid w:val="009703D6"/>
    <w:rsid w:val="00970979"/>
    <w:rsid w:val="0097181B"/>
    <w:rsid w:val="00972D74"/>
    <w:rsid w:val="00975254"/>
    <w:rsid w:val="00976DC5"/>
    <w:rsid w:val="009815DA"/>
    <w:rsid w:val="009818C7"/>
    <w:rsid w:val="0098207A"/>
    <w:rsid w:val="009826A3"/>
    <w:rsid w:val="00982DD4"/>
    <w:rsid w:val="009841E5"/>
    <w:rsid w:val="0098479F"/>
    <w:rsid w:val="00984A8A"/>
    <w:rsid w:val="009857B6"/>
    <w:rsid w:val="00985A8D"/>
    <w:rsid w:val="00986610"/>
    <w:rsid w:val="00986FB0"/>
    <w:rsid w:val="009877DC"/>
    <w:rsid w:val="009910B4"/>
    <w:rsid w:val="00991946"/>
    <w:rsid w:val="00991F96"/>
    <w:rsid w:val="009933C7"/>
    <w:rsid w:val="009954F2"/>
    <w:rsid w:val="00995A38"/>
    <w:rsid w:val="00996F0A"/>
    <w:rsid w:val="0099762D"/>
    <w:rsid w:val="009A0658"/>
    <w:rsid w:val="009A1393"/>
    <w:rsid w:val="009A1D86"/>
    <w:rsid w:val="009A2C98"/>
    <w:rsid w:val="009A4E6C"/>
    <w:rsid w:val="009A5B5F"/>
    <w:rsid w:val="009A7CFE"/>
    <w:rsid w:val="009B049C"/>
    <w:rsid w:val="009B11C8"/>
    <w:rsid w:val="009B1801"/>
    <w:rsid w:val="009B2BCF"/>
    <w:rsid w:val="009B2FF8"/>
    <w:rsid w:val="009B48DD"/>
    <w:rsid w:val="009B4CFE"/>
    <w:rsid w:val="009B4F94"/>
    <w:rsid w:val="009B5BA3"/>
    <w:rsid w:val="009B6792"/>
    <w:rsid w:val="009B6AF9"/>
    <w:rsid w:val="009B757E"/>
    <w:rsid w:val="009B7625"/>
    <w:rsid w:val="009B7797"/>
    <w:rsid w:val="009C01E2"/>
    <w:rsid w:val="009C0C60"/>
    <w:rsid w:val="009C1AE8"/>
    <w:rsid w:val="009C2590"/>
    <w:rsid w:val="009C27DE"/>
    <w:rsid w:val="009C376A"/>
    <w:rsid w:val="009C477B"/>
    <w:rsid w:val="009C52BE"/>
    <w:rsid w:val="009C5A75"/>
    <w:rsid w:val="009C5B27"/>
    <w:rsid w:val="009C6734"/>
    <w:rsid w:val="009C75D2"/>
    <w:rsid w:val="009D0027"/>
    <w:rsid w:val="009D02E9"/>
    <w:rsid w:val="009D0655"/>
    <w:rsid w:val="009D1B75"/>
    <w:rsid w:val="009D2EFA"/>
    <w:rsid w:val="009D35D5"/>
    <w:rsid w:val="009D4362"/>
    <w:rsid w:val="009D472D"/>
    <w:rsid w:val="009D48AC"/>
    <w:rsid w:val="009E1158"/>
    <w:rsid w:val="009E1E98"/>
    <w:rsid w:val="009E2412"/>
    <w:rsid w:val="009E26C2"/>
    <w:rsid w:val="009E2CA9"/>
    <w:rsid w:val="009E2E59"/>
    <w:rsid w:val="009E2FD0"/>
    <w:rsid w:val="009E3ABE"/>
    <w:rsid w:val="009E3C4B"/>
    <w:rsid w:val="009E44C1"/>
    <w:rsid w:val="009E722F"/>
    <w:rsid w:val="009F003A"/>
    <w:rsid w:val="009F0056"/>
    <w:rsid w:val="009F0637"/>
    <w:rsid w:val="009F069C"/>
    <w:rsid w:val="009F08D7"/>
    <w:rsid w:val="009F39D6"/>
    <w:rsid w:val="009F4E73"/>
    <w:rsid w:val="009F5445"/>
    <w:rsid w:val="009F5E9D"/>
    <w:rsid w:val="009F62A6"/>
    <w:rsid w:val="009F65A4"/>
    <w:rsid w:val="009F674F"/>
    <w:rsid w:val="009F799E"/>
    <w:rsid w:val="00A00249"/>
    <w:rsid w:val="00A02020"/>
    <w:rsid w:val="00A0215E"/>
    <w:rsid w:val="00A022BB"/>
    <w:rsid w:val="00A0291F"/>
    <w:rsid w:val="00A02CC0"/>
    <w:rsid w:val="00A04BF5"/>
    <w:rsid w:val="00A0523F"/>
    <w:rsid w:val="00A056CB"/>
    <w:rsid w:val="00A06050"/>
    <w:rsid w:val="00A06200"/>
    <w:rsid w:val="00A0696D"/>
    <w:rsid w:val="00A07938"/>
    <w:rsid w:val="00A07A29"/>
    <w:rsid w:val="00A10A88"/>
    <w:rsid w:val="00A10AD9"/>
    <w:rsid w:val="00A10FF1"/>
    <w:rsid w:val="00A127B9"/>
    <w:rsid w:val="00A136C6"/>
    <w:rsid w:val="00A136FC"/>
    <w:rsid w:val="00A1415D"/>
    <w:rsid w:val="00A1506B"/>
    <w:rsid w:val="00A15497"/>
    <w:rsid w:val="00A16CBE"/>
    <w:rsid w:val="00A16CF8"/>
    <w:rsid w:val="00A17CB2"/>
    <w:rsid w:val="00A20C61"/>
    <w:rsid w:val="00A2205D"/>
    <w:rsid w:val="00A2292E"/>
    <w:rsid w:val="00A22B15"/>
    <w:rsid w:val="00A23191"/>
    <w:rsid w:val="00A244E9"/>
    <w:rsid w:val="00A24B75"/>
    <w:rsid w:val="00A251D2"/>
    <w:rsid w:val="00A25A47"/>
    <w:rsid w:val="00A27A88"/>
    <w:rsid w:val="00A27AAF"/>
    <w:rsid w:val="00A30A67"/>
    <w:rsid w:val="00A319C0"/>
    <w:rsid w:val="00A32293"/>
    <w:rsid w:val="00A32F13"/>
    <w:rsid w:val="00A33560"/>
    <w:rsid w:val="00A342C4"/>
    <w:rsid w:val="00A34523"/>
    <w:rsid w:val="00A346DF"/>
    <w:rsid w:val="00A356E2"/>
    <w:rsid w:val="00A364E4"/>
    <w:rsid w:val="00A371A5"/>
    <w:rsid w:val="00A410AB"/>
    <w:rsid w:val="00A41D3B"/>
    <w:rsid w:val="00A42CFC"/>
    <w:rsid w:val="00A43768"/>
    <w:rsid w:val="00A444EB"/>
    <w:rsid w:val="00A454BC"/>
    <w:rsid w:val="00A456AB"/>
    <w:rsid w:val="00A45B46"/>
    <w:rsid w:val="00A45CA1"/>
    <w:rsid w:val="00A469FA"/>
    <w:rsid w:val="00A4728B"/>
    <w:rsid w:val="00A47BDF"/>
    <w:rsid w:val="00A51034"/>
    <w:rsid w:val="00A51196"/>
    <w:rsid w:val="00A51CD7"/>
    <w:rsid w:val="00A52ADB"/>
    <w:rsid w:val="00A53294"/>
    <w:rsid w:val="00A533E8"/>
    <w:rsid w:val="00A540B0"/>
    <w:rsid w:val="00A542D9"/>
    <w:rsid w:val="00A56E64"/>
    <w:rsid w:val="00A578DB"/>
    <w:rsid w:val="00A608EE"/>
    <w:rsid w:val="00A61667"/>
    <w:rsid w:val="00A621BD"/>
    <w:rsid w:val="00A624C3"/>
    <w:rsid w:val="00A628D1"/>
    <w:rsid w:val="00A62DBE"/>
    <w:rsid w:val="00A63B79"/>
    <w:rsid w:val="00A63C24"/>
    <w:rsid w:val="00A64CF3"/>
    <w:rsid w:val="00A6543B"/>
    <w:rsid w:val="00A65682"/>
    <w:rsid w:val="00A6610C"/>
    <w:rsid w:val="00A66174"/>
    <w:rsid w:val="00A6641C"/>
    <w:rsid w:val="00A71CA1"/>
    <w:rsid w:val="00A725FE"/>
    <w:rsid w:val="00A7389B"/>
    <w:rsid w:val="00A750C6"/>
    <w:rsid w:val="00A767D2"/>
    <w:rsid w:val="00A77505"/>
    <w:rsid w:val="00A77616"/>
    <w:rsid w:val="00A77705"/>
    <w:rsid w:val="00A77839"/>
    <w:rsid w:val="00A77C5C"/>
    <w:rsid w:val="00A805DA"/>
    <w:rsid w:val="00A811B4"/>
    <w:rsid w:val="00A8133F"/>
    <w:rsid w:val="00A83D03"/>
    <w:rsid w:val="00A85330"/>
    <w:rsid w:val="00A8712A"/>
    <w:rsid w:val="00A87CDE"/>
    <w:rsid w:val="00A87EC4"/>
    <w:rsid w:val="00A9022D"/>
    <w:rsid w:val="00A9151E"/>
    <w:rsid w:val="00A92BAF"/>
    <w:rsid w:val="00A93FDE"/>
    <w:rsid w:val="00A94737"/>
    <w:rsid w:val="00A94BA3"/>
    <w:rsid w:val="00A95432"/>
    <w:rsid w:val="00A96CBA"/>
    <w:rsid w:val="00A97E2D"/>
    <w:rsid w:val="00AA000A"/>
    <w:rsid w:val="00AA18C3"/>
    <w:rsid w:val="00AA19A6"/>
    <w:rsid w:val="00AA1C62"/>
    <w:rsid w:val="00AA2933"/>
    <w:rsid w:val="00AA3F47"/>
    <w:rsid w:val="00AA4141"/>
    <w:rsid w:val="00AA4CFF"/>
    <w:rsid w:val="00AA5486"/>
    <w:rsid w:val="00AA7CF9"/>
    <w:rsid w:val="00AB04E9"/>
    <w:rsid w:val="00AB0982"/>
    <w:rsid w:val="00AB0B94"/>
    <w:rsid w:val="00AB1ACD"/>
    <w:rsid w:val="00AB277F"/>
    <w:rsid w:val="00AB27EA"/>
    <w:rsid w:val="00AB4099"/>
    <w:rsid w:val="00AB449A"/>
    <w:rsid w:val="00AB4755"/>
    <w:rsid w:val="00AB4C15"/>
    <w:rsid w:val="00AB5731"/>
    <w:rsid w:val="00AB63A2"/>
    <w:rsid w:val="00AB65C3"/>
    <w:rsid w:val="00AB6B35"/>
    <w:rsid w:val="00AC07EB"/>
    <w:rsid w:val="00AC0879"/>
    <w:rsid w:val="00AC1DCD"/>
    <w:rsid w:val="00AC2098"/>
    <w:rsid w:val="00AC2184"/>
    <w:rsid w:val="00AC22DA"/>
    <w:rsid w:val="00AC2630"/>
    <w:rsid w:val="00AC2669"/>
    <w:rsid w:val="00AC2841"/>
    <w:rsid w:val="00AC5C55"/>
    <w:rsid w:val="00AC7D1D"/>
    <w:rsid w:val="00AC7D54"/>
    <w:rsid w:val="00AD0A54"/>
    <w:rsid w:val="00AD1169"/>
    <w:rsid w:val="00AD14F9"/>
    <w:rsid w:val="00AD151A"/>
    <w:rsid w:val="00AD1F22"/>
    <w:rsid w:val="00AD230C"/>
    <w:rsid w:val="00AD35D6"/>
    <w:rsid w:val="00AD58C5"/>
    <w:rsid w:val="00AD5C99"/>
    <w:rsid w:val="00AD6EC7"/>
    <w:rsid w:val="00AD7F33"/>
    <w:rsid w:val="00AD7F36"/>
    <w:rsid w:val="00AE0E0C"/>
    <w:rsid w:val="00AE1605"/>
    <w:rsid w:val="00AE2F57"/>
    <w:rsid w:val="00AE36C4"/>
    <w:rsid w:val="00AE3F94"/>
    <w:rsid w:val="00AE472C"/>
    <w:rsid w:val="00AE5375"/>
    <w:rsid w:val="00AE6396"/>
    <w:rsid w:val="00AE6CF8"/>
    <w:rsid w:val="00AE753A"/>
    <w:rsid w:val="00AF0052"/>
    <w:rsid w:val="00AF08A4"/>
    <w:rsid w:val="00AF2032"/>
    <w:rsid w:val="00AF2043"/>
    <w:rsid w:val="00AF238E"/>
    <w:rsid w:val="00AF3EED"/>
    <w:rsid w:val="00AF455A"/>
    <w:rsid w:val="00AF4CAC"/>
    <w:rsid w:val="00AF7C41"/>
    <w:rsid w:val="00B02FBC"/>
    <w:rsid w:val="00B03899"/>
    <w:rsid w:val="00B03E0D"/>
    <w:rsid w:val="00B04006"/>
    <w:rsid w:val="00B04FFC"/>
    <w:rsid w:val="00B054F8"/>
    <w:rsid w:val="00B05810"/>
    <w:rsid w:val="00B07202"/>
    <w:rsid w:val="00B10096"/>
    <w:rsid w:val="00B104DF"/>
    <w:rsid w:val="00B1189F"/>
    <w:rsid w:val="00B13D80"/>
    <w:rsid w:val="00B14102"/>
    <w:rsid w:val="00B14BC2"/>
    <w:rsid w:val="00B15DF5"/>
    <w:rsid w:val="00B15DFA"/>
    <w:rsid w:val="00B20791"/>
    <w:rsid w:val="00B20889"/>
    <w:rsid w:val="00B20CF8"/>
    <w:rsid w:val="00B2219A"/>
    <w:rsid w:val="00B22F1A"/>
    <w:rsid w:val="00B23078"/>
    <w:rsid w:val="00B23164"/>
    <w:rsid w:val="00B23FD2"/>
    <w:rsid w:val="00B26357"/>
    <w:rsid w:val="00B26C88"/>
    <w:rsid w:val="00B30185"/>
    <w:rsid w:val="00B3187C"/>
    <w:rsid w:val="00B31FBF"/>
    <w:rsid w:val="00B32243"/>
    <w:rsid w:val="00B33EA0"/>
    <w:rsid w:val="00B3581B"/>
    <w:rsid w:val="00B364A7"/>
    <w:rsid w:val="00B3651D"/>
    <w:rsid w:val="00B36B81"/>
    <w:rsid w:val="00B36FEE"/>
    <w:rsid w:val="00B37C80"/>
    <w:rsid w:val="00B409CD"/>
    <w:rsid w:val="00B40DE0"/>
    <w:rsid w:val="00B41440"/>
    <w:rsid w:val="00B42A36"/>
    <w:rsid w:val="00B44BCF"/>
    <w:rsid w:val="00B44BF1"/>
    <w:rsid w:val="00B44CC2"/>
    <w:rsid w:val="00B45D1F"/>
    <w:rsid w:val="00B468AC"/>
    <w:rsid w:val="00B46B13"/>
    <w:rsid w:val="00B5092B"/>
    <w:rsid w:val="00B51855"/>
    <w:rsid w:val="00B5194E"/>
    <w:rsid w:val="00B51AF5"/>
    <w:rsid w:val="00B527A6"/>
    <w:rsid w:val="00B531FC"/>
    <w:rsid w:val="00B533A4"/>
    <w:rsid w:val="00B5533C"/>
    <w:rsid w:val="00B55347"/>
    <w:rsid w:val="00B55B21"/>
    <w:rsid w:val="00B56A72"/>
    <w:rsid w:val="00B56CBC"/>
    <w:rsid w:val="00B57E5E"/>
    <w:rsid w:val="00B61642"/>
    <w:rsid w:val="00B61DA4"/>
    <w:rsid w:val="00B61F37"/>
    <w:rsid w:val="00B62740"/>
    <w:rsid w:val="00B64CCE"/>
    <w:rsid w:val="00B66845"/>
    <w:rsid w:val="00B67393"/>
    <w:rsid w:val="00B67DA8"/>
    <w:rsid w:val="00B67F68"/>
    <w:rsid w:val="00B72504"/>
    <w:rsid w:val="00B73202"/>
    <w:rsid w:val="00B7368D"/>
    <w:rsid w:val="00B75041"/>
    <w:rsid w:val="00B76125"/>
    <w:rsid w:val="00B7646E"/>
    <w:rsid w:val="00B7770F"/>
    <w:rsid w:val="00B77812"/>
    <w:rsid w:val="00B77A89"/>
    <w:rsid w:val="00B77B27"/>
    <w:rsid w:val="00B8096D"/>
    <w:rsid w:val="00B81243"/>
    <w:rsid w:val="00B8134E"/>
    <w:rsid w:val="00B81B55"/>
    <w:rsid w:val="00B82575"/>
    <w:rsid w:val="00B82E5D"/>
    <w:rsid w:val="00B830DC"/>
    <w:rsid w:val="00B84613"/>
    <w:rsid w:val="00B864D2"/>
    <w:rsid w:val="00B873ED"/>
    <w:rsid w:val="00B878C7"/>
    <w:rsid w:val="00B87AF0"/>
    <w:rsid w:val="00B9037B"/>
    <w:rsid w:val="00B9064B"/>
    <w:rsid w:val="00B910BD"/>
    <w:rsid w:val="00B9177D"/>
    <w:rsid w:val="00B9189C"/>
    <w:rsid w:val="00B918F8"/>
    <w:rsid w:val="00B92FA2"/>
    <w:rsid w:val="00B93834"/>
    <w:rsid w:val="00B9385A"/>
    <w:rsid w:val="00B9456D"/>
    <w:rsid w:val="00B9599C"/>
    <w:rsid w:val="00B95F8A"/>
    <w:rsid w:val="00B96469"/>
    <w:rsid w:val="00B97E62"/>
    <w:rsid w:val="00BA0DA2"/>
    <w:rsid w:val="00BA146A"/>
    <w:rsid w:val="00BA1519"/>
    <w:rsid w:val="00BA2981"/>
    <w:rsid w:val="00BA2BB7"/>
    <w:rsid w:val="00BA2E91"/>
    <w:rsid w:val="00BA37F3"/>
    <w:rsid w:val="00BA42EE"/>
    <w:rsid w:val="00BA48F9"/>
    <w:rsid w:val="00BA4E05"/>
    <w:rsid w:val="00BA5870"/>
    <w:rsid w:val="00BA597A"/>
    <w:rsid w:val="00BA7865"/>
    <w:rsid w:val="00BB0DCA"/>
    <w:rsid w:val="00BB1EF7"/>
    <w:rsid w:val="00BB2666"/>
    <w:rsid w:val="00BB2B18"/>
    <w:rsid w:val="00BB36D2"/>
    <w:rsid w:val="00BB6B80"/>
    <w:rsid w:val="00BB7A53"/>
    <w:rsid w:val="00BC2629"/>
    <w:rsid w:val="00BC3773"/>
    <w:rsid w:val="00BC381A"/>
    <w:rsid w:val="00BC3AB0"/>
    <w:rsid w:val="00BC3EA0"/>
    <w:rsid w:val="00BC4340"/>
    <w:rsid w:val="00BC459B"/>
    <w:rsid w:val="00BC4C31"/>
    <w:rsid w:val="00BD0962"/>
    <w:rsid w:val="00BD15E2"/>
    <w:rsid w:val="00BD1EBE"/>
    <w:rsid w:val="00BD1EED"/>
    <w:rsid w:val="00BD38D7"/>
    <w:rsid w:val="00BD41E5"/>
    <w:rsid w:val="00BD4B32"/>
    <w:rsid w:val="00BD6473"/>
    <w:rsid w:val="00BD7572"/>
    <w:rsid w:val="00BD7E2D"/>
    <w:rsid w:val="00BE04C3"/>
    <w:rsid w:val="00BE1663"/>
    <w:rsid w:val="00BE1FC2"/>
    <w:rsid w:val="00BE3520"/>
    <w:rsid w:val="00BE39B1"/>
    <w:rsid w:val="00BE39F2"/>
    <w:rsid w:val="00BE510F"/>
    <w:rsid w:val="00BE545D"/>
    <w:rsid w:val="00BE5893"/>
    <w:rsid w:val="00BE5B81"/>
    <w:rsid w:val="00BE6545"/>
    <w:rsid w:val="00BE663B"/>
    <w:rsid w:val="00BE6A21"/>
    <w:rsid w:val="00BE6D49"/>
    <w:rsid w:val="00BE7CFA"/>
    <w:rsid w:val="00BF09AD"/>
    <w:rsid w:val="00BF0C3E"/>
    <w:rsid w:val="00BF0DA2"/>
    <w:rsid w:val="00BF109C"/>
    <w:rsid w:val="00BF1448"/>
    <w:rsid w:val="00BF1723"/>
    <w:rsid w:val="00BF1BB1"/>
    <w:rsid w:val="00BF2BA4"/>
    <w:rsid w:val="00BF306C"/>
    <w:rsid w:val="00BF34FA"/>
    <w:rsid w:val="00BF3A5D"/>
    <w:rsid w:val="00BF401E"/>
    <w:rsid w:val="00BF404A"/>
    <w:rsid w:val="00BF5127"/>
    <w:rsid w:val="00BF5E63"/>
    <w:rsid w:val="00BF5E8A"/>
    <w:rsid w:val="00BF72F8"/>
    <w:rsid w:val="00C004B6"/>
    <w:rsid w:val="00C0377B"/>
    <w:rsid w:val="00C03C39"/>
    <w:rsid w:val="00C04618"/>
    <w:rsid w:val="00C047A7"/>
    <w:rsid w:val="00C05172"/>
    <w:rsid w:val="00C05C2E"/>
    <w:rsid w:val="00C05DE5"/>
    <w:rsid w:val="00C066C1"/>
    <w:rsid w:val="00C07CD1"/>
    <w:rsid w:val="00C10FF1"/>
    <w:rsid w:val="00C11144"/>
    <w:rsid w:val="00C1242F"/>
    <w:rsid w:val="00C12997"/>
    <w:rsid w:val="00C134E5"/>
    <w:rsid w:val="00C137D4"/>
    <w:rsid w:val="00C146B9"/>
    <w:rsid w:val="00C20859"/>
    <w:rsid w:val="00C209D3"/>
    <w:rsid w:val="00C20C27"/>
    <w:rsid w:val="00C231A5"/>
    <w:rsid w:val="00C237E2"/>
    <w:rsid w:val="00C23B1F"/>
    <w:rsid w:val="00C24672"/>
    <w:rsid w:val="00C24B52"/>
    <w:rsid w:val="00C24CBB"/>
    <w:rsid w:val="00C2553C"/>
    <w:rsid w:val="00C25955"/>
    <w:rsid w:val="00C26CA1"/>
    <w:rsid w:val="00C2713B"/>
    <w:rsid w:val="00C2796E"/>
    <w:rsid w:val="00C30DAC"/>
    <w:rsid w:val="00C31EAC"/>
    <w:rsid w:val="00C33027"/>
    <w:rsid w:val="00C3566C"/>
    <w:rsid w:val="00C35A80"/>
    <w:rsid w:val="00C367B3"/>
    <w:rsid w:val="00C37667"/>
    <w:rsid w:val="00C40035"/>
    <w:rsid w:val="00C42AC8"/>
    <w:rsid w:val="00C435DB"/>
    <w:rsid w:val="00C44D73"/>
    <w:rsid w:val="00C45AF1"/>
    <w:rsid w:val="00C46F15"/>
    <w:rsid w:val="00C47B6C"/>
    <w:rsid w:val="00C47C00"/>
    <w:rsid w:val="00C50B42"/>
    <w:rsid w:val="00C516FF"/>
    <w:rsid w:val="00C52BFA"/>
    <w:rsid w:val="00C538BB"/>
    <w:rsid w:val="00C53D1D"/>
    <w:rsid w:val="00C53F26"/>
    <w:rsid w:val="00C540BC"/>
    <w:rsid w:val="00C54442"/>
    <w:rsid w:val="00C5499D"/>
    <w:rsid w:val="00C54CED"/>
    <w:rsid w:val="00C553FA"/>
    <w:rsid w:val="00C55419"/>
    <w:rsid w:val="00C55D1F"/>
    <w:rsid w:val="00C6062E"/>
    <w:rsid w:val="00C62330"/>
    <w:rsid w:val="00C64F7D"/>
    <w:rsid w:val="00C654F8"/>
    <w:rsid w:val="00C66707"/>
    <w:rsid w:val="00C67309"/>
    <w:rsid w:val="00C71318"/>
    <w:rsid w:val="00C7135B"/>
    <w:rsid w:val="00C716E4"/>
    <w:rsid w:val="00C7193B"/>
    <w:rsid w:val="00C72249"/>
    <w:rsid w:val="00C73785"/>
    <w:rsid w:val="00C73CA9"/>
    <w:rsid w:val="00C7475C"/>
    <w:rsid w:val="00C75380"/>
    <w:rsid w:val="00C75530"/>
    <w:rsid w:val="00C7614E"/>
    <w:rsid w:val="00C77BF1"/>
    <w:rsid w:val="00C77D4D"/>
    <w:rsid w:val="00C80D60"/>
    <w:rsid w:val="00C826C9"/>
    <w:rsid w:val="00C82FBD"/>
    <w:rsid w:val="00C832C2"/>
    <w:rsid w:val="00C833E5"/>
    <w:rsid w:val="00C85267"/>
    <w:rsid w:val="00C857BE"/>
    <w:rsid w:val="00C86564"/>
    <w:rsid w:val="00C87010"/>
    <w:rsid w:val="00C8721B"/>
    <w:rsid w:val="00C87420"/>
    <w:rsid w:val="00C876FA"/>
    <w:rsid w:val="00C87B99"/>
    <w:rsid w:val="00C9059D"/>
    <w:rsid w:val="00C916C2"/>
    <w:rsid w:val="00C91ADE"/>
    <w:rsid w:val="00C92882"/>
    <w:rsid w:val="00C92A2C"/>
    <w:rsid w:val="00C93092"/>
    <w:rsid w:val="00C93623"/>
    <w:rsid w:val="00C9372C"/>
    <w:rsid w:val="00C9470E"/>
    <w:rsid w:val="00C95060"/>
    <w:rsid w:val="00C9557D"/>
    <w:rsid w:val="00C95670"/>
    <w:rsid w:val="00C956E0"/>
    <w:rsid w:val="00C95A69"/>
    <w:rsid w:val="00C95CEB"/>
    <w:rsid w:val="00C96159"/>
    <w:rsid w:val="00C962C8"/>
    <w:rsid w:val="00C97F26"/>
    <w:rsid w:val="00CA0737"/>
    <w:rsid w:val="00CA1054"/>
    <w:rsid w:val="00CA1F8A"/>
    <w:rsid w:val="00CA32FD"/>
    <w:rsid w:val="00CA4350"/>
    <w:rsid w:val="00CA589C"/>
    <w:rsid w:val="00CA63EB"/>
    <w:rsid w:val="00CA64EF"/>
    <w:rsid w:val="00CA69F1"/>
    <w:rsid w:val="00CB2AF9"/>
    <w:rsid w:val="00CB34AA"/>
    <w:rsid w:val="00CB375E"/>
    <w:rsid w:val="00CB4AA3"/>
    <w:rsid w:val="00CB657F"/>
    <w:rsid w:val="00CB6991"/>
    <w:rsid w:val="00CB7463"/>
    <w:rsid w:val="00CC0BEB"/>
    <w:rsid w:val="00CC1102"/>
    <w:rsid w:val="00CC5A29"/>
    <w:rsid w:val="00CC6194"/>
    <w:rsid w:val="00CC6305"/>
    <w:rsid w:val="00CC7060"/>
    <w:rsid w:val="00CC78A5"/>
    <w:rsid w:val="00CC7CF4"/>
    <w:rsid w:val="00CD0516"/>
    <w:rsid w:val="00CD17BD"/>
    <w:rsid w:val="00CD1EFD"/>
    <w:rsid w:val="00CD2FA0"/>
    <w:rsid w:val="00CD3563"/>
    <w:rsid w:val="00CD35E9"/>
    <w:rsid w:val="00CD42DC"/>
    <w:rsid w:val="00CD48DE"/>
    <w:rsid w:val="00CD5BA9"/>
    <w:rsid w:val="00CD5E06"/>
    <w:rsid w:val="00CD5E21"/>
    <w:rsid w:val="00CD6958"/>
    <w:rsid w:val="00CD756B"/>
    <w:rsid w:val="00CE09BA"/>
    <w:rsid w:val="00CE0AB0"/>
    <w:rsid w:val="00CE0E50"/>
    <w:rsid w:val="00CE153E"/>
    <w:rsid w:val="00CE3823"/>
    <w:rsid w:val="00CE3D67"/>
    <w:rsid w:val="00CE49B1"/>
    <w:rsid w:val="00CE5373"/>
    <w:rsid w:val="00CE61C0"/>
    <w:rsid w:val="00CE6366"/>
    <w:rsid w:val="00CE6859"/>
    <w:rsid w:val="00CE734F"/>
    <w:rsid w:val="00CF0328"/>
    <w:rsid w:val="00CF0D7E"/>
    <w:rsid w:val="00CF112E"/>
    <w:rsid w:val="00CF136D"/>
    <w:rsid w:val="00CF18BD"/>
    <w:rsid w:val="00CF1B85"/>
    <w:rsid w:val="00CF31BB"/>
    <w:rsid w:val="00CF36E3"/>
    <w:rsid w:val="00CF37EE"/>
    <w:rsid w:val="00CF3854"/>
    <w:rsid w:val="00CF53BE"/>
    <w:rsid w:val="00CF56ED"/>
    <w:rsid w:val="00CF5A5F"/>
    <w:rsid w:val="00CF5F4F"/>
    <w:rsid w:val="00CF6A96"/>
    <w:rsid w:val="00CF6F55"/>
    <w:rsid w:val="00D0018F"/>
    <w:rsid w:val="00D00333"/>
    <w:rsid w:val="00D00DE1"/>
    <w:rsid w:val="00D00EA0"/>
    <w:rsid w:val="00D034CD"/>
    <w:rsid w:val="00D0370E"/>
    <w:rsid w:val="00D04024"/>
    <w:rsid w:val="00D049E5"/>
    <w:rsid w:val="00D06140"/>
    <w:rsid w:val="00D1038B"/>
    <w:rsid w:val="00D11715"/>
    <w:rsid w:val="00D11925"/>
    <w:rsid w:val="00D1249C"/>
    <w:rsid w:val="00D1284B"/>
    <w:rsid w:val="00D12B42"/>
    <w:rsid w:val="00D139CD"/>
    <w:rsid w:val="00D143B7"/>
    <w:rsid w:val="00D145B2"/>
    <w:rsid w:val="00D155C8"/>
    <w:rsid w:val="00D15640"/>
    <w:rsid w:val="00D15AC5"/>
    <w:rsid w:val="00D15C7A"/>
    <w:rsid w:val="00D16734"/>
    <w:rsid w:val="00D172A8"/>
    <w:rsid w:val="00D2164E"/>
    <w:rsid w:val="00D218DC"/>
    <w:rsid w:val="00D21EE9"/>
    <w:rsid w:val="00D22213"/>
    <w:rsid w:val="00D237DB"/>
    <w:rsid w:val="00D2458D"/>
    <w:rsid w:val="00D247AA"/>
    <w:rsid w:val="00D24E56"/>
    <w:rsid w:val="00D259FB"/>
    <w:rsid w:val="00D3062B"/>
    <w:rsid w:val="00D30681"/>
    <w:rsid w:val="00D31643"/>
    <w:rsid w:val="00D31AEB"/>
    <w:rsid w:val="00D32376"/>
    <w:rsid w:val="00D32ECD"/>
    <w:rsid w:val="00D343F2"/>
    <w:rsid w:val="00D34581"/>
    <w:rsid w:val="00D34B27"/>
    <w:rsid w:val="00D361E4"/>
    <w:rsid w:val="00D36DD9"/>
    <w:rsid w:val="00D370C5"/>
    <w:rsid w:val="00D37A41"/>
    <w:rsid w:val="00D41E0B"/>
    <w:rsid w:val="00D42A8F"/>
    <w:rsid w:val="00D4341B"/>
    <w:rsid w:val="00D437E2"/>
    <w:rsid w:val="00D439F6"/>
    <w:rsid w:val="00D4432C"/>
    <w:rsid w:val="00D44B6B"/>
    <w:rsid w:val="00D4540E"/>
    <w:rsid w:val="00D459C6"/>
    <w:rsid w:val="00D45D0A"/>
    <w:rsid w:val="00D462EE"/>
    <w:rsid w:val="00D47AE1"/>
    <w:rsid w:val="00D47D5E"/>
    <w:rsid w:val="00D5040A"/>
    <w:rsid w:val="00D50729"/>
    <w:rsid w:val="00D50C19"/>
    <w:rsid w:val="00D50D9B"/>
    <w:rsid w:val="00D51346"/>
    <w:rsid w:val="00D5201C"/>
    <w:rsid w:val="00D53224"/>
    <w:rsid w:val="00D533FB"/>
    <w:rsid w:val="00D5379E"/>
    <w:rsid w:val="00D56076"/>
    <w:rsid w:val="00D56905"/>
    <w:rsid w:val="00D60AB6"/>
    <w:rsid w:val="00D60E82"/>
    <w:rsid w:val="00D62643"/>
    <w:rsid w:val="00D64C0F"/>
    <w:rsid w:val="00D67952"/>
    <w:rsid w:val="00D701EE"/>
    <w:rsid w:val="00D70794"/>
    <w:rsid w:val="00D70918"/>
    <w:rsid w:val="00D70EB7"/>
    <w:rsid w:val="00D71144"/>
    <w:rsid w:val="00D719B2"/>
    <w:rsid w:val="00D71D20"/>
    <w:rsid w:val="00D7205E"/>
    <w:rsid w:val="00D728D1"/>
    <w:rsid w:val="00D72971"/>
    <w:rsid w:val="00D72EFE"/>
    <w:rsid w:val="00D73BBA"/>
    <w:rsid w:val="00D75D3E"/>
    <w:rsid w:val="00D76227"/>
    <w:rsid w:val="00D76F13"/>
    <w:rsid w:val="00D77DF1"/>
    <w:rsid w:val="00D80BA6"/>
    <w:rsid w:val="00D81FAD"/>
    <w:rsid w:val="00D82A6A"/>
    <w:rsid w:val="00D83628"/>
    <w:rsid w:val="00D86AFF"/>
    <w:rsid w:val="00D9382D"/>
    <w:rsid w:val="00D941B1"/>
    <w:rsid w:val="00D953C8"/>
    <w:rsid w:val="00D95A44"/>
    <w:rsid w:val="00D95D16"/>
    <w:rsid w:val="00D96149"/>
    <w:rsid w:val="00D97C76"/>
    <w:rsid w:val="00D97F12"/>
    <w:rsid w:val="00DA044D"/>
    <w:rsid w:val="00DA053F"/>
    <w:rsid w:val="00DA185D"/>
    <w:rsid w:val="00DA3A8D"/>
    <w:rsid w:val="00DB02B4"/>
    <w:rsid w:val="00DB0B02"/>
    <w:rsid w:val="00DB1A2B"/>
    <w:rsid w:val="00DB1A3A"/>
    <w:rsid w:val="00DB210A"/>
    <w:rsid w:val="00DB24A1"/>
    <w:rsid w:val="00DB2BE5"/>
    <w:rsid w:val="00DB2EEA"/>
    <w:rsid w:val="00DB2EEC"/>
    <w:rsid w:val="00DB5246"/>
    <w:rsid w:val="00DB538D"/>
    <w:rsid w:val="00DB5A30"/>
    <w:rsid w:val="00DB63E7"/>
    <w:rsid w:val="00DB6C0B"/>
    <w:rsid w:val="00DC04EC"/>
    <w:rsid w:val="00DC1522"/>
    <w:rsid w:val="00DC1729"/>
    <w:rsid w:val="00DC1AF8"/>
    <w:rsid w:val="00DC26CC"/>
    <w:rsid w:val="00DC275C"/>
    <w:rsid w:val="00DC4B0D"/>
    <w:rsid w:val="00DC5A49"/>
    <w:rsid w:val="00DC6078"/>
    <w:rsid w:val="00DC697F"/>
    <w:rsid w:val="00DC78FE"/>
    <w:rsid w:val="00DC7B55"/>
    <w:rsid w:val="00DC7FE1"/>
    <w:rsid w:val="00DD12F4"/>
    <w:rsid w:val="00DD229F"/>
    <w:rsid w:val="00DD23F0"/>
    <w:rsid w:val="00DD3F3F"/>
    <w:rsid w:val="00DD5477"/>
    <w:rsid w:val="00DD5572"/>
    <w:rsid w:val="00DE0118"/>
    <w:rsid w:val="00DE0452"/>
    <w:rsid w:val="00DE5D80"/>
    <w:rsid w:val="00DE716C"/>
    <w:rsid w:val="00DE7977"/>
    <w:rsid w:val="00DF0D4E"/>
    <w:rsid w:val="00DF26DA"/>
    <w:rsid w:val="00DF58CD"/>
    <w:rsid w:val="00DF65DE"/>
    <w:rsid w:val="00DF6DE2"/>
    <w:rsid w:val="00DF7C96"/>
    <w:rsid w:val="00E0083A"/>
    <w:rsid w:val="00E00BD7"/>
    <w:rsid w:val="00E014AE"/>
    <w:rsid w:val="00E019A5"/>
    <w:rsid w:val="00E0203B"/>
    <w:rsid w:val="00E021EC"/>
    <w:rsid w:val="00E02EC8"/>
    <w:rsid w:val="00E037F5"/>
    <w:rsid w:val="00E04ECB"/>
    <w:rsid w:val="00E04F5E"/>
    <w:rsid w:val="00E050E1"/>
    <w:rsid w:val="00E05A09"/>
    <w:rsid w:val="00E06133"/>
    <w:rsid w:val="00E06CA1"/>
    <w:rsid w:val="00E06D6F"/>
    <w:rsid w:val="00E10154"/>
    <w:rsid w:val="00E10D97"/>
    <w:rsid w:val="00E11074"/>
    <w:rsid w:val="00E116F5"/>
    <w:rsid w:val="00E120F7"/>
    <w:rsid w:val="00E12EB3"/>
    <w:rsid w:val="00E143B9"/>
    <w:rsid w:val="00E14415"/>
    <w:rsid w:val="00E16BEE"/>
    <w:rsid w:val="00E17263"/>
    <w:rsid w:val="00E172B8"/>
    <w:rsid w:val="00E17FB4"/>
    <w:rsid w:val="00E20B75"/>
    <w:rsid w:val="00E20F2B"/>
    <w:rsid w:val="00E214F2"/>
    <w:rsid w:val="00E21595"/>
    <w:rsid w:val="00E228B9"/>
    <w:rsid w:val="00E2305E"/>
    <w:rsid w:val="00E2371E"/>
    <w:rsid w:val="00E238A2"/>
    <w:rsid w:val="00E23F60"/>
    <w:rsid w:val="00E24720"/>
    <w:rsid w:val="00E24A0C"/>
    <w:rsid w:val="00E24BD7"/>
    <w:rsid w:val="00E25641"/>
    <w:rsid w:val="00E257A8"/>
    <w:rsid w:val="00E25E84"/>
    <w:rsid w:val="00E26523"/>
    <w:rsid w:val="00E26809"/>
    <w:rsid w:val="00E2686A"/>
    <w:rsid w:val="00E31058"/>
    <w:rsid w:val="00E324C2"/>
    <w:rsid w:val="00E33902"/>
    <w:rsid w:val="00E33933"/>
    <w:rsid w:val="00E339D8"/>
    <w:rsid w:val="00E3412D"/>
    <w:rsid w:val="00E36093"/>
    <w:rsid w:val="00E37095"/>
    <w:rsid w:val="00E41D35"/>
    <w:rsid w:val="00E4226A"/>
    <w:rsid w:val="00E42B2F"/>
    <w:rsid w:val="00E42D6D"/>
    <w:rsid w:val="00E43399"/>
    <w:rsid w:val="00E433BF"/>
    <w:rsid w:val="00E43581"/>
    <w:rsid w:val="00E43F3F"/>
    <w:rsid w:val="00E441B4"/>
    <w:rsid w:val="00E44B2A"/>
    <w:rsid w:val="00E472EA"/>
    <w:rsid w:val="00E501E7"/>
    <w:rsid w:val="00E50463"/>
    <w:rsid w:val="00E51810"/>
    <w:rsid w:val="00E51886"/>
    <w:rsid w:val="00E52379"/>
    <w:rsid w:val="00E52A66"/>
    <w:rsid w:val="00E54D91"/>
    <w:rsid w:val="00E554F4"/>
    <w:rsid w:val="00E557D3"/>
    <w:rsid w:val="00E572DF"/>
    <w:rsid w:val="00E57322"/>
    <w:rsid w:val="00E5770E"/>
    <w:rsid w:val="00E57E0A"/>
    <w:rsid w:val="00E61AA3"/>
    <w:rsid w:val="00E628CB"/>
    <w:rsid w:val="00E62AD9"/>
    <w:rsid w:val="00E62D70"/>
    <w:rsid w:val="00E638C8"/>
    <w:rsid w:val="00E63E25"/>
    <w:rsid w:val="00E63F43"/>
    <w:rsid w:val="00E647B2"/>
    <w:rsid w:val="00E65BA5"/>
    <w:rsid w:val="00E6606D"/>
    <w:rsid w:val="00E66B93"/>
    <w:rsid w:val="00E6765B"/>
    <w:rsid w:val="00E67FE1"/>
    <w:rsid w:val="00E719D7"/>
    <w:rsid w:val="00E7354A"/>
    <w:rsid w:val="00E74341"/>
    <w:rsid w:val="00E7509B"/>
    <w:rsid w:val="00E758A0"/>
    <w:rsid w:val="00E75A46"/>
    <w:rsid w:val="00E76125"/>
    <w:rsid w:val="00E7640C"/>
    <w:rsid w:val="00E7657D"/>
    <w:rsid w:val="00E76F9F"/>
    <w:rsid w:val="00E81591"/>
    <w:rsid w:val="00E833A7"/>
    <w:rsid w:val="00E83FD5"/>
    <w:rsid w:val="00E841B3"/>
    <w:rsid w:val="00E84EE7"/>
    <w:rsid w:val="00E851F7"/>
    <w:rsid w:val="00E85AF0"/>
    <w:rsid w:val="00E864DF"/>
    <w:rsid w:val="00E86590"/>
    <w:rsid w:val="00E907FF"/>
    <w:rsid w:val="00E9152D"/>
    <w:rsid w:val="00E930F8"/>
    <w:rsid w:val="00E93121"/>
    <w:rsid w:val="00E9471A"/>
    <w:rsid w:val="00E9511A"/>
    <w:rsid w:val="00EA0361"/>
    <w:rsid w:val="00EA0C22"/>
    <w:rsid w:val="00EA1F98"/>
    <w:rsid w:val="00EA2C44"/>
    <w:rsid w:val="00EA3A44"/>
    <w:rsid w:val="00EA3BFE"/>
    <w:rsid w:val="00EA40FC"/>
    <w:rsid w:val="00EA42D1"/>
    <w:rsid w:val="00EA42EF"/>
    <w:rsid w:val="00EA5DDE"/>
    <w:rsid w:val="00EA633F"/>
    <w:rsid w:val="00EA75FD"/>
    <w:rsid w:val="00EA7D91"/>
    <w:rsid w:val="00EB0120"/>
    <w:rsid w:val="00EB2DD1"/>
    <w:rsid w:val="00EB38EC"/>
    <w:rsid w:val="00EB48C0"/>
    <w:rsid w:val="00EB4EE8"/>
    <w:rsid w:val="00EB6B37"/>
    <w:rsid w:val="00EB6BDA"/>
    <w:rsid w:val="00EC29FE"/>
    <w:rsid w:val="00EC3A1B"/>
    <w:rsid w:val="00EC3C70"/>
    <w:rsid w:val="00EC3FD5"/>
    <w:rsid w:val="00EC44EB"/>
    <w:rsid w:val="00EC55C6"/>
    <w:rsid w:val="00EC5F64"/>
    <w:rsid w:val="00EC6294"/>
    <w:rsid w:val="00EC6B74"/>
    <w:rsid w:val="00EC6F9D"/>
    <w:rsid w:val="00EC7CBE"/>
    <w:rsid w:val="00ED09A1"/>
    <w:rsid w:val="00ED0A27"/>
    <w:rsid w:val="00ED107B"/>
    <w:rsid w:val="00ED1BFC"/>
    <w:rsid w:val="00ED2101"/>
    <w:rsid w:val="00ED3A3D"/>
    <w:rsid w:val="00ED4169"/>
    <w:rsid w:val="00ED4309"/>
    <w:rsid w:val="00ED538A"/>
    <w:rsid w:val="00ED5915"/>
    <w:rsid w:val="00ED5F06"/>
    <w:rsid w:val="00ED6FBC"/>
    <w:rsid w:val="00EE0C88"/>
    <w:rsid w:val="00EE134C"/>
    <w:rsid w:val="00EE19A9"/>
    <w:rsid w:val="00EE2610"/>
    <w:rsid w:val="00EE2868"/>
    <w:rsid w:val="00EE2F16"/>
    <w:rsid w:val="00EE3616"/>
    <w:rsid w:val="00EE3861"/>
    <w:rsid w:val="00EE3975"/>
    <w:rsid w:val="00EE3C14"/>
    <w:rsid w:val="00EE4470"/>
    <w:rsid w:val="00EE71BB"/>
    <w:rsid w:val="00EE783B"/>
    <w:rsid w:val="00EF290C"/>
    <w:rsid w:val="00EF2E73"/>
    <w:rsid w:val="00EF4DD2"/>
    <w:rsid w:val="00EF7683"/>
    <w:rsid w:val="00EF7A2D"/>
    <w:rsid w:val="00F004CA"/>
    <w:rsid w:val="00F026DD"/>
    <w:rsid w:val="00F03CC4"/>
    <w:rsid w:val="00F04F8D"/>
    <w:rsid w:val="00F063A6"/>
    <w:rsid w:val="00F0691C"/>
    <w:rsid w:val="00F10817"/>
    <w:rsid w:val="00F10AD0"/>
    <w:rsid w:val="00F116CC"/>
    <w:rsid w:val="00F121CA"/>
    <w:rsid w:val="00F12BD1"/>
    <w:rsid w:val="00F13E55"/>
    <w:rsid w:val="00F15327"/>
    <w:rsid w:val="00F168CF"/>
    <w:rsid w:val="00F20C21"/>
    <w:rsid w:val="00F2181F"/>
    <w:rsid w:val="00F23561"/>
    <w:rsid w:val="00F2555C"/>
    <w:rsid w:val="00F30E4C"/>
    <w:rsid w:val="00F31BC7"/>
    <w:rsid w:val="00F31DF3"/>
    <w:rsid w:val="00F32BED"/>
    <w:rsid w:val="00F32CE7"/>
    <w:rsid w:val="00F33AE5"/>
    <w:rsid w:val="00F3597D"/>
    <w:rsid w:val="00F35E6B"/>
    <w:rsid w:val="00F36309"/>
    <w:rsid w:val="00F40EAB"/>
    <w:rsid w:val="00F41ED1"/>
    <w:rsid w:val="00F420B1"/>
    <w:rsid w:val="00F42476"/>
    <w:rsid w:val="00F4376D"/>
    <w:rsid w:val="00F438A1"/>
    <w:rsid w:val="00F445F6"/>
    <w:rsid w:val="00F45399"/>
    <w:rsid w:val="00F465EA"/>
    <w:rsid w:val="00F47731"/>
    <w:rsid w:val="00F50C41"/>
    <w:rsid w:val="00F50E16"/>
    <w:rsid w:val="00F52008"/>
    <w:rsid w:val="00F52996"/>
    <w:rsid w:val="00F53573"/>
    <w:rsid w:val="00F540AD"/>
    <w:rsid w:val="00F54E7B"/>
    <w:rsid w:val="00F55A88"/>
    <w:rsid w:val="00F566F1"/>
    <w:rsid w:val="00F56766"/>
    <w:rsid w:val="00F568CA"/>
    <w:rsid w:val="00F5692D"/>
    <w:rsid w:val="00F5711C"/>
    <w:rsid w:val="00F5754E"/>
    <w:rsid w:val="00F57ABF"/>
    <w:rsid w:val="00F61646"/>
    <w:rsid w:val="00F618E6"/>
    <w:rsid w:val="00F625FA"/>
    <w:rsid w:val="00F62B90"/>
    <w:rsid w:val="00F63C4A"/>
    <w:rsid w:val="00F705F1"/>
    <w:rsid w:val="00F709FE"/>
    <w:rsid w:val="00F73094"/>
    <w:rsid w:val="00F73610"/>
    <w:rsid w:val="00F74005"/>
    <w:rsid w:val="00F75567"/>
    <w:rsid w:val="00F76074"/>
    <w:rsid w:val="00F765A9"/>
    <w:rsid w:val="00F76884"/>
    <w:rsid w:val="00F76A4C"/>
    <w:rsid w:val="00F8096F"/>
    <w:rsid w:val="00F82141"/>
    <w:rsid w:val="00F82ADC"/>
    <w:rsid w:val="00F82BD6"/>
    <w:rsid w:val="00F82F96"/>
    <w:rsid w:val="00F83778"/>
    <w:rsid w:val="00F83D24"/>
    <w:rsid w:val="00F83DD9"/>
    <w:rsid w:val="00F83F40"/>
    <w:rsid w:val="00F84EBB"/>
    <w:rsid w:val="00F855E3"/>
    <w:rsid w:val="00F86F81"/>
    <w:rsid w:val="00F8742C"/>
    <w:rsid w:val="00F878D4"/>
    <w:rsid w:val="00F905D4"/>
    <w:rsid w:val="00F909CC"/>
    <w:rsid w:val="00F91543"/>
    <w:rsid w:val="00F92691"/>
    <w:rsid w:val="00F92B36"/>
    <w:rsid w:val="00F93A1B"/>
    <w:rsid w:val="00F94A09"/>
    <w:rsid w:val="00F951DF"/>
    <w:rsid w:val="00F969F4"/>
    <w:rsid w:val="00F96A63"/>
    <w:rsid w:val="00F96ECA"/>
    <w:rsid w:val="00F9703C"/>
    <w:rsid w:val="00FA08E5"/>
    <w:rsid w:val="00FA117A"/>
    <w:rsid w:val="00FA1303"/>
    <w:rsid w:val="00FA1AE0"/>
    <w:rsid w:val="00FA246B"/>
    <w:rsid w:val="00FA25E2"/>
    <w:rsid w:val="00FA32F7"/>
    <w:rsid w:val="00FA5690"/>
    <w:rsid w:val="00FB12C9"/>
    <w:rsid w:val="00FB24AA"/>
    <w:rsid w:val="00FB2623"/>
    <w:rsid w:val="00FB386A"/>
    <w:rsid w:val="00FB404F"/>
    <w:rsid w:val="00FB4088"/>
    <w:rsid w:val="00FB45CC"/>
    <w:rsid w:val="00FB6725"/>
    <w:rsid w:val="00FC0021"/>
    <w:rsid w:val="00FC0786"/>
    <w:rsid w:val="00FC0BC8"/>
    <w:rsid w:val="00FC2592"/>
    <w:rsid w:val="00FC2EBB"/>
    <w:rsid w:val="00FC2F65"/>
    <w:rsid w:val="00FC3EDA"/>
    <w:rsid w:val="00FC42E3"/>
    <w:rsid w:val="00FC49EF"/>
    <w:rsid w:val="00FC562F"/>
    <w:rsid w:val="00FC582A"/>
    <w:rsid w:val="00FC699E"/>
    <w:rsid w:val="00FC77A8"/>
    <w:rsid w:val="00FD002B"/>
    <w:rsid w:val="00FD0141"/>
    <w:rsid w:val="00FD0193"/>
    <w:rsid w:val="00FD0E10"/>
    <w:rsid w:val="00FD0EF7"/>
    <w:rsid w:val="00FD1BF2"/>
    <w:rsid w:val="00FD48CD"/>
    <w:rsid w:val="00FD7862"/>
    <w:rsid w:val="00FE0193"/>
    <w:rsid w:val="00FE18E9"/>
    <w:rsid w:val="00FE2C44"/>
    <w:rsid w:val="00FE300E"/>
    <w:rsid w:val="00FE36E2"/>
    <w:rsid w:val="00FE4D9C"/>
    <w:rsid w:val="00FF11AD"/>
    <w:rsid w:val="00FF2971"/>
    <w:rsid w:val="00FF34D4"/>
    <w:rsid w:val="00FF442D"/>
    <w:rsid w:val="00FF4A9B"/>
    <w:rsid w:val="00FF644C"/>
    <w:rsid w:val="00FF69F2"/>
    <w:rsid w:val="00FF6E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DC3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6D6C"/>
    <w:rPr>
      <w:rFonts w:eastAsiaTheme="minorHAnsi" w:cs="Calibri"/>
      <w:sz w:val="22"/>
      <w:szCs w:val="22"/>
      <w:lang w:eastAsia="en-US"/>
    </w:rPr>
  </w:style>
  <w:style w:type="paragraph" w:styleId="Nagwek1">
    <w:name w:val="heading 1"/>
    <w:basedOn w:val="Normalny"/>
    <w:next w:val="Normalny"/>
    <w:qFormat/>
    <w:locked/>
    <w:rsid w:val="006176ED"/>
    <w:pPr>
      <w:keepNext/>
      <w:spacing w:before="240" w:after="60"/>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nhideWhenUsed/>
    <w:qFormat/>
    <w:locked/>
    <w:rsid w:val="003711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qFormat/>
    <w:locked/>
    <w:rsid w:val="00522D94"/>
    <w:pPr>
      <w:keepNext/>
      <w:spacing w:before="240" w:after="60"/>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646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4702C9"/>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aliases w:val="Numerowanie,List Paragraph"/>
    <w:basedOn w:val="Normalny"/>
    <w:link w:val="AkapitzlistZnak"/>
    <w:uiPriority w:val="34"/>
    <w:qFormat/>
    <w:rsid w:val="00397078"/>
    <w:pPr>
      <w:ind w:left="720"/>
      <w:contextualSpacing/>
    </w:pPr>
  </w:style>
  <w:style w:type="character" w:styleId="Odwoaniedokomentarza">
    <w:name w:val="annotation reference"/>
    <w:uiPriority w:val="99"/>
    <w:unhideWhenUsed/>
    <w:rsid w:val="00A17CB2"/>
    <w:rPr>
      <w:sz w:val="16"/>
      <w:szCs w:val="16"/>
    </w:rPr>
  </w:style>
  <w:style w:type="paragraph" w:styleId="Tekstkomentarza">
    <w:name w:val="annotation text"/>
    <w:basedOn w:val="Normalny"/>
    <w:link w:val="TekstkomentarzaZnak"/>
    <w:uiPriority w:val="99"/>
    <w:unhideWhenUsed/>
    <w:rsid w:val="00A17CB2"/>
    <w:rPr>
      <w:sz w:val="20"/>
      <w:szCs w:val="20"/>
    </w:rPr>
  </w:style>
  <w:style w:type="character" w:customStyle="1" w:styleId="TekstkomentarzaZnak">
    <w:name w:val="Tekst komentarza Znak"/>
    <w:link w:val="Tekstkomentarza"/>
    <w:uiPriority w:val="99"/>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unhideWhenUsed/>
    <w:rsid w:val="00C047A7"/>
    <w:rPr>
      <w:sz w:val="20"/>
      <w:szCs w:val="20"/>
    </w:rPr>
  </w:style>
  <w:style w:type="character" w:customStyle="1" w:styleId="TekstprzypisudolnegoZnak">
    <w:name w:val="Tekst przypisu dolnego Znak"/>
    <w:link w:val="Tekstprzypisudolnego"/>
    <w:uiPriority w:val="99"/>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character" w:styleId="Tekstzastpczy">
    <w:name w:val="Placeholder Text"/>
    <w:basedOn w:val="Domylnaczcionkaakapitu"/>
    <w:uiPriority w:val="99"/>
    <w:semiHidden/>
    <w:rsid w:val="00EF290C"/>
    <w:rPr>
      <w:color w:val="808080"/>
    </w:rPr>
  </w:style>
  <w:style w:type="character" w:customStyle="1" w:styleId="AkapitzlistZnak">
    <w:name w:val="Akapit z listą Znak"/>
    <w:aliases w:val="Numerowanie Znak,List Paragraph Znak"/>
    <w:link w:val="Akapitzlist"/>
    <w:uiPriority w:val="34"/>
    <w:locked/>
    <w:rsid w:val="00957275"/>
    <w:rPr>
      <w:sz w:val="22"/>
      <w:szCs w:val="22"/>
      <w:lang w:eastAsia="en-US"/>
    </w:rPr>
  </w:style>
  <w:style w:type="paragraph" w:styleId="Tekstpodstawowywcity2">
    <w:name w:val="Body Text Indent 2"/>
    <w:basedOn w:val="Normalny"/>
    <w:link w:val="Tekstpodstawowywcity2Znak"/>
    <w:rsid w:val="00893F7B"/>
    <w:pPr>
      <w:spacing w:after="120" w:line="480" w:lineRule="auto"/>
      <w:ind w:left="283"/>
    </w:pPr>
    <w:rPr>
      <w:rFonts w:ascii="Times New Roman" w:eastAsia="Times New Roman" w:hAnsi="Times New Roman"/>
      <w:sz w:val="24"/>
      <w:szCs w:val="24"/>
      <w:lang w:eastAsia="pl-PL"/>
    </w:rPr>
  </w:style>
  <w:style w:type="character" w:customStyle="1" w:styleId="Tekstpodstawowywcity2Znak">
    <w:name w:val="Tekst podstawowy wcięty 2 Znak"/>
    <w:basedOn w:val="Domylnaczcionkaakapitu"/>
    <w:link w:val="Tekstpodstawowywcity2"/>
    <w:rsid w:val="00893F7B"/>
    <w:rPr>
      <w:rFonts w:ascii="Times New Roman" w:eastAsia="Times New Roman" w:hAnsi="Times New Roman"/>
      <w:sz w:val="24"/>
      <w:szCs w:val="24"/>
    </w:rPr>
  </w:style>
  <w:style w:type="paragraph" w:customStyle="1" w:styleId="TableParagraph">
    <w:name w:val="Table Paragraph"/>
    <w:basedOn w:val="Normalny"/>
    <w:uiPriority w:val="1"/>
    <w:qFormat/>
    <w:rsid w:val="00D15640"/>
    <w:pPr>
      <w:widowControl w:val="0"/>
      <w:autoSpaceDE w:val="0"/>
      <w:autoSpaceDN w:val="0"/>
      <w:adjustRightInd w:val="0"/>
    </w:pPr>
    <w:rPr>
      <w:rFonts w:ascii="Times New Roman" w:eastAsiaTheme="minorEastAsia" w:hAnsi="Times New Roman"/>
      <w:sz w:val="24"/>
      <w:szCs w:val="24"/>
      <w:lang w:eastAsia="pl-PL"/>
    </w:rPr>
  </w:style>
  <w:style w:type="table" w:customStyle="1" w:styleId="Tabelasiatki21">
    <w:name w:val="Tabela siatki 21"/>
    <w:basedOn w:val="Standardowy"/>
    <w:uiPriority w:val="47"/>
    <w:rsid w:val="00BF3A5D"/>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nyWeb">
    <w:name w:val="Normal (Web)"/>
    <w:basedOn w:val="Normalny"/>
    <w:uiPriority w:val="99"/>
    <w:unhideWhenUsed/>
    <w:rsid w:val="00D343F2"/>
    <w:pPr>
      <w:spacing w:before="100" w:beforeAutospacing="1" w:after="100" w:afterAutospacing="1"/>
    </w:pPr>
    <w:rPr>
      <w:rFonts w:ascii="Times New Roman" w:eastAsia="Times New Roman" w:hAnsi="Times New Roman"/>
      <w:sz w:val="24"/>
      <w:szCs w:val="24"/>
      <w:lang w:eastAsia="pl-PL"/>
    </w:rPr>
  </w:style>
  <w:style w:type="paragraph" w:customStyle="1" w:styleId="przypisdolny">
    <w:name w:val="przypis dolny"/>
    <w:basedOn w:val="Tekstprzypisudolnego"/>
    <w:link w:val="przypisdolnyZnak"/>
    <w:qFormat/>
    <w:rsid w:val="001724AC"/>
  </w:style>
  <w:style w:type="character" w:customStyle="1" w:styleId="przypisdolnyZnak">
    <w:name w:val="przypis dolny Znak"/>
    <w:basedOn w:val="TekstprzypisudolnegoZnak"/>
    <w:link w:val="przypisdolny"/>
    <w:rsid w:val="001724AC"/>
    <w:rPr>
      <w:lang w:eastAsia="en-US"/>
    </w:rPr>
  </w:style>
  <w:style w:type="paragraph" w:styleId="Poprawka">
    <w:name w:val="Revision"/>
    <w:hidden/>
    <w:uiPriority w:val="99"/>
    <w:semiHidden/>
    <w:rsid w:val="00C2713B"/>
    <w:rPr>
      <w:sz w:val="22"/>
      <w:szCs w:val="22"/>
      <w:lang w:eastAsia="en-US"/>
    </w:rPr>
  </w:style>
  <w:style w:type="paragraph" w:styleId="Tekstpodstawowy2">
    <w:name w:val="Body Text 2"/>
    <w:basedOn w:val="Normalny"/>
    <w:link w:val="Tekstpodstawowy2Znak"/>
    <w:uiPriority w:val="99"/>
    <w:unhideWhenUsed/>
    <w:rsid w:val="000C2B69"/>
    <w:pPr>
      <w:spacing w:after="120" w:line="480" w:lineRule="auto"/>
    </w:pPr>
  </w:style>
  <w:style w:type="character" w:customStyle="1" w:styleId="Tekstpodstawowy2Znak">
    <w:name w:val="Tekst podstawowy 2 Znak"/>
    <w:basedOn w:val="Domylnaczcionkaakapitu"/>
    <w:link w:val="Tekstpodstawowy2"/>
    <w:uiPriority w:val="99"/>
    <w:rsid w:val="000C2B69"/>
    <w:rPr>
      <w:rFonts w:eastAsiaTheme="minorHAnsi" w:cs="Calibri"/>
      <w:sz w:val="22"/>
      <w:szCs w:val="22"/>
      <w:lang w:eastAsia="en-US"/>
    </w:rPr>
  </w:style>
  <w:style w:type="character" w:customStyle="1" w:styleId="Nagwek2Znak">
    <w:name w:val="Nagłówek 2 Znak"/>
    <w:basedOn w:val="Domylnaczcionkaakapitu"/>
    <w:link w:val="Nagwek2"/>
    <w:rsid w:val="00371124"/>
    <w:rPr>
      <w:rFonts w:asciiTheme="majorHAnsi" w:eastAsiaTheme="majorEastAsia" w:hAnsiTheme="majorHAnsi" w:cstheme="majorBidi"/>
      <w:b/>
      <w:bCs/>
      <w:color w:val="4F81BD" w:themeColor="accent1"/>
      <w:sz w:val="26"/>
      <w:szCs w:val="26"/>
      <w:lang w:eastAsia="en-US"/>
    </w:rPr>
  </w:style>
  <w:style w:type="character" w:styleId="Pogrubienie">
    <w:name w:val="Strong"/>
    <w:basedOn w:val="Domylnaczcionkaakapitu"/>
    <w:uiPriority w:val="22"/>
    <w:qFormat/>
    <w:locked/>
    <w:rsid w:val="005F20C1"/>
    <w:rPr>
      <w:b/>
      <w:bCs/>
    </w:rPr>
  </w:style>
  <w:style w:type="paragraph" w:customStyle="1" w:styleId="ZCZWSPPKTzmczciwsppktartykuempunktem">
    <w:name w:val="Z/CZ_WSP_PKT – zm. części wsp. pkt artykułem (punktem)"/>
    <w:basedOn w:val="Normalny"/>
    <w:uiPriority w:val="34"/>
    <w:rsid w:val="00544E2B"/>
    <w:pPr>
      <w:spacing w:line="360" w:lineRule="auto"/>
      <w:ind w:left="510"/>
      <w:jc w:val="both"/>
    </w:pPr>
    <w:rPr>
      <w:rFonts w:ascii="Times" w:hAnsi="Times" w:cs="Times"/>
      <w:sz w:val="24"/>
      <w:szCs w:val="24"/>
      <w:lang w:eastAsia="pl-PL"/>
    </w:rPr>
  </w:style>
  <w:style w:type="paragraph" w:customStyle="1" w:styleId="PKTpunkt">
    <w:name w:val="PKT – punkt"/>
    <w:uiPriority w:val="13"/>
    <w:qFormat/>
    <w:rsid w:val="0006210C"/>
    <w:pPr>
      <w:spacing w:line="360" w:lineRule="auto"/>
      <w:ind w:left="510" w:hanging="510"/>
      <w:jc w:val="both"/>
    </w:pPr>
    <w:rPr>
      <w:rFonts w:ascii="Times" w:eastAsiaTheme="minorEastAsia" w:hAnsi="Times" w:cs="Arial"/>
      <w:bCs/>
      <w:sz w:val="24"/>
    </w:rPr>
  </w:style>
  <w:style w:type="paragraph" w:customStyle="1" w:styleId="ARTartustawynprozporzdzenia">
    <w:name w:val="ART(§) – art. ustawy (§ np. rozporządzenia)"/>
    <w:uiPriority w:val="11"/>
    <w:qFormat/>
    <w:rsid w:val="00095680"/>
    <w:pPr>
      <w:suppressAutoHyphens/>
      <w:autoSpaceDE w:val="0"/>
      <w:autoSpaceDN w:val="0"/>
      <w:adjustRightInd w:val="0"/>
      <w:spacing w:before="120" w:line="360" w:lineRule="auto"/>
      <w:ind w:firstLine="510"/>
      <w:jc w:val="both"/>
    </w:pPr>
    <w:rPr>
      <w:rFonts w:ascii="Times" w:eastAsiaTheme="minorEastAsia" w:hAnsi="Times" w:cs="Arial"/>
      <w:sz w:val="24"/>
    </w:rPr>
  </w:style>
  <w:style w:type="character" w:customStyle="1" w:styleId="Ppogrubienie">
    <w:name w:val="_P_ – pogrubienie"/>
    <w:basedOn w:val="Domylnaczcionkaakapitu"/>
    <w:uiPriority w:val="1"/>
    <w:qFormat/>
    <w:rsid w:val="0009568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16540293">
      <w:bodyDiv w:val="1"/>
      <w:marLeft w:val="0"/>
      <w:marRight w:val="0"/>
      <w:marTop w:val="0"/>
      <w:marBottom w:val="0"/>
      <w:divBdr>
        <w:top w:val="none" w:sz="0" w:space="0" w:color="auto"/>
        <w:left w:val="none" w:sz="0" w:space="0" w:color="auto"/>
        <w:bottom w:val="none" w:sz="0" w:space="0" w:color="auto"/>
        <w:right w:val="none" w:sz="0" w:space="0" w:color="auto"/>
      </w:divBdr>
      <w:divsChild>
        <w:div w:id="657078896">
          <w:marLeft w:val="360"/>
          <w:marRight w:val="0"/>
          <w:marTop w:val="200"/>
          <w:marBottom w:val="0"/>
          <w:divBdr>
            <w:top w:val="none" w:sz="0" w:space="0" w:color="auto"/>
            <w:left w:val="none" w:sz="0" w:space="0" w:color="auto"/>
            <w:bottom w:val="none" w:sz="0" w:space="0" w:color="auto"/>
            <w:right w:val="none" w:sz="0" w:space="0" w:color="auto"/>
          </w:divBdr>
        </w:div>
      </w:divsChild>
    </w:div>
    <w:div w:id="88819911">
      <w:bodyDiv w:val="1"/>
      <w:marLeft w:val="0"/>
      <w:marRight w:val="0"/>
      <w:marTop w:val="0"/>
      <w:marBottom w:val="0"/>
      <w:divBdr>
        <w:top w:val="none" w:sz="0" w:space="0" w:color="auto"/>
        <w:left w:val="none" w:sz="0" w:space="0" w:color="auto"/>
        <w:bottom w:val="none" w:sz="0" w:space="0" w:color="auto"/>
        <w:right w:val="none" w:sz="0" w:space="0" w:color="auto"/>
      </w:divBdr>
      <w:divsChild>
        <w:div w:id="1759668925">
          <w:marLeft w:val="360"/>
          <w:marRight w:val="0"/>
          <w:marTop w:val="200"/>
          <w:marBottom w:val="0"/>
          <w:divBdr>
            <w:top w:val="none" w:sz="0" w:space="0" w:color="auto"/>
            <w:left w:val="none" w:sz="0" w:space="0" w:color="auto"/>
            <w:bottom w:val="none" w:sz="0" w:space="0" w:color="auto"/>
            <w:right w:val="none" w:sz="0" w:space="0" w:color="auto"/>
          </w:divBdr>
        </w:div>
      </w:divsChild>
    </w:div>
    <w:div w:id="89543759">
      <w:bodyDiv w:val="1"/>
      <w:marLeft w:val="0"/>
      <w:marRight w:val="0"/>
      <w:marTop w:val="0"/>
      <w:marBottom w:val="0"/>
      <w:divBdr>
        <w:top w:val="none" w:sz="0" w:space="0" w:color="auto"/>
        <w:left w:val="none" w:sz="0" w:space="0" w:color="auto"/>
        <w:bottom w:val="none" w:sz="0" w:space="0" w:color="auto"/>
        <w:right w:val="none" w:sz="0" w:space="0" w:color="auto"/>
      </w:divBdr>
    </w:div>
    <w:div w:id="101655070">
      <w:bodyDiv w:val="1"/>
      <w:marLeft w:val="0"/>
      <w:marRight w:val="0"/>
      <w:marTop w:val="0"/>
      <w:marBottom w:val="0"/>
      <w:divBdr>
        <w:top w:val="none" w:sz="0" w:space="0" w:color="auto"/>
        <w:left w:val="none" w:sz="0" w:space="0" w:color="auto"/>
        <w:bottom w:val="none" w:sz="0" w:space="0" w:color="auto"/>
        <w:right w:val="none" w:sz="0" w:space="0" w:color="auto"/>
      </w:divBdr>
    </w:div>
    <w:div w:id="136922670">
      <w:bodyDiv w:val="1"/>
      <w:marLeft w:val="0"/>
      <w:marRight w:val="0"/>
      <w:marTop w:val="0"/>
      <w:marBottom w:val="0"/>
      <w:divBdr>
        <w:top w:val="none" w:sz="0" w:space="0" w:color="auto"/>
        <w:left w:val="none" w:sz="0" w:space="0" w:color="auto"/>
        <w:bottom w:val="none" w:sz="0" w:space="0" w:color="auto"/>
        <w:right w:val="none" w:sz="0" w:space="0" w:color="auto"/>
      </w:divBdr>
      <w:divsChild>
        <w:div w:id="409541489">
          <w:marLeft w:val="547"/>
          <w:marRight w:val="0"/>
          <w:marTop w:val="0"/>
          <w:marBottom w:val="0"/>
          <w:divBdr>
            <w:top w:val="none" w:sz="0" w:space="0" w:color="auto"/>
            <w:left w:val="none" w:sz="0" w:space="0" w:color="auto"/>
            <w:bottom w:val="none" w:sz="0" w:space="0" w:color="auto"/>
            <w:right w:val="none" w:sz="0" w:space="0" w:color="auto"/>
          </w:divBdr>
        </w:div>
        <w:div w:id="1069573454">
          <w:marLeft w:val="547"/>
          <w:marRight w:val="0"/>
          <w:marTop w:val="0"/>
          <w:marBottom w:val="0"/>
          <w:divBdr>
            <w:top w:val="none" w:sz="0" w:space="0" w:color="auto"/>
            <w:left w:val="none" w:sz="0" w:space="0" w:color="auto"/>
            <w:bottom w:val="none" w:sz="0" w:space="0" w:color="auto"/>
            <w:right w:val="none" w:sz="0" w:space="0" w:color="auto"/>
          </w:divBdr>
        </w:div>
        <w:div w:id="1089814392">
          <w:marLeft w:val="547"/>
          <w:marRight w:val="0"/>
          <w:marTop w:val="0"/>
          <w:marBottom w:val="0"/>
          <w:divBdr>
            <w:top w:val="none" w:sz="0" w:space="0" w:color="auto"/>
            <w:left w:val="none" w:sz="0" w:space="0" w:color="auto"/>
            <w:bottom w:val="none" w:sz="0" w:space="0" w:color="auto"/>
            <w:right w:val="none" w:sz="0" w:space="0" w:color="auto"/>
          </w:divBdr>
        </w:div>
        <w:div w:id="1420129491">
          <w:marLeft w:val="547"/>
          <w:marRight w:val="0"/>
          <w:marTop w:val="0"/>
          <w:marBottom w:val="0"/>
          <w:divBdr>
            <w:top w:val="none" w:sz="0" w:space="0" w:color="auto"/>
            <w:left w:val="none" w:sz="0" w:space="0" w:color="auto"/>
            <w:bottom w:val="none" w:sz="0" w:space="0" w:color="auto"/>
            <w:right w:val="none" w:sz="0" w:space="0" w:color="auto"/>
          </w:divBdr>
        </w:div>
      </w:divsChild>
    </w:div>
    <w:div w:id="139351326">
      <w:bodyDiv w:val="1"/>
      <w:marLeft w:val="0"/>
      <w:marRight w:val="0"/>
      <w:marTop w:val="0"/>
      <w:marBottom w:val="0"/>
      <w:divBdr>
        <w:top w:val="none" w:sz="0" w:space="0" w:color="auto"/>
        <w:left w:val="none" w:sz="0" w:space="0" w:color="auto"/>
        <w:bottom w:val="none" w:sz="0" w:space="0" w:color="auto"/>
        <w:right w:val="none" w:sz="0" w:space="0" w:color="auto"/>
      </w:divBdr>
      <w:divsChild>
        <w:div w:id="37634176">
          <w:marLeft w:val="360"/>
          <w:marRight w:val="0"/>
          <w:marTop w:val="200"/>
          <w:marBottom w:val="0"/>
          <w:divBdr>
            <w:top w:val="none" w:sz="0" w:space="0" w:color="auto"/>
            <w:left w:val="none" w:sz="0" w:space="0" w:color="auto"/>
            <w:bottom w:val="none" w:sz="0" w:space="0" w:color="auto"/>
            <w:right w:val="none" w:sz="0" w:space="0" w:color="auto"/>
          </w:divBdr>
        </w:div>
        <w:div w:id="1315181270">
          <w:marLeft w:val="360"/>
          <w:marRight w:val="0"/>
          <w:marTop w:val="200"/>
          <w:marBottom w:val="0"/>
          <w:divBdr>
            <w:top w:val="none" w:sz="0" w:space="0" w:color="auto"/>
            <w:left w:val="none" w:sz="0" w:space="0" w:color="auto"/>
            <w:bottom w:val="none" w:sz="0" w:space="0" w:color="auto"/>
            <w:right w:val="none" w:sz="0" w:space="0" w:color="auto"/>
          </w:divBdr>
        </w:div>
      </w:divsChild>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220101738">
      <w:bodyDiv w:val="1"/>
      <w:marLeft w:val="0"/>
      <w:marRight w:val="0"/>
      <w:marTop w:val="0"/>
      <w:marBottom w:val="0"/>
      <w:divBdr>
        <w:top w:val="none" w:sz="0" w:space="0" w:color="auto"/>
        <w:left w:val="none" w:sz="0" w:space="0" w:color="auto"/>
        <w:bottom w:val="none" w:sz="0" w:space="0" w:color="auto"/>
        <w:right w:val="none" w:sz="0" w:space="0" w:color="auto"/>
      </w:divBdr>
    </w:div>
    <w:div w:id="253587267">
      <w:bodyDiv w:val="1"/>
      <w:marLeft w:val="0"/>
      <w:marRight w:val="0"/>
      <w:marTop w:val="0"/>
      <w:marBottom w:val="0"/>
      <w:divBdr>
        <w:top w:val="none" w:sz="0" w:space="0" w:color="auto"/>
        <w:left w:val="none" w:sz="0" w:space="0" w:color="auto"/>
        <w:bottom w:val="none" w:sz="0" w:space="0" w:color="auto"/>
        <w:right w:val="none" w:sz="0" w:space="0" w:color="auto"/>
      </w:divBdr>
      <w:divsChild>
        <w:div w:id="68044207">
          <w:marLeft w:val="979"/>
          <w:marRight w:val="0"/>
          <w:marTop w:val="0"/>
          <w:marBottom w:val="0"/>
          <w:divBdr>
            <w:top w:val="none" w:sz="0" w:space="0" w:color="auto"/>
            <w:left w:val="none" w:sz="0" w:space="0" w:color="auto"/>
            <w:bottom w:val="none" w:sz="0" w:space="0" w:color="auto"/>
            <w:right w:val="none" w:sz="0" w:space="0" w:color="auto"/>
          </w:divBdr>
        </w:div>
        <w:div w:id="279457043">
          <w:marLeft w:val="979"/>
          <w:marRight w:val="0"/>
          <w:marTop w:val="0"/>
          <w:marBottom w:val="0"/>
          <w:divBdr>
            <w:top w:val="none" w:sz="0" w:space="0" w:color="auto"/>
            <w:left w:val="none" w:sz="0" w:space="0" w:color="auto"/>
            <w:bottom w:val="none" w:sz="0" w:space="0" w:color="auto"/>
            <w:right w:val="none" w:sz="0" w:space="0" w:color="auto"/>
          </w:divBdr>
        </w:div>
        <w:div w:id="292487356">
          <w:marLeft w:val="547"/>
          <w:marRight w:val="0"/>
          <w:marTop w:val="0"/>
          <w:marBottom w:val="0"/>
          <w:divBdr>
            <w:top w:val="none" w:sz="0" w:space="0" w:color="auto"/>
            <w:left w:val="none" w:sz="0" w:space="0" w:color="auto"/>
            <w:bottom w:val="none" w:sz="0" w:space="0" w:color="auto"/>
            <w:right w:val="none" w:sz="0" w:space="0" w:color="auto"/>
          </w:divBdr>
        </w:div>
        <w:div w:id="666132370">
          <w:marLeft w:val="979"/>
          <w:marRight w:val="0"/>
          <w:marTop w:val="0"/>
          <w:marBottom w:val="0"/>
          <w:divBdr>
            <w:top w:val="none" w:sz="0" w:space="0" w:color="auto"/>
            <w:left w:val="none" w:sz="0" w:space="0" w:color="auto"/>
            <w:bottom w:val="none" w:sz="0" w:space="0" w:color="auto"/>
            <w:right w:val="none" w:sz="0" w:space="0" w:color="auto"/>
          </w:divBdr>
        </w:div>
        <w:div w:id="754086276">
          <w:marLeft w:val="979"/>
          <w:marRight w:val="0"/>
          <w:marTop w:val="0"/>
          <w:marBottom w:val="0"/>
          <w:divBdr>
            <w:top w:val="none" w:sz="0" w:space="0" w:color="auto"/>
            <w:left w:val="none" w:sz="0" w:space="0" w:color="auto"/>
            <w:bottom w:val="none" w:sz="0" w:space="0" w:color="auto"/>
            <w:right w:val="none" w:sz="0" w:space="0" w:color="auto"/>
          </w:divBdr>
        </w:div>
        <w:div w:id="985163446">
          <w:marLeft w:val="979"/>
          <w:marRight w:val="0"/>
          <w:marTop w:val="0"/>
          <w:marBottom w:val="0"/>
          <w:divBdr>
            <w:top w:val="none" w:sz="0" w:space="0" w:color="auto"/>
            <w:left w:val="none" w:sz="0" w:space="0" w:color="auto"/>
            <w:bottom w:val="none" w:sz="0" w:space="0" w:color="auto"/>
            <w:right w:val="none" w:sz="0" w:space="0" w:color="auto"/>
          </w:divBdr>
        </w:div>
        <w:div w:id="1023437725">
          <w:marLeft w:val="979"/>
          <w:marRight w:val="0"/>
          <w:marTop w:val="0"/>
          <w:marBottom w:val="0"/>
          <w:divBdr>
            <w:top w:val="none" w:sz="0" w:space="0" w:color="auto"/>
            <w:left w:val="none" w:sz="0" w:space="0" w:color="auto"/>
            <w:bottom w:val="none" w:sz="0" w:space="0" w:color="auto"/>
            <w:right w:val="none" w:sz="0" w:space="0" w:color="auto"/>
          </w:divBdr>
        </w:div>
        <w:div w:id="1318388208">
          <w:marLeft w:val="547"/>
          <w:marRight w:val="0"/>
          <w:marTop w:val="0"/>
          <w:marBottom w:val="0"/>
          <w:divBdr>
            <w:top w:val="none" w:sz="0" w:space="0" w:color="auto"/>
            <w:left w:val="none" w:sz="0" w:space="0" w:color="auto"/>
            <w:bottom w:val="none" w:sz="0" w:space="0" w:color="auto"/>
            <w:right w:val="none" w:sz="0" w:space="0" w:color="auto"/>
          </w:divBdr>
        </w:div>
        <w:div w:id="2000889735">
          <w:marLeft w:val="979"/>
          <w:marRight w:val="0"/>
          <w:marTop w:val="0"/>
          <w:marBottom w:val="0"/>
          <w:divBdr>
            <w:top w:val="none" w:sz="0" w:space="0" w:color="auto"/>
            <w:left w:val="none" w:sz="0" w:space="0" w:color="auto"/>
            <w:bottom w:val="none" w:sz="0" w:space="0" w:color="auto"/>
            <w:right w:val="none" w:sz="0" w:space="0" w:color="auto"/>
          </w:divBdr>
        </w:div>
        <w:div w:id="2009823351">
          <w:marLeft w:val="979"/>
          <w:marRight w:val="0"/>
          <w:marTop w:val="0"/>
          <w:marBottom w:val="0"/>
          <w:divBdr>
            <w:top w:val="none" w:sz="0" w:space="0" w:color="auto"/>
            <w:left w:val="none" w:sz="0" w:space="0" w:color="auto"/>
            <w:bottom w:val="none" w:sz="0" w:space="0" w:color="auto"/>
            <w:right w:val="none" w:sz="0" w:space="0" w:color="auto"/>
          </w:divBdr>
        </w:div>
        <w:div w:id="2076928267">
          <w:marLeft w:val="979"/>
          <w:marRight w:val="0"/>
          <w:marTop w:val="0"/>
          <w:marBottom w:val="0"/>
          <w:divBdr>
            <w:top w:val="none" w:sz="0" w:space="0" w:color="auto"/>
            <w:left w:val="none" w:sz="0" w:space="0" w:color="auto"/>
            <w:bottom w:val="none" w:sz="0" w:space="0" w:color="auto"/>
            <w:right w:val="none" w:sz="0" w:space="0" w:color="auto"/>
          </w:divBdr>
        </w:div>
      </w:divsChild>
    </w:div>
    <w:div w:id="294218714">
      <w:bodyDiv w:val="1"/>
      <w:marLeft w:val="0"/>
      <w:marRight w:val="0"/>
      <w:marTop w:val="0"/>
      <w:marBottom w:val="0"/>
      <w:divBdr>
        <w:top w:val="none" w:sz="0" w:space="0" w:color="auto"/>
        <w:left w:val="none" w:sz="0" w:space="0" w:color="auto"/>
        <w:bottom w:val="none" w:sz="0" w:space="0" w:color="auto"/>
        <w:right w:val="none" w:sz="0" w:space="0" w:color="auto"/>
      </w:divBdr>
    </w:div>
    <w:div w:id="405306528">
      <w:bodyDiv w:val="1"/>
      <w:marLeft w:val="0"/>
      <w:marRight w:val="0"/>
      <w:marTop w:val="0"/>
      <w:marBottom w:val="0"/>
      <w:divBdr>
        <w:top w:val="none" w:sz="0" w:space="0" w:color="auto"/>
        <w:left w:val="none" w:sz="0" w:space="0" w:color="auto"/>
        <w:bottom w:val="none" w:sz="0" w:space="0" w:color="auto"/>
        <w:right w:val="none" w:sz="0" w:space="0" w:color="auto"/>
      </w:divBdr>
    </w:div>
    <w:div w:id="454786886">
      <w:bodyDiv w:val="1"/>
      <w:marLeft w:val="0"/>
      <w:marRight w:val="0"/>
      <w:marTop w:val="0"/>
      <w:marBottom w:val="0"/>
      <w:divBdr>
        <w:top w:val="none" w:sz="0" w:space="0" w:color="auto"/>
        <w:left w:val="none" w:sz="0" w:space="0" w:color="auto"/>
        <w:bottom w:val="none" w:sz="0" w:space="0" w:color="auto"/>
        <w:right w:val="none" w:sz="0" w:space="0" w:color="auto"/>
      </w:divBdr>
    </w:div>
    <w:div w:id="470904730">
      <w:bodyDiv w:val="1"/>
      <w:marLeft w:val="0"/>
      <w:marRight w:val="0"/>
      <w:marTop w:val="0"/>
      <w:marBottom w:val="0"/>
      <w:divBdr>
        <w:top w:val="none" w:sz="0" w:space="0" w:color="auto"/>
        <w:left w:val="none" w:sz="0" w:space="0" w:color="auto"/>
        <w:bottom w:val="none" w:sz="0" w:space="0" w:color="auto"/>
        <w:right w:val="none" w:sz="0" w:space="0" w:color="auto"/>
      </w:divBdr>
    </w:div>
    <w:div w:id="499394497">
      <w:bodyDiv w:val="1"/>
      <w:marLeft w:val="0"/>
      <w:marRight w:val="0"/>
      <w:marTop w:val="0"/>
      <w:marBottom w:val="0"/>
      <w:divBdr>
        <w:top w:val="none" w:sz="0" w:space="0" w:color="auto"/>
        <w:left w:val="none" w:sz="0" w:space="0" w:color="auto"/>
        <w:bottom w:val="none" w:sz="0" w:space="0" w:color="auto"/>
        <w:right w:val="none" w:sz="0" w:space="0" w:color="auto"/>
      </w:divBdr>
    </w:div>
    <w:div w:id="499851065">
      <w:bodyDiv w:val="1"/>
      <w:marLeft w:val="0"/>
      <w:marRight w:val="0"/>
      <w:marTop w:val="0"/>
      <w:marBottom w:val="0"/>
      <w:divBdr>
        <w:top w:val="none" w:sz="0" w:space="0" w:color="auto"/>
        <w:left w:val="none" w:sz="0" w:space="0" w:color="auto"/>
        <w:bottom w:val="none" w:sz="0" w:space="0" w:color="auto"/>
        <w:right w:val="none" w:sz="0" w:space="0" w:color="auto"/>
      </w:divBdr>
    </w:div>
    <w:div w:id="515923732">
      <w:bodyDiv w:val="1"/>
      <w:marLeft w:val="0"/>
      <w:marRight w:val="0"/>
      <w:marTop w:val="0"/>
      <w:marBottom w:val="0"/>
      <w:divBdr>
        <w:top w:val="none" w:sz="0" w:space="0" w:color="auto"/>
        <w:left w:val="none" w:sz="0" w:space="0" w:color="auto"/>
        <w:bottom w:val="none" w:sz="0" w:space="0" w:color="auto"/>
        <w:right w:val="none" w:sz="0" w:space="0" w:color="auto"/>
      </w:divBdr>
    </w:div>
    <w:div w:id="546456588">
      <w:bodyDiv w:val="1"/>
      <w:marLeft w:val="0"/>
      <w:marRight w:val="0"/>
      <w:marTop w:val="0"/>
      <w:marBottom w:val="0"/>
      <w:divBdr>
        <w:top w:val="none" w:sz="0" w:space="0" w:color="auto"/>
        <w:left w:val="none" w:sz="0" w:space="0" w:color="auto"/>
        <w:bottom w:val="none" w:sz="0" w:space="0" w:color="auto"/>
        <w:right w:val="none" w:sz="0" w:space="0" w:color="auto"/>
      </w:divBdr>
      <w:divsChild>
        <w:div w:id="1308170106">
          <w:marLeft w:val="1080"/>
          <w:marRight w:val="0"/>
          <w:marTop w:val="100"/>
          <w:marBottom w:val="0"/>
          <w:divBdr>
            <w:top w:val="none" w:sz="0" w:space="0" w:color="auto"/>
            <w:left w:val="none" w:sz="0" w:space="0" w:color="auto"/>
            <w:bottom w:val="none" w:sz="0" w:space="0" w:color="auto"/>
            <w:right w:val="none" w:sz="0" w:space="0" w:color="auto"/>
          </w:divBdr>
        </w:div>
      </w:divsChild>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662512215">
      <w:bodyDiv w:val="1"/>
      <w:marLeft w:val="0"/>
      <w:marRight w:val="0"/>
      <w:marTop w:val="0"/>
      <w:marBottom w:val="0"/>
      <w:divBdr>
        <w:top w:val="none" w:sz="0" w:space="0" w:color="auto"/>
        <w:left w:val="none" w:sz="0" w:space="0" w:color="auto"/>
        <w:bottom w:val="none" w:sz="0" w:space="0" w:color="auto"/>
        <w:right w:val="none" w:sz="0" w:space="0" w:color="auto"/>
      </w:divBdr>
    </w:div>
    <w:div w:id="695736707">
      <w:bodyDiv w:val="1"/>
      <w:marLeft w:val="0"/>
      <w:marRight w:val="0"/>
      <w:marTop w:val="0"/>
      <w:marBottom w:val="0"/>
      <w:divBdr>
        <w:top w:val="none" w:sz="0" w:space="0" w:color="auto"/>
        <w:left w:val="none" w:sz="0" w:space="0" w:color="auto"/>
        <w:bottom w:val="none" w:sz="0" w:space="0" w:color="auto"/>
        <w:right w:val="none" w:sz="0" w:space="0" w:color="auto"/>
      </w:divBdr>
    </w:div>
    <w:div w:id="747651389">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840006562">
      <w:bodyDiv w:val="1"/>
      <w:marLeft w:val="0"/>
      <w:marRight w:val="0"/>
      <w:marTop w:val="0"/>
      <w:marBottom w:val="0"/>
      <w:divBdr>
        <w:top w:val="none" w:sz="0" w:space="0" w:color="auto"/>
        <w:left w:val="none" w:sz="0" w:space="0" w:color="auto"/>
        <w:bottom w:val="none" w:sz="0" w:space="0" w:color="auto"/>
        <w:right w:val="none" w:sz="0" w:space="0" w:color="auto"/>
      </w:divBdr>
      <w:divsChild>
        <w:div w:id="1402289124">
          <w:marLeft w:val="360"/>
          <w:marRight w:val="0"/>
          <w:marTop w:val="200"/>
          <w:marBottom w:val="0"/>
          <w:divBdr>
            <w:top w:val="none" w:sz="0" w:space="0" w:color="auto"/>
            <w:left w:val="none" w:sz="0" w:space="0" w:color="auto"/>
            <w:bottom w:val="none" w:sz="0" w:space="0" w:color="auto"/>
            <w:right w:val="none" w:sz="0" w:space="0" w:color="auto"/>
          </w:divBdr>
        </w:div>
      </w:divsChild>
    </w:div>
    <w:div w:id="892933920">
      <w:bodyDiv w:val="1"/>
      <w:marLeft w:val="0"/>
      <w:marRight w:val="0"/>
      <w:marTop w:val="0"/>
      <w:marBottom w:val="0"/>
      <w:divBdr>
        <w:top w:val="none" w:sz="0" w:space="0" w:color="auto"/>
        <w:left w:val="none" w:sz="0" w:space="0" w:color="auto"/>
        <w:bottom w:val="none" w:sz="0" w:space="0" w:color="auto"/>
        <w:right w:val="none" w:sz="0" w:space="0" w:color="auto"/>
      </w:divBdr>
      <w:divsChild>
        <w:div w:id="22290526">
          <w:marLeft w:val="720"/>
          <w:marRight w:val="0"/>
          <w:marTop w:val="0"/>
          <w:marBottom w:val="0"/>
          <w:divBdr>
            <w:top w:val="none" w:sz="0" w:space="0" w:color="auto"/>
            <w:left w:val="none" w:sz="0" w:space="0" w:color="auto"/>
            <w:bottom w:val="none" w:sz="0" w:space="0" w:color="auto"/>
            <w:right w:val="none" w:sz="0" w:space="0" w:color="auto"/>
          </w:divBdr>
        </w:div>
        <w:div w:id="81488726">
          <w:marLeft w:val="720"/>
          <w:marRight w:val="0"/>
          <w:marTop w:val="0"/>
          <w:marBottom w:val="0"/>
          <w:divBdr>
            <w:top w:val="none" w:sz="0" w:space="0" w:color="auto"/>
            <w:left w:val="none" w:sz="0" w:space="0" w:color="auto"/>
            <w:bottom w:val="none" w:sz="0" w:space="0" w:color="auto"/>
            <w:right w:val="none" w:sz="0" w:space="0" w:color="auto"/>
          </w:divBdr>
        </w:div>
        <w:div w:id="386414066">
          <w:marLeft w:val="720"/>
          <w:marRight w:val="0"/>
          <w:marTop w:val="0"/>
          <w:marBottom w:val="0"/>
          <w:divBdr>
            <w:top w:val="none" w:sz="0" w:space="0" w:color="auto"/>
            <w:left w:val="none" w:sz="0" w:space="0" w:color="auto"/>
            <w:bottom w:val="none" w:sz="0" w:space="0" w:color="auto"/>
            <w:right w:val="none" w:sz="0" w:space="0" w:color="auto"/>
          </w:divBdr>
        </w:div>
        <w:div w:id="480463469">
          <w:marLeft w:val="720"/>
          <w:marRight w:val="0"/>
          <w:marTop w:val="0"/>
          <w:marBottom w:val="0"/>
          <w:divBdr>
            <w:top w:val="none" w:sz="0" w:space="0" w:color="auto"/>
            <w:left w:val="none" w:sz="0" w:space="0" w:color="auto"/>
            <w:bottom w:val="none" w:sz="0" w:space="0" w:color="auto"/>
            <w:right w:val="none" w:sz="0" w:space="0" w:color="auto"/>
          </w:divBdr>
        </w:div>
        <w:div w:id="1705597438">
          <w:marLeft w:val="720"/>
          <w:marRight w:val="0"/>
          <w:marTop w:val="0"/>
          <w:marBottom w:val="0"/>
          <w:divBdr>
            <w:top w:val="none" w:sz="0" w:space="0" w:color="auto"/>
            <w:left w:val="none" w:sz="0" w:space="0" w:color="auto"/>
            <w:bottom w:val="none" w:sz="0" w:space="0" w:color="auto"/>
            <w:right w:val="none" w:sz="0" w:space="0" w:color="auto"/>
          </w:divBdr>
        </w:div>
        <w:div w:id="2007518520">
          <w:marLeft w:val="720"/>
          <w:marRight w:val="0"/>
          <w:marTop w:val="0"/>
          <w:marBottom w:val="0"/>
          <w:divBdr>
            <w:top w:val="none" w:sz="0" w:space="0" w:color="auto"/>
            <w:left w:val="none" w:sz="0" w:space="0" w:color="auto"/>
            <w:bottom w:val="none" w:sz="0" w:space="0" w:color="auto"/>
            <w:right w:val="none" w:sz="0" w:space="0" w:color="auto"/>
          </w:divBdr>
        </w:div>
      </w:divsChild>
    </w:div>
    <w:div w:id="910778034">
      <w:bodyDiv w:val="1"/>
      <w:marLeft w:val="0"/>
      <w:marRight w:val="0"/>
      <w:marTop w:val="0"/>
      <w:marBottom w:val="0"/>
      <w:divBdr>
        <w:top w:val="none" w:sz="0" w:space="0" w:color="auto"/>
        <w:left w:val="none" w:sz="0" w:space="0" w:color="auto"/>
        <w:bottom w:val="none" w:sz="0" w:space="0" w:color="auto"/>
        <w:right w:val="none" w:sz="0" w:space="0" w:color="auto"/>
      </w:divBdr>
    </w:div>
    <w:div w:id="912160364">
      <w:bodyDiv w:val="1"/>
      <w:marLeft w:val="0"/>
      <w:marRight w:val="0"/>
      <w:marTop w:val="0"/>
      <w:marBottom w:val="0"/>
      <w:divBdr>
        <w:top w:val="none" w:sz="0" w:space="0" w:color="auto"/>
        <w:left w:val="none" w:sz="0" w:space="0" w:color="auto"/>
        <w:bottom w:val="none" w:sz="0" w:space="0" w:color="auto"/>
        <w:right w:val="none" w:sz="0" w:space="0" w:color="auto"/>
      </w:divBdr>
    </w:div>
    <w:div w:id="926428933">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083649650">
      <w:bodyDiv w:val="1"/>
      <w:marLeft w:val="0"/>
      <w:marRight w:val="0"/>
      <w:marTop w:val="0"/>
      <w:marBottom w:val="0"/>
      <w:divBdr>
        <w:top w:val="none" w:sz="0" w:space="0" w:color="auto"/>
        <w:left w:val="none" w:sz="0" w:space="0" w:color="auto"/>
        <w:bottom w:val="none" w:sz="0" w:space="0" w:color="auto"/>
        <w:right w:val="none" w:sz="0" w:space="0" w:color="auto"/>
      </w:divBdr>
    </w:div>
    <w:div w:id="1171024458">
      <w:bodyDiv w:val="1"/>
      <w:marLeft w:val="0"/>
      <w:marRight w:val="0"/>
      <w:marTop w:val="0"/>
      <w:marBottom w:val="0"/>
      <w:divBdr>
        <w:top w:val="none" w:sz="0" w:space="0" w:color="auto"/>
        <w:left w:val="none" w:sz="0" w:space="0" w:color="auto"/>
        <w:bottom w:val="none" w:sz="0" w:space="0" w:color="auto"/>
        <w:right w:val="none" w:sz="0" w:space="0" w:color="auto"/>
      </w:divBdr>
      <w:divsChild>
        <w:div w:id="872419872">
          <w:marLeft w:val="0"/>
          <w:marRight w:val="0"/>
          <w:marTop w:val="0"/>
          <w:marBottom w:val="0"/>
          <w:divBdr>
            <w:top w:val="none" w:sz="0" w:space="0" w:color="auto"/>
            <w:left w:val="none" w:sz="0" w:space="0" w:color="auto"/>
            <w:bottom w:val="single" w:sz="6" w:space="0" w:color="EEEEEE"/>
            <w:right w:val="none" w:sz="0" w:space="0" w:color="auto"/>
          </w:divBdr>
        </w:div>
        <w:div w:id="1256134616">
          <w:marLeft w:val="0"/>
          <w:marRight w:val="0"/>
          <w:marTop w:val="0"/>
          <w:marBottom w:val="0"/>
          <w:divBdr>
            <w:top w:val="none" w:sz="0" w:space="0" w:color="auto"/>
            <w:left w:val="none" w:sz="0" w:space="0" w:color="auto"/>
            <w:bottom w:val="none" w:sz="0" w:space="0" w:color="auto"/>
            <w:right w:val="none" w:sz="0" w:space="0" w:color="auto"/>
          </w:divBdr>
          <w:divsChild>
            <w:div w:id="1632057380">
              <w:marLeft w:val="0"/>
              <w:marRight w:val="0"/>
              <w:marTop w:val="0"/>
              <w:marBottom w:val="0"/>
              <w:divBdr>
                <w:top w:val="none" w:sz="0" w:space="0" w:color="auto"/>
                <w:left w:val="none" w:sz="0" w:space="0" w:color="auto"/>
                <w:bottom w:val="none" w:sz="0" w:space="0" w:color="auto"/>
                <w:right w:val="none" w:sz="0" w:space="0" w:color="auto"/>
              </w:divBdr>
              <w:divsChild>
                <w:div w:id="1479809472">
                  <w:marLeft w:val="0"/>
                  <w:marRight w:val="0"/>
                  <w:marTop w:val="0"/>
                  <w:marBottom w:val="0"/>
                  <w:divBdr>
                    <w:top w:val="single" w:sz="12" w:space="0" w:color="000000"/>
                    <w:left w:val="none" w:sz="0" w:space="0" w:color="auto"/>
                    <w:bottom w:val="none" w:sz="0" w:space="0" w:color="auto"/>
                    <w:right w:val="none" w:sz="0" w:space="0" w:color="auto"/>
                  </w:divBdr>
                  <w:divsChild>
                    <w:div w:id="15913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087127">
      <w:bodyDiv w:val="1"/>
      <w:marLeft w:val="0"/>
      <w:marRight w:val="0"/>
      <w:marTop w:val="0"/>
      <w:marBottom w:val="0"/>
      <w:divBdr>
        <w:top w:val="none" w:sz="0" w:space="0" w:color="auto"/>
        <w:left w:val="none" w:sz="0" w:space="0" w:color="auto"/>
        <w:bottom w:val="none" w:sz="0" w:space="0" w:color="auto"/>
        <w:right w:val="none" w:sz="0" w:space="0" w:color="auto"/>
      </w:divBdr>
    </w:div>
    <w:div w:id="1199852021">
      <w:bodyDiv w:val="1"/>
      <w:marLeft w:val="0"/>
      <w:marRight w:val="0"/>
      <w:marTop w:val="0"/>
      <w:marBottom w:val="0"/>
      <w:divBdr>
        <w:top w:val="none" w:sz="0" w:space="0" w:color="auto"/>
        <w:left w:val="none" w:sz="0" w:space="0" w:color="auto"/>
        <w:bottom w:val="none" w:sz="0" w:space="0" w:color="auto"/>
        <w:right w:val="none" w:sz="0" w:space="0" w:color="auto"/>
      </w:divBdr>
    </w:div>
    <w:div w:id="1210915228">
      <w:bodyDiv w:val="1"/>
      <w:marLeft w:val="0"/>
      <w:marRight w:val="0"/>
      <w:marTop w:val="0"/>
      <w:marBottom w:val="0"/>
      <w:divBdr>
        <w:top w:val="none" w:sz="0" w:space="0" w:color="auto"/>
        <w:left w:val="none" w:sz="0" w:space="0" w:color="auto"/>
        <w:bottom w:val="none" w:sz="0" w:space="0" w:color="auto"/>
        <w:right w:val="none" w:sz="0" w:space="0" w:color="auto"/>
      </w:divBdr>
    </w:div>
    <w:div w:id="1295870492">
      <w:bodyDiv w:val="1"/>
      <w:marLeft w:val="0"/>
      <w:marRight w:val="0"/>
      <w:marTop w:val="0"/>
      <w:marBottom w:val="0"/>
      <w:divBdr>
        <w:top w:val="none" w:sz="0" w:space="0" w:color="auto"/>
        <w:left w:val="none" w:sz="0" w:space="0" w:color="auto"/>
        <w:bottom w:val="none" w:sz="0" w:space="0" w:color="auto"/>
        <w:right w:val="none" w:sz="0" w:space="0" w:color="auto"/>
      </w:divBdr>
      <w:divsChild>
        <w:div w:id="1275863725">
          <w:marLeft w:val="360"/>
          <w:marRight w:val="0"/>
          <w:marTop w:val="200"/>
          <w:marBottom w:val="0"/>
          <w:divBdr>
            <w:top w:val="none" w:sz="0" w:space="0" w:color="auto"/>
            <w:left w:val="none" w:sz="0" w:space="0" w:color="auto"/>
            <w:bottom w:val="none" w:sz="0" w:space="0" w:color="auto"/>
            <w:right w:val="none" w:sz="0" w:space="0" w:color="auto"/>
          </w:divBdr>
        </w:div>
      </w:divsChild>
    </w:div>
    <w:div w:id="1321272870">
      <w:bodyDiv w:val="1"/>
      <w:marLeft w:val="0"/>
      <w:marRight w:val="0"/>
      <w:marTop w:val="0"/>
      <w:marBottom w:val="0"/>
      <w:divBdr>
        <w:top w:val="none" w:sz="0" w:space="0" w:color="auto"/>
        <w:left w:val="none" w:sz="0" w:space="0" w:color="auto"/>
        <w:bottom w:val="none" w:sz="0" w:space="0" w:color="auto"/>
        <w:right w:val="none" w:sz="0" w:space="0" w:color="auto"/>
      </w:divBdr>
    </w:div>
    <w:div w:id="1322201729">
      <w:bodyDiv w:val="1"/>
      <w:marLeft w:val="0"/>
      <w:marRight w:val="0"/>
      <w:marTop w:val="0"/>
      <w:marBottom w:val="0"/>
      <w:divBdr>
        <w:top w:val="none" w:sz="0" w:space="0" w:color="auto"/>
        <w:left w:val="none" w:sz="0" w:space="0" w:color="auto"/>
        <w:bottom w:val="none" w:sz="0" w:space="0" w:color="auto"/>
        <w:right w:val="none" w:sz="0" w:space="0" w:color="auto"/>
      </w:divBdr>
    </w:div>
    <w:div w:id="1353264597">
      <w:bodyDiv w:val="1"/>
      <w:marLeft w:val="0"/>
      <w:marRight w:val="0"/>
      <w:marTop w:val="0"/>
      <w:marBottom w:val="0"/>
      <w:divBdr>
        <w:top w:val="none" w:sz="0" w:space="0" w:color="auto"/>
        <w:left w:val="none" w:sz="0" w:space="0" w:color="auto"/>
        <w:bottom w:val="none" w:sz="0" w:space="0" w:color="auto"/>
        <w:right w:val="none" w:sz="0" w:space="0" w:color="auto"/>
      </w:divBdr>
    </w:div>
    <w:div w:id="1365906516">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466309558">
      <w:bodyDiv w:val="1"/>
      <w:marLeft w:val="0"/>
      <w:marRight w:val="0"/>
      <w:marTop w:val="0"/>
      <w:marBottom w:val="0"/>
      <w:divBdr>
        <w:top w:val="none" w:sz="0" w:space="0" w:color="auto"/>
        <w:left w:val="none" w:sz="0" w:space="0" w:color="auto"/>
        <w:bottom w:val="none" w:sz="0" w:space="0" w:color="auto"/>
        <w:right w:val="none" w:sz="0" w:space="0" w:color="auto"/>
      </w:divBdr>
    </w:div>
    <w:div w:id="1503743981">
      <w:bodyDiv w:val="1"/>
      <w:marLeft w:val="0"/>
      <w:marRight w:val="0"/>
      <w:marTop w:val="0"/>
      <w:marBottom w:val="0"/>
      <w:divBdr>
        <w:top w:val="none" w:sz="0" w:space="0" w:color="auto"/>
        <w:left w:val="none" w:sz="0" w:space="0" w:color="auto"/>
        <w:bottom w:val="none" w:sz="0" w:space="0" w:color="auto"/>
        <w:right w:val="none" w:sz="0" w:space="0" w:color="auto"/>
      </w:divBdr>
      <w:divsChild>
        <w:div w:id="952249880">
          <w:marLeft w:val="0"/>
          <w:marRight w:val="0"/>
          <w:marTop w:val="0"/>
          <w:marBottom w:val="0"/>
          <w:divBdr>
            <w:top w:val="none" w:sz="0" w:space="0" w:color="auto"/>
            <w:left w:val="none" w:sz="0" w:space="0" w:color="auto"/>
            <w:bottom w:val="none" w:sz="0" w:space="0" w:color="auto"/>
            <w:right w:val="none" w:sz="0" w:space="0" w:color="auto"/>
          </w:divBdr>
        </w:div>
        <w:div w:id="990213310">
          <w:marLeft w:val="0"/>
          <w:marRight w:val="0"/>
          <w:marTop w:val="0"/>
          <w:marBottom w:val="0"/>
          <w:divBdr>
            <w:top w:val="none" w:sz="0" w:space="0" w:color="auto"/>
            <w:left w:val="none" w:sz="0" w:space="0" w:color="auto"/>
            <w:bottom w:val="none" w:sz="0" w:space="0" w:color="auto"/>
            <w:right w:val="none" w:sz="0" w:space="0" w:color="auto"/>
          </w:divBdr>
        </w:div>
        <w:div w:id="993919915">
          <w:marLeft w:val="0"/>
          <w:marRight w:val="0"/>
          <w:marTop w:val="0"/>
          <w:marBottom w:val="0"/>
          <w:divBdr>
            <w:top w:val="none" w:sz="0" w:space="0" w:color="auto"/>
            <w:left w:val="none" w:sz="0" w:space="0" w:color="auto"/>
            <w:bottom w:val="none" w:sz="0" w:space="0" w:color="auto"/>
            <w:right w:val="none" w:sz="0" w:space="0" w:color="auto"/>
          </w:divBdr>
        </w:div>
        <w:div w:id="1327510176">
          <w:marLeft w:val="0"/>
          <w:marRight w:val="0"/>
          <w:marTop w:val="0"/>
          <w:marBottom w:val="0"/>
          <w:divBdr>
            <w:top w:val="none" w:sz="0" w:space="0" w:color="auto"/>
            <w:left w:val="none" w:sz="0" w:space="0" w:color="auto"/>
            <w:bottom w:val="none" w:sz="0" w:space="0" w:color="auto"/>
            <w:right w:val="none" w:sz="0" w:space="0" w:color="auto"/>
          </w:divBdr>
        </w:div>
        <w:div w:id="1365323268">
          <w:marLeft w:val="0"/>
          <w:marRight w:val="0"/>
          <w:marTop w:val="0"/>
          <w:marBottom w:val="0"/>
          <w:divBdr>
            <w:top w:val="none" w:sz="0" w:space="0" w:color="auto"/>
            <w:left w:val="none" w:sz="0" w:space="0" w:color="auto"/>
            <w:bottom w:val="none" w:sz="0" w:space="0" w:color="auto"/>
            <w:right w:val="none" w:sz="0" w:space="0" w:color="auto"/>
          </w:divBdr>
        </w:div>
      </w:divsChild>
    </w:div>
    <w:div w:id="1583953651">
      <w:bodyDiv w:val="1"/>
      <w:marLeft w:val="0"/>
      <w:marRight w:val="0"/>
      <w:marTop w:val="0"/>
      <w:marBottom w:val="0"/>
      <w:divBdr>
        <w:top w:val="none" w:sz="0" w:space="0" w:color="auto"/>
        <w:left w:val="none" w:sz="0" w:space="0" w:color="auto"/>
        <w:bottom w:val="none" w:sz="0" w:space="0" w:color="auto"/>
        <w:right w:val="none" w:sz="0" w:space="0" w:color="auto"/>
      </w:divBdr>
      <w:divsChild>
        <w:div w:id="393700969">
          <w:marLeft w:val="0"/>
          <w:marRight w:val="0"/>
          <w:marTop w:val="0"/>
          <w:marBottom w:val="0"/>
          <w:divBdr>
            <w:top w:val="none" w:sz="0" w:space="0" w:color="auto"/>
            <w:left w:val="none" w:sz="0" w:space="0" w:color="auto"/>
            <w:bottom w:val="none" w:sz="0" w:space="0" w:color="auto"/>
            <w:right w:val="none" w:sz="0" w:space="0" w:color="auto"/>
          </w:divBdr>
        </w:div>
      </w:divsChild>
    </w:div>
    <w:div w:id="1657605537">
      <w:bodyDiv w:val="1"/>
      <w:marLeft w:val="0"/>
      <w:marRight w:val="0"/>
      <w:marTop w:val="0"/>
      <w:marBottom w:val="0"/>
      <w:divBdr>
        <w:top w:val="none" w:sz="0" w:space="0" w:color="auto"/>
        <w:left w:val="none" w:sz="0" w:space="0" w:color="auto"/>
        <w:bottom w:val="none" w:sz="0" w:space="0" w:color="auto"/>
        <w:right w:val="none" w:sz="0" w:space="0" w:color="auto"/>
      </w:divBdr>
    </w:div>
    <w:div w:id="1700427341">
      <w:bodyDiv w:val="1"/>
      <w:marLeft w:val="0"/>
      <w:marRight w:val="0"/>
      <w:marTop w:val="0"/>
      <w:marBottom w:val="0"/>
      <w:divBdr>
        <w:top w:val="none" w:sz="0" w:space="0" w:color="auto"/>
        <w:left w:val="none" w:sz="0" w:space="0" w:color="auto"/>
        <w:bottom w:val="none" w:sz="0" w:space="0" w:color="auto"/>
        <w:right w:val="none" w:sz="0" w:space="0" w:color="auto"/>
      </w:divBdr>
    </w:div>
    <w:div w:id="1774934643">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841194063">
      <w:bodyDiv w:val="1"/>
      <w:marLeft w:val="0"/>
      <w:marRight w:val="0"/>
      <w:marTop w:val="0"/>
      <w:marBottom w:val="0"/>
      <w:divBdr>
        <w:top w:val="none" w:sz="0" w:space="0" w:color="auto"/>
        <w:left w:val="none" w:sz="0" w:space="0" w:color="auto"/>
        <w:bottom w:val="none" w:sz="0" w:space="0" w:color="auto"/>
        <w:right w:val="none" w:sz="0" w:space="0" w:color="auto"/>
      </w:divBdr>
    </w:div>
    <w:div w:id="1843160628">
      <w:bodyDiv w:val="1"/>
      <w:marLeft w:val="0"/>
      <w:marRight w:val="0"/>
      <w:marTop w:val="0"/>
      <w:marBottom w:val="0"/>
      <w:divBdr>
        <w:top w:val="none" w:sz="0" w:space="0" w:color="auto"/>
        <w:left w:val="none" w:sz="0" w:space="0" w:color="auto"/>
        <w:bottom w:val="none" w:sz="0" w:space="0" w:color="auto"/>
        <w:right w:val="none" w:sz="0" w:space="0" w:color="auto"/>
      </w:divBdr>
    </w:div>
    <w:div w:id="1861359693">
      <w:bodyDiv w:val="1"/>
      <w:marLeft w:val="0"/>
      <w:marRight w:val="0"/>
      <w:marTop w:val="0"/>
      <w:marBottom w:val="0"/>
      <w:divBdr>
        <w:top w:val="none" w:sz="0" w:space="0" w:color="auto"/>
        <w:left w:val="none" w:sz="0" w:space="0" w:color="auto"/>
        <w:bottom w:val="none" w:sz="0" w:space="0" w:color="auto"/>
        <w:right w:val="none" w:sz="0" w:space="0" w:color="auto"/>
      </w:divBdr>
    </w:div>
    <w:div w:id="1870482675">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 w:id="1947274481">
      <w:bodyDiv w:val="1"/>
      <w:marLeft w:val="0"/>
      <w:marRight w:val="0"/>
      <w:marTop w:val="0"/>
      <w:marBottom w:val="0"/>
      <w:divBdr>
        <w:top w:val="none" w:sz="0" w:space="0" w:color="auto"/>
        <w:left w:val="none" w:sz="0" w:space="0" w:color="auto"/>
        <w:bottom w:val="none" w:sz="0" w:space="0" w:color="auto"/>
        <w:right w:val="none" w:sz="0" w:space="0" w:color="auto"/>
      </w:divBdr>
    </w:div>
    <w:div w:id="1952202402">
      <w:bodyDiv w:val="1"/>
      <w:marLeft w:val="0"/>
      <w:marRight w:val="0"/>
      <w:marTop w:val="0"/>
      <w:marBottom w:val="0"/>
      <w:divBdr>
        <w:top w:val="none" w:sz="0" w:space="0" w:color="auto"/>
        <w:left w:val="none" w:sz="0" w:space="0" w:color="auto"/>
        <w:bottom w:val="none" w:sz="0" w:space="0" w:color="auto"/>
        <w:right w:val="none" w:sz="0" w:space="0" w:color="auto"/>
      </w:divBdr>
    </w:div>
    <w:div w:id="1981230609">
      <w:bodyDiv w:val="1"/>
      <w:marLeft w:val="0"/>
      <w:marRight w:val="0"/>
      <w:marTop w:val="0"/>
      <w:marBottom w:val="0"/>
      <w:divBdr>
        <w:top w:val="none" w:sz="0" w:space="0" w:color="auto"/>
        <w:left w:val="none" w:sz="0" w:space="0" w:color="auto"/>
        <w:bottom w:val="none" w:sz="0" w:space="0" w:color="auto"/>
        <w:right w:val="none" w:sz="0" w:space="0" w:color="auto"/>
      </w:divBdr>
      <w:divsChild>
        <w:div w:id="26755551">
          <w:marLeft w:val="979"/>
          <w:marRight w:val="0"/>
          <w:marTop w:val="0"/>
          <w:marBottom w:val="0"/>
          <w:divBdr>
            <w:top w:val="none" w:sz="0" w:space="0" w:color="auto"/>
            <w:left w:val="none" w:sz="0" w:space="0" w:color="auto"/>
            <w:bottom w:val="none" w:sz="0" w:space="0" w:color="auto"/>
            <w:right w:val="none" w:sz="0" w:space="0" w:color="auto"/>
          </w:divBdr>
        </w:div>
        <w:div w:id="116487611">
          <w:marLeft w:val="547"/>
          <w:marRight w:val="0"/>
          <w:marTop w:val="0"/>
          <w:marBottom w:val="0"/>
          <w:divBdr>
            <w:top w:val="none" w:sz="0" w:space="0" w:color="auto"/>
            <w:left w:val="none" w:sz="0" w:space="0" w:color="auto"/>
            <w:bottom w:val="none" w:sz="0" w:space="0" w:color="auto"/>
            <w:right w:val="none" w:sz="0" w:space="0" w:color="auto"/>
          </w:divBdr>
        </w:div>
        <w:div w:id="293412619">
          <w:marLeft w:val="979"/>
          <w:marRight w:val="0"/>
          <w:marTop w:val="0"/>
          <w:marBottom w:val="0"/>
          <w:divBdr>
            <w:top w:val="none" w:sz="0" w:space="0" w:color="auto"/>
            <w:left w:val="none" w:sz="0" w:space="0" w:color="auto"/>
            <w:bottom w:val="none" w:sz="0" w:space="0" w:color="auto"/>
            <w:right w:val="none" w:sz="0" w:space="0" w:color="auto"/>
          </w:divBdr>
        </w:div>
        <w:div w:id="325593784">
          <w:marLeft w:val="979"/>
          <w:marRight w:val="0"/>
          <w:marTop w:val="0"/>
          <w:marBottom w:val="0"/>
          <w:divBdr>
            <w:top w:val="none" w:sz="0" w:space="0" w:color="auto"/>
            <w:left w:val="none" w:sz="0" w:space="0" w:color="auto"/>
            <w:bottom w:val="none" w:sz="0" w:space="0" w:color="auto"/>
            <w:right w:val="none" w:sz="0" w:space="0" w:color="auto"/>
          </w:divBdr>
        </w:div>
        <w:div w:id="336079541">
          <w:marLeft w:val="979"/>
          <w:marRight w:val="0"/>
          <w:marTop w:val="0"/>
          <w:marBottom w:val="0"/>
          <w:divBdr>
            <w:top w:val="none" w:sz="0" w:space="0" w:color="auto"/>
            <w:left w:val="none" w:sz="0" w:space="0" w:color="auto"/>
            <w:bottom w:val="none" w:sz="0" w:space="0" w:color="auto"/>
            <w:right w:val="none" w:sz="0" w:space="0" w:color="auto"/>
          </w:divBdr>
        </w:div>
        <w:div w:id="844320372">
          <w:marLeft w:val="979"/>
          <w:marRight w:val="0"/>
          <w:marTop w:val="0"/>
          <w:marBottom w:val="0"/>
          <w:divBdr>
            <w:top w:val="none" w:sz="0" w:space="0" w:color="auto"/>
            <w:left w:val="none" w:sz="0" w:space="0" w:color="auto"/>
            <w:bottom w:val="none" w:sz="0" w:space="0" w:color="auto"/>
            <w:right w:val="none" w:sz="0" w:space="0" w:color="auto"/>
          </w:divBdr>
        </w:div>
        <w:div w:id="985087580">
          <w:marLeft w:val="979"/>
          <w:marRight w:val="0"/>
          <w:marTop w:val="0"/>
          <w:marBottom w:val="0"/>
          <w:divBdr>
            <w:top w:val="none" w:sz="0" w:space="0" w:color="auto"/>
            <w:left w:val="none" w:sz="0" w:space="0" w:color="auto"/>
            <w:bottom w:val="none" w:sz="0" w:space="0" w:color="auto"/>
            <w:right w:val="none" w:sz="0" w:space="0" w:color="auto"/>
          </w:divBdr>
        </w:div>
        <w:div w:id="1211727675">
          <w:marLeft w:val="979"/>
          <w:marRight w:val="0"/>
          <w:marTop w:val="0"/>
          <w:marBottom w:val="0"/>
          <w:divBdr>
            <w:top w:val="none" w:sz="0" w:space="0" w:color="auto"/>
            <w:left w:val="none" w:sz="0" w:space="0" w:color="auto"/>
            <w:bottom w:val="none" w:sz="0" w:space="0" w:color="auto"/>
            <w:right w:val="none" w:sz="0" w:space="0" w:color="auto"/>
          </w:divBdr>
        </w:div>
        <w:div w:id="1566800295">
          <w:marLeft w:val="547"/>
          <w:marRight w:val="0"/>
          <w:marTop w:val="0"/>
          <w:marBottom w:val="0"/>
          <w:divBdr>
            <w:top w:val="none" w:sz="0" w:space="0" w:color="auto"/>
            <w:left w:val="none" w:sz="0" w:space="0" w:color="auto"/>
            <w:bottom w:val="none" w:sz="0" w:space="0" w:color="auto"/>
            <w:right w:val="none" w:sz="0" w:space="0" w:color="auto"/>
          </w:divBdr>
        </w:div>
        <w:div w:id="2096128135">
          <w:marLeft w:val="979"/>
          <w:marRight w:val="0"/>
          <w:marTop w:val="0"/>
          <w:marBottom w:val="0"/>
          <w:divBdr>
            <w:top w:val="none" w:sz="0" w:space="0" w:color="auto"/>
            <w:left w:val="none" w:sz="0" w:space="0" w:color="auto"/>
            <w:bottom w:val="none" w:sz="0" w:space="0" w:color="auto"/>
            <w:right w:val="none" w:sz="0" w:space="0" w:color="auto"/>
          </w:divBdr>
        </w:div>
        <w:div w:id="2137991270">
          <w:marLeft w:val="979"/>
          <w:marRight w:val="0"/>
          <w:marTop w:val="0"/>
          <w:marBottom w:val="0"/>
          <w:divBdr>
            <w:top w:val="none" w:sz="0" w:space="0" w:color="auto"/>
            <w:left w:val="none" w:sz="0" w:space="0" w:color="auto"/>
            <w:bottom w:val="none" w:sz="0" w:space="0" w:color="auto"/>
            <w:right w:val="none" w:sz="0" w:space="0" w:color="auto"/>
          </w:divBdr>
        </w:div>
      </w:divsChild>
    </w:div>
    <w:div w:id="2086603806">
      <w:bodyDiv w:val="1"/>
      <w:marLeft w:val="0"/>
      <w:marRight w:val="0"/>
      <w:marTop w:val="0"/>
      <w:marBottom w:val="0"/>
      <w:divBdr>
        <w:top w:val="none" w:sz="0" w:space="0" w:color="auto"/>
        <w:left w:val="none" w:sz="0" w:space="0" w:color="auto"/>
        <w:bottom w:val="none" w:sz="0" w:space="0" w:color="auto"/>
        <w:right w:val="none" w:sz="0" w:space="0" w:color="auto"/>
      </w:divBdr>
    </w:div>
    <w:div w:id="2104064542">
      <w:bodyDiv w:val="1"/>
      <w:marLeft w:val="0"/>
      <w:marRight w:val="0"/>
      <w:marTop w:val="0"/>
      <w:marBottom w:val="0"/>
      <w:divBdr>
        <w:top w:val="none" w:sz="0" w:space="0" w:color="auto"/>
        <w:left w:val="none" w:sz="0" w:space="0" w:color="auto"/>
        <w:bottom w:val="none" w:sz="0" w:space="0" w:color="auto"/>
        <w:right w:val="none" w:sz="0" w:space="0" w:color="auto"/>
      </w:divBdr>
      <w:divsChild>
        <w:div w:id="352345795">
          <w:marLeft w:val="0"/>
          <w:marRight w:val="0"/>
          <w:marTop w:val="0"/>
          <w:marBottom w:val="0"/>
          <w:divBdr>
            <w:top w:val="none" w:sz="0" w:space="0" w:color="auto"/>
            <w:left w:val="none" w:sz="0" w:space="0" w:color="auto"/>
            <w:bottom w:val="none" w:sz="0" w:space="0" w:color="auto"/>
            <w:right w:val="none" w:sz="0" w:space="0" w:color="auto"/>
          </w:divBdr>
        </w:div>
      </w:divsChild>
    </w:div>
    <w:div w:id="210622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ylwester.szczepaniak@mc.gov.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307C4B2477A418046128EB885694D" ma:contentTypeVersion="4" ma:contentTypeDescription="Utwórz nowy dokument." ma:contentTypeScope="" ma:versionID="0304f58fe8e23f7a3875cf3ee3684270">
  <xsd:schema xmlns:xsd="http://www.w3.org/2001/XMLSchema" xmlns:xs="http://www.w3.org/2001/XMLSchema" xmlns:p="http://schemas.microsoft.com/office/2006/metadata/properties" xmlns:ns2="3a019021-2db9-4573-874a-1cac295e69ae" targetNamespace="http://schemas.microsoft.com/office/2006/metadata/properties" ma:root="true" ma:fieldsID="4bd1b3a913a545726c9edacaa0acba8a" ns2:_="">
    <xsd:import namespace="3a019021-2db9-4573-874a-1cac295e69ae"/>
    <xsd:element name="properties">
      <xsd:complexType>
        <xsd:sequence>
          <xsd:element name="documentManagement">
            <xsd:complexType>
              <xsd:all>
                <xsd:element ref="ns2:_dlc_DocId" minOccurs="0"/>
                <xsd:element ref="ns2:_dlc_DocIdUrl" minOccurs="0"/>
                <xsd:element ref="ns2:_dlc_DocIdPersistId" minOccurs="0"/>
                <xsd:element ref="ns2:TaxKeywordTaxHTField" minOccurs="0"/>
                <xsd:element ref="ns2:TaxCatchAl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19021-2db9-4573-874a-1cac295e69ae"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KeywordTaxHTField" ma:index="12" nillable="true" ma:taxonomy="true" ma:internalName="TaxKeywordTaxHTField" ma:taxonomyFieldName="TaxKeyword" ma:displayName="Słowa kluczowe przedsiębiorstwa"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587efa3e-32b7-45e2-ae4f-619bf42b68e5}" ma:internalName="TaxCatchAll" ma:showField="CatchAllData" ma:web="3a019021-2db9-4573-874a-1cac295e69a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a019021-2db9-4573-874a-1cac295e69ae">
      <Terms xmlns="http://schemas.microsoft.com/office/infopath/2007/PartnerControls"/>
    </TaxKeywordTaxHTField>
    <TaxCatchAll xmlns="3a019021-2db9-4573-874a-1cac295e69ae"/>
    <_dlc_DocId xmlns="3a019021-2db9-4573-874a-1cac295e69ae">33EXR6SS6JYP-1341998456-974</_dlc_DocId>
    <_dlc_DocIdUrl xmlns="3a019021-2db9-4573-874a-1cac295e69ae">
      <Url>http://docs.mc.gov.pl/proj/edoreczenia/_layouts/15/DocIdRedir.aspx?ID=33EXR6SS6JYP-1341998456-974</Url>
      <Description>33EXR6SS6JYP-1341998456-974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CC485-E8CB-4058-98C5-6E7B6AF91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19021-2db9-4573-874a-1cac295e6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B85E47-D834-449E-8765-38DB48EB6DD6}">
  <ds:schemaRefs>
    <ds:schemaRef ds:uri="http://schemas.microsoft.com/sharepoint/v3/contenttype/forms"/>
  </ds:schemaRefs>
</ds:datastoreItem>
</file>

<file path=customXml/itemProps3.xml><?xml version="1.0" encoding="utf-8"?>
<ds:datastoreItem xmlns:ds="http://schemas.openxmlformats.org/officeDocument/2006/customXml" ds:itemID="{823606D0-BAC0-433E-8E71-3D797E51913B}">
  <ds:schemaRefs>
    <ds:schemaRef ds:uri="http://schemas.microsoft.com/sharepoint/events"/>
  </ds:schemaRefs>
</ds:datastoreItem>
</file>

<file path=customXml/itemProps4.xml><?xml version="1.0" encoding="utf-8"?>
<ds:datastoreItem xmlns:ds="http://schemas.openxmlformats.org/officeDocument/2006/customXml" ds:itemID="{2B12178D-02D6-402C-A871-DD901F7E6F7B}">
  <ds:schemaRefs>
    <ds:schemaRef ds:uri="http://schemas.microsoft.com/office/2006/metadata/properties"/>
    <ds:schemaRef ds:uri="http://schemas.microsoft.com/office/infopath/2007/PartnerControls"/>
    <ds:schemaRef ds:uri="3a019021-2db9-4573-874a-1cac295e69ae"/>
  </ds:schemaRefs>
</ds:datastoreItem>
</file>

<file path=customXml/itemProps5.xml><?xml version="1.0" encoding="utf-8"?>
<ds:datastoreItem xmlns:ds="http://schemas.openxmlformats.org/officeDocument/2006/customXml" ds:itemID="{2046652F-6C30-41AF-B596-46787CE5B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16399</Words>
  <Characters>98397</Characters>
  <Application>Microsoft Office Word</Application>
  <DocSecurity>0</DocSecurity>
  <Lines>819</Lines>
  <Paragraphs>229</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114567</CharactersWithSpaces>
  <SharedDoc>false</SharedDoc>
  <HLinks>
    <vt:vector size="12" baseType="variant">
      <vt:variant>
        <vt:i4>1638433</vt:i4>
      </vt:variant>
      <vt:variant>
        <vt:i4>103</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jsessionid=1065FD5D001213ECD71FD650347F1674?redirect=http%3A%2F%2Fwww.mf.gov.pl%2Fministerstwo-finansow%2Fdzialalnosc%2Ffinanse-publiczne%2Fsytuacja-makroekonomiczna-i-finanse-publiczne%2Fwytyczne%3Fp_p_id%3D101_INSTANCE_S0gu%26p_p_lifecycle%3D0%26p_p_state%3Dnormal%26p_p_mode%3Dview%26p_p_col_id%3Dcolumn-2%26p_p_col_count%3D1%20-%20p_p_id_101_INSTANCE_S0gu_</vt:lpwstr>
      </vt:variant>
      <vt:variant>
        <vt:lpwstr/>
      </vt:variant>
      <vt:variant>
        <vt:i4>8323197</vt:i4>
      </vt:variant>
      <vt:variant>
        <vt:i4>100</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redirect=http%3A%2F%2Fwww.mf.gov.pl%2Fministerstwo-finansow%2Fdzialalnosc%2Ffinanse-publiczne%2Fsytuacja-makroekonomiczna-i-finanse-publiczne%2Fwytyczne%3Fp_p_id%3D101_INSTANCE_S0gu%26p_p_lifecycle%3D0%26p_p_state%3Dnormal%26p_p_mode%3Dview%26p_p_col_id%3Dcolumn-2%26p_p_col_count%3D1</vt:lpwstr>
      </vt:variant>
      <vt:variant>
        <vt:lpwstr>p_p_id_101_INSTANCE_S0gu_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2019-10-22T12:22:00Z</dcterms:created>
  <dcterms:modified xsi:type="dcterms:W3CDTF">2019-10-23T14:26:00Z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0x010100715307C4B2477A418046128EB885694D</vt:lpwstr>
  </property>
  <property fmtid="{D5CDD505-2E9C-101B-9397-08002B2CF9AE}" pid="3" name="_dlc_DocIdItemGuid">
    <vt:lpwstr>ddaa73c4-6583-45ea-890c-d25725a3c5f3</vt:lpwstr>
  </property>
  <property fmtid="{D5CDD505-2E9C-101B-9397-08002B2CF9AE}" pid="4" name="TaxKeyword">
    <vt:lpwstr/>
  </property>
</Properties>
</file>