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28C8" w14:textId="564BD755" w:rsidR="00704E6A" w:rsidRPr="00704E6A" w:rsidRDefault="00704E6A" w:rsidP="00D543FF">
      <w:pPr>
        <w:spacing w:after="0" w:line="240" w:lineRule="auto"/>
        <w:rPr>
          <w:rFonts w:ascii="Courier New" w:hAnsi="Courier New" w:cs="Courier New"/>
          <w:szCs w:val="20"/>
        </w:rPr>
      </w:pPr>
      <w:r>
        <w:rPr>
          <w:rFonts w:ascii="Courier New" w:hAnsi="Courier New"/>
        </w:rPr>
        <w:t>1. ------IND- 2020 0609 DK- EL-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ΣΧΕΔΙΟ</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 xml:space="preserve">Διάταγμα που απαγορεύει τη διαφήμιση και τοποθέτηση σε ευκρινές σημείο και οπτική παρουσίαση κ.λπ. ηλεκτρονικών τσιγάρων και </w:t>
      </w:r>
      <w:proofErr w:type="spellStart"/>
      <w:r>
        <w:rPr>
          <w:sz w:val="32"/>
        </w:rPr>
        <w:t>περιεκτών</w:t>
      </w:r>
      <w:proofErr w:type="spellEnd"/>
      <w:r>
        <w:rPr>
          <w:sz w:val="32"/>
        </w:rPr>
        <w:t xml:space="preserve"> </w:t>
      </w:r>
      <w:proofErr w:type="spellStart"/>
      <w:r>
        <w:rPr>
          <w:sz w:val="32"/>
        </w:rPr>
        <w:t>επαναπλήρωσης</w:t>
      </w:r>
      <w:proofErr w:type="spellEnd"/>
      <w:r>
        <w:rPr>
          <w:sz w:val="32"/>
        </w:rPr>
        <w:t xml:space="preserve"> με και χωρίς νικοτίνη</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rPr>
        <w:t>Σύμφωνα με το άρθρο 18α παράγραφος 4 του νόμου που απαγορεύει τα ηλεκτρονικά τσιγάρα κ.λπ., βλ. ενοποιημένο νόμο αριθ. 426 της 18ης Μαΐου 2016 για τα ηλεκτρονικά τσιγάρα κ.λπ., όπως τροποποιήθηκε με το άρθρο 2 του νόμου αριθ. 1558 της 18ης Δεκεμβρίου 2018 και το άρθρο 3 του νόμου αριθ. </w:t>
      </w:r>
      <w:proofErr w:type="spellStart"/>
      <w:r>
        <w:rPr>
          <w:sz w:val="24"/>
        </w:rPr>
        <w:t>xx</w:t>
      </w:r>
      <w:proofErr w:type="spellEnd"/>
      <w:r>
        <w:rPr>
          <w:sz w:val="24"/>
        </w:rPr>
        <w:t xml:space="preserve"> της </w:t>
      </w:r>
      <w:proofErr w:type="spellStart"/>
      <w:r>
        <w:rPr>
          <w:sz w:val="24"/>
        </w:rPr>
        <w:t>xx</w:t>
      </w:r>
      <w:proofErr w:type="spellEnd"/>
      <w:r>
        <w:rPr>
          <w:sz w:val="24"/>
        </w:rPr>
        <w:t> 2020, θεσπίζονται τα ακόλουθα:</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Κεφάλαιο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rPr>
        <w:t>Ορισμοί</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Άρθρο 1. </w:t>
      </w:r>
      <w:r>
        <w:rPr>
          <w:sz w:val="24"/>
        </w:rPr>
        <w:t>Για τους σκοπούς του παρόντος διατάγματος ισχύουν οι ακόλουθοι ορισμοί:</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rPr>
        <w:t xml:space="preserve">1) ηλεκτρονικό τσιγάρο: προϊόν που μπορεί να χρησιμοποιηθεί για κατανάλωση ατμού που περιέχει νικοτίνη με επιστόμιο ή στοιχεία ενός τέτοιου προϊόντος, συμπεριλαμβανομένου ενός φυσιγγίου, ενός δοχείου </w:t>
      </w:r>
      <w:proofErr w:type="spellStart"/>
      <w:r>
        <w:rPr>
          <w:sz w:val="24"/>
        </w:rPr>
        <w:t>επαναπλήρωσης</w:t>
      </w:r>
      <w:proofErr w:type="spellEnd"/>
      <w:r>
        <w:rPr>
          <w:sz w:val="24"/>
        </w:rPr>
        <w:t xml:space="preserve"> και μιας διάταξης χωρίς φυσίγγιο ή δοχείο </w:t>
      </w:r>
      <w:proofErr w:type="spellStart"/>
      <w:r>
        <w:rPr>
          <w:sz w:val="24"/>
        </w:rPr>
        <w:t>επαναπλήρωσης</w:t>
      </w:r>
      <w:proofErr w:type="spellEnd"/>
      <w:r>
        <w:rPr>
          <w:sz w:val="24"/>
        </w:rPr>
        <w:t xml:space="preserve">. Τα ηλεκτρονικά τσιγάρα μπορεί να είναι μιας χρήσης ή </w:t>
      </w:r>
      <w:proofErr w:type="spellStart"/>
      <w:r>
        <w:rPr>
          <w:sz w:val="24"/>
        </w:rPr>
        <w:t>επαναπληρούμενα</w:t>
      </w:r>
      <w:proofErr w:type="spellEnd"/>
      <w:r>
        <w:rPr>
          <w:sz w:val="24"/>
        </w:rPr>
        <w:t xml:space="preserve"> μέσω </w:t>
      </w:r>
      <w:proofErr w:type="spellStart"/>
      <w:r>
        <w:rPr>
          <w:sz w:val="24"/>
        </w:rPr>
        <w:t>περιέκτη</w:t>
      </w:r>
      <w:proofErr w:type="spellEnd"/>
      <w:r>
        <w:rPr>
          <w:sz w:val="24"/>
        </w:rPr>
        <w:t xml:space="preserve"> </w:t>
      </w:r>
      <w:proofErr w:type="spellStart"/>
      <w:r>
        <w:rPr>
          <w:sz w:val="24"/>
        </w:rPr>
        <w:t>επαναπλήρωσης</w:t>
      </w:r>
      <w:proofErr w:type="spellEnd"/>
      <w:r>
        <w:rPr>
          <w:sz w:val="24"/>
        </w:rPr>
        <w:t xml:space="preserve"> και δοχείου </w:t>
      </w:r>
      <w:proofErr w:type="spellStart"/>
      <w:r>
        <w:rPr>
          <w:sz w:val="24"/>
        </w:rPr>
        <w:t>επαναπλήρωσης</w:t>
      </w:r>
      <w:proofErr w:type="spellEnd"/>
      <w:r>
        <w:rPr>
          <w:sz w:val="24"/>
        </w:rPr>
        <w:t xml:space="preserve"> ή επαναφορτιζόμενα με φυσίγγια μιας χρήσης.</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2) </w:t>
      </w:r>
      <w:proofErr w:type="spellStart"/>
      <w:r>
        <w:rPr>
          <w:sz w:val="24"/>
        </w:rPr>
        <w:t>Περιέκτης</w:t>
      </w:r>
      <w:proofErr w:type="spellEnd"/>
      <w:r>
        <w:rPr>
          <w:sz w:val="24"/>
        </w:rPr>
        <w:t xml:space="preserve"> </w:t>
      </w:r>
      <w:proofErr w:type="spellStart"/>
      <w:r>
        <w:rPr>
          <w:sz w:val="24"/>
        </w:rPr>
        <w:t>επαναπλήρωσης</w:t>
      </w:r>
      <w:proofErr w:type="spellEnd"/>
      <w:r>
        <w:rPr>
          <w:sz w:val="24"/>
        </w:rPr>
        <w:t xml:space="preserve"> με νικοτίνη: δοχείο που περιέχει υγρό στο οποίο περιέχεται νικοτίνη, το οποίο μπορεί να χρησιμοποιηθεί για να </w:t>
      </w:r>
      <w:proofErr w:type="spellStart"/>
      <w:r>
        <w:rPr>
          <w:sz w:val="24"/>
        </w:rPr>
        <w:t>επαναπληρώσει</w:t>
      </w:r>
      <w:proofErr w:type="spellEnd"/>
      <w:r>
        <w:rPr>
          <w:sz w:val="24"/>
        </w:rPr>
        <w:t xml:space="preserve"> ένα ηλεκτρονικό τσιγάρο με νικοτίνη.</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3) </w:t>
      </w:r>
      <w:proofErr w:type="spellStart"/>
      <w:r>
        <w:rPr>
          <w:sz w:val="24"/>
        </w:rPr>
        <w:t>Περιέκτης</w:t>
      </w:r>
      <w:proofErr w:type="spellEnd"/>
      <w:r>
        <w:rPr>
          <w:sz w:val="24"/>
        </w:rPr>
        <w:t xml:space="preserve"> </w:t>
      </w:r>
      <w:proofErr w:type="spellStart"/>
      <w:r>
        <w:rPr>
          <w:sz w:val="24"/>
        </w:rPr>
        <w:t>επαναπλήρωσης</w:t>
      </w:r>
      <w:proofErr w:type="spellEnd"/>
      <w:r>
        <w:rPr>
          <w:sz w:val="24"/>
        </w:rPr>
        <w:t xml:space="preserve"> χωρίς νικοτίνη: δοχείο που περιέχει υγρό στο οποίο δεν περιέχεται νικοτίνη, το οποίο μπορεί να χρησιμοποιηθεί για να </w:t>
      </w:r>
      <w:proofErr w:type="spellStart"/>
      <w:r>
        <w:rPr>
          <w:sz w:val="24"/>
        </w:rPr>
        <w:t>επαναπληρώσει</w:t>
      </w:r>
      <w:proofErr w:type="spellEnd"/>
      <w:r>
        <w:rPr>
          <w:sz w:val="24"/>
        </w:rPr>
        <w:t xml:space="preserve"> ένα ηλεκτρονικό τσιγάρο χωρίς νικοτίνη.</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Κεφάλαιο 2</w:t>
      </w:r>
    </w:p>
    <w:p w14:paraId="7A51CD03" w14:textId="34822FC0"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Διαφήμιση</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Άρθρο 2. </w:t>
      </w:r>
      <w:r>
        <w:rPr>
          <w:sz w:val="24"/>
        </w:rPr>
        <w:t xml:space="preserve">Απαγορεύονται όλες οι μορφές διαφήμισης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με και χωρίς νικοτίνη, βλ. άρθρο 16 παράγραφος 1 του νόμου για τα ηλεκτρονικά τσιγάρα κ.λπ.</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Παράγραφος 2.</w:t>
      </w:r>
      <w:r>
        <w:rPr>
          <w:sz w:val="24"/>
        </w:rPr>
        <w:t xml:space="preserve"> Η απαγόρευση διαφήμισης στην παράγραφο 1 περιλαμβάνει απαγόρευση σχετικά με:</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 xml:space="preserve">1) Τη χρήση ονομασίας, εμπορικού σήματος, συμβόλου ή άλλου συμβόλου που είναι γνωστό κυρίως από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στο πλαίσιο διαφήμισης άλλων προϊόντων και υπηρεσιών.</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lastRenderedPageBreak/>
        <w:t xml:space="preserve">2) Την εμπορία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με τη βοήθεια ονομασίας, εμπορικού σήματος, συμβόλου ή άλλου χαρακτηριστικού που είναι γνωστό ή χρησιμοποιείται ως εμπορικό σήμα για άλλα αγαθά και υπηρεσίες.</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 xml:space="preserve">3) Την εμπορία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με τη βοήθεια ονομασίας, εμπορικού σήματος, συμβόλου εικόνων ή παρόμοιων που απευθύνονται κυρίως σε παιδιά και νέους κάτω των 18 ετών.</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 xml:space="preserve">4) Τη χρήση διάταξης, σχεδιασμού ή συγκεκριμένων συνδυασμών χρωμάτων που σχετίζονται με συγκεκριμένα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 xml:space="preserve">5) Τη χρήση αναγνωρίσιμων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στο πλαίσιο διαφήμισης για άλλα προϊόντα και υπηρεσίες.</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 xml:space="preserve">Παράγραφος 3. </w:t>
      </w:r>
      <w:r>
        <w:rPr>
          <w:sz w:val="24"/>
        </w:rPr>
        <w:t>Ωστόσο, η απαγόρευση της παραγράφου 1 δεν ισχύει στις ακόλουθες περιπτώσεις:</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για κοινοποιήσεις που απευθύνονται αποκλειστικά σε επαγγελματίες του κλάδου,</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 xml:space="preserve">2) για χρήση ονομασίας η οποία πριν από τις 7 Ιουνίου 2016 χρησιμοποιήθηκε τόσο για ηλεκτρονικά τσιγάρα όσο και για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και άλλα αγαθά ή υπηρεσίες, με σκοπό τη διαφήμιση αυτών των άλλων προϊόντων, αρκεί η ονομασία να εμφανίζεται σε μορφή σαφώς διαφορετική από εκείνη της ονομασίας που εμφανίζεται στο ηλεκτρονικό τσιγάρο και στον </w:t>
      </w:r>
      <w:proofErr w:type="spellStart"/>
      <w:r>
        <w:rPr>
          <w:sz w:val="24"/>
        </w:rPr>
        <w:t>περιέκτη</w:t>
      </w:r>
      <w:proofErr w:type="spellEnd"/>
      <w:r>
        <w:rPr>
          <w:sz w:val="24"/>
        </w:rPr>
        <w:t xml:space="preserve"> </w:t>
      </w:r>
      <w:proofErr w:type="spellStart"/>
      <w:r>
        <w:rPr>
          <w:sz w:val="24"/>
        </w:rPr>
        <w:t>επαναπλήρωσης</w:t>
      </w:r>
      <w:proofErr w:type="spellEnd"/>
      <w:r>
        <w:rPr>
          <w:sz w:val="24"/>
        </w:rPr>
        <w:t>.</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για χρήση ονομασίας γνωστής από προϊόντα καπνού στο πλαίσιο διαφήμισης άλλων αγαθών και υπηρεσιών, εάν τα άλλα αγαθά ή υπηρεσίες διατίθενται στην αγορά μόνο σε περιορισμένη γεωγραφική περιοχή.</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Κεφάλαιο 3</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Απαγόρευση τοποθέτησης σε ευκρινές σημείο και οπτικής παρουσίασης</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Άρθρο 3. </w:t>
      </w:r>
      <w:r>
        <w:rPr>
          <w:sz w:val="24"/>
        </w:rPr>
        <w:t xml:space="preserve">Απαγορεύεται η τοποθέτηση σε ευκρινές σημείο και η οπτική παρουσίαση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με και χωρίς νικοτίνη σε σημεία πώλησης, συμπεριλαμβανομένου του διαδικτύου.</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rFonts w:eastAsia="TimesNewRomanPSMT" w:cstheme="minorHAnsi"/>
          <w:sz w:val="24"/>
          <w:szCs w:val="24"/>
        </w:rPr>
      </w:pPr>
      <w:r>
        <w:rPr>
          <w:i/>
          <w:sz w:val="24"/>
        </w:rPr>
        <w:t xml:space="preserve">Παράγραφος 2. </w:t>
      </w:r>
      <w:r>
        <w:rPr>
          <w:sz w:val="24"/>
        </w:rPr>
        <w:t>Τα προϊόντα που προορίζονται για χρήση σε συνδυασμό με τα προϊόντα που καλύπτονται από την παράγραφο 1 περιλαμβάνονται επίσης στην απαγόρευση της παραγράφου 1.</w:t>
      </w:r>
    </w:p>
    <w:p w14:paraId="6C243789" w14:textId="77777777" w:rsidR="00BB6654" w:rsidRPr="00704E6A" w:rsidRDefault="00BB6654" w:rsidP="00BB6654">
      <w:pPr>
        <w:rPr>
          <w:rFonts w:cstheme="minorHAnsi"/>
          <w:sz w:val="24"/>
          <w:szCs w:val="24"/>
        </w:rPr>
      </w:pPr>
      <w:r>
        <w:rPr>
          <w:i/>
          <w:sz w:val="24"/>
        </w:rPr>
        <w:t>Παράγραφος 3.</w:t>
      </w:r>
      <w:r>
        <w:rPr>
          <w:sz w:val="24"/>
        </w:rPr>
        <w:t xml:space="preserve"> Η απαγόρευση της παραγράφου 2 περιλαμβάνει, αλλά δεν περιορίζεται σε, φορτιστές, άδειους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συσκευασίες, μπαταρίες ή αρωματικές ύλες. Η απαγόρευση στην παράγραφο 2 δεν περιλαμβάνει προϊόντα που έχουν πιο γενική προβλεπόμενη χρήση, εκτός εάν έχουν ειδικά σχεδιαστεί ή διατεθεί στην αγορά με αναφορά σε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rPr>
        <w:t xml:space="preserve">Παράγραφος 4. </w:t>
      </w:r>
      <w:r>
        <w:rPr>
          <w:sz w:val="24"/>
        </w:rPr>
        <w:t>Σύμφωνα με την απαγόρευση των παραγράφων 1 και 2, απαγορεύεται:</w:t>
      </w:r>
    </w:p>
    <w:p w14:paraId="1B46E0BB" w14:textId="77A26A6A"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 xml:space="preserve">άμεσα ή έμμεσα η διαφήμιση ή ανακοίνωση σχετικά με την πώληση ηλεκτρονικών τσιγάρων και </w:t>
      </w:r>
      <w:proofErr w:type="spellStart"/>
      <w:r>
        <w:rPr>
          <w:rStyle w:val="tlid-translation"/>
          <w:sz w:val="24"/>
        </w:rPr>
        <w:t>περιεκτών</w:t>
      </w:r>
      <w:proofErr w:type="spellEnd"/>
      <w:r>
        <w:rPr>
          <w:rStyle w:val="tlid-translation"/>
          <w:sz w:val="24"/>
        </w:rPr>
        <w:t xml:space="preserve"> </w:t>
      </w:r>
      <w:proofErr w:type="spellStart"/>
      <w:r>
        <w:rPr>
          <w:rStyle w:val="tlid-translation"/>
          <w:sz w:val="24"/>
        </w:rPr>
        <w:t>επαναπλήρωσης</w:t>
      </w:r>
      <w:proofErr w:type="spellEnd"/>
      <w:r>
        <w:rPr>
          <w:rStyle w:val="tlid-translation"/>
          <w:sz w:val="24"/>
        </w:rPr>
        <w:t xml:space="preserve"> με και χωρίς νικοτίνη στο σημείο πώλησης,</w:t>
      </w:r>
    </w:p>
    <w:p w14:paraId="09282853" w14:textId="2CD96E31"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 xml:space="preserve">η χρήση εικονογραφήσεων, εικόνων, χρωμάτων, λογότυπων, συμβόλων ή άλλων μέσων, με σκοπό να δοθεί στον καταναλωτή η εντύπωση ότι γίνεται αναφορά σε προϊόντα ή κατηγορίες προϊόντων που καλύπτονται από τις παραγράφους 1 και 2 ή να δοθεί η </w:t>
      </w:r>
      <w:r>
        <w:rPr>
          <w:rStyle w:val="tlid-translation"/>
          <w:sz w:val="24"/>
        </w:rPr>
        <w:lastRenderedPageBreak/>
        <w:t>εντύπωση ότι τέτοια προϊόντα είναι ευεργετικά για την υγεία, λιγότερο επιβλαβή από άλλα προϊόντα, ενεργούν ως βοήθημα για τη διακοπή του καπνίσματος ή έχουν άλλα ευεργετικά αποτελέσματα ή πλεονεκτήματα ή</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να προβληθούν τα προϊόντα αυτά με χρώμα, φωτισμό ή παρόμοια σε σχέση με το υπόλοιπο σημείο πώλησης.</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Κεφάλαιο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Ουδέτερες πληροφορίες για προϊόντα και τιμές</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sz w:val="24"/>
        </w:rPr>
        <w:t xml:space="preserve">Άρθρο 4. </w:t>
      </w:r>
      <w:r>
        <w:rPr>
          <w:sz w:val="24"/>
        </w:rPr>
        <w:t xml:space="preserve">Τα σημεία πώλησης μπορούν να παρέχουν στον αγοραστή ουδέτερες πληροφορίες σχετικά με το ποια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 πωλούνται στο σημείο πώλησης, καθώς και με την τιμή των προϊόντων.</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Παράγραφος 2.</w:t>
      </w:r>
      <w:r>
        <w:rPr>
          <w:sz w:val="24"/>
        </w:rPr>
        <w:t xml:space="preserve"> Οι πληροφορίες που επιτρέπονται σύμφωνα με την παράγραφο 1 περιλαμβάνουν:</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rPr>
        <w:t>εμπορικό σήμα και εμπορική ονομασία,</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αριθμό, βάρος και όγκο και</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τιμή.</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rPr>
        <w:t xml:space="preserve">Παράγραφος 3. </w:t>
      </w:r>
      <w:r>
        <w:rPr>
          <w:sz w:val="24"/>
        </w:rPr>
        <w:t>Οι πληροφορίες που περιλαμβάνονται στην παράγραφο 2 εμφανίζονται σε ουδέτερο κατάλογο. Οι πληροφορίες του καταλόγου θα εμφανίζονται σε μαύρο κείμενο σε λευκό φύλλο Α4 το οποίο δεν θα πρέπει να έχει εικονογραφήσεις, εικόνες, έντονη εκτύπωση, χρώματα, λογότυπους, σύμβολα ή άλλο κείμενο, εκτός εάν προβλέπεται στην παράγραφο 4. Καμία πληροφορία στον κατάλογο δεν μπορεί να προβάλλεται σε μεγαλύτερο βαθμό έναντι των υπολοίπων και οι πληροφορίες θα πρέπει να:</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εμφανίζονται με αλφαβητική σειρά με βάση την ονομασία προϊόντος,</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εμφανίζονται με την ακόλουθη σειρά: εμπορικό σήμα, εμπορική ονομασία, αριθμός, βάρος και όγκος και τιμή,</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 xml:space="preserve">εμφανίζονται σε γραμματοσειρά </w:t>
      </w:r>
      <w:proofErr w:type="spellStart"/>
      <w:r>
        <w:rPr>
          <w:sz w:val="24"/>
        </w:rPr>
        <w:t>Helvetica</w:t>
      </w:r>
      <w:proofErr w:type="spellEnd"/>
      <w:r>
        <w:rPr>
          <w:sz w:val="24"/>
        </w:rPr>
        <w:t xml:space="preserve"> μεγέθους έως 14 πόντους και</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rPr>
        <w:t>είναι στοιχισμένες αριστερά.</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Παράγραφος 4. </w:t>
      </w:r>
      <w:r>
        <w:rPr>
          <w:sz w:val="24"/>
        </w:rPr>
        <w:t xml:space="preserve">Ο ουδέτερος κατάλογος σύμφωνα με την παράγραφο 3 θα πρέπει να περιέχει πληροφορίες σχετικά με το όριο ηλικίας για την πώληση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με και χωρίς νικοτίνη, βλ. άρθρο 15 παράγραφος 1 του νόμου για τα ηλεκτρονικά τσιγάρα κ.λπ. που καταρτίστηκε από την Υγειονομική Αρχή της Δανίας.</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rPr>
        <w:t xml:space="preserve">Παράγραφος 5. </w:t>
      </w:r>
      <w:r>
        <w:rPr>
          <w:sz w:val="24"/>
        </w:rPr>
        <w:t>Σε κάθε προϊόν του ουδέτερου καταλόγου σύμφωνα με την παράγραφο 3 μπορεί να εκχωρηθεί ένας αριθμός.</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rFonts w:cstheme="minorHAnsi"/>
          <w:sz w:val="24"/>
          <w:szCs w:val="24"/>
        </w:rPr>
      </w:pPr>
      <w:r>
        <w:rPr>
          <w:i/>
          <w:sz w:val="24"/>
        </w:rPr>
        <w:t>Παράγραφος 6.</w:t>
      </w:r>
      <w:r>
        <w:rPr>
          <w:sz w:val="24"/>
        </w:rPr>
        <w:t xml:space="preserve"> Ο ουδέτερος κατάλογος σύμφωνα με την παράγραφο 3 μπορεί να χωριστεί σε μία ή περισσότερες από τις ακόλουθες κατηγορίες: «Ηλεκτρονικό τσιγάρο»,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υγρό αναπλήρωσης», «Συνδυασμένες συσκευασίες» και «Άλλα». Κάθε προϊόν θα πρέπει αναφέρεται στην κατηγορία στην οποία ανήκει.</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rPr>
        <w:lastRenderedPageBreak/>
        <w:t>Παράγραφος 7.</w:t>
      </w:r>
      <w:r>
        <w:rPr>
          <w:sz w:val="24"/>
        </w:rPr>
        <w:t xml:space="preserve"> Στα φυσικά σημεία πώλησης, ο ουδέτερος κατάλογος σύμφωνα με την παράγραφο 3 θα πρέπει να εμφανίζεται κατόπιν αιτήματος του αγοραστή ή να εμφανίζεται σε επανδρωμένο ταμείο.</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Κεφάλαιο 5</w:t>
      </w:r>
    </w:p>
    <w:p w14:paraId="4308304F" w14:textId="77777777" w:rsidR="00BB6654" w:rsidRPr="00704E6A" w:rsidRDefault="00BB6654" w:rsidP="00704E6A">
      <w:pPr>
        <w:keepNext/>
        <w:keepLines/>
        <w:jc w:val="center"/>
        <w:rPr>
          <w:rFonts w:cstheme="minorHAnsi"/>
          <w:i/>
          <w:iCs/>
          <w:sz w:val="24"/>
          <w:szCs w:val="24"/>
        </w:rPr>
      </w:pPr>
      <w:r>
        <w:rPr>
          <w:i/>
          <w:sz w:val="24"/>
        </w:rPr>
        <w:t>Πώληση μέσω ψηφιακών λύσεων και διαδικτύου</w:t>
      </w:r>
    </w:p>
    <w:p w14:paraId="2C3211DB" w14:textId="7F63D302" w:rsidR="00BB6654" w:rsidRPr="00704E6A" w:rsidRDefault="00BB6654" w:rsidP="00BB6654">
      <w:pPr>
        <w:autoSpaceDE w:val="0"/>
        <w:autoSpaceDN w:val="0"/>
        <w:adjustRightInd w:val="0"/>
        <w:spacing w:after="0" w:line="240" w:lineRule="auto"/>
        <w:rPr>
          <w:rFonts w:cstheme="minorHAnsi"/>
          <w:sz w:val="24"/>
          <w:szCs w:val="24"/>
        </w:rPr>
      </w:pPr>
      <w:r>
        <w:rPr>
          <w:b/>
          <w:sz w:val="24"/>
        </w:rPr>
        <w:t>Άρθρο 5.</w:t>
      </w:r>
      <w:r>
        <w:rPr>
          <w:sz w:val="24"/>
        </w:rPr>
        <w:t xml:space="preserve"> Η απαγόρευση τοποθέτησης σε ευκρινές σημείο και οπτικής παρουσίασης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με και χωρίς νικοτίνη στα σημεία πώλησης σύμφωνα με το άρθρο 3 παράγραφοι 1 και 2 ισχύει επίσης για την πώληση μέσω ψηφιακών λύσεων, όπως αρχικές σελίδες λιανικής πώλησης, διαδικτυακά καταστήματα, αρχικές σελίδες εταιρειών, σελίδες εταιρειών σε μέσα κοινωνικής δικτύωσης και εφαρμογές.</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Παράγραφος 2. </w:t>
      </w:r>
      <w:r>
        <w:rPr>
          <w:sz w:val="24"/>
        </w:rPr>
        <w:t xml:space="preserve">Τα σημεία πώλησης που περιλαμβάνονται στην παράγραφο 1 μπορούν να παρέχουν στον αγοραστή ουδέτερες πληροφορίες σχετικά με το ποια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 πωλούνται στο σημείο πώλησης, καθώς και την τιμή των προϊόντων.</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Παράγραφος 3.</w:t>
      </w:r>
      <w:r>
        <w:rPr>
          <w:sz w:val="24"/>
        </w:rPr>
        <w:t xml:space="preserve"> Οι πληροφορίες που επιτρέπονται σύμφωνα με την παράγραφο 2 περιλαμβάνουν:</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εμπορικό σήμα και εμπορική ονομασία,</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αριθμό, βάρος και όγκο και</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τιμή.</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rFonts w:cstheme="minorHAnsi"/>
          <w:sz w:val="24"/>
          <w:szCs w:val="24"/>
        </w:rPr>
      </w:pPr>
      <w:r>
        <w:rPr>
          <w:i/>
          <w:sz w:val="24"/>
        </w:rPr>
        <w:t xml:space="preserve">Παράγραφος 4. </w:t>
      </w:r>
      <w:r>
        <w:rPr>
          <w:sz w:val="24"/>
        </w:rPr>
        <w:t>Οι πληροφορίες που περιλαμβάνονται στην παράγραφο 3 δεν θα πρέπει να εμφανίζονται με ή να συνοδεύονται από εικονογραφήσεις, εικόνες, χρώματα, λογότυπους, σύμβολα ή άλλο κείμενο. Ωστόσο, αυτό δεν ισχύει για το σύμβολο «Προσθήκη στο καλάθι». Δεν θα πρέπει να δίνεται έμφαση σε καμία πληροφορία και οι πληροφορίες θα πρέπει να εμφανίζονται με μαύρο χρώμα με την ίδια γραμματοσειρά και μέγεθος γραμματοσειράς που χρησιμοποιούνται γενικά στην περιγραφή των προϊόντων στην αρχική σελίδα.</w:t>
      </w:r>
    </w:p>
    <w:p w14:paraId="44E7930B" w14:textId="6B3D423B" w:rsidR="007A2FDC" w:rsidRPr="00704E6A" w:rsidRDefault="007A2FDC" w:rsidP="007A2FDC">
      <w:pPr>
        <w:autoSpaceDE w:val="0"/>
        <w:autoSpaceDN w:val="0"/>
        <w:adjustRightInd w:val="0"/>
        <w:spacing w:after="0" w:line="240" w:lineRule="auto"/>
        <w:rPr>
          <w:rFonts w:cstheme="minorHAnsi"/>
          <w:sz w:val="24"/>
          <w:szCs w:val="24"/>
        </w:rPr>
      </w:pPr>
      <w:r>
        <w:rPr>
          <w:i/>
          <w:sz w:val="24"/>
        </w:rPr>
        <w:t>Παράγραφος 5.</w:t>
      </w:r>
      <w:r>
        <w:rPr>
          <w:sz w:val="24"/>
        </w:rPr>
        <w:t xml:space="preserve"> Οι πληροφορίες σύμφωνα με την παράγραφο 4 δεν θα πρέπει να δίνουν την εντύπωση ότι τα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 είναι ευεργετικά για την υγεία, λιγότερο επιβλαβή από άλλα προϊόντα ή έχουν άλλα ευεργετικά αποτελέσματα ή πλεονεκτήματα.</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rFonts w:cstheme="minorHAnsi"/>
          <w:sz w:val="24"/>
          <w:szCs w:val="24"/>
        </w:rPr>
      </w:pPr>
      <w:r>
        <w:rPr>
          <w:i/>
          <w:sz w:val="24"/>
        </w:rPr>
        <w:t>Παράγραφος 6.</w:t>
      </w:r>
      <w:r>
        <w:rPr>
          <w:sz w:val="24"/>
        </w:rPr>
        <w:t xml:space="preserve"> Τα σημεία πώλησης που καλύπτονται από την παράγραφο 1 στα οποία πωλούνται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 ή ενθαρρύνεται η πώληση των παραπάνω δεν θα πρέπει να παρέχουν την ευκαιρία στους πελάτες ή τους επισκέπτες της σελίδας να αξιολογούν, να βαθμολογούν ή να προβαίνουν σε παρόμοιες ενέργειες σε σχέση με προϊόντα που καλύπτονται από την παράγραφο 1, εάν η αξιολόγηση κ.λπ. καθίσταται ορατή ή </w:t>
      </w:r>
      <w:proofErr w:type="spellStart"/>
      <w:r>
        <w:rPr>
          <w:sz w:val="24"/>
        </w:rPr>
        <w:t>προσβάσιμη</w:t>
      </w:r>
      <w:proofErr w:type="spellEnd"/>
      <w:r>
        <w:rPr>
          <w:sz w:val="24"/>
        </w:rPr>
        <w:t xml:space="preserve"> στον ίδιο τον </w:t>
      </w:r>
      <w:proofErr w:type="spellStart"/>
      <w:r>
        <w:rPr>
          <w:sz w:val="24"/>
        </w:rPr>
        <w:t>αξιολογητή</w:t>
      </w:r>
      <w:proofErr w:type="spellEnd"/>
      <w:r>
        <w:rPr>
          <w:sz w:val="24"/>
        </w:rPr>
        <w:t xml:space="preserve"> ή σε άλλους που δεν απασχολούνται στο σημείο πώλησης των προϊόντων.</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lastRenderedPageBreak/>
        <w:t>Κεφάλαιο 6</w:t>
      </w:r>
    </w:p>
    <w:p w14:paraId="39F0F3E5" w14:textId="77777777" w:rsidR="00BB6654" w:rsidRPr="00704E6A" w:rsidRDefault="00BB6654" w:rsidP="00704E6A">
      <w:pPr>
        <w:keepNext/>
        <w:keepLines/>
        <w:spacing w:line="240" w:lineRule="auto"/>
        <w:jc w:val="center"/>
        <w:rPr>
          <w:rFonts w:cstheme="minorHAnsi"/>
          <w:i/>
          <w:iCs/>
          <w:sz w:val="24"/>
          <w:szCs w:val="24"/>
        </w:rPr>
      </w:pPr>
      <w:r>
        <w:rPr>
          <w:i/>
          <w:sz w:val="24"/>
        </w:rPr>
        <w:t xml:space="preserve">Φυσικά σημεία πώλησης που ειδικεύονται στην πώληση ηλεκτρονικών τσιγάρων και </w:t>
      </w:r>
      <w:proofErr w:type="spellStart"/>
      <w:r>
        <w:rPr>
          <w:i/>
          <w:sz w:val="24"/>
        </w:rPr>
        <w:t>περιεκτών</w:t>
      </w:r>
      <w:proofErr w:type="spellEnd"/>
      <w:r>
        <w:rPr>
          <w:i/>
          <w:sz w:val="24"/>
        </w:rPr>
        <w:t xml:space="preserve"> </w:t>
      </w:r>
      <w:proofErr w:type="spellStart"/>
      <w:r>
        <w:rPr>
          <w:i/>
          <w:sz w:val="24"/>
        </w:rPr>
        <w:t>επαναπλήρωσης</w:t>
      </w:r>
      <w:proofErr w:type="spellEnd"/>
      <w:r>
        <w:rPr>
          <w:i/>
          <w:sz w:val="24"/>
        </w:rPr>
        <w:t xml:space="preserve"> με και χωρίς νικοτίνη</w:t>
      </w:r>
    </w:p>
    <w:p w14:paraId="6BC97759" w14:textId="59447DCF" w:rsidR="00BB6654" w:rsidRPr="00D543FF" w:rsidRDefault="00BB6654" w:rsidP="00BB6654">
      <w:pPr>
        <w:autoSpaceDE w:val="0"/>
        <w:autoSpaceDN w:val="0"/>
        <w:adjustRightInd w:val="0"/>
        <w:spacing w:after="0" w:line="240" w:lineRule="auto"/>
        <w:rPr>
          <w:rFonts w:cstheme="minorHAnsi"/>
          <w:sz w:val="24"/>
          <w:szCs w:val="24"/>
        </w:rPr>
      </w:pPr>
      <w:r>
        <w:rPr>
          <w:b/>
          <w:sz w:val="24"/>
        </w:rPr>
        <w:t xml:space="preserve">Άρθρο 6. </w:t>
      </w:r>
      <w:r>
        <w:rPr>
          <w:sz w:val="24"/>
        </w:rPr>
        <w:t xml:space="preserve">Η απαγόρευση της τοποθέτησης σε ευκρινές σημείο και της οπτικής παρουσίασης σύμφωνα με το άρθρο 3 παράγραφοι 1 και 2 δεν ισχύει για την πώληση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με και χωρίς νικοτίνη σε φυσικά σημεία πώλησης που ειδικεύονται στην πώληση αυτών των προϊόντων.</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Παράγραφος 2.</w:t>
      </w:r>
      <w:r>
        <w:rPr>
          <w:sz w:val="24"/>
        </w:rPr>
        <w:t xml:space="preserve"> Ένα σημείο πώλησης σύμφωνα με την παράγραφο 1 θεωρείται ότι ειδικεύεται στην πώληση ηλεκτρονικών τσιγάρων και </w:t>
      </w:r>
      <w:proofErr w:type="spellStart"/>
      <w:r>
        <w:rPr>
          <w:sz w:val="24"/>
        </w:rPr>
        <w:t>περιεκτών</w:t>
      </w:r>
      <w:proofErr w:type="spellEnd"/>
      <w:r>
        <w:rPr>
          <w:sz w:val="24"/>
        </w:rPr>
        <w:t xml:space="preserve"> </w:t>
      </w:r>
      <w:proofErr w:type="spellStart"/>
      <w:r>
        <w:rPr>
          <w:sz w:val="24"/>
        </w:rPr>
        <w:t>επαναπλήρωσης</w:t>
      </w:r>
      <w:proofErr w:type="spellEnd"/>
      <w:r>
        <w:rPr>
          <w:sz w:val="24"/>
        </w:rPr>
        <w:t xml:space="preserve"> με και χωρίς νικοτίνη, όταν το σημείο </w:t>
      </w:r>
      <w:proofErr w:type="spellStart"/>
      <w:r>
        <w:rPr>
          <w:sz w:val="24"/>
        </w:rPr>
        <w:t>πωλεί</w:t>
      </w:r>
      <w:proofErr w:type="spellEnd"/>
      <w:r>
        <w:rPr>
          <w:sz w:val="24"/>
        </w:rPr>
        <w:t xml:space="preserve"> αποκλειστικά ή κυρίως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Παράγραφος 3.</w:t>
      </w:r>
      <w:r>
        <w:rPr>
          <w:sz w:val="24"/>
        </w:rPr>
        <w:t xml:space="preserve"> Η εξαίρεση από την απαγόρευση της τοποθέτησης σε ευκρινές σημείο και της οπτικής παρουσίασης σύμφωνα με την παράγραφο 1 ισχύει μόνο για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 Εάν το σημείο πώλησης </w:t>
      </w:r>
      <w:proofErr w:type="spellStart"/>
      <w:r>
        <w:rPr>
          <w:sz w:val="24"/>
        </w:rPr>
        <w:t>πωλεί</w:t>
      </w:r>
      <w:proofErr w:type="spellEnd"/>
      <w:r>
        <w:rPr>
          <w:sz w:val="24"/>
        </w:rPr>
        <w:t xml:space="preserve"> άλλα προϊόντα ή προϊόντα καπνού, υποκατάστατα καπνού ή φυτικά προϊόντα για κάπνισμα, αυτά περιλαμβάνονται στην απαγόρευση σύμφωνα με το άρθρο 3 παράγραφοι 1 και 2 ή το άρθρο 2 παράγραφοι 1 και 2 του διατάγματος για απαγόρευση της διαφήμισης, της τοποθέτησης σε ευκρινές σημείο και της οπτικής παρουσίασης κ.λπ. προϊόντων καπνού, υποκατάστατων καπνού ή φυτικών προϊόντων για κάπνισμα.</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Παράγραφος 4. </w:t>
      </w:r>
      <w:r>
        <w:rPr>
          <w:sz w:val="24"/>
        </w:rPr>
        <w:t xml:space="preserve">Εάν ένα σημείο πωλήσεων σύμφωνα με την παράγραφο 1 </w:t>
      </w:r>
      <w:proofErr w:type="spellStart"/>
      <w:r>
        <w:rPr>
          <w:sz w:val="24"/>
        </w:rPr>
        <w:t>πωλεί</w:t>
      </w:r>
      <w:proofErr w:type="spellEnd"/>
      <w:r>
        <w:rPr>
          <w:sz w:val="24"/>
        </w:rPr>
        <w:t xml:space="preserve">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 μέσω ψηφιακών λύσεων, όπως αρχικές σελίδες λιανικής πώλησης, διαδικτυακά καταστήματα, αρχικές σελίδες εταιρειών, σελίδες εταιρειών σε μέσα κοινωνικής δικτύωσης και εφαρμογές, αυτό περιλαμβάνεται στο άρθρο 5.</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rPr>
        <w:t>Παράγραφος 5.</w:t>
      </w:r>
      <w:r>
        <w:rPr>
          <w:color w:val="000000" w:themeColor="text1"/>
          <w:sz w:val="24"/>
        </w:rPr>
        <w:t xml:space="preserve"> Δεν επιτρέπεται σε φυσικό σημείο πώλησης σύμφωνα με την παράγραφο 1 να διαφημίζει ηλεκτρονικά τσιγάρα και </w:t>
      </w:r>
      <w:proofErr w:type="spellStart"/>
      <w:r>
        <w:rPr>
          <w:color w:val="000000" w:themeColor="text1"/>
          <w:sz w:val="24"/>
        </w:rPr>
        <w:t>περιέκτες</w:t>
      </w:r>
      <w:proofErr w:type="spellEnd"/>
      <w:r>
        <w:rPr>
          <w:color w:val="000000" w:themeColor="text1"/>
          <w:sz w:val="24"/>
        </w:rPr>
        <w:t xml:space="preserve"> </w:t>
      </w:r>
      <w:proofErr w:type="spellStart"/>
      <w:r>
        <w:rPr>
          <w:color w:val="000000" w:themeColor="text1"/>
          <w:sz w:val="24"/>
        </w:rPr>
        <w:t>επαναπλήρωσης</w:t>
      </w:r>
      <w:proofErr w:type="spellEnd"/>
      <w:r>
        <w:rPr>
          <w:color w:val="000000" w:themeColor="text1"/>
          <w:sz w:val="24"/>
        </w:rPr>
        <w:t xml:space="preserve"> με και χωρίς νικοτίνη στο σημείο πώλησης, στη βιτρίνα ή στο μπροστινό μέρος του καταστήματος, εκτός εάν αυτό προβλέπεται στην παράγραφο 6. Αυτό περιλαμβάνει:</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rPr>
        <w:t xml:space="preserve">άμεση ή έμμεση προβολή συγκεκριμένου προϊόντος, επωνυμίας εταιρείας, τιμών ή άλλων πληροφοριών σχετικά με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 με τη βοήθεια ειδικού φωτισμού, χρωμάτων, έμφαση σε προϊόντα ή ονομασίες σε ράφια, εμφανή ράφια ή εικόνες, ή</w:t>
      </w:r>
    </w:p>
    <w:p w14:paraId="072130F3" w14:textId="2592410E" w:rsidR="00BB6654" w:rsidRPr="00D543FF" w:rsidRDefault="00BB6654" w:rsidP="00BB6654">
      <w:pPr>
        <w:pStyle w:val="ListParagraph"/>
        <w:numPr>
          <w:ilvl w:val="0"/>
          <w:numId w:val="2"/>
        </w:numPr>
        <w:spacing w:line="240" w:lineRule="auto"/>
        <w:ind w:left="709"/>
        <w:rPr>
          <w:rStyle w:val="tlid-translation"/>
          <w:rFonts w:cstheme="minorHAnsi"/>
          <w:sz w:val="24"/>
          <w:szCs w:val="24"/>
        </w:rPr>
      </w:pPr>
      <w:r>
        <w:rPr>
          <w:rStyle w:val="tlid-translation"/>
        </w:rPr>
        <w:t>κείμενο, εικονογραφήσεις, εικόνες, χρώματα, λογότυπους, σύμβολα ή άλλα μέσα που δίνουν στον αγοραστή την εντύπωση ότι ένα ή περισσότερα προϊόντα είναι ευεργετικά για την υγεία, λιγότερο επιβλαβή από άλλα προϊόντα, ενεργούν ως βοήθημα για τη διακοπή του καπνίσματος ή έχουν άλλα ευεργετικά αποτελέσματα ή πλεονεκτήματα.</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Παράγραφος 6.</w:t>
      </w:r>
      <w:r>
        <w:rPr>
          <w:sz w:val="24"/>
        </w:rPr>
        <w:t xml:space="preserve"> Το όνομα ενός φυσικού σημείου πώλησης σύμφωνα με την παράγραφο 1 πρέπει να εμφανίζεται στο μπροστινό μέρος του καταστήματος με ουδέτερο σχεδιασμό. Το όνομα δεν πρέπει από μόνο του να λειτουργεί ως διαφήμιση.</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rPr>
        <w:t>Παράγραφος 7.</w:t>
      </w:r>
      <w:r>
        <w:rPr>
          <w:sz w:val="24"/>
        </w:rPr>
        <w:t xml:space="preserve"> Η εξαίρεση από την απαγόρευση της τοποθέτησης σε ευκρινές σημείο και της οπτικής παρουσίασης σύμφωνα με την παράγραφο 1 δεν δίνει στο σημείο πώλησης τη </w:t>
      </w:r>
      <w:r>
        <w:rPr>
          <w:sz w:val="24"/>
        </w:rPr>
        <w:lastRenderedPageBreak/>
        <w:t xml:space="preserve">δυνατότητα να τοποθετεί σε ευκρινές σημείο και να παρουσιάζει ηλεκτρονικά τσιγάρα και </w:t>
      </w:r>
      <w:proofErr w:type="spellStart"/>
      <w:r>
        <w:rPr>
          <w:sz w:val="24"/>
        </w:rPr>
        <w:t>περιέκτες</w:t>
      </w:r>
      <w:proofErr w:type="spellEnd"/>
      <w:r>
        <w:rPr>
          <w:sz w:val="24"/>
        </w:rPr>
        <w:t xml:space="preserve"> </w:t>
      </w:r>
      <w:proofErr w:type="spellStart"/>
      <w:r>
        <w:rPr>
          <w:sz w:val="24"/>
        </w:rPr>
        <w:t>επαναπλήρωσης</w:t>
      </w:r>
      <w:proofErr w:type="spellEnd"/>
      <w:r>
        <w:rPr>
          <w:sz w:val="24"/>
        </w:rPr>
        <w:t xml:space="preserve"> με και χωρίς νικοτίνη σε άλλα μέρη εκτός από το σημείο πώλησης, ή να διανέμει διαφημιστικά φυλλάδια και δωρεάν προϊόντα κ.λπ.</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Κεφάλαιο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Μηχανήματα αυτόματης πώλησης</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rFonts w:cstheme="minorHAnsi"/>
          <w:bCs/>
          <w:sz w:val="24"/>
          <w:szCs w:val="24"/>
        </w:rPr>
      </w:pPr>
      <w:r>
        <w:rPr>
          <w:sz w:val="24"/>
        </w:rPr>
        <w:t xml:space="preserve">Άρθρο 7. Τα μηχανήματα που χρησιμοποιούνται μέσω αυτοεξυπηρέτησης για την προμήθεια προϊόντων καπνού, υποκατάστατων καπνού ή φυτικών προϊόντων για κάπνισμα μετά την πώληση από επανδρωμένο ταμείο θα πρέπει να έχουν ουδέτερο σχεδιασμό. Οι πληροφορίες στο μηχάνημα σχετικά με την εμπορική ονομασία, την ονομασία παραλλαγής και την τιμή θα πρέπει να εμφανίζονται με μαύρο χρώμα με γραμματοσειρά </w:t>
      </w:r>
      <w:proofErr w:type="spellStart"/>
      <w:r>
        <w:rPr>
          <w:sz w:val="24"/>
        </w:rPr>
        <w:t>Helvetica</w:t>
      </w:r>
      <w:proofErr w:type="spellEnd"/>
      <w:r>
        <w:rPr>
          <w:sz w:val="24"/>
        </w:rPr>
        <w:t xml:space="preserve"> μεγέθους έως 14 πόντους.</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i/>
          <w:sz w:val="24"/>
        </w:rPr>
        <w:t>Παράγραφος 2.</w:t>
      </w:r>
      <w:r>
        <w:rPr>
          <w:sz w:val="24"/>
        </w:rPr>
        <w:t xml:space="preserve"> Ένα μηχάνημα που καλύπτεται από την παράγραφο 1 δεν θα πρέπει να:</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έχει ή να τοποθετεί ετικέτες με το εμπορικό σήμα ή την εταιρεία ή άλλα χαρακτηριστικά για τα εν λόγω προϊόντα, συμπεριλαμβανομένης της εικόνας ενός προϊόντος,</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δίνει έμφαση σε πληροφορίες ή</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έχει ή να τοποθετεί εικονογραφήσεις, εικόνες, χρώματα, λογότυπους, σύμβολα ή άλλα μέσα που μπορούν να δώσουν στον αγοραστή την εντύπωση ότι ένα προϊόν που πωλείται από το συγκεκριμένο μηχάνημα είναι ευεργετικό για την υγεία, λιγότερο επιβλαβές από άλλα προϊόντα, ενεργεί ως βοήθημα για τη διακοπή του καπνίσματος ή έχει άλλα ευεργετικά αποτελέσματα ή πλεονεκτήματα.</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Κεφάλαιο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Κυρώσεις</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Άρθρο 8. </w:t>
      </w:r>
      <w:r>
        <w:rPr>
          <w:sz w:val="24"/>
        </w:rPr>
        <w:t>Εκτός εάν προβλέπονται αυστηρότερες κυρώσεις σε άλλη νομοθετική πράξη, κυρώσεις επιβάλλονται σε όσους παραβιάζουν την απ</w:t>
      </w:r>
      <w:bookmarkStart w:id="0" w:name="_GoBack"/>
      <w:bookmarkEnd w:id="0"/>
      <w:r>
        <w:rPr>
          <w:sz w:val="24"/>
        </w:rPr>
        <w:t>αγόρευση των άρθρων 2 και 3 ή τους κανονισμούς των άρθρων 4–7.</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 xml:space="preserve">Παράγραφος 2. </w:t>
      </w:r>
      <w:r>
        <w:rPr>
          <w:sz w:val="24"/>
        </w:rPr>
        <w:t>Οι οντότητες κ.λπ. (νομικά πρόσωπα) ενδέχεται να υπέχουν ποινική ευθύνη σύμφωνα με τις διατάξεις του κεφαλαίου 5 του ποινικού κώδικα [</w:t>
      </w:r>
      <w:proofErr w:type="spellStart"/>
      <w:r>
        <w:rPr>
          <w:sz w:val="24"/>
        </w:rPr>
        <w:t>Straffeloven</w:t>
      </w:r>
      <w:proofErr w:type="spellEnd"/>
      <w:r>
        <w:rPr>
          <w:sz w:val="24"/>
        </w:rPr>
        <w:t>].</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Κεφάλαιο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Έναρξη ισχύος</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Άρθρο 8. </w:t>
      </w:r>
      <w:r>
        <w:rPr>
          <w:sz w:val="24"/>
        </w:rPr>
        <w:t>Το παρόν διάταγμα θα τεθεί σε ισχύ την 1η Απριλίου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sz w:val="24"/>
        </w:rPr>
        <w:t>Υπουργείο Υγείας, [ημερομηνία]</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roofErr w:type="spellStart"/>
      <w:r>
        <w:rPr>
          <w:sz w:val="24"/>
        </w:rPr>
        <w:t>Magnus</w:t>
      </w:r>
      <w:proofErr w:type="spellEnd"/>
      <w:r>
        <w:rPr>
          <w:sz w:val="24"/>
        </w:rPr>
        <w:t xml:space="preserve"> </w:t>
      </w:r>
      <w:proofErr w:type="spellStart"/>
      <w:r>
        <w:rPr>
          <w:sz w:val="24"/>
        </w:rPr>
        <w:t>Heunicke</w:t>
      </w:r>
      <w:proofErr w:type="spellEnd"/>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rPr>
        <w:t xml:space="preserve">/ </w:t>
      </w:r>
      <w:proofErr w:type="spellStart"/>
      <w:r>
        <w:rPr>
          <w:sz w:val="24"/>
        </w:rPr>
        <w:t>Mie</w:t>
      </w:r>
      <w:proofErr w:type="spellEnd"/>
      <w:r>
        <w:rPr>
          <w:sz w:val="24"/>
        </w:rPr>
        <w:t xml:space="preserve"> </w:t>
      </w:r>
      <w:proofErr w:type="spellStart"/>
      <w:r>
        <w:rPr>
          <w:sz w:val="24"/>
        </w:rPr>
        <w:t>Saabye</w:t>
      </w:r>
      <w:proofErr w:type="spellEnd"/>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6651FE"/>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85164562"/>
    <w:lvl w:ilvl="0" w:tplc="865844C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1129D3"/>
    <w:rsid w:val="00133423"/>
    <w:rsid w:val="00200FF7"/>
    <w:rsid w:val="003072BA"/>
    <w:rsid w:val="0054510B"/>
    <w:rsid w:val="006651FE"/>
    <w:rsid w:val="00704E6A"/>
    <w:rsid w:val="007253E1"/>
    <w:rsid w:val="007A2FDC"/>
    <w:rsid w:val="0099201C"/>
    <w:rsid w:val="00A332B7"/>
    <w:rsid w:val="00BB6654"/>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2147</Words>
  <Characters>12241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STERGIOPOULOU, Michaela</cp:lastModifiedBy>
  <cp:revision>6</cp:revision>
  <dcterms:created xsi:type="dcterms:W3CDTF">2020-09-30T11:28:00Z</dcterms:created>
  <dcterms:modified xsi:type="dcterms:W3CDTF">2020-10-07T14:51:00Z</dcterms:modified>
</cp:coreProperties>
</file>