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Ιανουαρίου 2021. Αριθ.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Διάταγμα που απαγορεύει τη διαφήμιση και τοποθέτηση σε ευκρινές σημείο και οπτική παρουσίαση κ.λπ. ηλεκτρονικών τσιγάρων και περιεκτών επαναπλήρωσης με και χωρίς νικοτίνη</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5302DBBF" w:rsidR="00F01996" w:rsidRDefault="00F01996" w:rsidP="00F01996">
      <w:pPr>
        <w:autoSpaceDE w:val="0"/>
        <w:autoSpaceDN w:val="0"/>
        <w:adjustRightInd w:val="0"/>
        <w:spacing w:after="0" w:line="240" w:lineRule="auto"/>
        <w:rPr>
          <w:rFonts w:ascii="Calibri" w:hAnsi="Calibri"/>
          <w:color w:val="000000"/>
          <w:sz w:val="24"/>
        </w:rPr>
      </w:pPr>
      <w:r>
        <w:rPr>
          <w:sz w:val="24"/>
        </w:rPr>
        <w:t>Σύμφωνα με το άρθρο 18, το άρθρο 18α παράγραφος 4 του νόμου που απαγορεύει τα ηλεκτρονικά τσιγάρα κ.λπ., βλ. ενοποιημένο νόμο αριθ.</w:t>
      </w:r>
      <w:r>
        <w:rPr>
          <w:rFonts w:ascii="Calibri" w:hAnsi="Calibri"/>
          <w:color w:val="000000"/>
          <w:sz w:val="24"/>
        </w:rPr>
        <w:t> 426 της 18ης Μαΐου 2016 για τα ηλεκτρονικά τσιγάρα κ.λπ., όπως τροποποιήθηκε με τον νόμο αριθ. 2071 της 21ης Δεκεμβρίου 2020, θεσπίζονται τα ακόλουθα:</w:t>
      </w:r>
    </w:p>
    <w:p w14:paraId="2FB51351" w14:textId="77777777" w:rsidR="003621EC" w:rsidRDefault="003621EC" w:rsidP="00F01996">
      <w:pPr>
        <w:autoSpaceDE w:val="0"/>
        <w:autoSpaceDN w:val="0"/>
        <w:adjustRightInd w:val="0"/>
        <w:spacing w:after="0" w:line="240" w:lineRule="auto"/>
        <w:rPr>
          <w:rFonts w:ascii="Calibri" w:hAnsi="Calibri" w:cs="Calibri"/>
          <w:color w:val="000000"/>
          <w:sz w:val="24"/>
          <w:szCs w:val="24"/>
        </w:rPr>
      </w:pPr>
    </w:p>
    <w:p w14:paraId="6488B9B7" w14:textId="69E783F1" w:rsidR="00F01996" w:rsidRPr="007E53B4" w:rsidRDefault="00C92039" w:rsidP="00F01996">
      <w:pPr>
        <w:autoSpaceDE w:val="0"/>
        <w:autoSpaceDN w:val="0"/>
        <w:adjustRightInd w:val="0"/>
        <w:spacing w:after="0" w:line="240" w:lineRule="auto"/>
        <w:jc w:val="center"/>
        <w:rPr>
          <w:sz w:val="24"/>
        </w:rPr>
      </w:pPr>
      <w:r>
        <w:rPr>
          <w:sz w:val="24"/>
        </w:rPr>
        <w:t xml:space="preserve">Κεφάλαιο </w:t>
      </w:r>
      <w:r w:rsidR="00F01996">
        <w:rPr>
          <w:sz w:val="24"/>
        </w:rPr>
        <w:t>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Πεδίο εφαρμογής και ορισμοί</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bookmarkStart w:id="0" w:name="_Hlk90282066"/>
      <w:r>
        <w:rPr>
          <w:b/>
          <w:sz w:val="24"/>
        </w:rPr>
        <w:t>Άρθρο </w:t>
      </w:r>
      <w:bookmarkEnd w:id="0"/>
      <w:r>
        <w:rPr>
          <w:b/>
          <w:sz w:val="24"/>
        </w:rPr>
        <w:t xml:space="preserve">1. </w:t>
      </w:r>
      <w:r>
        <w:rPr>
          <w:sz w:val="24"/>
        </w:rPr>
        <w:t>Το παρόν διάταγμα ισχύει για:</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ηλεκτρονικά τσιγάρα και περιέκτες επαναπλήρωσης που περιέχουν νικοτίνη που δεν έχουν εγκριθεί με άδεια κυκλοφορίας βάσει του νόμου περί φαρμάκων ή σύμφωνα με τους κανόνες της ΕΕ που θεσπίζουν κοινοτικές διαδικασίες για την έγκριση φαρμάκων που προορίζονται για ανθρώπινη χρήση ή διατίθενται στην αγορά ως ιατροτεχνολογικά προϊόντα που φέρουν τη σήμανση CE σύμφωνα με το διάταγμα περί ιατροτεχνολογικών προϊόντων, και</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ηλεκτρονικά τσιγάρα και περιέκτες επαναπλήρωσης χωρίς νικοτίνη.</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Παράγραφος 2.</w:t>
      </w:r>
      <w:r>
        <w:rPr>
          <w:sz w:val="24"/>
        </w:rPr>
        <w:t xml:space="preserve"> Για τους σκοπούς του παρόντος διατάγματος ισχύουν οι ακόλουθοι ορισμοί:</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Ηλεκτρονικό τσιγάρο: προϊόν που μπορεί να χρησιμοποιηθεί για κατανάλωση ατμού που περιέχει νικοτίνη με επιστόμιο ή στοιχεία ενός τέτοιου προϊόντος, συμπεριλαμβανομένου ενός φυσιγγίου, ενός δοχείου επαναπλήρωσης και μιας διάταξης χωρίς φυσίγγιο ή δοχείο επαναπλήρωσης. Τα ηλεκτρονικά τσιγάρα μπορεί να είναι μιας χρήσης ή επαναπληρούμενα μέσω περιέκτη επαναπλήρωσης και δοχείου επαναπλήρωσης ή επαναφορτιζόμενα με φυσίγγια μιας χρήσης.</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Περιέκτης επαναπλήρωσης: Ένα δοχείο που περιέχει υγρό στο οποίο περιέχεται ή δεν περιέχεται νικοτίνη, το οποίο μπορεί να χρησιμοποιηθεί για να επαναπληρώσει ένα ηλεκτρονικό τσιγάρο με ή χωρίς νικοτίνη.</w:t>
      </w: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1B403014" w:rsidR="00F01996" w:rsidRPr="007E53B4" w:rsidRDefault="00C92039" w:rsidP="00F01996">
      <w:pPr>
        <w:autoSpaceDE w:val="0"/>
        <w:autoSpaceDN w:val="0"/>
        <w:adjustRightInd w:val="0"/>
        <w:spacing w:after="0" w:line="240" w:lineRule="auto"/>
        <w:jc w:val="center"/>
        <w:rPr>
          <w:sz w:val="24"/>
        </w:rPr>
      </w:pPr>
      <w:r>
        <w:rPr>
          <w:sz w:val="24"/>
        </w:rPr>
        <w:t>Κεφάλαιο</w:t>
      </w:r>
      <w:r w:rsidR="00F01996">
        <w:rPr>
          <w:sz w:val="24"/>
        </w:rPr>
        <w:t xml:space="preserve">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Διαφήμιση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Άρθρο 2. </w:t>
      </w:r>
      <w:r>
        <w:rPr>
          <w:sz w:val="24"/>
        </w:rPr>
        <w:t>Απαγορεύονται όλες οι μορφές διαφήμισης ηλεκτρονικών τσιγάρων και περιεκτών επαναπλήρωσης, βλ. άρθρο 16 παράγραφος 1 του νόμου για τα ηλεκτρονικά τσιγάρα κ.λπ.</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Παράγραφος 2. </w:t>
      </w:r>
      <w:r>
        <w:rPr>
          <w:sz w:val="24"/>
        </w:rPr>
        <w:t>Η απαγόρευση διαφήμισης στο εδάφιο 1 περιλαμβάνει απαγόρευση σχετικά με:</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Τη χρήση ονομασίας, εμπορικού σήματος, συμβόλου ή άλλου συμβόλου που είναι γνωστό κυρίως από ηλεκτρονικά τσιγάρα και περιέκτες επαναπλήρωσης, στο πλαίσιο διαφήμισης άλλων προϊόντων και υπηρεσιών.</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Την εμπορία ηλεκτρονικών τσιγάρων και περιεκτών επαναπλήρωσης με τη βοήθεια ονομασίας, εμπορικού σήματος, συμβόλου ή άλλου χαρακτηριστικού που είναι γνωστό ή χρησιμοποιείται ως εμπορικό σήμα για άλλα αγαθά και υπηρεσίες.</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 xml:space="preserve">Την εμπορία </w:t>
      </w:r>
      <w:r>
        <w:rPr>
          <w:rFonts w:ascii="Calibri" w:hAnsi="Calibri"/>
          <w:color w:val="000000"/>
          <w:sz w:val="24"/>
        </w:rPr>
        <w:t>ηλεκτρονικών τσιγάρων και περιεκτών επαναπλήρωσης με τη βοήθεια ονομασίας, εμπορικού σήματος, συμβόλων, εικόνων ή παρόμοιων που απευθύνονται κυρίως σε παιδιά και νέους κάτω των 18 ετών.</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Τη χρήση διάταξης, σχεδιασμού ή συγκεκριμένων συνδυασμών χρωμάτων που σχετίζονται με συγκεκριμένα ηλεκτρονικά τσιγάρα και περιέκτες επαναπλήρωσης.</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Τη χρήση αναγνωρίσιμων ηλεκτρονικών τσιγάρων και περιεκτών επαναπλήρωσης στο πλαίσιο διαφήμισης για άλλα προϊόντα και υπηρεσίες.</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10293A89" w:rsidR="00350BF0" w:rsidRDefault="00C92039" w:rsidP="00F01996">
      <w:pPr>
        <w:autoSpaceDE w:val="0"/>
        <w:autoSpaceDN w:val="0"/>
        <w:adjustRightInd w:val="0"/>
        <w:spacing w:after="0" w:line="240" w:lineRule="auto"/>
        <w:rPr>
          <w:sz w:val="24"/>
        </w:rPr>
      </w:pPr>
      <w:r>
        <w:rPr>
          <w:i/>
          <w:sz w:val="24"/>
        </w:rPr>
        <w:t xml:space="preserve">Παράγραφος </w:t>
      </w:r>
      <w:r w:rsidR="00F01996">
        <w:rPr>
          <w:i/>
          <w:sz w:val="24"/>
        </w:rPr>
        <w:t>3</w:t>
      </w:r>
      <w:r>
        <w:rPr>
          <w:i/>
          <w:sz w:val="24"/>
          <w:lang w:val="hr-HR"/>
        </w:rPr>
        <w:t>.</w:t>
      </w:r>
      <w:r w:rsidR="00F01996">
        <w:rPr>
          <w:i/>
          <w:sz w:val="24"/>
        </w:rPr>
        <w:t xml:space="preserve"> </w:t>
      </w:r>
      <w:r w:rsidR="00F01996">
        <w:rPr>
          <w:sz w:val="24"/>
        </w:rPr>
        <w:t>Ωστόσο, η απαγόρευση του εδαφίου 1 δεν ισχύει στις ακόλουθες περιπτώσεις:</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Διαφήμιση στον τύπο και άλλες έντυπες εκδόσεις που προορίζονται αποκλειστικά για επαγγελματίες του κλάδου των ηλεκτρονικών τσιγάρων ή των περιεκτών επαναπλήρωσης και σε δημοσιεύσεις που τυπώνονται και δημοσιεύονται σε τρίτες χώρες, υπό την προϋπόθεση ότι δεν προορίζονται κατά κύριο λόγο για την αγορά της Ένωσης.</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 xml:space="preserve">Χρήση ονομασίας η οποία πριν από τις 7 Ιουνίου 2016 χρησιμοποιήθηκε τόσο για ηλεκτρονικά τσιγάρα όσο και για περιέκτες επαναπλήρωσης και άλλα αγαθά ή υπηρεσίες, με σκοπό τη διαφήμιση αυτών των άλλων προϊόντων, αρκεί η ονομασία να εμφανίζεται σε μορφή σαφώς διαφορετική από εκείνη της ονομασίας που εμφανίζεται στο ηλεκτρονικό τσιγάρο και στον </w:t>
      </w:r>
      <w:r>
        <w:rPr>
          <w:rFonts w:ascii="Calibri" w:hAnsi="Calibri"/>
          <w:color w:val="000000"/>
          <w:sz w:val="24"/>
        </w:rPr>
        <w:t>περιέκτη επαναπλήρωσης</w:t>
      </w:r>
      <w:r>
        <w:rPr>
          <w:sz w:val="24"/>
        </w:rPr>
        <w:t>.</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Χρήση ονομασίας γνωστής από ηλεκτρονικά τσιγάρα στο πλαίσιο διαφήμισης άλλων αγαθών και υπηρεσιών, εάν τα άλλα αγαθά ή υπηρεσίες διατίθενται στην αγορά μόνο σε περιορισμένη γεωγραφική περιοχή.</w:t>
      </w: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7C016A38" w:rsidR="00F01996" w:rsidRPr="00202056" w:rsidRDefault="00C92039" w:rsidP="00F01996">
      <w:pPr>
        <w:autoSpaceDE w:val="0"/>
        <w:autoSpaceDN w:val="0"/>
        <w:adjustRightInd w:val="0"/>
        <w:spacing w:after="0" w:line="240" w:lineRule="auto"/>
        <w:jc w:val="center"/>
        <w:rPr>
          <w:sz w:val="24"/>
        </w:rPr>
      </w:pPr>
      <w:r>
        <w:rPr>
          <w:sz w:val="24"/>
        </w:rPr>
        <w:t xml:space="preserve">Κεφάλαιο </w:t>
      </w:r>
      <w:r w:rsidR="00F01996">
        <w:rPr>
          <w:sz w:val="24"/>
        </w:rPr>
        <w:t>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Απαγόρευση τοποθέτησης σε ευκρινές σημείο και οπτικής παρουσίασης σε φυσικά σημεία πώλησης</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0052E7EE" w:rsidR="00F01996" w:rsidRPr="005124ED" w:rsidRDefault="00C92039" w:rsidP="00F01996">
      <w:pPr>
        <w:autoSpaceDE w:val="0"/>
        <w:autoSpaceDN w:val="0"/>
        <w:adjustRightInd w:val="0"/>
        <w:spacing w:after="0" w:line="240" w:lineRule="auto"/>
        <w:rPr>
          <w:rStyle w:val="tlid-translation"/>
          <w:rFonts w:cstheme="minorHAnsi"/>
          <w:color w:val="000000" w:themeColor="text1"/>
          <w:sz w:val="24"/>
          <w:szCs w:val="24"/>
        </w:rPr>
      </w:pPr>
      <w:r>
        <w:rPr>
          <w:b/>
          <w:sz w:val="24"/>
        </w:rPr>
        <w:t>Άρθρο </w:t>
      </w:r>
      <w:r w:rsidR="00F01996">
        <w:rPr>
          <w:b/>
          <w:sz w:val="24"/>
        </w:rPr>
        <w:t xml:space="preserve">3. </w:t>
      </w:r>
      <w:r w:rsidR="00F01996">
        <w:rPr>
          <w:sz w:val="24"/>
        </w:rPr>
        <w:t>Απαγορεύεται η τοποθέτηση σε ευκρινές σημείο και η οπτική παρουσίαση ηλεκτρονικών τσιγάρων και περιεκτών επαναπλήρωσης σε σημεία πώλησης</w:t>
      </w:r>
      <w:r w:rsidR="00F01996">
        <w:rPr>
          <w:rStyle w:val="tlid-translation"/>
          <w:color w:val="000000" w:themeColor="text1"/>
          <w:sz w:val="24"/>
        </w:rPr>
        <w:t>. Ωστόσο, η επίδειξη των ειδών μπορεί να γίνει εφόσον το ζητήσει ο αγοραστής.</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Παράγραφος 2. </w:t>
      </w:r>
      <w:r>
        <w:rPr>
          <w:sz w:val="24"/>
        </w:rPr>
        <w:t xml:space="preserve">Τα προϊόντα που προορίζονται για χρήση σε συνδυασμό με τα προϊόντα που καλύπτονται από την παράγραφο 1 περιλαμβάνονται επίσης στην απαγόρευση της παραγράφου 1. </w:t>
      </w:r>
    </w:p>
    <w:p w14:paraId="6488B9DD" w14:textId="50B2D79A" w:rsidR="00F01996" w:rsidRDefault="00F01996" w:rsidP="00F01996">
      <w:pPr>
        <w:autoSpaceDE w:val="0"/>
        <w:autoSpaceDN w:val="0"/>
        <w:adjustRightInd w:val="0"/>
        <w:spacing w:after="0" w:line="240" w:lineRule="auto"/>
        <w:rPr>
          <w:sz w:val="24"/>
        </w:rPr>
      </w:pPr>
      <w:r>
        <w:rPr>
          <w:i/>
          <w:sz w:val="24"/>
        </w:rPr>
        <w:t>Παράγραφος 3</w:t>
      </w:r>
      <w:r>
        <w:rPr>
          <w:sz w:val="24"/>
        </w:rPr>
        <w:t>. Η απαγόρευση της παραγράφου 2 περιλαμβάνει, αλλά δεν περιορίζεται σε, φορτιστές, άδειους περιέκτες επαναπλήρωσης, συσκευασίες, μπαταρίες ή αρωματικές ύλες. Η απαγόρευση στην παράγραφο 2 δεν περιλαμβάνει προϊόντα που έχουν πιο γενική προβλεπόμενη χρήση, εκτός εάν έχουν ειδικά σχεδιαστεί ή διατεθεί στην αγορά με αναφορά σε ηλεκτρονικά τσιγάρα και περιέκτες επαναπλήρωσης.</w:t>
      </w:r>
    </w:p>
    <w:p w14:paraId="78060C3A" w14:textId="1B1012BF" w:rsidR="003621EC" w:rsidRDefault="003621EC" w:rsidP="00F01996">
      <w:pPr>
        <w:autoSpaceDE w:val="0"/>
        <w:autoSpaceDN w:val="0"/>
        <w:adjustRightInd w:val="0"/>
        <w:spacing w:after="0" w:line="240" w:lineRule="auto"/>
        <w:rPr>
          <w:sz w:val="24"/>
        </w:rPr>
      </w:pPr>
    </w:p>
    <w:p w14:paraId="52ABDEA9" w14:textId="2689D8DB" w:rsidR="003621EC" w:rsidRDefault="003621EC" w:rsidP="00F01996">
      <w:pPr>
        <w:autoSpaceDE w:val="0"/>
        <w:autoSpaceDN w:val="0"/>
        <w:adjustRightInd w:val="0"/>
        <w:spacing w:after="0" w:line="240" w:lineRule="auto"/>
        <w:rPr>
          <w:sz w:val="24"/>
        </w:rPr>
      </w:pPr>
    </w:p>
    <w:p w14:paraId="11510CC6" w14:textId="77777777" w:rsidR="003621EC" w:rsidRDefault="003621EC" w:rsidP="00F01996">
      <w:pPr>
        <w:autoSpaceDE w:val="0"/>
        <w:autoSpaceDN w:val="0"/>
        <w:adjustRightInd w:val="0"/>
        <w:spacing w:after="0" w:line="240" w:lineRule="auto"/>
        <w:rPr>
          <w:sz w:val="24"/>
        </w:rPr>
      </w:pP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lastRenderedPageBreak/>
        <w:t xml:space="preserve">Παράγραφος 4. </w:t>
      </w:r>
      <w:r>
        <w:rPr>
          <w:sz w:val="24"/>
        </w:rPr>
        <w:t>Σύμφωνα με την απαγόρευση των παραγράφων 1 και 2, απαγορεύεται:</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άμεσα ή έμμεσα η διαφήμιση ή ανακοίνωση σχετικά με </w:t>
      </w:r>
      <w:r>
        <w:rPr>
          <w:sz w:val="24"/>
        </w:rPr>
        <w:t xml:space="preserve">την πώληση ηλεκτρονικών τσιγάρων και περιεκτών επαναπλήρωσης </w:t>
      </w:r>
      <w:r>
        <w:rPr>
          <w:rStyle w:val="tlid-translation"/>
          <w:color w:val="000000" w:themeColor="text1"/>
          <w:sz w:val="24"/>
        </w:rPr>
        <w:t>στο σημείο πώλησης,</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η χρήση κειμένου, εικονογραφήσεων, εικόνων, χρωμάτων, λογότυπων, συμβόλων ή άλλων μέσων, με σκοπό να δοθεί στον καταναλωτή η εντύπωση ότι γίνεται αναφορά σε προϊόντα ή κατηγορίες προϊόντων που καλύπτονται από τις παραγράφους 1 και 2 ή να δοθεί η εντύπωση ότι τέτοια προϊόντα είναι ευεργετικά για την υγεία, λιγότερο επιβλαβή από άλλα προϊόντα, </w:t>
      </w:r>
      <w:r>
        <w:rPr>
          <w:sz w:val="24"/>
        </w:rPr>
        <w:t>ενεργούν ως βοήθημα για τη διακοπή του καπνίσματος</w:t>
      </w:r>
      <w:r>
        <w:rPr>
          <w:rStyle w:val="tlid-translation"/>
          <w:color w:val="000000" w:themeColor="text1"/>
          <w:sz w:val="24"/>
        </w:rPr>
        <w:t xml:space="preserve"> ή έχουν άλλα ευεργετικά αποτελέσματα ή πλεονεκτήματα ή </w:t>
      </w:r>
    </w:p>
    <w:p w14:paraId="6488B9E3" w14:textId="52E2240D" w:rsidR="00F01996" w:rsidRPr="006900B4"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να προβληθούν τα προϊόντα αυτά με χρώμα, ειδικό φωτισμό ή παρόμοια σε σχέση με το υπόλοιπο σημείο πώλησης.  </w:t>
      </w: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0B70E4C9" w:rsidR="00F01996" w:rsidRPr="00202056" w:rsidRDefault="00C92039" w:rsidP="00F01996">
      <w:pPr>
        <w:autoSpaceDE w:val="0"/>
        <w:autoSpaceDN w:val="0"/>
        <w:adjustRightInd w:val="0"/>
        <w:spacing w:after="0" w:line="240" w:lineRule="auto"/>
        <w:jc w:val="center"/>
        <w:rPr>
          <w:sz w:val="24"/>
        </w:rPr>
      </w:pPr>
      <w:r>
        <w:rPr>
          <w:sz w:val="24"/>
        </w:rPr>
        <w:t>Κεφάλαιο</w:t>
      </w:r>
      <w:r w:rsidR="00F01996">
        <w:rPr>
          <w:sz w:val="24"/>
        </w:rPr>
        <w:t xml:space="preserve">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Ουδέτερες πληροφορίες για προϊόντα και τιμές σε φυσικά σημεία πώλησης</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Άρθρο 4. </w:t>
      </w:r>
      <w:r>
        <w:rPr>
          <w:sz w:val="24"/>
        </w:rPr>
        <w:t>Τα φυσικά σημεία πώλησης μπορούν να παρέχουν στον αγοραστή ουδέτερες πληροφορίες σχετικά με το ποια ηλεκτρονικά τσιγάρα και περιέκτες επαναπλήρωσης πωλούνται στο σημείο πώλησης, καθώς και με την τιμή των προϊόντων.</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Παράγραφος 2.</w:t>
      </w:r>
      <w:r>
        <w:rPr>
          <w:sz w:val="24"/>
        </w:rPr>
        <w:t xml:space="preserve"> Οι πληροφορίες που επιτρέπονται σύμφωνα με την παράγραφο 1 περιλαμβάνουν:</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εμπορικό σήμα και εμπορική ονομασία προϊόντος,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αριθμό, βάρος, μέγεθος και όγκο, και</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τιμή.</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Παράγραφος 3. </w:t>
      </w:r>
      <w:r>
        <w:rPr>
          <w:sz w:val="24"/>
        </w:rPr>
        <w:t>Οι πληροφορίες του καταλόγου που περιλαμβάνονται στην παράγραφο 2 πρέπει να εμφανίζονται σε μαύρο κείμενο σε λευκό φύλλο Α4 ή μικρότερο, το οποίο δεν θα πρέπει να έχει εικονογραφήσεις, εικόνες, χρώματα, λογότυπους, σύμβολα ή άλλο κείμενο, εκτός εάν προβλέπεται στην παράγραφο 4. Καμία πληροφορία στον κατάλογο δεν μπορεί να προβάλλεται σε μεγαλύτερο βαθμό έναντι των υπολοίπων και οι πληροφορίες θα πρέπει να:</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εμφανίζονται με αλφαβητική σειρά με βάση το εμπορικό σήμα,</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εμφανίζονται για κάθε προϊόν με την ακόλουθη σειρά: Εμπορικό σήμα, εμπορική ονομασία, αριθμός, βάρος, μέγεθος, όγκος και τιμή, και</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εμφανίζεται με την ίδια γραμματοσειρά και το ίδιο μέγεθος γραμματοσειράς. Το μέγεθος της γραμματοσειράς δεν μπορεί να υπερβαίνει το 14.</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Παράγραφος 4. </w:t>
      </w:r>
      <w:r>
        <w:rPr>
          <w:sz w:val="24"/>
        </w:rPr>
        <w:t xml:space="preserve">Ο κατάλογος σύμφωνα με την παράγραφο 3 θα πρέπει να περιέχει γράφημα, που καταρτίζεται από την Υγειονομική Αρχή της Δανίας, σχετικά με το όριο ηλικίας για την πώληση ηλεκτρονικών τσιγάρων και περιεκτών επαναπλήρωσης, βλ. άρθρο 15 παράγραφος 1 του νόμου για τα ηλεκτρονικά τσιγάρα κ.λπ.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Παράγραφος 5. </w:t>
      </w:r>
      <w:r>
        <w:rPr>
          <w:sz w:val="24"/>
        </w:rPr>
        <w:t>Σε κάθε προϊόν του καταλόγου σύμφωνα με την παράγραφο 3 μπορεί να εκχωρηθεί ένας αριθμός.</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Παράγραφος 6.</w:t>
      </w:r>
      <w:r>
        <w:rPr>
          <w:sz w:val="24"/>
        </w:rPr>
        <w:t xml:space="preserve"> Ο κατάλογος σύμφωνα με την παράγραφο 3 μπορεί να χωριστεί σε μία ή περισσότερες από τις ακόλουθες κατηγορίες: «Ηλεκτρονικό τσιγάρο», «Περιέκτες επαναπλήρωσης», «Εξοπλισμός ηλεκτρονικών τσιγάρων» και «Άλλα». Οι κατηγορίες του καταλόγου μπορούν να υποδιαιρεθούν σε προϊόντα με ή χωρίς νικοτίνη. Η κατάταξη στις κατηγορίες γίνεται σύμφωνα με τους ορισμούς των ηλεκτρονικών τσιγάρων και των περιεκτών επαναπλήρωσης του νόμου για τα ηλεκτρονικά τσιγάρα κ.λπ.</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488DE535" w:rsidR="00F01996" w:rsidRDefault="00F01996" w:rsidP="00F01996">
      <w:pPr>
        <w:autoSpaceDE w:val="0"/>
        <w:autoSpaceDN w:val="0"/>
        <w:adjustRightInd w:val="0"/>
        <w:spacing w:after="0" w:line="240" w:lineRule="auto"/>
        <w:rPr>
          <w:sz w:val="24"/>
        </w:rPr>
      </w:pPr>
      <w:r>
        <w:rPr>
          <w:i/>
          <w:sz w:val="24"/>
        </w:rPr>
        <w:t>Παράγραφος 7.</w:t>
      </w:r>
      <w:r>
        <w:rPr>
          <w:sz w:val="24"/>
        </w:rPr>
        <w:t xml:space="preserve"> Ο κατάλογος σύμφωνα με την παράγραφο 3 θα πρέπει να εμφανίζεται κατόπιν αιτήματος του αγοραστή ή να εμφανίζεται σε επανδρωμένο ταμείο.</w:t>
      </w:r>
    </w:p>
    <w:p w14:paraId="069EFDF8" w14:textId="77777777" w:rsidR="006900B4" w:rsidRPr="00202056" w:rsidRDefault="006900B4" w:rsidP="00F01996">
      <w:pPr>
        <w:autoSpaceDE w:val="0"/>
        <w:autoSpaceDN w:val="0"/>
        <w:adjustRightInd w:val="0"/>
        <w:spacing w:after="0" w:line="240" w:lineRule="auto"/>
        <w:rPr>
          <w:sz w:val="24"/>
        </w:rPr>
      </w:pP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Κεφάλαιο 5</w:t>
      </w:r>
    </w:p>
    <w:p w14:paraId="6488B9FD" w14:textId="77777777" w:rsidR="00F01996" w:rsidRPr="00202056" w:rsidRDefault="00F01996" w:rsidP="00F01996">
      <w:pPr>
        <w:jc w:val="center"/>
        <w:rPr>
          <w:i/>
          <w:sz w:val="24"/>
        </w:rPr>
      </w:pPr>
      <w:r>
        <w:rPr>
          <w:i/>
          <w:sz w:val="24"/>
        </w:rPr>
        <w:t>Πώληση μέσω διαδικτύου (online) και ψηφιακών λύσεων</w:t>
      </w:r>
    </w:p>
    <w:p w14:paraId="6488B9FE" w14:textId="1499D7DF" w:rsidR="00F01996" w:rsidRPr="005124ED" w:rsidRDefault="00C92039" w:rsidP="00F01996">
      <w:pPr>
        <w:autoSpaceDE w:val="0"/>
        <w:autoSpaceDN w:val="0"/>
        <w:adjustRightInd w:val="0"/>
        <w:spacing w:after="0" w:line="240" w:lineRule="auto"/>
        <w:rPr>
          <w:rFonts w:cstheme="minorHAnsi"/>
          <w:i/>
          <w:sz w:val="24"/>
          <w:szCs w:val="24"/>
        </w:rPr>
      </w:pPr>
      <w:r>
        <w:rPr>
          <w:b/>
          <w:sz w:val="24"/>
        </w:rPr>
        <w:t>Άρθρο </w:t>
      </w:r>
      <w:r w:rsidR="00F01996">
        <w:rPr>
          <w:b/>
          <w:sz w:val="24"/>
        </w:rPr>
        <w:t>5.</w:t>
      </w:r>
      <w:r w:rsidR="00F01996">
        <w:rPr>
          <w:sz w:val="24"/>
        </w:rPr>
        <w:t xml:space="preserve"> Η απαγόρευση τοποθέτησης σε ευκρινές σημείο και οπτικής παρουσίασης ηλεκτρονικών τσιγάρων και περιεκτών επαναπλήρωσης σύμφωνα με το άρθρο 3 παράγραφοι 1 και 3 ισχύει επίσης για την πώληση μέσω διαδικτύου και με τη χρήση ψηφιακών λύσεων, όπως αρχικές σελίδες λιανικής πώλησης, διαδικτυακά καταστήματα, αρχικές σελίδες εταιρειών, σελίδες εταιρειών σε μέσα κοινωνικής δικτύωσης και εφαρμογές που πραγματοποιούν πωλήσεις ή απευθύνονται σε καταναλωτές.</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Παράγραφος 2. </w:t>
      </w:r>
      <w:r>
        <w:rPr>
          <w:sz w:val="24"/>
        </w:rPr>
        <w:t xml:space="preserve">Τα σημεία πώλησης που περιλαμβάνονται στην παράγραφο 1 μπορούν να παρέχουν στον αγοραστή ουδέτερες πληροφορίες σχετικά με το ποια ηλεκτρονικά τσιγάρα και περιέκτες επαναπλήρωσης πωλούνται στο σημείο πώλησης, καθώς και την τιμή των προϊόντων. Επιπλέον, μπορούν να παρέχονται πληροφορίες στη συσκευασία των προϊόντων, καθώς και τεχνικές πληροφορίες που επιτρέπουν στον πελάτη να εκτιμήσει με ποια άλλα προϊόντα είναι συμβατό το προϊόν.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Παράγραφος 3</w:t>
      </w:r>
      <w:r>
        <w:rPr>
          <w:sz w:val="24"/>
        </w:rPr>
        <w:t xml:space="preserve">. Οι πληροφορίες που αναφέρονται στην παράγραφο 2 δεν μπορούν να δώσουν την εντύπωση ότι τα ηλεκτρονικά τσιγάρα ή υγρά σε περιέκτες επαναπλήρωσης έχουν όφελος για την υγεία, είναι λιγότερο επιβλαβή από άλλα προϊόντα ή έχουν άλλα ευεργετικά αποτελέσματα ή οφέλη.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Παράγραφος 4.</w:t>
      </w:r>
      <w:r>
        <w:rPr>
          <w:sz w:val="24"/>
        </w:rPr>
        <w:t xml:space="preserve"> Οι πληροφορίες που αναφέρονται στην παράγραφο 2 δεν επιτρέπεται να αναγράφονται στο εμπρόσθιο μέρος του σημείου πώλησης, εκτός από τις κατηγορίες «Ηλεκτρονικά τσιγάρα», «Περιέκτες επαναπλήρωσης», «Εξοπλισμός ηλεκτρονικών τσιγάρων» και «Άλλα». Οι κατηγορίες μπορούν να υποδιαιρεθούν σε προϊόντα με και χωρίς νικοτίνη.</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Παράγραφος 5. </w:t>
      </w:r>
      <w:r>
        <w:rPr>
          <w:sz w:val="24"/>
        </w:rPr>
        <w:t>Οι πληροφορίες που περιλαμβάνονται στην παράγραφο 2 δεν θα πρέπει να εμφανίζονται με ή να συνοδεύονται από εικονογραφήσεις, εικόνες, χρώματα, λογότυπους, σύμβολα ή άλλο κείμενο. Καμία πληροφορία δεν μπορεί να παρουσιάζεται με έντονο ή εμφανή τρόπο, και οι πληροφορίες πρέπει να εμφανίζονται με το ίδιο χρώμα γραμματοσειράς, τον τύπο γραμματοσειράς και το μέγεθος γραμματοσειράς που χρησιμοποιούνται γενικά κατά την παρουσίαση των προϊόντων στον δικτυακό τόπο.</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lastRenderedPageBreak/>
        <w:t>Παράγραφος 6.</w:t>
      </w:r>
      <w:r>
        <w:rPr>
          <w:sz w:val="24"/>
        </w:rPr>
        <w:t xml:space="preserve"> Η απαγόρευση που αναφέρεται στην παράγραφο 5 δεν καλύπτει το σύμβολο «προσθήκη στο καλάθι» ή άλλα θέματα σχετικά με τη λειτουργία του δικτυακού τόπου και τη διασφάλιση της προσβασιμότητας στο διαδίκτυο.</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Παράγραφος 7.</w:t>
      </w:r>
      <w:r>
        <w:rPr>
          <w:sz w:val="24"/>
        </w:rPr>
        <w:t xml:space="preserve"> Τα σημεία πώλησης που καλύπτονται από την παράγραφο 1 δεν θα πρέπει να παρέχουν την ευκαιρία στους πελάτες ή τους επισκέπτες της σελίδας να αξιολογούν, να βαθμολογούν ή να προβαίνουν σε παρόμοιες ενέργειες σε σχέση με προϊόντα που καλύπτονται από την παράγραφο 1, εάν η αξιολόγηση κ.λπ. καθίσταται ορατή ή προσβάσιμη στον ίδιο τον αξιολογητή ή σε άλλους που δεν απασχολούνται στο σημείο πώλησης των προϊόντων.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C81D329" w:rsidR="00F01996" w:rsidRDefault="00F01996" w:rsidP="00F01996">
      <w:pPr>
        <w:autoSpaceDE w:val="0"/>
        <w:autoSpaceDN w:val="0"/>
        <w:adjustRightInd w:val="0"/>
        <w:spacing w:after="0" w:line="240" w:lineRule="auto"/>
        <w:rPr>
          <w:sz w:val="24"/>
        </w:rPr>
      </w:pPr>
      <w:r>
        <w:rPr>
          <w:i/>
          <w:sz w:val="24"/>
        </w:rPr>
        <w:t xml:space="preserve">Παράγραφος 8. </w:t>
      </w:r>
      <w:r>
        <w:rPr>
          <w:sz w:val="24"/>
        </w:rPr>
        <w:t xml:space="preserve">Τα σημεία πώλησης που αναφέρονται στην παράγραφο 1 πρέπει να εξασφαλίζουν ότι, πριν από την επιλογή του προϊόντος, παρουσιάζεται στον πελάτη γραφική εικόνα που έχει καταρτιστεί από την Αρχή Υγείας και Φαρμάκων της Δανίας, στην οποία αναγράφεται το όριο ηλικίας για την πώληση ηλεκτρονικών τσιγάρων και περιεκτών επαναπλήρωσης, βλ. άρθρο 15 παράγραφος 1 του νόμου για τα ηλεκτρονικά τσιγάρα κ.λπ. </w:t>
      </w:r>
    </w:p>
    <w:p w14:paraId="3B8E8AFC" w14:textId="77777777" w:rsidR="006900B4" w:rsidRPr="005124ED" w:rsidRDefault="006900B4" w:rsidP="00F01996">
      <w:pPr>
        <w:autoSpaceDE w:val="0"/>
        <w:autoSpaceDN w:val="0"/>
        <w:adjustRightInd w:val="0"/>
        <w:spacing w:after="0" w:line="240" w:lineRule="auto"/>
        <w:rPr>
          <w:rFonts w:cstheme="minorHAnsi"/>
          <w:sz w:val="24"/>
          <w:szCs w:val="24"/>
        </w:rPr>
      </w:pP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Κεφάλαιο 6</w:t>
      </w:r>
    </w:p>
    <w:p w14:paraId="6488BA0E" w14:textId="77777777" w:rsidR="00F01996" w:rsidRPr="00202056" w:rsidRDefault="00F01996" w:rsidP="00F01996">
      <w:pPr>
        <w:spacing w:line="240" w:lineRule="auto"/>
        <w:jc w:val="center"/>
        <w:rPr>
          <w:i/>
          <w:sz w:val="24"/>
        </w:rPr>
      </w:pPr>
      <w:r>
        <w:rPr>
          <w:i/>
          <w:sz w:val="24"/>
        </w:rPr>
        <w:t xml:space="preserve">Φυσικά σημεία πώλησης που ειδικεύονται στην πώληση ηλεκτρονικών τσιγάρων και περιεκτών επαναπλήρωσης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Άρθρο 6. </w:t>
      </w:r>
      <w:r>
        <w:rPr>
          <w:sz w:val="24"/>
        </w:rPr>
        <w:t xml:space="preserve">Η απαγόρευση της τοποθέτησης σε ευκρινές σημείο και της οπτικής παρουσίασης σύμφωνα με το άρθρο 3 παράγραφοι 1 και 2 δεν ισχύει για την πώληση ηλεκτρονικών τσιγάρων και περιεκτών επαναπλήρωσης σε φυσικά σημεία πώλησης που ειδικεύονται στην πώληση αυτών των προϊόντων.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Παράγραφος 2.</w:t>
      </w:r>
      <w:r>
        <w:rPr>
          <w:sz w:val="24"/>
        </w:rPr>
        <w:t xml:space="preserve"> Ένα σημείο πώλησης σύμφωνα με την παράγραφο 1 θεωρείται ότι ειδικεύεται στην πώληση ηλεκτρονικών τσιγάρων </w:t>
      </w:r>
      <w:r>
        <w:rPr>
          <w:rFonts w:ascii="Calibri" w:hAnsi="Calibri"/>
          <w:color w:val="000000"/>
          <w:sz w:val="24"/>
        </w:rPr>
        <w:t>και περιεκτών επαναπλήρωσης, όταν το σημείο πωλεί αποκλειστικά ή κυρίως ηλεκτρονικά τσιγάρα και περιέκτες επαναπλήρωσης με και χωρίς νικοτίνη.</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Παράγραφος 3.</w:t>
      </w:r>
      <w:r>
        <w:rPr>
          <w:sz w:val="24"/>
        </w:rPr>
        <w:t xml:space="preserve"> Η εξαίρεση από την απαγόρευση της τοποθέτησης σε ευκρινές σημείο και της οπτικής παρουσίασης σύμφωνα με την παράγραφο 1 ισχύει μόνο για ηλεκτρονικά τσιγάρα και περιέκτες επαναπλήρωσης. Εάν το σημείο πώλησης πωλεί άλλα προϊόντα ή προϊόντα καπνού, υποκατάστατα καπνού ή φυτικά προϊόντα για κάπνισμα, αυτά περιλαμβάνονται στην απαγόρευση σύμφωνα με το άρθρο 3 παράγραφοι 1 και 2 και τους κανόνες για τις ουδέτερες πληροφορίες σχετικά με τα προϊόντα και τις τιμές</w:t>
      </w:r>
      <w:r>
        <w:rPr>
          <w:i/>
          <w:sz w:val="24"/>
        </w:rPr>
        <w:t xml:space="preserve"> </w:t>
      </w:r>
      <w:r>
        <w:rPr>
          <w:sz w:val="24"/>
        </w:rPr>
        <w:t>του άρθρου 4 του παρόντος διατάγματος ή το άρθρο 2 παράγραφοι 1 και 2 και το άρθρο 3 του διατάγματος για απαγόρευση της τοποθέτησης σε ευκρινές σημείο και της οπτικής παρουσίασης κ.λπ. προϊόντων καπνού, υποκατάστατων καπνού ή φυτικών προϊόντων για κάπνισμα.</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Παράγραφος 4. </w:t>
      </w:r>
      <w:r>
        <w:rPr>
          <w:sz w:val="24"/>
        </w:rPr>
        <w:t xml:space="preserve">Εάν ένα σημείο πωλήσεων σύμφωνα με την παράγραφο 1 πωλεί ηλεκτρονικά τσιγάρα και περιέκτες επαναπλήρωσης μέσω ψηφιακών λύσεων, όπως αρχικές σελίδες λιανικής πώλησης, διαδικτυακά καταστήματα, αρχικές σελίδες εταιρειών, σελίδες εταιρειών σε μέσα κοινωνικής δικτύωσης και εφαρμογές, αυτό περιλαμβάνεται στο άρθρο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lastRenderedPageBreak/>
        <w:t>Παράγραφος 5.</w:t>
      </w:r>
      <w:r>
        <w:rPr>
          <w:color w:val="000000" w:themeColor="text1"/>
          <w:sz w:val="24"/>
        </w:rPr>
        <w:t xml:space="preserve"> Δεν επιτρέπεται σε φυσικό σημείο πώλησης σύμφωνα με την παράγραφο 1 να διαφημίζει ηλεκτρονικά τσιγάρα και περιέκτες επαναπλήρωσης στο σημείο πώλησης, στη βιτρίνα ή στο μπροστινό μέρος του καταστήματος, εκτός εάν αυτό προβλέπεται στην παράγραφο 6. Αυτό περιλαμβάνει:</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την περίπτωση κατά την οποία ενδέχεται να μην υπάρχουν στοιχεία, ούτε γύρω από τα προϊόντα, τα οποία ενδέχεται να λειτουργούν ως διαφήμιση, όπως ο ειδικός φωτισμός, η χρήση χρωμάτων ή εφέ που αναδεικνύουν διαφορετικά ένα συγκεκριμένο προϊόν, η εμπορική ονομασία, η τιμή ή άλλα για τα ηλεκτρονικά τσιγάρα και τους περιέκτες επαναπλήρωσης· ή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κείμενο, εικονογραφήσεις, εικόνες, χρώματα, λογότυπους, σύμβολα ή άλλα μέσα που δίνουν στον αγοραστή</w:t>
      </w:r>
      <w:r>
        <w:rPr>
          <w:rStyle w:val="tlid-translation"/>
          <w:color w:val="000000" w:themeColor="text1"/>
          <w:sz w:val="24"/>
        </w:rPr>
        <w:t xml:space="preserve"> την εντύπωση ότι ένα ή περισσότερα προϊόντα είναι ευεργετικά για την υγεία, λιγότερο επιβλαβή από άλλα προϊόντα, </w:t>
      </w:r>
      <w:r>
        <w:rPr>
          <w:sz w:val="24"/>
        </w:rPr>
        <w:t>ενεργούν ως βοήθημα για τη διακοπή του καπνίσματος</w:t>
      </w:r>
      <w:r>
        <w:rPr>
          <w:rStyle w:val="tlid-translation"/>
          <w:color w:val="000000" w:themeColor="text1"/>
          <w:sz w:val="24"/>
        </w:rPr>
        <w:t xml:space="preserve"> ή έχουν άλλα ευεργετικά αποτελέσματα ή πλεονεκτήματα. </w:t>
      </w:r>
    </w:p>
    <w:p w14:paraId="6488BA1C" w14:textId="77777777" w:rsidR="00F01996" w:rsidRPr="00B6712B" w:rsidRDefault="00F01996" w:rsidP="00F01996">
      <w:pPr>
        <w:autoSpaceDE w:val="0"/>
        <w:autoSpaceDN w:val="0"/>
        <w:adjustRightInd w:val="0"/>
        <w:spacing w:after="0" w:line="240" w:lineRule="auto"/>
        <w:rPr>
          <w:sz w:val="24"/>
        </w:rPr>
      </w:pPr>
      <w:r>
        <w:rPr>
          <w:i/>
          <w:sz w:val="24"/>
        </w:rPr>
        <w:t>Παράγραφος 6</w:t>
      </w:r>
      <w:r>
        <w:rPr>
          <w:sz w:val="24"/>
        </w:rPr>
        <w:t>. Το όνομα ενός φυσικού σημείου πώλησης σύμφωνα με την παράγραφο 1 πρέπει να εμφανίζεται στο φυσικό κατάστημα ή στο μπροστινό μέρος του καταστήματος με ουδέτερο σχεδιασμό. Η ίδια η ονομασία δεν μπορεί να λειτουργεί ως διαφήμιση ή να ξεχωρίζει, αλλά μπορεί να περιέχει τις λέξεις «ηλεκτρονικά τσιγάρα» ή να αναφέρεται στα ηλεκτρονικά τσιγάρα με ουδέτερο τρόπο.</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Παράγραφος 7.</w:t>
      </w:r>
      <w:r>
        <w:rPr>
          <w:sz w:val="24"/>
        </w:rPr>
        <w:t xml:space="preserve"> Η εξαίρεση από την απαγόρευση της τοποθέτησης σε ευκρινές σημείο και της οπτικής παρουσίασης σύμφωνα με την παράγραφο 1 δεν δίνει στο σημείο πώλησης τη δυνατότητα να τοποθετεί σε ευκρινές σημείο και να παρουσιάζει ηλεκτρονικά τσιγάρα και περιέκτες επαναπλήρωσης σε άλλα μέρη εκτός από το σημείο πώλησης, ή να διανέμει διαφημιστικά φυλλάδια και δωρεάν προϊόντα κ.λπ.</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Κεφάλαιο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Μηχανήματα αυτόματης πώλησης</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Άρθρο 7</w:t>
      </w:r>
      <w:r>
        <w:rPr>
          <w:sz w:val="24"/>
        </w:rPr>
        <w:t>. Τα μηχανήματα που χρησιμοποιούνται μέσω αυτοεξυπηρέτησης για την προμήθεια ηλεκτρονικών τσιγάρων και περιεκτών επαναπλήρωσης μετά την πώληση από επανδρωμένο ταμείο θα πρέπει να έχουν ουδέτερο σχεδιασμό. Οι πληροφορίες στο μηχάνημα σχετικά με την εμπορική ονομασία, την ονομασία προϊόντος και την τιμή θα πρέπει να εμφανίζονται με μαύρο χρώμα σε λευκό υπόβαθρο.</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Παράγραφος 2.</w:t>
      </w:r>
      <w:r>
        <w:rPr>
          <w:sz w:val="24"/>
        </w:rPr>
        <w:t xml:space="preserve"> Ένα μηχάνημα που καλύπτεται από την παράγραφο 1 δεν θα πρέπει να:</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έχει ή να τοποθετεί ετικέτες με το εμπορικό σήμα ή την εταιρεία ή άλλα χαρακτηριστικά για τα εν λόγω προϊόντα, συμπεριλαμβανομένης της εικόνας ενός προϊόντος,</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δίνει έμφαση σε πληροφορίες και</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έχει ή να τοποθετεί κείμενο, εικονογραφήσεις, εικόνες, χρώματα, λογότυπους, σύμβολα ή άλλα μέσα που μπορούν να δώσουν στον αγοραστή την εντύπωση ότι ένα προϊόν που πωλείται από το συγκεκριμένο μηχάνημα είναι ευεργετικό για την υγεία, λιγότερο επιβλαβές από άλλα προϊόντα, ενεργεί ως βοήθημα για τη διακοπή του καπνίσματος ή έχει άλλα ευεργετικά αποτελέσματα ή πλεονεκτήματα.</w:t>
      </w: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lastRenderedPageBreak/>
        <w:t>Κεφάλαιο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Κυρώσεις</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Άρθρο 8. </w:t>
      </w:r>
      <w:r>
        <w:rPr>
          <w:sz w:val="24"/>
        </w:rPr>
        <w:t>Εκτός εάν προβλέπονται αυστηρότερες κυρώσεις σε άλλη νομοθετική πράξη, κυρώσεις επιβάλλονται σε όσους παραβιάζουν την απαγόρευση των άρθρων 2 και 3 ή τους κανονισμούς των άρθρων 4–7.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6D63B8C8" w:rsidR="00F01996" w:rsidRDefault="00F01996" w:rsidP="00F01996">
      <w:pPr>
        <w:autoSpaceDE w:val="0"/>
        <w:autoSpaceDN w:val="0"/>
        <w:adjustRightInd w:val="0"/>
        <w:spacing w:after="0" w:line="240" w:lineRule="auto"/>
        <w:rPr>
          <w:sz w:val="24"/>
        </w:rPr>
      </w:pPr>
      <w:r>
        <w:rPr>
          <w:i/>
          <w:sz w:val="24"/>
        </w:rPr>
        <w:t xml:space="preserve">Παράγραφος 2. </w:t>
      </w:r>
      <w:r>
        <w:rPr>
          <w:sz w:val="24"/>
        </w:rPr>
        <w:t>(νομικά πρόσωπα) ενδέχεται να υπέχουν ποινική ευθύνη σύμφωνα με τις διατάξεις του κεφαλαίου 5 του ποινικού κώδικα [Straffeloven].</w:t>
      </w:r>
    </w:p>
    <w:p w14:paraId="25B4BAFB" w14:textId="6676BD23" w:rsidR="003621EC" w:rsidRDefault="003621EC" w:rsidP="00F01996">
      <w:pPr>
        <w:autoSpaceDE w:val="0"/>
        <w:autoSpaceDN w:val="0"/>
        <w:adjustRightInd w:val="0"/>
        <w:spacing w:after="0" w:line="240" w:lineRule="auto"/>
        <w:rPr>
          <w:sz w:val="24"/>
        </w:rPr>
      </w:pPr>
    </w:p>
    <w:p w14:paraId="7442CE83" w14:textId="77777777" w:rsidR="006900B4" w:rsidRPr="00B6712B" w:rsidRDefault="006900B4"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Κεφάλαιο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Έναρξη ισχύος</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Άρθρο 9. </w:t>
      </w:r>
      <w:r>
        <w:rPr>
          <w:sz w:val="24"/>
        </w:rPr>
        <w:t xml:space="preserve">Το παρόν διάταγμα τίθεται σε ισχύ την 1η Απριλίου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Υπουργείο Υγείας, 15 Ιανουαρίου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DD47DB"/>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773D" w14:textId="77777777" w:rsidR="00382E07" w:rsidRDefault="00382E07" w:rsidP="00350BF0">
      <w:pPr>
        <w:spacing w:after="0" w:line="240" w:lineRule="auto"/>
      </w:pPr>
      <w:r>
        <w:separator/>
      </w:r>
    </w:p>
  </w:endnote>
  <w:endnote w:type="continuationSeparator" w:id="0">
    <w:p w14:paraId="38801CEB" w14:textId="77777777" w:rsidR="00382E07" w:rsidRDefault="00382E07"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FEA9" w14:textId="77777777" w:rsidR="00382E07" w:rsidRDefault="00382E07" w:rsidP="00350BF0">
      <w:pPr>
        <w:spacing w:after="0" w:line="240" w:lineRule="auto"/>
      </w:pPr>
      <w:r>
        <w:separator/>
      </w:r>
    </w:p>
  </w:footnote>
  <w:footnote w:type="continuationSeparator" w:id="0">
    <w:p w14:paraId="35D6022F" w14:textId="77777777" w:rsidR="00382E07" w:rsidRDefault="00382E07"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DBB2FD84"/>
    <w:lvl w:ilvl="0" w:tplc="B8C63B3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621EC"/>
    <w:rsid w:val="0037143F"/>
    <w:rsid w:val="00382E07"/>
    <w:rsid w:val="006900B4"/>
    <w:rsid w:val="007F49CF"/>
    <w:rsid w:val="008B795A"/>
    <w:rsid w:val="00A67B34"/>
    <w:rsid w:val="00AA573A"/>
    <w:rsid w:val="00B21D4C"/>
    <w:rsid w:val="00BC77E7"/>
    <w:rsid w:val="00BD5461"/>
    <w:rsid w:val="00BE0E06"/>
    <w:rsid w:val="00C92039"/>
    <w:rsid w:val="00DD47DB"/>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2381</Words>
  <Characters>13574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Dimitris Dimitriadis</cp:lastModifiedBy>
  <cp:revision>5</cp:revision>
  <dcterms:created xsi:type="dcterms:W3CDTF">2021-12-13T09:01:00Z</dcterms:created>
  <dcterms:modified xsi:type="dcterms:W3CDTF">2021-12-13T14:52:00Z</dcterms:modified>
</cp:coreProperties>
</file>