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67C9AE38"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AAFD72"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3F2D7E34"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36A7039F"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F4F7778"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5AEAABB9"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042BA1C"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Název</w:t>
            </w:r>
          </w:p>
        </w:tc>
      </w:tr>
      <w:tr w:rsidR="00FD36C9" w:rsidRPr="00FD36C9" w14:paraId="36458639"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7CAB318" w14:textId="2DF90DC2"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dubna 2019. – Královský výnos, kterým se pozměňuje královský výnos ze dne 5. února 2016 o výrobě a uvádění tabákových výrobků na trh</w:t>
            </w:r>
            <w:r w:rsidR="007E083B">
              <w:rPr>
                <w:rFonts w:ascii="Times New Roman" w:hAnsi="Times New Roman"/>
                <w:b/>
                <w:sz w:val="24"/>
              </w:rPr>
              <w:br/>
            </w:r>
            <w:r w:rsidR="007E083B">
              <w:rPr>
                <w:rFonts w:ascii="Times New Roman" w:hAnsi="Times New Roman"/>
                <w:b/>
                <w:sz w:val="24"/>
              </w:rPr>
              <w:br/>
            </w:r>
            <w:r>
              <w:rPr>
                <w:rFonts w:ascii="Times New Roman" w:hAnsi="Times New Roman"/>
                <w:b/>
                <w:color w:val="FF0000"/>
                <w:sz w:val="24"/>
              </w:rPr>
              <w:t>Zdroj : </w:t>
            </w:r>
            <w:r>
              <w:rPr>
                <w:rFonts w:ascii="Times New Roman" w:hAnsi="Times New Roman"/>
                <w:b/>
                <w:sz w:val="24"/>
              </w:rPr>
              <w:t>VEŘEJNÉ ZDRAVÍ, BEZPEČNOST POTRAVINOVÉHO ŘETĚZCE A ŽIVOTNÍ PROSTŘEDÍ</w:t>
            </w:r>
            <w:r w:rsidR="007E083B">
              <w:rPr>
                <w:rFonts w:ascii="Times New Roman" w:hAnsi="Times New Roman"/>
                <w:b/>
                <w:sz w:val="24"/>
              </w:rPr>
              <w:br/>
            </w:r>
            <w:r>
              <w:rPr>
                <w:rFonts w:ascii="Times New Roman" w:hAnsi="Times New Roman"/>
                <w:b/>
                <w:color w:val="FF0000"/>
                <w:sz w:val="24"/>
              </w:rPr>
              <w:t>Zveřejnění: </w:t>
            </w:r>
            <w:r>
              <w:rPr>
                <w:rFonts w:ascii="Times New Roman" w:hAnsi="Times New Roman"/>
                <w:b/>
                <w:sz w:val="24"/>
              </w:rPr>
              <w:t xml:space="preserve">20-06-2019 </w:t>
            </w:r>
            <w:r>
              <w:rPr>
                <w:rFonts w:ascii="Times New Roman" w:hAnsi="Times New Roman"/>
                <w:b/>
                <w:color w:val="FF0000"/>
                <w:sz w:val="24"/>
              </w:rPr>
              <w:t>číslo: </w:t>
            </w:r>
            <w:r>
              <w:rPr>
                <w:rFonts w:ascii="Times New Roman" w:hAnsi="Times New Roman"/>
                <w:b/>
                <w:sz w:val="24"/>
              </w:rPr>
              <w:t>  2019012788</w:t>
            </w:r>
            <w:r>
              <w:rPr>
                <w:rFonts w:ascii="Times New Roman" w:hAnsi="Times New Roman"/>
                <w:b/>
                <w:color w:val="FF0000"/>
                <w:sz w:val="24"/>
              </w:rPr>
              <w:t xml:space="preserve"> strana: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Strana571" w:tgtFrame="_blank" w:history="1">
              <w:r>
                <w:rPr>
                  <w:rFonts w:ascii="Times New Roman" w:hAnsi="Times New Roman"/>
                  <w:b/>
                  <w:color w:val="0000FF"/>
                  <w:sz w:val="24"/>
                  <w:u w:val="single"/>
                </w:rPr>
                <w:t>původní znění</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Spis. číslo :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Nabytí účinnosti: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Tímto textem se mění následující text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243AFEC4"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5AA6AD94"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064C78AD"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Obsah</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BE45A9"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6" w:anchor="text" w:history="1">
              <w:r w:rsidR="00FD36C9">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48342CE"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7" w:anchor="nahoru" w:history="1">
              <w:r w:rsidR="00FD36C9">
                <w:rPr>
                  <w:rFonts w:ascii="Times New Roman" w:hAnsi="Times New Roman"/>
                  <w:b/>
                  <w:color w:val="0000FF"/>
                  <w:sz w:val="24"/>
                  <w:u w:val="single"/>
                </w:rPr>
                <w:t xml:space="preserve">Začátek </w:t>
              </w:r>
            </w:hyperlink>
          </w:p>
        </w:tc>
      </w:tr>
      <w:tr w:rsidR="00FD36C9" w:rsidRPr="00FD36C9" w14:paraId="79FF6F23"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75DF150"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Články 1 až 19</w:t>
            </w:r>
          </w:p>
        </w:tc>
      </w:tr>
    </w:tbl>
    <w:p w14:paraId="57579331"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561649D3"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55B693D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852A587"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8"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5A500A2"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9" w:anchor="nahoru" w:history="1">
              <w:r w:rsidR="00FD36C9">
                <w:rPr>
                  <w:rFonts w:ascii="Times New Roman" w:hAnsi="Times New Roman"/>
                  <w:b/>
                  <w:color w:val="0000FF"/>
                  <w:sz w:val="24"/>
                  <w:u w:val="single"/>
                </w:rPr>
                <w:t xml:space="preserve">Začátek </w:t>
              </w:r>
            </w:hyperlink>
          </w:p>
        </w:tc>
      </w:tr>
      <w:bookmarkStart w:id="3" w:name="Art.1"/>
      <w:tr w:rsidR="00FD36C9" w:rsidRPr="00FD36C9" w14:paraId="1966FAD3"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301B10F9" w14:textId="4304DC2A" w:rsidR="00FD36C9" w:rsidRPr="00FD36C9" w:rsidRDefault="0032210E"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 </w:instrText>
            </w:r>
            <w:r>
              <w:rPr>
                <w:rFonts w:ascii="Times New Roman" w:hAnsi="Times New Roman"/>
                <w:b/>
                <w:sz w:val="24"/>
              </w:rPr>
            </w:r>
            <w:r>
              <w:rPr>
                <w:rFonts w:ascii="Times New Roman" w:hAnsi="Times New Roman"/>
                <w:b/>
                <w:sz w:val="24"/>
              </w:rPr>
              <w:fldChar w:fldCharType="separate"/>
            </w:r>
            <w:r w:rsidR="00FD36C9" w:rsidRPr="0032210E">
              <w:rPr>
                <w:rStyle w:val="Hyperlink"/>
                <w:rFonts w:ascii="Times New Roman" w:hAnsi="Times New Roman"/>
                <w:b/>
                <w:sz w:val="24"/>
              </w:rPr>
              <w:t>Článek </w:t>
            </w:r>
            <w:bookmarkEnd w:id="3"/>
            <w:r>
              <w:rPr>
                <w:rFonts w:ascii="Times New Roman" w:hAnsi="Times New Roman"/>
                <w:b/>
                <w:sz w:val="24"/>
              </w:rPr>
              <w:fldChar w:fldCharType="end"/>
            </w:r>
            <w:hyperlink r:id="rId10" w:history="1">
              <w:r w:rsidR="00FD36C9">
                <w:rPr>
                  <w:rFonts w:ascii="Times New Roman" w:hAnsi="Times New Roman"/>
                  <w:b/>
                  <w:color w:val="0000FF"/>
                  <w:sz w:val="24"/>
                  <w:u w:val="single"/>
                </w:rPr>
                <w:t>1</w:t>
              </w:r>
            </w:hyperlink>
            <w:r w:rsidR="00FD36C9">
              <w:rPr>
                <w:rFonts w:ascii="Times New Roman" w:hAnsi="Times New Roman"/>
                <w:b/>
                <w:sz w:val="24"/>
              </w:rPr>
              <w:t>. V názvu královského výnosu ze dne 5. února 2016 o výrobě tabákových výrobků a jejich uvádění na trh se slova „tabákových výrobků“ nahrazují slovy „výrobků na bázi tabáku a bylinných výrobků určených ke kouření“.</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1" w:anchor="Čl. 3" w:history="1">
              <w:r w:rsidR="00FD36C9">
                <w:rPr>
                  <w:rFonts w:ascii="Times New Roman" w:hAnsi="Times New Roman"/>
                  <w:b/>
                  <w:color w:val="0000FF"/>
                  <w:sz w:val="24"/>
                  <w:u w:val="single"/>
                </w:rPr>
                <w:t>2</w:t>
              </w:r>
            </w:hyperlink>
            <w:r w:rsidR="00FD36C9">
              <w:rPr>
                <w:rFonts w:ascii="Times New Roman" w:hAnsi="Times New Roman"/>
                <w:b/>
                <w:sz w:val="24"/>
              </w:rPr>
              <w:t>. V nadpisech kapitol 3 a 6 a článků 7, 8, 9, 10, 13 a 14 téhož výnosu se slova „tabákové výrobky“ v každém případě výskytu nahrazují slovy „výrobky na bázi tabáku“.</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2" w:anchor="Čl. 4" w:history="1">
              <w:r w:rsidR="00FD36C9">
                <w:rPr>
                  <w:rFonts w:ascii="Times New Roman" w:hAnsi="Times New Roman"/>
                  <w:b/>
                  <w:color w:val="0000FF"/>
                  <w:sz w:val="24"/>
                  <w:u w:val="single"/>
                </w:rPr>
                <w:t>3</w:t>
              </w:r>
            </w:hyperlink>
            <w:r w:rsidR="00FD36C9">
              <w:rPr>
                <w:rFonts w:ascii="Times New Roman" w:hAnsi="Times New Roman"/>
                <w:b/>
                <w:sz w:val="24"/>
              </w:rPr>
              <w:t>. V článcích 2, 4, 5, 6, 7, 8, 10, 11 a 19 téhož výnosu se slova „tabákové výrobky“ v každém případě výskytu nahrazují slovy „výrobky na bázi tabáku“. V článcích 2, 4, 5, 6, 11 a 14 téhož výnosu se slova „tabákový výrobek“ nahrazují slovy „výrobek na bázi tabáku“.</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3" w:anchor="Čl. 5" w:history="1">
              <w:r w:rsidR="00FD36C9">
                <w:rPr>
                  <w:rFonts w:ascii="Times New Roman" w:hAnsi="Times New Roman"/>
                  <w:b/>
                  <w:color w:val="0000FF"/>
                  <w:sz w:val="24"/>
                  <w:u w:val="single"/>
                </w:rPr>
                <w:t>4</w:t>
              </w:r>
            </w:hyperlink>
            <w:r w:rsidR="00FD36C9">
              <w:rPr>
                <w:rFonts w:ascii="Times New Roman" w:hAnsi="Times New Roman"/>
                <w:b/>
                <w:sz w:val="24"/>
              </w:rPr>
              <w:t>. Článek 2 téhož výnosu se mění takto:</w:t>
            </w:r>
            <w:r w:rsidR="00FD36C9">
              <w:rPr>
                <w:rFonts w:ascii="Times New Roman" w:hAnsi="Times New Roman"/>
                <w:b/>
                <w:sz w:val="24"/>
              </w:rPr>
              <w:br/>
              <w:t>  a) je vložen bod 14/1 v následujícím znění:</w:t>
            </w:r>
            <w:r w:rsidR="00FD36C9">
              <w:rPr>
                <w:rFonts w:ascii="Times New Roman" w:hAnsi="Times New Roman"/>
                <w:b/>
                <w:sz w:val="24"/>
              </w:rPr>
              <w:br/>
              <w:t>  „14/1 zařízení: jakékoliv zařízení nebo součást tohoto zařízení, které jsou nezbytné pro konzumaci a/nebo používání nového výrobku na bázi tabáku;“;</w:t>
            </w:r>
            <w:r w:rsidR="00FD36C9">
              <w:rPr>
                <w:rFonts w:ascii="Times New Roman" w:hAnsi="Times New Roman"/>
                <w:b/>
                <w:sz w:val="24"/>
              </w:rPr>
              <w:br/>
              <w:t>  b) je vložen bod 35 (1) v následujícím znění:</w:t>
            </w:r>
            <w:r w:rsidR="00FD36C9">
              <w:rPr>
                <w:rFonts w:ascii="Times New Roman" w:hAnsi="Times New Roman"/>
                <w:b/>
                <w:sz w:val="24"/>
              </w:rPr>
              <w:br/>
              <w:t>  „35 (1) dovozce výrobků na bázi tabáku do Belgie: majitel nebo osoba, která má právo nakládat s výrobky na bázi tabáku dovezenými na území Belgie;“.</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4" w:anchor="Čl. 6" w:history="1">
              <w:r w:rsidR="00FD36C9">
                <w:rPr>
                  <w:rFonts w:ascii="Times New Roman" w:hAnsi="Times New Roman"/>
                  <w:b/>
                  <w:color w:val="0000FF"/>
                  <w:sz w:val="24"/>
                  <w:u w:val="single"/>
                </w:rPr>
                <w:t>5</w:t>
              </w:r>
            </w:hyperlink>
            <w:r w:rsidR="00FD36C9">
              <w:rPr>
                <w:rFonts w:ascii="Times New Roman" w:hAnsi="Times New Roman"/>
                <w:b/>
                <w:sz w:val="24"/>
              </w:rPr>
              <w:t>. Článek 4 téhož výnosu se mění takto:</w:t>
            </w:r>
            <w:r w:rsidR="00FD36C9">
              <w:rPr>
                <w:rFonts w:ascii="Times New Roman" w:hAnsi="Times New Roman"/>
                <w:b/>
                <w:sz w:val="24"/>
              </w:rPr>
              <w:br/>
              <w:t>  1. v odstavci 1 se slova „dvacátého listopadu“ nahrazují slovy „prvního března“;</w:t>
            </w:r>
            <w:r w:rsidR="00FD36C9">
              <w:rPr>
                <w:rFonts w:ascii="Times New Roman" w:hAnsi="Times New Roman"/>
                <w:b/>
                <w:sz w:val="24"/>
              </w:rPr>
              <w:br/>
              <w:t>  2. do odstavce 1 se doplňuje bod 4, který zní:</w:t>
            </w:r>
            <w:r w:rsidR="00FD36C9">
              <w:rPr>
                <w:rFonts w:ascii="Times New Roman" w:hAnsi="Times New Roman"/>
                <w:b/>
                <w:sz w:val="24"/>
              </w:rPr>
              <w:br/>
              <w:t>  „4 označení“;</w:t>
            </w:r>
            <w:r w:rsidR="00FD36C9">
              <w:rPr>
                <w:rFonts w:ascii="Times New Roman" w:hAnsi="Times New Roman"/>
                <w:b/>
                <w:sz w:val="24"/>
              </w:rPr>
              <w:br/>
              <w:t>  3. do odstavce 6 se doplňuje následující věta:</w:t>
            </w:r>
            <w:r w:rsidR="00FD36C9">
              <w:rPr>
                <w:rFonts w:ascii="Times New Roman" w:hAnsi="Times New Roman"/>
                <w:b/>
                <w:sz w:val="24"/>
              </w:rPr>
              <w:br/>
            </w:r>
            <w:r w:rsidR="00FD36C9">
              <w:rPr>
                <w:rFonts w:ascii="Times New Roman" w:hAnsi="Times New Roman"/>
                <w:b/>
                <w:sz w:val="24"/>
              </w:rPr>
              <w:lastRenderedPageBreak/>
              <w:t>  „Tyto údaje o prodejích za rok musí být poskytnuty službě nejpozději do prvního března následujícího roku.“;</w:t>
            </w:r>
            <w:r w:rsidR="00FD36C9">
              <w:rPr>
                <w:rFonts w:ascii="Times New Roman" w:hAnsi="Times New Roman"/>
                <w:b/>
                <w:sz w:val="24"/>
              </w:rPr>
              <w:br/>
              <w:t>  4. v odstavci 7 se před slovo „odměna“, po kterém následují slova „ve výši 125 eur“ vkládá slovo „roční“;</w:t>
            </w:r>
            <w:r w:rsidR="00FD36C9">
              <w:rPr>
                <w:rFonts w:ascii="Times New Roman" w:hAnsi="Times New Roman"/>
                <w:b/>
                <w:sz w:val="24"/>
              </w:rPr>
              <w:br/>
              <w:t>  5. do odstavce 7 se doplňuje následující věta:</w:t>
            </w:r>
            <w:r w:rsidR="00FD36C9">
              <w:rPr>
                <w:rFonts w:ascii="Times New Roman" w:hAnsi="Times New Roman"/>
                <w:b/>
                <w:sz w:val="24"/>
              </w:rPr>
              <w:br/>
              <w:t>  „Tento poplatek musí být uhrazen do prvního března každého roku.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5" w:anchor="Čl. 7" w:history="1">
              <w:r w:rsidR="00FD36C9">
                <w:rPr>
                  <w:rFonts w:ascii="Times New Roman" w:hAnsi="Times New Roman"/>
                  <w:b/>
                  <w:color w:val="0000FF"/>
                  <w:sz w:val="24"/>
                  <w:u w:val="single"/>
                </w:rPr>
                <w:t>6</w:t>
              </w:r>
            </w:hyperlink>
            <w:r w:rsidR="00FD36C9">
              <w:rPr>
                <w:rFonts w:ascii="Times New Roman" w:hAnsi="Times New Roman"/>
                <w:b/>
                <w:sz w:val="24"/>
              </w:rPr>
              <w:t>. V témže výnosu se vkládá článek 4/1, který zní:</w:t>
            </w:r>
            <w:r w:rsidR="00FD36C9">
              <w:rPr>
                <w:rFonts w:ascii="Times New Roman" w:hAnsi="Times New Roman"/>
                <w:b/>
                <w:sz w:val="24"/>
              </w:rPr>
              <w:br/>
              <w:t>  „Čl. 4/1. § 1. V souladu s čl. 6 odst. 1 směrnice 2014/40/EU se na uvádění cigaret a tabáku k ručnímu balení cigaret na trh vztahuje zpřísněná oznamovací povinnost, která je platná v případě některých přísad v cigaretách a tabáku k ručnímu balení cigaret, které jsou uvedeny na prioritním seznamu.</w:t>
            </w:r>
            <w:r w:rsidR="00FD36C9">
              <w:rPr>
                <w:rFonts w:ascii="Times New Roman" w:hAnsi="Times New Roman"/>
                <w:b/>
                <w:sz w:val="24"/>
              </w:rPr>
              <w:br/>
              <w:t>  § 2. Výrobce nebo dovozce – nebo dovozce v Belgii, pokud první dva nemají sídlo v Belgii – cigaret nebo tabáku k ručnímu balení cigaret obsahujících přísadu uvedenou na seznamu priorit uvedeném v odstavci 1 tohoto článku provádí hloubkové studie k posouzení toho zda jakákoli přísada:</w:t>
            </w:r>
            <w:r w:rsidR="00FD36C9">
              <w:rPr>
                <w:rFonts w:ascii="Times New Roman" w:hAnsi="Times New Roman"/>
                <w:b/>
                <w:sz w:val="24"/>
              </w:rPr>
              <w:br/>
              <w:t>  1. přispívá k toxicitě nebo návykovému účinku dotyčných výrobků a má-li to za následek významné nebo měřitelné zvýšení toxicity nebo návykového účinku jednoho z dotčených výrobků;</w:t>
            </w:r>
            <w:r w:rsidR="00FD36C9">
              <w:rPr>
                <w:rFonts w:ascii="Times New Roman" w:hAnsi="Times New Roman"/>
                <w:b/>
                <w:sz w:val="24"/>
              </w:rPr>
              <w:br/>
              <w:t>  2. vytváří charakteristické aroma;</w:t>
            </w:r>
            <w:r w:rsidR="00FD36C9">
              <w:rPr>
                <w:rFonts w:ascii="Times New Roman" w:hAnsi="Times New Roman"/>
                <w:b/>
                <w:sz w:val="24"/>
              </w:rPr>
              <w:br/>
              <w:t>  3. usnadňuje vdechnutí nebo absorpci nikotinu;</w:t>
            </w:r>
            <w:r w:rsidR="00FD36C9">
              <w:rPr>
                <w:rFonts w:ascii="Times New Roman" w:hAnsi="Times New Roman"/>
                <w:b/>
                <w:sz w:val="24"/>
              </w:rPr>
              <w:br/>
              <w:t>  4. vede k tvorbě látek, které mají vlastnosti CMR, v jakých množstvích jsou tyto látky tvořeny, a zda to má za následek významné nebo měřitelné zvýšení vlastností CMR jednoho z dotčených výrobků.</w:t>
            </w:r>
            <w:r w:rsidR="00FD36C9">
              <w:rPr>
                <w:rFonts w:ascii="Times New Roman" w:hAnsi="Times New Roman"/>
                <w:b/>
                <w:sz w:val="24"/>
              </w:rPr>
              <w:br/>
              <w:t>  § 3. Tyto studie zohledňují zamýšlené použití dotčených výrobků a zejména zkoumají emise vyplývající z procesu spalování dotčené přídatné látky. Rovněž zkoumají interakci této přídatné látky s dalšími složkami v dotčených výrobcích. Výrobce nebo dovozce – nebo dovozce v Belgii, pokud první dva nemají sídlo v Belgii – který používá identickou přídatnou látku ve svých výrobcích na bázi tabáku, může provést společnou studii, pokud se přídatná látka používá ve výrobcích se srovnatelným složením.</w:t>
            </w:r>
            <w:r w:rsidR="00FD36C9">
              <w:rPr>
                <w:rFonts w:ascii="Times New Roman" w:hAnsi="Times New Roman"/>
                <w:b/>
                <w:sz w:val="24"/>
              </w:rPr>
              <w:br/>
              <w:t>  § 4. Výrobce nebo dovozce – nebo dovozce v Belgii, pokud první dva nemají sídlo v Belgii – vypracovává zprávu o výsledcích těchto studií. Výše uvedená zpráva obsahuje shrnutí a podrobnou prezentaci shrnující dostupné vědecké publikace týkající se této přídatné látky a uvádějící interní údaje o jejích účincích.</w:t>
            </w:r>
            <w:r w:rsidR="00FD36C9">
              <w:rPr>
                <w:rFonts w:ascii="Times New Roman" w:hAnsi="Times New Roman"/>
                <w:b/>
                <w:sz w:val="24"/>
              </w:rPr>
              <w:br/>
              <w:t>  Výrobce nebo dovozce nebo dovozce do Belgie, pokud tento výrobce nebo dovozce nemá sídlo v Belgii, předkládá tyto zprávy službě nejpozději osmnáct měsíců poté, co byla dotčená přísada zařazena na prioritní seznam podle § 1. Služba může také požádat výrobce nebo dovozce – nebo dovozce v Belgii, pokud první dva nemají sídlo v Belgii – o doplňující informace týkající se dotčené přídatné látky. Tyto doplňující informace tvoří nedílnou součást zprávy.</w:t>
            </w:r>
            <w:r w:rsidR="00FD36C9">
              <w:rPr>
                <w:rFonts w:ascii="Times New Roman" w:hAnsi="Times New Roman"/>
                <w:b/>
                <w:sz w:val="24"/>
              </w:rPr>
              <w:br/>
              <w:t>  § 5. MSP, jak jsou vymezeny v doporučení Komise 2003/361/ES, jsou osvobozeny od povinností podle tohoto článku, jestliže zprávu o dotčené přídatné látce vypracuje jiný výrobce nebo dovozce.</w:t>
            </w:r>
            <w:r w:rsidR="00FD36C9">
              <w:rPr>
                <w:rFonts w:ascii="Times New Roman" w:hAnsi="Times New Roman"/>
                <w:b/>
                <w:sz w:val="24"/>
              </w:rPr>
              <w:br/>
              <w:t>  § 6. Obsah prioritního seznamu přídatných látek podléhajících rozšířené deklaraci, jak je definováno v tomto článku, určuje ministr. Ministr může požadovat další upřesnění týkající se studií, které mají být poskytnuty v souladu s tímto článkem.“.</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6" w:anchor="Čl. 8" w:history="1">
              <w:r w:rsidR="00FD36C9">
                <w:rPr>
                  <w:rFonts w:ascii="Times New Roman" w:hAnsi="Times New Roman"/>
                  <w:b/>
                  <w:color w:val="0000FF"/>
                  <w:sz w:val="24"/>
                  <w:u w:val="single"/>
                </w:rPr>
                <w:t>7</w:t>
              </w:r>
            </w:hyperlink>
            <w:r w:rsidR="00FD36C9">
              <w:rPr>
                <w:rFonts w:ascii="Times New Roman" w:hAnsi="Times New Roman"/>
                <w:b/>
                <w:sz w:val="24"/>
              </w:rPr>
              <w:t>. Článek 5 téhož výnosu se doplňuje o odstavec 9 v tomto znění:</w:t>
            </w:r>
            <w:r w:rsidR="00FD36C9">
              <w:rPr>
                <w:rFonts w:ascii="Times New Roman" w:hAnsi="Times New Roman"/>
                <w:b/>
                <w:sz w:val="24"/>
              </w:rPr>
              <w:br/>
              <w:t xml:space="preserve">  „§ 9. Je zakázáno uvádět na trh jakýkoli technický prvek, jako jsou filtry a papíry, </w:t>
            </w:r>
            <w:r w:rsidR="00FD36C9">
              <w:rPr>
                <w:rFonts w:ascii="Times New Roman" w:hAnsi="Times New Roman"/>
                <w:b/>
                <w:sz w:val="24"/>
              </w:rPr>
              <w:lastRenderedPageBreak/>
              <w:t>který umožňuje měnit intenzitu spalování, barvu emisí, zápach nebo chuť tabákových výrobků. Kromě toho tento prvek nesmí obsahovat přídatné látky uvedené v odst. 3 tohoto článku.“.</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7" w:anchor="Čl. 9" w:history="1">
              <w:r w:rsidR="00FD36C9">
                <w:rPr>
                  <w:rFonts w:ascii="Times New Roman" w:hAnsi="Times New Roman"/>
                  <w:b/>
                  <w:color w:val="0000FF"/>
                  <w:sz w:val="24"/>
                  <w:u w:val="single"/>
                </w:rPr>
                <w:t>8</w:t>
              </w:r>
            </w:hyperlink>
            <w:r w:rsidR="00FD36C9">
              <w:rPr>
                <w:rFonts w:ascii="Times New Roman" w:hAnsi="Times New Roman"/>
                <w:b/>
                <w:sz w:val="24"/>
              </w:rPr>
              <w:t>. Ustanovení čl. 7 odst 3 bodu 1 se nahrazuje tímto:</w:t>
            </w:r>
            <w:r w:rsidR="00FD36C9">
              <w:rPr>
                <w:rFonts w:ascii="Times New Roman" w:hAnsi="Times New Roman"/>
                <w:b/>
                <w:sz w:val="24"/>
              </w:rPr>
              <w:br/>
              <w:t>  „1. v případě balíčků cigaret, balíčků tabáku do vodní dýmky a tabáku na balení cigaret v rovnoběžnostěnných obalech je nutné uvádět na dolní části jednoho z bočních povrchů každého balení obecné varování a na spodní části druhého bočního povrchu informační sdělení.  Tato zdravotní upozornění musí mít šířku větší než nebo rovnou 20 mm. Toto ustanovení znamená, že tloušťka balení cigaret nesmí být menší než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8" w:anchor="Čl. 10" w:history="1">
              <w:r w:rsidR="00FD36C9">
                <w:rPr>
                  <w:rFonts w:ascii="Times New Roman" w:hAnsi="Times New Roman"/>
                  <w:b/>
                  <w:color w:val="0000FF"/>
                  <w:sz w:val="24"/>
                  <w:u w:val="single"/>
                </w:rPr>
                <w:t>9</w:t>
              </w:r>
            </w:hyperlink>
            <w:r w:rsidR="00FD36C9">
              <w:rPr>
                <w:rFonts w:ascii="Times New Roman" w:hAnsi="Times New Roman"/>
                <w:b/>
                <w:sz w:val="24"/>
              </w:rPr>
              <w:t>. Článek 8 téhož výnosu se mění takto:</w:t>
            </w:r>
            <w:r w:rsidR="00FD36C9">
              <w:rPr>
                <w:rFonts w:ascii="Times New Roman" w:hAnsi="Times New Roman"/>
                <w:b/>
                <w:sz w:val="24"/>
              </w:rPr>
              <w:br/>
              <w:t>  1. odst. 2 bod 1 se nahrazuje tímto:</w:t>
            </w:r>
            <w:r w:rsidR="00FD36C9">
              <w:rPr>
                <w:rFonts w:ascii="Times New Roman" w:hAnsi="Times New Roman"/>
                <w:b/>
                <w:sz w:val="24"/>
              </w:rPr>
              <w:br/>
              <w:t>  1. pokrývají 65 % vnějšího předního a zadního povrchu jednotlivého balení a veškerého vnějšího obalu.</w:t>
            </w:r>
            <w:r w:rsidR="00FD36C9">
              <w:rPr>
                <w:rFonts w:ascii="Times New Roman" w:hAnsi="Times New Roman"/>
                <w:b/>
                <w:sz w:val="24"/>
              </w:rPr>
              <w:br/>
              <w:t>  Na válcových obalech:</w:t>
            </w:r>
            <w:r w:rsidR="00FD36C9">
              <w:rPr>
                <w:rFonts w:ascii="Times New Roman" w:hAnsi="Times New Roman"/>
                <w:b/>
                <w:sz w:val="24"/>
              </w:rPr>
              <w:br/>
              <w:t>  - Společně jsou dvě zdravotní upozornění vzájemně rovnoměrně rozložená, každé pokrývá 65 % poloviny příslušného zakřiveného povrchu.</w:t>
            </w:r>
            <w:r w:rsidR="00FD36C9">
              <w:rPr>
                <w:rFonts w:ascii="Times New Roman" w:hAnsi="Times New Roman"/>
                <w:b/>
                <w:sz w:val="24"/>
              </w:rPr>
              <w:br/>
              <w:t>  - Společně zdravotní upozornění zabírají celou šířku obou povrchů, na kterých jsou umístěny.“ ;</w:t>
            </w:r>
            <w:r w:rsidR="00FD36C9">
              <w:rPr>
                <w:rFonts w:ascii="Times New Roman" w:hAnsi="Times New Roman"/>
                <w:b/>
                <w:sz w:val="24"/>
              </w:rPr>
              <w:br/>
              <w:t>  2. v odstavci 2 bodu 5 se slova „obchodní značky nebo loga“ nahrazují slovy „obchodní značky“.</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9" w:anchor="Čl. 11" w:history="1">
              <w:r w:rsidR="00FD36C9">
                <w:rPr>
                  <w:rFonts w:ascii="Times New Roman" w:hAnsi="Times New Roman"/>
                  <w:b/>
                  <w:color w:val="0000FF"/>
                  <w:sz w:val="24"/>
                  <w:u w:val="single"/>
                </w:rPr>
                <w:t>10</w:t>
              </w:r>
            </w:hyperlink>
            <w:r w:rsidR="00FD36C9">
              <w:rPr>
                <w:rFonts w:ascii="Times New Roman" w:hAnsi="Times New Roman"/>
                <w:b/>
                <w:sz w:val="24"/>
              </w:rPr>
              <w:t>. Čl. 9 § 1 téhož výnosu se mění takto:</w:t>
            </w:r>
            <w:r w:rsidR="00FD36C9">
              <w:rPr>
                <w:rFonts w:ascii="Times New Roman" w:hAnsi="Times New Roman"/>
                <w:b/>
                <w:sz w:val="24"/>
              </w:rPr>
              <w:br/>
              <w:t>  1. odst. 1 se nahrazuje tímto:</w:t>
            </w:r>
            <w:r w:rsidR="00FD36C9">
              <w:rPr>
                <w:rFonts w:ascii="Times New Roman" w:hAnsi="Times New Roman"/>
                <w:b/>
                <w:sz w:val="24"/>
              </w:rPr>
              <w:br/>
              <w:t>  „Kuřácké výrobky na bázi tabáku jiné než cigarety, tabák na balení cigaret a tabák do vodní dýmky jsou osvobozeny od povinností uvedených v čl. 7 odst. 2 a 3 a v článku 8.</w:t>
            </w:r>
            <w:r w:rsidR="00FD36C9">
              <w:rPr>
                <w:rFonts w:ascii="Times New Roman" w:hAnsi="Times New Roman"/>
                <w:b/>
                <w:sz w:val="24"/>
              </w:rPr>
              <w:br/>
              <w:t>  2. ustanovení odstavce 2 se doplňuje těmito větami:</w:t>
            </w:r>
            <w:r w:rsidR="00FD36C9">
              <w:rPr>
                <w:rFonts w:ascii="Times New Roman" w:hAnsi="Times New Roman"/>
                <w:b/>
                <w:sz w:val="24"/>
              </w:rPr>
              <w:br/>
              <w:t>  „Tento odkaz uvádí číslo linky Stop tabáku (Ligne Tabac Stop) „0800 11100“ a rovněž adresy: www.tabacstop.be - www.tabakstop.be. Velikost písma odkazu na služby pomoci při odvykání kouření musí odpovídat velikosti písma obecného upozornění. “.</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0" w:anchor="Čl. 12" w:history="1">
              <w:r w:rsidR="00FD36C9">
                <w:rPr>
                  <w:rFonts w:ascii="Times New Roman" w:hAnsi="Times New Roman"/>
                  <w:b/>
                  <w:color w:val="0000FF"/>
                  <w:sz w:val="24"/>
                  <w:u w:val="single"/>
                </w:rPr>
                <w:t>11</w:t>
              </w:r>
            </w:hyperlink>
            <w:r w:rsidR="00FD36C9">
              <w:rPr>
                <w:rFonts w:ascii="Times New Roman" w:hAnsi="Times New Roman"/>
                <w:b/>
                <w:sz w:val="24"/>
              </w:rPr>
              <w:t>. Článek 11 téhož výnosu se mění takto:</w:t>
            </w:r>
            <w:r w:rsidR="00FD36C9">
              <w:rPr>
                <w:rFonts w:ascii="Times New Roman" w:hAnsi="Times New Roman"/>
                <w:b/>
                <w:sz w:val="24"/>
              </w:rPr>
              <w:br/>
              <w:t>  1. odstavec 2 se doplňuje následující větou:</w:t>
            </w:r>
            <w:r w:rsidR="00FD36C9">
              <w:rPr>
                <w:rFonts w:ascii="Times New Roman" w:hAnsi="Times New Roman"/>
                <w:b/>
                <w:sz w:val="24"/>
              </w:rPr>
              <w:br/>
              <w:t>  „Jakákoliv zmínka o ceně, s výjimkou ceny uvedené na kolku, je zakázána.“;</w:t>
            </w:r>
            <w:r w:rsidR="00FD36C9">
              <w:rPr>
                <w:rFonts w:ascii="Times New Roman" w:hAnsi="Times New Roman"/>
                <w:b/>
                <w:sz w:val="24"/>
              </w:rPr>
              <w:br/>
              <w:t>  2. v článku se doplňují nové § 4 a 5, které znějí:</w:t>
            </w:r>
            <w:r w:rsidR="00FD36C9">
              <w:rPr>
                <w:rFonts w:ascii="Times New Roman" w:hAnsi="Times New Roman"/>
                <w:b/>
                <w:sz w:val="24"/>
              </w:rPr>
              <w:br/>
              <w:t>  „§ 4. V rámci uplatňování ustanovení tohoto článku může ministr stanovit seznam zakázaných značek výrobků na bázi tabáku, i když jsou tyto výrobky na bázi tabáku již na trhu. Pro ukončení uvádění zakázaných značek na trh bude poskytnuto přechodné období jednoho roku. Ministr stanoví postup pro zařazení výrobku na bázi tabáku na seznam zakázaných značek. Ministr může stanovit povolovací řízení v případě značek výrobků na bázi tabáku, které ještě nebyly uvedeny na trh. “.</w:t>
            </w:r>
            <w:r w:rsidR="00FD36C9">
              <w:rPr>
                <w:rFonts w:ascii="Times New Roman" w:hAnsi="Times New Roman"/>
                <w:b/>
                <w:sz w:val="24"/>
              </w:rPr>
              <w:br/>
              <w:t>  § 5. „Ustanovení tohoto článku platí pro technické prvky, jako jsou filtry a papír, které umožňují spotřebu nebo zlepšení spotřeby výrobků na bázi tabáku.“.</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1" w:anchor="Čl. 13" w:history="1">
              <w:r w:rsidR="00FD36C9">
                <w:rPr>
                  <w:rFonts w:ascii="Times New Roman" w:hAnsi="Times New Roman"/>
                  <w:b/>
                  <w:color w:val="0000FF"/>
                  <w:sz w:val="24"/>
                  <w:u w:val="single"/>
                </w:rPr>
                <w:t>12</w:t>
              </w:r>
            </w:hyperlink>
            <w:r w:rsidR="00FD36C9">
              <w:rPr>
                <w:rFonts w:ascii="Times New Roman" w:hAnsi="Times New Roman"/>
                <w:b/>
                <w:sz w:val="24"/>
              </w:rPr>
              <w:t>. V článku 12 téhož výnosu se doplňuje nový § 3, který zní:</w:t>
            </w:r>
            <w:r w:rsidR="00FD36C9">
              <w:rPr>
                <w:rFonts w:ascii="Times New Roman" w:hAnsi="Times New Roman"/>
                <w:b/>
                <w:sz w:val="24"/>
              </w:rPr>
              <w:br/>
              <w:t xml:space="preserve">  „§ 3. Každý výrobek na bázi tabáku uváděný na trh musí být zabalen nebo musí mít </w:t>
            </w:r>
            <w:r w:rsidR="00FD36C9">
              <w:rPr>
                <w:rFonts w:ascii="Times New Roman" w:hAnsi="Times New Roman"/>
                <w:b/>
                <w:sz w:val="24"/>
              </w:rPr>
              <w:lastRenderedPageBreak/>
              <w:t>vnější obal.“.</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2" w:anchor="Čl. 14" w:history="1">
              <w:r w:rsidR="00FD36C9">
                <w:rPr>
                  <w:rFonts w:ascii="Times New Roman" w:hAnsi="Times New Roman"/>
                  <w:b/>
                  <w:color w:val="0000FF"/>
                  <w:sz w:val="24"/>
                  <w:u w:val="single"/>
                </w:rPr>
                <w:t>13</w:t>
              </w:r>
            </w:hyperlink>
            <w:r w:rsidR="00FD36C9">
              <w:rPr>
                <w:rFonts w:ascii="Times New Roman" w:hAnsi="Times New Roman"/>
                <w:b/>
                <w:sz w:val="24"/>
              </w:rPr>
              <w:t>. Článek 13 tohoto výnosu se nahrazuje tímto:</w:t>
            </w:r>
            <w:r w:rsidR="00FD36C9">
              <w:rPr>
                <w:rFonts w:ascii="Times New Roman" w:hAnsi="Times New Roman"/>
                <w:b/>
                <w:sz w:val="24"/>
              </w:rPr>
              <w:br/>
              <w:t>  „Čl. 13. Prodej výrobků na bázi tabáku, bylinných výrobků určených ke kouření a zařízení ke kouření spotřebiteli na dálku a jejich nákup na dálku spotřebiteli se zakazuje.“.</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3" w:anchor="Čl. 15" w:history="1">
              <w:r w:rsidR="00FD36C9">
                <w:rPr>
                  <w:rFonts w:ascii="Times New Roman" w:hAnsi="Times New Roman"/>
                  <w:b/>
                  <w:color w:val="0000FF"/>
                  <w:sz w:val="24"/>
                  <w:u w:val="single"/>
                </w:rPr>
                <w:t>14</w:t>
              </w:r>
            </w:hyperlink>
            <w:r w:rsidR="00FD36C9">
              <w:rPr>
                <w:rFonts w:ascii="Times New Roman" w:hAnsi="Times New Roman"/>
                <w:b/>
                <w:sz w:val="24"/>
              </w:rPr>
              <w:t>. Článek 14 tohoto výnosu se nahrazuje tímto:</w:t>
            </w:r>
            <w:r w:rsidR="00FD36C9">
              <w:rPr>
                <w:rFonts w:ascii="Times New Roman" w:hAnsi="Times New Roman"/>
                <w:b/>
                <w:sz w:val="24"/>
              </w:rPr>
              <w:br/>
              <w:t>  „Čl. 14. § 1. Výrobce nových výrobků na bázi tabáku nebo jejich dovozce nebo jejich dovozce do Belgie, pokud tento výrobce nebo dovozce nemá sídlo v Belgii, předkládá službě šest měsíců před navrhovaným datem uvedení na trh elektronické oznámení. To se předkládá se v elektronické podobě. Bude doplněno podrobným popisem dotčeného nového výrobku na bázi tabáku a pokyny k jeho použití a informacemi o složení a emisích požadovanými v souladu s článkem 4.</w:t>
            </w:r>
            <w:r w:rsidR="00FD36C9">
              <w:rPr>
                <w:rFonts w:ascii="Times New Roman" w:hAnsi="Times New Roman"/>
                <w:b/>
                <w:sz w:val="24"/>
              </w:rPr>
              <w:br/>
              <w:t>  § 2. Výrobce nových výrobků na bázi tabáku nebo jejich dovozce nebo jejich dovozce do Belgie, pokud tento výrobce nebo dovozce nemá sídlo v Belgii, který podává oznámení o novém tabákovém výrobku, rovněž předkládá službě:</w:t>
            </w:r>
            <w:r w:rsidR="00FD36C9">
              <w:rPr>
                <w:rFonts w:ascii="Times New Roman" w:hAnsi="Times New Roman"/>
                <w:b/>
                <w:sz w:val="24"/>
              </w:rPr>
              <w:br/>
              <w:t>  1. dostupné vědecké studie o toxicitě, návykovém účinku a přitažlivosti nového výrobku na bázi tabáku, zejména s ohledem na jeho složení a emise;</w:t>
            </w:r>
            <w:r w:rsidR="00FD36C9">
              <w:rPr>
                <w:rFonts w:ascii="Times New Roman" w:hAnsi="Times New Roman"/>
                <w:b/>
                <w:sz w:val="24"/>
              </w:rPr>
              <w:br/>
              <w:t>  2. dostupné studie, jejich shrnutí a analýzy trhu týkající se preferencí různých skupin spotřebitelů, včetně mladých lidí a současných kuřáků;</w:t>
            </w:r>
            <w:r w:rsidR="00FD36C9">
              <w:rPr>
                <w:rFonts w:ascii="Times New Roman" w:hAnsi="Times New Roman"/>
                <w:b/>
                <w:sz w:val="24"/>
              </w:rPr>
              <w:br/>
              <w:t>  3. další dostupné užitečné informace, zejména analýzu rizik a přínosů výrobku, jeho očekávaných účinků na zastavení spotřeby tabáku, očekávaných účinků na zahájení spotřeby tabáku a rovněž prognózy týkající se vnímání spotřebitelů.</w:t>
            </w:r>
            <w:r w:rsidR="00FD36C9">
              <w:rPr>
                <w:rFonts w:ascii="Times New Roman" w:hAnsi="Times New Roman"/>
                <w:b/>
                <w:sz w:val="24"/>
              </w:rPr>
              <w:br/>
              <w:t>  § 3. Výrobce nových výrobků na bázi tabáku nebo jejich dovozce nebo jejich dovozce do Belgie, pokud tento výrobce nebo dovozce nemá sídlo v Belgii, předkládá službě všechny nové nebo aktualizované informace o studiích, výzkumech a další informace uvedené v § 2 bodech 1 až 3. Služba je oprávněna od výrobce nových výrobků na bázi tabáku nebo jejich dovozce nebo jejich dovozce do Belgie, pokud tento výrobce nebo dovozce nemá sídlo v Belgii, vyžadovat provedení dodatečných zkoušek nebo poskytnutí dodatečných informací.</w:t>
            </w:r>
            <w:r w:rsidR="00FD36C9">
              <w:rPr>
                <w:rFonts w:ascii="Times New Roman" w:hAnsi="Times New Roman"/>
                <w:b/>
                <w:sz w:val="24"/>
              </w:rPr>
              <w:br/>
              <w:t>  § 4. Výrobce nebo dovozce nebo dovozce do Belgie, pokud tento výrobce nebo dovozce nemá sídlo v Belgii, zasílá službě důkaz o zaplacení poplatku ve výši 4 000 EUR za každý oznámený nový výrobek na účet služby. Tento poplatek je nevratný.</w:t>
            </w:r>
            <w:r w:rsidR="00FD36C9">
              <w:rPr>
                <w:rFonts w:ascii="Times New Roman" w:hAnsi="Times New Roman"/>
                <w:b/>
                <w:sz w:val="24"/>
              </w:rPr>
              <w:br/>
              <w:t>  § 5. Pro nový výrobek na bázi tabáku platí ustanovení článků 4, 5, 6, 11 a čl. 12 § 3 a článku 13 výnosu. Ministr určuje, která ustanovení článků 7, 8, 9 a 10 platí pro nový výrobek na bázi tabáku. Služba je sděluje žadateli.</w:t>
            </w:r>
            <w:r w:rsidR="00FD36C9">
              <w:rPr>
                <w:rFonts w:ascii="Times New Roman" w:hAnsi="Times New Roman"/>
                <w:b/>
                <w:sz w:val="24"/>
              </w:rPr>
              <w:br/>
              <w:t>  § 6. Ustanovení tohoto článku platí pro přístroje“.</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4" w:anchor="Čl. 16" w:history="1">
              <w:r w:rsidR="00FD36C9">
                <w:rPr>
                  <w:rFonts w:ascii="Times New Roman" w:hAnsi="Times New Roman"/>
                  <w:b/>
                  <w:color w:val="0000FF"/>
                  <w:sz w:val="24"/>
                  <w:u w:val="single"/>
                </w:rPr>
                <w:t>15</w:t>
              </w:r>
            </w:hyperlink>
            <w:r w:rsidR="00FD36C9">
              <w:rPr>
                <w:rFonts w:ascii="Times New Roman" w:hAnsi="Times New Roman"/>
                <w:b/>
                <w:sz w:val="24"/>
              </w:rPr>
              <w:t>. Článek 15 téhož výnosu se mění takto:</w:t>
            </w:r>
            <w:r w:rsidR="00FD36C9">
              <w:rPr>
                <w:rFonts w:ascii="Times New Roman" w:hAnsi="Times New Roman"/>
                <w:b/>
                <w:sz w:val="24"/>
              </w:rPr>
              <w:br/>
              <w:t>  1. v odstavci 3 se slova „článek 5“ nahrazují slovy „článek 7“;</w:t>
            </w:r>
            <w:r w:rsidR="00FD36C9">
              <w:rPr>
                <w:rFonts w:ascii="Times New Roman" w:hAnsi="Times New Roman"/>
                <w:b/>
                <w:sz w:val="24"/>
              </w:rPr>
              <w:br/>
              <w:t>  2. odstavec 4 je nahrazen takto:</w:t>
            </w:r>
            <w:r w:rsidR="00FD36C9">
              <w:rPr>
                <w:rFonts w:ascii="Times New Roman" w:hAnsi="Times New Roman"/>
                <w:b/>
                <w:sz w:val="24"/>
              </w:rPr>
              <w:br/>
              <w:t>  „§ 4. Jednotková balení a jakákoliv vnější balení bylinných výrobků určených ke kouření nesmí zahrnovat prvky uvedené v čl. 11 § 1 bodech 1, 2 a 4 a nesmí prohlašovat, že daný výrobek neobsahuje žádné přísady nebo aromata.“</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5" w:anchor="Čl. 17" w:history="1">
              <w:r w:rsidR="00FD36C9">
                <w:rPr>
                  <w:rFonts w:ascii="Times New Roman" w:hAnsi="Times New Roman"/>
                  <w:b/>
                  <w:color w:val="0000FF"/>
                  <w:sz w:val="24"/>
                  <w:u w:val="single"/>
                </w:rPr>
                <w:t>16</w:t>
              </w:r>
            </w:hyperlink>
            <w:r w:rsidR="00FD36C9">
              <w:rPr>
                <w:rFonts w:ascii="Times New Roman" w:hAnsi="Times New Roman"/>
                <w:b/>
                <w:sz w:val="24"/>
              </w:rPr>
              <w:t>. Článek 16 téhož výnosu se mění takto:</w:t>
            </w:r>
            <w:r w:rsidR="00FD36C9">
              <w:rPr>
                <w:rFonts w:ascii="Times New Roman" w:hAnsi="Times New Roman"/>
                <w:b/>
                <w:sz w:val="24"/>
              </w:rPr>
              <w:br/>
              <w:t>  1. odst. 1 se nahrazuje následovně:</w:t>
            </w:r>
            <w:r w:rsidR="00FD36C9">
              <w:rPr>
                <w:rFonts w:ascii="Times New Roman" w:hAnsi="Times New Roman"/>
                <w:b/>
                <w:sz w:val="24"/>
              </w:rPr>
              <w:br/>
              <w:t xml:space="preserve">  „§ 1. Výrobce bylinných výrobků ke kouření nebo jejich dovozce nebo jejich dovozce do Belgie, pokud tento výrobce nebo dovozce nemá sídlo v Belgii, předkládá službě </w:t>
            </w:r>
            <w:r w:rsidR="00FD36C9">
              <w:rPr>
                <w:rFonts w:ascii="Times New Roman" w:hAnsi="Times New Roman"/>
                <w:b/>
                <w:sz w:val="24"/>
              </w:rPr>
              <w:lastRenderedPageBreak/>
              <w:t>seznam všech složek, které se používají při výrobě těchto výrobků, podle značky a typu, včetně údajů o jejich množství. Výrobce nebo dovozce nebo dovozce do Belgie, pokud tento výrobce nebo dovozce nemá sídlo v Belgii, rovněž informuje službu v případě, že dojde ke změně ve složení výrobku, která ovlivní informace poskytnuté podle tohoto článku. Informace požadované podle tohoto článku musejí být sdělovány před uvedením nového nebo pozměněného kuřáckého výrobku na bázi tabáku na trh. “</w:t>
            </w:r>
            <w:r w:rsidR="00FD36C9">
              <w:rPr>
                <w:rFonts w:ascii="Times New Roman" w:hAnsi="Times New Roman"/>
                <w:b/>
                <w:sz w:val="24"/>
              </w:rPr>
              <w:br/>
              <w:t>  2. do článku se doplňuje odstavec 3 v tomto znění:</w:t>
            </w:r>
            <w:r w:rsidR="00FD36C9">
              <w:rPr>
                <w:rFonts w:ascii="Times New Roman" w:hAnsi="Times New Roman"/>
                <w:b/>
                <w:sz w:val="24"/>
              </w:rPr>
              <w:br/>
              <w:t>  „§ 3. Výrobce nebo dovozce nebo dovozce do Belgie, pokud tento výrobce nebo dovozce nemá sídlo v Belgii, zasílá službě důkaz o zaplacení poplatku ve výši 165 EUR za každý oznámený výrobek nebo změnu složení na účet služby. Tento poplatek je nevratný. “.</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6" w:anchor="Čl. 18" w:history="1">
              <w:r w:rsidR="00FD36C9">
                <w:rPr>
                  <w:rFonts w:ascii="Times New Roman" w:hAnsi="Times New Roman"/>
                  <w:b/>
                  <w:color w:val="0000FF"/>
                  <w:sz w:val="24"/>
                  <w:u w:val="single"/>
                </w:rPr>
                <w:t>17</w:t>
              </w:r>
            </w:hyperlink>
            <w:r w:rsidR="00FD36C9">
              <w:rPr>
                <w:rFonts w:ascii="Times New Roman" w:hAnsi="Times New Roman"/>
                <w:b/>
                <w:sz w:val="24"/>
              </w:rPr>
              <w:t>. V čl. 17 § 1 téhož výnosu se slova „tabákové výrobky“ nahrazují slovem „výrobky“.</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7" w:anchor="Čl. 19" w:history="1">
              <w:r w:rsidR="00FD36C9">
                <w:rPr>
                  <w:rFonts w:ascii="Times New Roman" w:hAnsi="Times New Roman"/>
                  <w:b/>
                  <w:color w:val="0000FF"/>
                  <w:sz w:val="24"/>
                  <w:u w:val="single"/>
                </w:rPr>
                <w:t>18</w:t>
              </w:r>
            </w:hyperlink>
            <w:r w:rsidR="00FD36C9">
              <w:rPr>
                <w:rFonts w:ascii="Times New Roman" w:hAnsi="Times New Roman"/>
                <w:b/>
                <w:sz w:val="24"/>
              </w:rPr>
              <w:t>. Článek 9 a čl. 10 bod 2 tohoto výnosu nabývají účinnosti dne 1. ledna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"Čl. 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Prováděním tohoto výnosu jsou pověřeni, každý ve svém oboru působnosti, ministr hospodářství, ministryně pro veřejné zdraví, a ministr pro střední malé a střední podniky.</w:t>
            </w:r>
          </w:p>
        </w:tc>
      </w:tr>
    </w:tbl>
    <w:p w14:paraId="1EB12661"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51"/>
        <w:gridCol w:w="620"/>
        <w:gridCol w:w="1507"/>
        <w:gridCol w:w="932"/>
      </w:tblGrid>
      <w:tr w:rsidR="00FD36C9" w:rsidRPr="00FD36C9" w14:paraId="494C7AC0"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D1A13C9"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C75B081"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28"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011E55"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29"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7F551B5"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0" w:anchor="nahoru" w:history="1">
              <w:r w:rsidR="00FD36C9">
                <w:rPr>
                  <w:rFonts w:ascii="Times New Roman" w:hAnsi="Times New Roman"/>
                  <w:b/>
                  <w:color w:val="0000FF"/>
                  <w:sz w:val="24"/>
                  <w:u w:val="single"/>
                </w:rPr>
                <w:t xml:space="preserve">Začátek </w:t>
              </w:r>
            </w:hyperlink>
          </w:p>
        </w:tc>
      </w:tr>
      <w:tr w:rsidR="00FD36C9" w:rsidRPr="00FD36C9" w14:paraId="2DF496CF"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60DE41B" w14:textId="631879D1"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Vydáno v Bruselu dne 26. dubna 2019.</w:t>
            </w:r>
            <w:r>
              <w:rPr>
                <w:rFonts w:ascii="Times New Roman" w:hAnsi="Times New Roman"/>
                <w:b/>
                <w:sz w:val="24"/>
              </w:rPr>
              <w:br/>
              <w:t>PHILIPPE</w:t>
            </w:r>
            <w:r w:rsidR="00200C3A">
              <w:rPr>
                <w:rFonts w:ascii="Times New Roman" w:hAnsi="Times New Roman"/>
                <w:b/>
                <w:sz w:val="24"/>
              </w:rPr>
              <w:br/>
            </w:r>
            <w:r>
              <w:rPr>
                <w:rFonts w:ascii="Times New Roman" w:hAnsi="Times New Roman"/>
                <w:b/>
                <w:sz w:val="24"/>
              </w:rPr>
              <w:t>Jménem krále:</w:t>
            </w:r>
            <w:r>
              <w:rPr>
                <w:rFonts w:ascii="Times New Roman" w:hAnsi="Times New Roman"/>
                <w:b/>
                <w:sz w:val="24"/>
              </w:rPr>
              <w:br/>
              <w:t>Ministr hospodářství,</w:t>
            </w:r>
            <w:r w:rsidR="00200C3A">
              <w:rPr>
                <w:rFonts w:ascii="Times New Roman" w:hAnsi="Times New Roman"/>
                <w:b/>
                <w:sz w:val="24"/>
              </w:rPr>
              <w:br/>
            </w:r>
            <w:r>
              <w:rPr>
                <w:rFonts w:ascii="Times New Roman" w:hAnsi="Times New Roman"/>
                <w:b/>
                <w:sz w:val="24"/>
              </w:rPr>
              <w:t>K. PEETERS</w:t>
            </w:r>
            <w:r w:rsidR="00200C3A">
              <w:rPr>
                <w:rFonts w:ascii="Times New Roman" w:hAnsi="Times New Roman"/>
                <w:b/>
                <w:sz w:val="24"/>
              </w:rPr>
              <w:br/>
            </w:r>
            <w:r>
              <w:rPr>
                <w:rFonts w:ascii="Times New Roman" w:hAnsi="Times New Roman"/>
                <w:b/>
                <w:sz w:val="24"/>
              </w:rPr>
              <w:t>Ministryně zdravotnictví,</w:t>
            </w:r>
            <w:r w:rsidR="00200C3A">
              <w:rPr>
                <w:rFonts w:ascii="Times New Roman" w:hAnsi="Times New Roman"/>
                <w:b/>
                <w:sz w:val="24"/>
              </w:rPr>
              <w:br/>
            </w:r>
            <w:r>
              <w:rPr>
                <w:rFonts w:ascii="Times New Roman" w:hAnsi="Times New Roman"/>
                <w:b/>
                <w:sz w:val="24"/>
              </w:rPr>
              <w:t>M. DE BLOCK</w:t>
            </w:r>
            <w:r w:rsidR="00200C3A">
              <w:rPr>
                <w:rFonts w:ascii="Times New Roman" w:hAnsi="Times New Roman"/>
                <w:b/>
                <w:sz w:val="24"/>
              </w:rPr>
              <w:br/>
            </w:r>
            <w:r>
              <w:rPr>
                <w:rFonts w:ascii="Times New Roman" w:hAnsi="Times New Roman"/>
                <w:b/>
                <w:sz w:val="24"/>
              </w:rPr>
              <w:t>Ministr pro malé a střední podniky,</w:t>
            </w:r>
            <w:r w:rsidR="00200C3A">
              <w:rPr>
                <w:rFonts w:ascii="Times New Roman" w:hAnsi="Times New Roman"/>
                <w:b/>
                <w:sz w:val="24"/>
              </w:rPr>
              <w:br/>
            </w:r>
            <w:r>
              <w:rPr>
                <w:rFonts w:ascii="Times New Roman" w:hAnsi="Times New Roman"/>
                <w:b/>
                <w:sz w:val="24"/>
              </w:rPr>
              <w:t>D. DUCARME</w:t>
            </w:r>
          </w:p>
        </w:tc>
      </w:tr>
    </w:tbl>
    <w:p w14:paraId="1B4A431E"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0"/>
        <w:gridCol w:w="916"/>
        <w:gridCol w:w="1802"/>
        <w:gridCol w:w="932"/>
      </w:tblGrid>
      <w:tr w:rsidR="00FD36C9" w:rsidRPr="00FD36C9" w14:paraId="2A1D01A3"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0AFD870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Úvod</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2DD8E"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1"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6A76A4"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2"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4563430"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3" w:anchor="nahoru" w:history="1">
              <w:r w:rsidR="00FD36C9">
                <w:rPr>
                  <w:rFonts w:ascii="Times New Roman" w:hAnsi="Times New Roman"/>
                  <w:b/>
                  <w:color w:val="0000FF"/>
                  <w:sz w:val="24"/>
                  <w:u w:val="single"/>
                </w:rPr>
                <w:t xml:space="preserve">Začátek </w:t>
              </w:r>
            </w:hyperlink>
          </w:p>
        </w:tc>
      </w:tr>
      <w:tr w:rsidR="00FD36C9" w:rsidRPr="00FD36C9" w14:paraId="35902DD5"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5D488C8"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FILIP, král Belgičanů, s pozdravem všem přítomným i budoucím.</w:t>
            </w:r>
            <w:r>
              <w:rPr>
                <w:rFonts w:ascii="Times New Roman" w:hAnsi="Times New Roman"/>
                <w:b/>
                <w:sz w:val="24"/>
              </w:rPr>
              <w:br/>
              <w:t>   s ohledem na zákon ze dne 24. ledna 1977 o ochraně zdraví spotřebitelů s ohledem na potraviny a jiné výrobky, čl. 6 odst. 1 písm. a) ve znění zákona ze dne 22. března 1989 čl. 10 pododst. 1 nahrazený zákonem ze dne 9. února 1994 a pododst. 3 nahrazený zákonem ze dne 10. dubna 2014 a čl. 18 odst. 1 nahrazený zákonem ze dne 22. března 1989 a pozměněný zákonem ze dne 22. prosince 2003;</w:t>
            </w:r>
            <w:r>
              <w:rPr>
                <w:rFonts w:ascii="Times New Roman" w:hAnsi="Times New Roman"/>
                <w:b/>
                <w:sz w:val="24"/>
              </w:rPr>
              <w:br/>
              <w:t>   s ohledem na královský výnos, kterým se mění královský výnos ze dne 5. února 2016 o výrobě tabákových výrobků a jejich uvádění na trh;</w:t>
            </w:r>
            <w:r>
              <w:rPr>
                <w:rFonts w:ascii="Times New Roman" w:hAnsi="Times New Roman"/>
                <w:b/>
                <w:sz w:val="24"/>
              </w:rPr>
              <w:br/>
              <w:t>   s ohledem na sdělení Evropské komisi zaslané dne 7. března 2018, podle čl. 5 odst. 1 směrnice Evropského parlamentu a Rady (EU) 2015/1535 ze dne 9. září 2015 o postupu při poskytování informací v oblasti technických předpisů a předpisů pro služby informační společnosti;</w:t>
            </w:r>
            <w:r>
              <w:rPr>
                <w:rFonts w:ascii="Times New Roman" w:hAnsi="Times New Roman"/>
                <w:b/>
                <w:sz w:val="24"/>
              </w:rPr>
              <w:br/>
              <w:t>   s ohledem na stanovisko inspektorů financí ze dne 6. září 2018 a 13. března 2019;</w:t>
            </w:r>
            <w:r>
              <w:rPr>
                <w:rFonts w:ascii="Times New Roman" w:hAnsi="Times New Roman"/>
                <w:b/>
                <w:sz w:val="24"/>
              </w:rPr>
              <w:br/>
            </w:r>
            <w:r>
              <w:rPr>
                <w:rFonts w:ascii="Times New Roman" w:hAnsi="Times New Roman"/>
                <w:b/>
                <w:sz w:val="24"/>
              </w:rPr>
              <w:lastRenderedPageBreak/>
              <w:t>   s ohledem na dohodu dosaženou ministrem pro rozpočet ze dne 2. dubna 2019;</w:t>
            </w:r>
            <w:r>
              <w:rPr>
                <w:rFonts w:ascii="Times New Roman" w:hAnsi="Times New Roman"/>
                <w:b/>
                <w:sz w:val="24"/>
              </w:rPr>
              <w:br/>
              <w:t>   s ohledem na stanovisko Státní rady č. 65.468/3 vydané dne 20. března 2019 podle čl. 84 odst. 1 bodu 2 zákonů o Státní radě, koordinovaných dne 12. ledna 1973;</w:t>
            </w:r>
            <w:r>
              <w:rPr>
                <w:rFonts w:ascii="Times New Roman" w:hAnsi="Times New Roman"/>
                <w:b/>
                <w:sz w:val="24"/>
              </w:rPr>
              <w:br/>
              <w:t>   na návrh ministra hospodářství, ministryně pro veřejné zdraví a ministra pro střední třídu jsme nařídili a tímto nařizujeme:</w:t>
            </w:r>
          </w:p>
        </w:tc>
      </w:tr>
    </w:tbl>
    <w:p w14:paraId="773B21A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0"/>
        <w:gridCol w:w="916"/>
        <w:gridCol w:w="1802"/>
        <w:gridCol w:w="932"/>
      </w:tblGrid>
      <w:tr w:rsidR="00FD36C9" w:rsidRPr="00FD36C9" w14:paraId="6DB8149E"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3287561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Zpráva pro krále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CFDA5D1"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4"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CEFC05"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5"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A73565" w14:textId="77777777" w:rsidR="00FD36C9" w:rsidRPr="00FD36C9" w:rsidRDefault="00C955CA" w:rsidP="00FD36C9">
            <w:pPr>
              <w:spacing w:after="0" w:line="240" w:lineRule="auto"/>
              <w:jc w:val="center"/>
              <w:rPr>
                <w:rFonts w:ascii="Times New Roman" w:eastAsia="Times New Roman" w:hAnsi="Times New Roman" w:cs="Times New Roman"/>
                <w:b/>
                <w:bCs/>
                <w:sz w:val="24"/>
                <w:szCs w:val="24"/>
              </w:rPr>
            </w:pPr>
            <w:hyperlink r:id="rId36" w:anchor="nahoru" w:history="1">
              <w:r w:rsidR="00FD36C9">
                <w:rPr>
                  <w:rFonts w:ascii="Times New Roman" w:hAnsi="Times New Roman"/>
                  <w:b/>
                  <w:color w:val="0000FF"/>
                  <w:sz w:val="24"/>
                  <w:u w:val="single"/>
                </w:rPr>
                <w:t xml:space="preserve">Začátek </w:t>
              </w:r>
            </w:hyperlink>
          </w:p>
        </w:tc>
      </w:tr>
      <w:tr w:rsidR="00FD36C9" w:rsidRPr="00FD36C9" w14:paraId="5F346C5A"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9FBE2B1" w14:textId="61104FCA"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ZPRÁVA KRÁLI</w:t>
            </w:r>
            <w:r w:rsidR="00386009">
              <w:rPr>
                <w:rFonts w:ascii="Times New Roman" w:hAnsi="Times New Roman"/>
                <w:b/>
                <w:sz w:val="24"/>
              </w:rPr>
              <w:br/>
            </w:r>
            <w:r w:rsidR="00386009" w:rsidRPr="00FD36C9">
              <w:rPr>
                <w:rFonts w:ascii="Times New Roman" w:eastAsia="Times New Roman" w:hAnsi="Times New Roman" w:cs="Times New Roman"/>
                <w:b/>
                <w:bCs/>
                <w:sz w:val="24"/>
                <w:szCs w:val="24"/>
                <w:lang w:val="nl-BE" w:eastAsia="fr-BE"/>
              </w:rPr>
              <w:t>   </w:t>
            </w:r>
            <w:r>
              <w:rPr>
                <w:rFonts w:ascii="Times New Roman" w:hAnsi="Times New Roman"/>
                <w:b/>
                <w:sz w:val="24"/>
              </w:rPr>
              <w:t>Sire,</w:t>
            </w:r>
            <w:r>
              <w:rPr>
                <w:rFonts w:ascii="Times New Roman" w:hAnsi="Times New Roman"/>
                <w:b/>
                <w:sz w:val="24"/>
              </w:rPr>
              <w:br/>
            </w:r>
            <w:r w:rsidR="00386009" w:rsidRPr="00FD36C9">
              <w:rPr>
                <w:rFonts w:ascii="Times New Roman" w:eastAsia="Times New Roman" w:hAnsi="Times New Roman" w:cs="Times New Roman"/>
                <w:b/>
                <w:bCs/>
                <w:sz w:val="24"/>
                <w:szCs w:val="24"/>
                <w:lang w:val="nl-BE" w:eastAsia="fr-BE"/>
              </w:rPr>
              <w:t>   </w:t>
            </w:r>
            <w:r>
              <w:rPr>
                <w:rFonts w:ascii="Times New Roman" w:hAnsi="Times New Roman"/>
                <w:b/>
                <w:sz w:val="24"/>
              </w:rPr>
              <w:t>Tento návrh královského výnosu má za cíl změnit královský výnos ze dne 5. února 2016 o výrobě tabákových výrobků a jejich uvádění na trh a částečně provést směrnici 2014/40/EU.</w:t>
            </w:r>
            <w:r>
              <w:rPr>
                <w:rFonts w:ascii="Times New Roman" w:hAnsi="Times New Roman"/>
                <w:b/>
                <w:sz w:val="24"/>
              </w:rPr>
              <w:br/>
              <w:t>   Plánované změny se týkají především definic, každoročního oznamování, regulace složek, označování, obchodní úpravy výrobku, prodeje na dálku a nových výrobků na bázi tabáku. V neposlední řadě se zavádí řada změn zaměřených na opravu technických chyb při provádění.</w:t>
            </w:r>
            <w:r>
              <w:rPr>
                <w:rFonts w:ascii="Times New Roman" w:hAnsi="Times New Roman"/>
                <w:b/>
                <w:sz w:val="24"/>
              </w:rPr>
              <w:br/>
              <w:t>   Některé změny vyžadují další vyjasnění.</w:t>
            </w:r>
            <w:r>
              <w:rPr>
                <w:rFonts w:ascii="Times New Roman" w:hAnsi="Times New Roman"/>
                <w:b/>
                <w:sz w:val="24"/>
              </w:rPr>
              <w:br/>
              <w:t>   Pokud jde o definici belgického dovozce, je nezbytná, aby Belgie mohla splnit povinnosti stanovené ve směrnici 2014/40/EU, a zejména v článku 5. To vyžaduje možnost uložit donucovací opatření (pokuty, konfiskace…) odpovědné společnosti v případě nedodržení právních předpisů. Definice dovozce stanovená ve směrnici 2014/40/EU neumožňuje kontrolnímu orgánu přijmout opatření proti dovozcům v Evropské unii. Je tedy třeba definovat pojem „belgický dovozce“, který odpovědný za vstup na belgické území, aby belgické orgány mohly podat žalobu proti belgickému dovozci v případě protiprávního jednání. Kromě toho ne všechny členské státy mají k dispozici kontrolní službu, která by vyřizovala případné žádosti belgických orgánů o sankce.</w:t>
            </w:r>
            <w:r>
              <w:rPr>
                <w:rFonts w:ascii="Times New Roman" w:hAnsi="Times New Roman"/>
                <w:b/>
                <w:sz w:val="24"/>
              </w:rPr>
              <w:br/>
              <w:t>   Pokud jde o regulaci složek, analogicky se zákazem uvedeným v čl. 5 § 4 je stanoven zákaz uvádět na trh technické prvky, které nejsou počáteční součástí výrobků na bázi tabáku, které umožňují měnit intenzitu spalování, zbarvit emise, vůni nebo chuť výrobků na bázi tabáku, aby se zabránilo uvádění na trh výrobků, které snižují dopad zákazu výrobků na bázi tabáku s charakteristickou příchutí.</w:t>
            </w:r>
            <w:r>
              <w:rPr>
                <w:rFonts w:ascii="Times New Roman" w:hAnsi="Times New Roman"/>
                <w:b/>
                <w:sz w:val="24"/>
              </w:rPr>
              <w:br/>
              <w:t>   Pokud jde o tloušťku balíčků cigaret, je třeba vyjasnit, aby tloušťka nebyla menší než 20 mm. Tento požadavek vyplývá z výkladu zastávaného v pracovním dokumentu Evropské komise ze dne 1. září 2017. Belgie proto pouze vyjasňuje již existující pravidlo.</w:t>
            </w:r>
            <w:r>
              <w:rPr>
                <w:rFonts w:ascii="Times New Roman" w:hAnsi="Times New Roman"/>
                <w:b/>
                <w:sz w:val="24"/>
              </w:rPr>
              <w:br/>
              <w:t>   Pokud jde o prezentaci výrobků, ministr má na jedné straně možnost sestavit seznam zakázaných značek výrobků na bázi tabáku a na druhé straně stanovit schvalovací řízení pro značky výrobků na bázi tabáku, které ještě nejsou uvedeny na trh. Tato možnost je součástí použití článku 13 směrnice 2014/40/EU a omezuje se na upřesnění praktických opatření k provedení tohoto článku. Podobné ustanovení platí ve Francii od ledna 2017 poté, co nabylo účinnosti rozhodnutí ze dne 19. května 2016, kterým se provádí směrnice 2014/40/EU týkající se výroby, obchodní úpravy a prodeje tabákových a souvisejících výrobků. Tato změna umožňuje zakázat označení jako je „levný tabák“ („goedkope tabak“ v nizozemštině); „vogue“, „corset“…</w:t>
            </w:r>
            <w:r>
              <w:rPr>
                <w:rFonts w:ascii="Times New Roman" w:hAnsi="Times New Roman"/>
                <w:b/>
                <w:sz w:val="24"/>
              </w:rPr>
              <w:br/>
              <w:t xml:space="preserve">   Pokud jde o obchodní úpravu a obsah jednotkových balení, je vyjasněno, že každý tabákový výrobek a veškeré bylinné výrobky určené ke kouření musí být zabaleny. To umožňuje jasně zakázat prodej kusových cigaret a uložit, aby každý doutník byl </w:t>
            </w:r>
            <w:r>
              <w:rPr>
                <w:rFonts w:ascii="Times New Roman" w:hAnsi="Times New Roman"/>
                <w:b/>
                <w:sz w:val="24"/>
              </w:rPr>
              <w:lastRenderedPageBreak/>
              <w:t>zabalen za účelem prodeje. Dále objasňuje, že tabák, zejména tabák do vodních dýmek, by neměl být prodáván nezabalený, jak se často děje v „shishabarech“.</w:t>
            </w:r>
            <w:r>
              <w:rPr>
                <w:rFonts w:ascii="Times New Roman" w:hAnsi="Times New Roman"/>
                <w:b/>
                <w:sz w:val="24"/>
              </w:rPr>
              <w:br/>
              <w:t>   U nových výrobků na bázi tabáku byla doplněna definice „zařízení“ s cílem předvídat uvádění nových výrobků na bázi tabáku, které mají být konzumovány pomocí zařízení, na trh. Kromě toho byl změněn článek 14, který stanoví pravidla pro nové výrobky na bázi tabáku, aby byl podrobně popsán postup, který se použije při uvádění nového výrobku na bázi tabáku na trh. Tento článek rovněž uvádí ustanovení královského výnosu, která se na tyto výrobky vztahují (články 4, 5, 6, 11, čl. 12 § 3 a článek 13). V neposlední řadě, ministr rozhodne, která ustanovení článků 7, 8, 9 a 10 se použijí, zejména ustanovení o označování. Ministr proto rozhodne, zda je nově oznámený výrobek na bázi tabáku postaven na roveň cigaretám, tabáku k ručnímu balení cigaret a tabáku do vodních dýmek, jiným výrobkům určeným ke kouření nebo bezdýmným tabákovým výrobkům.</w:t>
            </w:r>
            <w:r>
              <w:rPr>
                <w:rFonts w:ascii="Times New Roman" w:hAnsi="Times New Roman"/>
                <w:b/>
                <w:sz w:val="24"/>
              </w:rPr>
              <w:br/>
              <w:t xml:space="preserve">   Připomínky k jednotlivým článkům </w:t>
            </w:r>
            <w:r w:rsidR="00D83C9F">
              <w:rPr>
                <w:rFonts w:ascii="Times New Roman" w:hAnsi="Times New Roman"/>
                <w:b/>
                <w:sz w:val="24"/>
              </w:rPr>
              <w:br/>
            </w:r>
            <w:r>
              <w:rPr>
                <w:rFonts w:ascii="Times New Roman" w:hAnsi="Times New Roman"/>
                <w:b/>
                <w:sz w:val="24"/>
              </w:rPr>
              <w:t>Článek 1. Cílem článku 1 je změnit název královského výnosu na „královský výnos ze dne 5. února 2016 o výrobě výrobků na bázi tabáku a bylinných výrobků určených ke kouření a jejich uvádění na trh“.</w:t>
            </w:r>
            <w:r>
              <w:rPr>
                <w:rFonts w:ascii="Times New Roman" w:hAnsi="Times New Roman"/>
                <w:b/>
                <w:sz w:val="24"/>
              </w:rPr>
              <w:br/>
              <w:t>   Čl. 2. Cílem článku 2 je nahradit pojem „tabákové výrobky“ pojmem „výrobky na bázi tabáku“ v názvech kapitol královského výnosu. Pojem „tabákové výrobky“ zahrnuje mimo jiné elektronické cigarety, zatímco pojem „výrobky na bázi tabáku“ zahrnuje pouze výrobky, jejichž složení obsahuje tabák, uvedené v tomto výnosu.</w:t>
            </w:r>
            <w:r>
              <w:rPr>
                <w:rFonts w:ascii="Times New Roman" w:hAnsi="Times New Roman"/>
                <w:b/>
                <w:sz w:val="24"/>
              </w:rPr>
              <w:br/>
              <w:t>   Čl. 3. Cílem článku 3 je nahradit pojem „tabákové výrobky“ pojmem „výrobky na bázi tabáku“ v královském výnosu. Pojem „tabákové výrobky“ zahrnuje mimo jiné elektronické cigarety, zatímco pojem „výrobky na bázi tabáku“ se vztahuje pouze na výrobky, jejichž složení zahrnuje tabák, uvedené v tomto výnosu.</w:t>
            </w:r>
            <w:r>
              <w:rPr>
                <w:rFonts w:ascii="Times New Roman" w:hAnsi="Times New Roman"/>
                <w:b/>
                <w:sz w:val="24"/>
              </w:rPr>
              <w:br/>
              <w:t>   Čl. 4. Cílem článku 4 je zahrnout definice „zařízení“ a „dovozce do Belgie“ do článku 2 královského výnosu.</w:t>
            </w:r>
            <w:r>
              <w:rPr>
                <w:rFonts w:ascii="Times New Roman" w:hAnsi="Times New Roman"/>
                <w:b/>
                <w:sz w:val="24"/>
              </w:rPr>
              <w:br/>
              <w:t>   Čl. 5. Cílem článku 5 je změnit článek 4 týkající se oznámení, pokud jde o datum, kdy musí být roční oznámení učiněno, údaje o souboru, roční údaje o prodeji a poplatek.</w:t>
            </w:r>
            <w:r>
              <w:rPr>
                <w:rFonts w:ascii="Times New Roman" w:hAnsi="Times New Roman"/>
                <w:b/>
                <w:sz w:val="24"/>
              </w:rPr>
              <w:br/>
              <w:t>   Čl. 6. Cílem článku 6 je doplnit článek 4/1 o uplatňování přísnějších požadavků na informace o některých přísadách.</w:t>
            </w:r>
            <w:r>
              <w:rPr>
                <w:rFonts w:ascii="Times New Roman" w:hAnsi="Times New Roman"/>
                <w:b/>
                <w:sz w:val="24"/>
              </w:rPr>
              <w:br/>
              <w:t>   Čl. 7. Článek 7 doplňuje § 9 do článku 5, který zakazuje technické prvky, které umožňují změnit vůni, chuť, intenzitu hoření nebo barvu emisí výrobků na bázi tabáku.</w:t>
            </w:r>
            <w:r>
              <w:rPr>
                <w:rFonts w:ascii="Times New Roman" w:hAnsi="Times New Roman"/>
                <w:b/>
                <w:sz w:val="24"/>
              </w:rPr>
              <w:br/>
              <w:t>   Nelze se řídit poznámkou Státní rady k tomuto článku. Nový § 9 se zabývá technickými prvky, které na rozdíl od stávajícího § 5 nejsou původně součástí výrobku na bázi tabáku.</w:t>
            </w:r>
            <w:r>
              <w:rPr>
                <w:rFonts w:ascii="Times New Roman" w:hAnsi="Times New Roman"/>
                <w:b/>
                <w:sz w:val="24"/>
              </w:rPr>
              <w:br/>
              <w:t>   Čl. 8. Cílem článku 8 je vyjasnit, že tloušťka balíčku cigaret nesmí být menší než 20 mm.</w:t>
            </w:r>
            <w:r w:rsidR="00BB4E92">
              <w:rPr>
                <w:rFonts w:ascii="Times New Roman" w:hAnsi="Times New Roman"/>
                <w:b/>
                <w:sz w:val="24"/>
              </w:rPr>
              <w:br/>
            </w:r>
            <w:r>
              <w:rPr>
                <w:rFonts w:ascii="Times New Roman" w:hAnsi="Times New Roman"/>
                <w:b/>
                <w:sz w:val="24"/>
              </w:rPr>
              <w:t>    Čl. 9. Cílem článku 9 je vyjasnit používání kombinovaných zdravotních varování na obalech válcového tvaru a nahradit slova „značky a loga“ slovem „značky“.</w:t>
            </w:r>
            <w:r>
              <w:rPr>
                <w:rFonts w:ascii="Times New Roman" w:hAnsi="Times New Roman"/>
                <w:b/>
                <w:sz w:val="24"/>
              </w:rPr>
              <w:br/>
              <w:t>   Čl. 10. Cílem článku 10 je vyjasnit výjimky pro výrobky na bázi tabáku určené ke kouření kromě cigaret, tabáku k ručnímu balení cigaret a tabáku do vodních dýmek a obsahuje odkaz na linku pro odvykání kouření.</w:t>
            </w:r>
            <w:r>
              <w:rPr>
                <w:rFonts w:ascii="Times New Roman" w:hAnsi="Times New Roman"/>
                <w:b/>
                <w:sz w:val="24"/>
              </w:rPr>
              <w:br/>
              <w:t xml:space="preserve">   Čl. 11. Článkem 11 se doplňuje čl. 11 § 2 královského výnosu o větu, kterou se zakazuje jakékoli uvádění ceny, s výjimkou ceny uvedené na daňovém registračním čísle. V článku 11 je navíc doplněn § 4, který ministrovi umožňuje sestavit v případě potřeby seznam zakázaných značek výrobků na bázi tabáku. V neposlední řadě se doplňuje § 5 s cílem použít ustanovení tohoto článku na technické prvky, jako jsou </w:t>
            </w:r>
            <w:r>
              <w:rPr>
                <w:rFonts w:ascii="Times New Roman" w:hAnsi="Times New Roman"/>
                <w:b/>
                <w:sz w:val="24"/>
              </w:rPr>
              <w:lastRenderedPageBreak/>
              <w:t>filtry a papír, které umožňují používání výrobků na bázi tabáku nebo jejich lepší používání.</w:t>
            </w:r>
            <w:r>
              <w:rPr>
                <w:rFonts w:ascii="Times New Roman" w:hAnsi="Times New Roman"/>
                <w:b/>
                <w:sz w:val="24"/>
              </w:rPr>
              <w:br/>
              <w:t>   Čl. 12. V článku 12 je doplněn § 3, který stanoví, že každý výrobek na bázi tabáku a jakýkoli bylinný výrobek určený ke kouření musí být zabalen nebo mít vnější obal.</w:t>
            </w:r>
            <w:r w:rsidR="00D94195" w:rsidRPr="00FD36C9">
              <w:rPr>
                <w:rFonts w:ascii="Times New Roman" w:eastAsia="Times New Roman" w:hAnsi="Times New Roman" w:cs="Times New Roman"/>
                <w:b/>
                <w:bCs/>
                <w:sz w:val="24"/>
                <w:szCs w:val="24"/>
                <w:lang w:val="nl-BE" w:eastAsia="fr-BE"/>
              </w:rPr>
              <w:t xml:space="preserve"> </w:t>
            </w:r>
            <w:r w:rsidR="00D94195">
              <w:rPr>
                <w:rFonts w:ascii="Times New Roman" w:eastAsia="Times New Roman" w:hAnsi="Times New Roman" w:cs="Times New Roman"/>
                <w:b/>
                <w:bCs/>
                <w:sz w:val="24"/>
                <w:szCs w:val="24"/>
                <w:lang w:val="nl-BE" w:eastAsia="fr-BE"/>
              </w:rPr>
              <w:br/>
            </w:r>
            <w:r w:rsidR="00D94195" w:rsidRPr="00FD36C9">
              <w:rPr>
                <w:rFonts w:ascii="Times New Roman" w:eastAsia="Times New Roman" w:hAnsi="Times New Roman" w:cs="Times New Roman"/>
                <w:b/>
                <w:bCs/>
                <w:sz w:val="24"/>
                <w:szCs w:val="24"/>
                <w:lang w:val="nl-BE" w:eastAsia="fr-BE"/>
              </w:rPr>
              <w:t>   </w:t>
            </w:r>
            <w:r>
              <w:rPr>
                <w:rFonts w:ascii="Times New Roman" w:hAnsi="Times New Roman"/>
                <w:b/>
                <w:sz w:val="24"/>
              </w:rPr>
              <w:t>Čl. 13. Cílem článku 13 je změnit zákaz prodeje na dálku tak, aby byl zakázán prodej na dálku a nákup na dálku u výrobků na bázi tabáku, bylinných výrobků určených ke kouření a zařízení pro nové výrobky na bázi tabáku.</w:t>
            </w:r>
            <w:r>
              <w:rPr>
                <w:rFonts w:ascii="Times New Roman" w:hAnsi="Times New Roman"/>
                <w:b/>
                <w:sz w:val="24"/>
              </w:rPr>
              <w:br/>
              <w:t>   Čl. 14. Článek 14 nahrazuje stávající článek 14 královského výnosu s cílem lépe regulovat nové výrobky na bázi tabáku.</w:t>
            </w:r>
            <w:r>
              <w:rPr>
                <w:rFonts w:ascii="Times New Roman" w:hAnsi="Times New Roman"/>
                <w:b/>
                <w:sz w:val="24"/>
              </w:rPr>
              <w:br/>
              <w:t>   Čl. 15. Cílem článku 15 je změnit chyby v provádění týkající se bylinných výrobků určených ke kouření.</w:t>
            </w:r>
            <w:r>
              <w:rPr>
                <w:rFonts w:ascii="Times New Roman" w:hAnsi="Times New Roman"/>
                <w:b/>
                <w:sz w:val="24"/>
              </w:rPr>
              <w:br/>
              <w:t>   Čl. 16. Cílem čl. 16 odst. 1 je nahradit čl. 16 § 1 tak, aby text přehlednější. Ustanovení § 2 navíc přidává poplatek za bylinné výrobky určené ke kouření.</w:t>
            </w:r>
            <w:r>
              <w:rPr>
                <w:rFonts w:ascii="Times New Roman" w:hAnsi="Times New Roman"/>
                <w:b/>
                <w:sz w:val="24"/>
              </w:rPr>
              <w:br/>
              <w:t>   Čl. 17. Cílem článku 17 je nahradit slovo „tabákové výrobky“ slovem „výrobky“ v čl. 17 § 1 královského výnosu, aby bylo možné zabavit bylinné výrobky určené ke kouření.</w:t>
            </w:r>
            <w:r>
              <w:rPr>
                <w:rFonts w:ascii="Times New Roman" w:hAnsi="Times New Roman"/>
                <w:b/>
                <w:sz w:val="24"/>
              </w:rPr>
              <w:br/>
              <w:t>   Čl. 18. Cílem článku 18 je stanovit nabytí účinnosti článku 9 a čl. 10 bodu 2 na 1. ledna 2020.</w:t>
            </w:r>
            <w:r>
              <w:rPr>
                <w:rFonts w:ascii="Times New Roman" w:hAnsi="Times New Roman"/>
                <w:b/>
                <w:sz w:val="24"/>
              </w:rPr>
              <w:br/>
              <w:t>   Čl. 19. Článek 19 se týká provádění královského výnosu.</w:t>
            </w:r>
            <w:r>
              <w:rPr>
                <w:rFonts w:ascii="Times New Roman" w:hAnsi="Times New Roman"/>
                <w:b/>
                <w:sz w:val="24"/>
              </w:rPr>
              <w:br/>
              <w:t>   Máme tu čest být, Sire,</w:t>
            </w:r>
            <w:r>
              <w:rPr>
                <w:rFonts w:ascii="Times New Roman" w:hAnsi="Times New Roman"/>
                <w:b/>
                <w:sz w:val="24"/>
              </w:rPr>
              <w:br/>
              <w:t>Vašeho Veličenstva,</w:t>
            </w:r>
            <w:r>
              <w:rPr>
                <w:rFonts w:ascii="Times New Roman" w:hAnsi="Times New Roman"/>
                <w:b/>
                <w:sz w:val="24"/>
              </w:rPr>
              <w:br/>
              <w:t>nejuctivější a nejvěrnější služebníci,</w:t>
            </w:r>
            <w:r>
              <w:rPr>
                <w:rFonts w:ascii="Times New Roman" w:hAnsi="Times New Roman"/>
                <w:b/>
                <w:sz w:val="24"/>
              </w:rPr>
              <w:br/>
              <w:t>ministr hospodářství,</w:t>
            </w:r>
            <w:r>
              <w:rPr>
                <w:rFonts w:ascii="Times New Roman" w:hAnsi="Times New Roman"/>
                <w:b/>
                <w:sz w:val="24"/>
              </w:rPr>
              <w:br/>
              <w:t>K. PEETERS,</w:t>
            </w:r>
            <w:r>
              <w:rPr>
                <w:rFonts w:ascii="Times New Roman" w:hAnsi="Times New Roman"/>
                <w:b/>
                <w:sz w:val="24"/>
              </w:rPr>
              <w:br/>
              <w:t xml:space="preserve">ministryně zdravotnictví, </w:t>
            </w:r>
            <w:r>
              <w:rPr>
                <w:rFonts w:ascii="Times New Roman" w:hAnsi="Times New Roman"/>
                <w:b/>
                <w:sz w:val="24"/>
              </w:rPr>
              <w:br/>
              <w:t>M. DE BLOCK,</w:t>
            </w:r>
            <w:r>
              <w:rPr>
                <w:rFonts w:ascii="Times New Roman" w:hAnsi="Times New Roman"/>
                <w:b/>
                <w:sz w:val="24"/>
              </w:rPr>
              <w:br/>
              <w:t xml:space="preserve">ministr pro malé a střední podniky, </w:t>
            </w:r>
            <w:r>
              <w:rPr>
                <w:rFonts w:ascii="Times New Roman" w:hAnsi="Times New Roman"/>
                <w:b/>
                <w:sz w:val="24"/>
              </w:rPr>
              <w:br/>
              <w:t>D. DUCARME</w:t>
            </w:r>
          </w:p>
        </w:tc>
      </w:tr>
    </w:tbl>
    <w:p w14:paraId="792DA08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6674EB41"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200C3A"/>
    <w:rsid w:val="0032210E"/>
    <w:rsid w:val="00386009"/>
    <w:rsid w:val="007E083B"/>
    <w:rsid w:val="00BB4E92"/>
    <w:rsid w:val="00C955CA"/>
    <w:rsid w:val="00D83C9F"/>
    <w:rsid w:val="00D94195"/>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CB71"/>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322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fontTable" Target="fontTable.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0" Type="http://schemas.openxmlformats.org/officeDocument/2006/relationships/hyperlink" Target="http://www.ejustice.just.fgov.be/cgi_loi/loi_a1.pl?language=nl&amp;la=N&amp;cn=2019042633&amp;table_name=wet&amp;&amp;caller=list&amp;N&amp;fromtab=wet&amp;tri=dd+AS+RANK&amp;rech=1&amp;numero=1&amp;sql=(text+contains+("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5186</Words>
  <Characters>27127</Characters>
  <Application>Microsoft Office Word</Application>
  <DocSecurity>0</DocSecurity>
  <Lines>577</Lines>
  <Paragraphs>46</Paragraphs>
  <ScaleCrop>false</ScaleCrop>
  <HeadingPairs>
    <vt:vector size="2" baseType="variant">
      <vt:variant>
        <vt:lpstr>Title</vt:lpstr>
      </vt:variant>
      <vt:variant>
        <vt:i4>1</vt:i4>
      </vt:variant>
    </vt:vector>
  </HeadingPairs>
  <TitlesOfParts>
    <vt:vector size="1" baseType="lpstr">
      <vt:lpstr/>
    </vt:vector>
  </TitlesOfParts>
  <Company>FPS Economy</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8</cp:revision>
  <dcterms:created xsi:type="dcterms:W3CDTF">2021-03-16T17:03:00Z</dcterms:created>
  <dcterms:modified xsi:type="dcterms:W3CDTF">2021-12-30T08:01:00Z</dcterms:modified>
</cp:coreProperties>
</file>