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2020. gada [..] Dekrēts Nr. 2020-[..]</w:t>
      </w:r>
      <w:r>
        <w:rPr>
          <w:b/>
          <w:sz w:val="36"/>
          <w:rFonts w:ascii="Times New Roman" w:hAnsi="Times New Roman"/>
        </w:rPr>
        <w:br/>
      </w:r>
      <w:r>
        <w:rPr>
          <w:b/>
          <w:sz w:val="36"/>
          <w:rFonts w:ascii="Times New Roman" w:hAnsi="Times New Roman"/>
        </w:rPr>
        <w:t xml:space="preserve">par elektrisko un elektronisko iekārtu remontējamības indeksu</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Sākotnējā versija</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Mērķauditorija: </w:t>
      </w:r>
      <w:r>
        <w:rPr>
          <w:sz w:val="24"/>
          <w:rFonts w:ascii="Times New Roman" w:hAnsi="Times New Roman"/>
        </w:rPr>
        <w:t xml:space="preserve">elektrisko un elektronisko iekārtu ražotāji, importētāji, izplatītāji vai citi tirgotāji, kā arī šo pašu iekārtu pārdevēji un tie, kuri izmanto tīmekļa vietni, platformu vai jebkuru citu tiešsaistes izplatīšanas kanālu savas komercdarbības ietvaros Francijā.</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Temats: vides kodeksa L541-9-2. pantā definētā remonta indeksa īstenošanas noteikumi.</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Stāšanās spēkā:</w:t>
      </w:r>
      <w:r>
        <w:rPr>
          <w:sz w:val="24"/>
          <w:rFonts w:ascii="Times New Roman" w:hAnsi="Times New Roman"/>
        </w:rPr>
        <w:t xml:space="preserve"> šis dokuments stājas spēkā 2021. gada 1. janvārī.</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Piezīme: </w:t>
      </w:r>
      <w:r>
        <w:rPr>
          <w:sz w:val="24"/>
          <w:rFonts w:ascii="Times New Roman" w:hAnsi="Times New Roman"/>
        </w:rPr>
        <w:t xml:space="preserve">šis dekrēts nosaka Vides kodeksa L.541-9-2. panta piemērošanas noteikumus, kas paredz ieviest remontējamības indeksu dažu kategoriju elektriskajām un elektroniskajām iekārtām.</w:t>
      </w:r>
      <w:r>
        <w:rPr>
          <w:sz w:val="24"/>
          <w:rFonts w:ascii="Times New Roman" w:hAnsi="Times New Roman"/>
        </w:rPr>
        <w:t xml:space="preserve"> </w:t>
      </w:r>
      <w:r>
        <w:rPr>
          <w:sz w:val="24"/>
          <w:rFonts w:ascii="Times New Roman" w:hAnsi="Times New Roman"/>
        </w:rPr>
        <w:t xml:space="preserve">Tajā jo īpaši norāda šā indeksa izveidošanai izmantoto aprēķinu kritērijus un parametrus, kā arī vispārējo saistību sistēmu attiecībā uz informācijas paziņošanu un attēlošanu.</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Atsauces:</w:t>
      </w:r>
      <w:r>
        <w:rPr>
          <w:sz w:val="24"/>
          <w:rFonts w:ascii="Times New Roman" w:hAnsi="Times New Roman"/>
        </w:rPr>
        <w:t xml:space="preserve"> šis dekrēts ir pieejams tīmekļa vietnē Légifrance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Premjerministrs,</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Par ekoloģiskās pārejas ministra un ekonomikas, finanšu un ekonomikas atveseļošanas ministra ziņojumu,</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ņemot vērā Eiropas Parlamenta un Padomes 2008. gada 19. novembra Direktīvu 2008/98/EK par atkritumiem un par dažu direktīvu atcelšanu, kurā jaunākie grozījumi izdarīti ar 2018. gada 30. maija Direktīvu (ES) 2018/851,</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ņemot vērā Eiropas Parlamenta un Padomes 2015. gada 9. septembra Direktīvu (ES) 2015/1535, ar ko nosaka informācijas sniegšanas kārtību tehnisko noteikumu un Informācijas sabiedrības pakalpojumu noteikumu jomā, kopā ar paziņojumu, kas nosūtīts Eiropas Komisijai 2020. gada 21. jūlijā,</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ņemot vērā Vides kodeksu, jo īpaši tā L.541-9-2. pantu redakcijā, kas izriet no 2020. gada 10. februāra Likuma Nr. 2020-105 par cīņu pret atkritumiem un par aprites ekonomiku 16. panta,</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ņemot vērā Likumu Nr. 2020-105 par cīņu pret atkritumiem un aprites ekonomiku, jo īpaši tā 16., 29. un 130. pantu,</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ņemot vērā apsvērumus, kas izdarīti sabiedriskās apspriešanas laikā no 2020. gada 21. jūlija līdz 2020. gada 17. augustam saskaņā ar Vides kodeksa L123-19-1. pantu,</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uzklausījis Valsts padomi (Sabiedrisko darbu nodaļu),</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izdod šādu dekrētu.</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1. pants</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Vides kodeksa V grāmatas IV sadaļas I nodaļu papildina ar šādu 9. iedaļu:</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“9. iedaļa</w:t>
      </w:r>
      <w:r>
        <w:rPr>
          <w:sz w:val="24"/>
          <w:rFonts w:ascii="Times New Roman" w:hAnsi="Times New Roman"/>
        </w:rPr>
        <w:br/>
      </w:r>
      <w:r>
        <w:rPr>
          <w:sz w:val="24"/>
          <w:rFonts w:ascii="Times New Roman" w:hAnsi="Times New Roman"/>
        </w:rPr>
        <w:t xml:space="preserve">Sabiedrības informēšana par atkritumus ražojošiem produktiem</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1. apakšiedaa</w:t>
      </w:r>
      <w:r>
        <w:rPr>
          <w:sz w:val="24"/>
          <w:rFonts w:ascii="Times New Roman" w:hAnsi="Times New Roman"/>
        </w:rPr>
        <w:br/>
      </w:r>
      <w:r>
        <w:rPr>
          <w:sz w:val="24"/>
          <w:rFonts w:ascii="Times New Roman" w:hAnsi="Times New Roman"/>
        </w:rPr>
        <w:t xml:space="preserve">Remontējamības indeksa noteikšana”</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R541-210. pants.</w:t>
      </w:r>
      <w:r>
        <w:rPr>
          <w:sz w:val="24"/>
          <w:rFonts w:ascii="Times New Roman" w:hAnsi="Times New Roman"/>
        </w:rPr>
        <w:t xml:space="preserve"> </w:t>
      </w:r>
      <w:r>
        <w:rPr>
          <w:sz w:val="24"/>
          <w:rFonts w:ascii="Times New Roman" w:hAnsi="Times New Roman"/>
        </w:rPr>
        <w:t xml:space="preserve">— L541-9-2. pantā definētais elektrisko un elektronisko iekārtu remontējamības indekss sastāv no desmit punktiem, kas jādara zināmi patērētājiem, iegādājoties jaunas iekārtas.</w:t>
      </w:r>
      <w:r>
        <w:rPr>
          <w:sz w:val="24"/>
          <w:rFonts w:ascii="Times New Roman" w:hAnsi="Times New Roman"/>
        </w:rPr>
        <w:br/>
      </w:r>
      <w:r>
        <w:rPr>
          <w:sz w:val="24"/>
          <w:rFonts w:ascii="Times New Roman" w:hAnsi="Times New Roman"/>
        </w:rPr>
        <w:t xml:space="preserve">Šis indekss attiecas uz katru no šīs iekārtas modeļiem.</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R541-211. pants.</w:t>
      </w:r>
      <w:r>
        <w:rPr>
          <w:sz w:val="24"/>
          <w:rFonts w:ascii="Times New Roman" w:hAnsi="Times New Roman"/>
        </w:rPr>
        <w:t xml:space="preserve"> </w:t>
      </w:r>
      <w:r>
        <w:rPr>
          <w:sz w:val="24"/>
          <w:rFonts w:ascii="Times New Roman" w:hAnsi="Times New Roman"/>
        </w:rPr>
        <w:t xml:space="preserve">— Šajā iedaļā piemēro šādas definīcijas:</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“tirdzniecība pieejama tirgū”: par samaksu vai bez maksas piegādāt elektriskās vai elektroniskās iekārtas, ko paredzēts izplatīt vai izmantot valsts tirgū, veicot komercdarbību;</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“laišana tirgū” ir elektrisko vai elektronisko iekārtu pirmreizēja nodrošināšana valsts tirgū;</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“importētājs” ir jebkura fiziska vai juridiska persona, kas laiž valsts tirgū elektriskās vai elektroniskās iekārtas no Eiropas Savienības dalībvalstīm vai no trešām valstīm;</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“pārdevējs” ir jebkura fiziska vai juridiska persona, kas komerciālas darbības ietvaros elektriskas vai elektroniskas iekārtas nodrošina tirgū, pārdodot tās patērētājiem, tostarp attālināti;</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“attālinātā pārdošana” ir attālināta līguma noslēgšana starp profesionālu pārdevēju un patērētāju organizētas pārdošanas sistēmas ietvaros, bez profesionālā pārdevēja un patērētāja vienlaicīgas fiziskas klātbūtnes, izmantojot tikai vienu vai vairākas attālinātās saziņas metodes, līdz pat līguma noslēgšanai;</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“modelis” ir tāda iekārtas versija, kurā visām vienībām ir vienādi tehniskie parametri, kas attiecas uz remontējamības indeksa aprēķināšanu.</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Pārējos terminus saprot saskaņā ar R543-171-2. panta noteikumiem, "ražotājs" nozīmē "ražotājs" šā panta nozīmē.</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R541-212. pants.</w:t>
      </w:r>
      <w:r>
        <w:rPr>
          <w:sz w:val="24"/>
          <w:rFonts w:ascii="Times New Roman" w:hAnsi="Times New Roman"/>
        </w:rPr>
        <w:t xml:space="preserve"> </w:t>
      </w:r>
      <w:r>
        <w:rPr>
          <w:sz w:val="24"/>
          <w:rFonts w:ascii="Times New Roman" w:hAnsi="Times New Roman"/>
        </w:rPr>
        <w:t xml:space="preserve">I. Ražotāji vai importētāji nosaka tirgū laistajām elektriskajām vai elektroniskajām iekārtām remontējamības indeksu, kā arī parametrus, kas ļauj to noteikt saskaņā ar rīkojumā noteiktajām procedūrām.</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Ražotāji un importētāji, uzskaitot un piegādājot elektriskās un elektroniskās iekārtas, bez maksas un dematerializētā formātā informē izplatītājus vai pārdevējus attiecībā uz katru tirgū laisto iekārtas modeli par:</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Remontējamības indeksu saskaņā ar nosacījumiem un zīmēm, kas paredzētas Rīkojuma R 541-213. panta I punktā;</w:t>
      </w:r>
      <w:r>
        <w:rPr>
          <w:sz w:val="24"/>
          <w:rFonts w:ascii="Times New Roman" w:hAnsi="Times New Roman"/>
        </w:rPr>
        <w:br/>
      </w: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Parametrus, kas ļāva noteikt remontējamības indeksu saskaņā ar R541-213 panta I punktā minētajā rīkojumā paredzēto formātu.</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Ja izplatītājs un pārdevējs nav viens un tas pats, izplatītājs bez maksas un ar tādiem pašiem nosacījumiem, kas minēti II punktā informē pārdevēju par tā aprēķina indeksu un parametriem atsauksmju veikšanas laikā un elektrisko un elektronisko iekārtu piegādes laikā.</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Turklāt indeksu var piestiprināt tieši katrai iekārtai vai iepakojumam ar etiķetēm vai marķējumu saskaņā ar R541-213 panta I punktā minētajā rīkojumā paredzētajām zīmēm.</w:t>
      </w:r>
      <w:r>
        <w:rPr>
          <w:sz w:val="24"/>
          <w:rFonts w:ascii="Times New Roman" w:hAnsi="Times New Roman"/>
        </w:rPr>
        <w:br/>
      </w:r>
      <w:r>
        <w:rPr>
          <w:sz w:val="24"/>
          <w:rFonts w:ascii="Times New Roman" w:hAnsi="Times New Roman"/>
        </w:rPr>
        <w:t xml:space="preserve">V. 2. punktā minēto informāciju ražotāji un importētāji 15 dienu laikā bez maksas dara zināmu jebkurai personai, kas to pieprasa, vismaz divus gadus pēc iekārtas modeļa pēdējās vienības laišanas tirgū.</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R541-213. pants.</w:t>
      </w:r>
      <w:r>
        <w:rPr>
          <w:sz w:val="24"/>
          <w:rFonts w:ascii="Times New Roman" w:hAnsi="Times New Roman"/>
        </w:rPr>
        <w:t xml:space="preserve"> </w:t>
      </w:r>
      <w:r>
        <w:rPr>
          <w:sz w:val="24"/>
          <w:rFonts w:ascii="Times New Roman" w:hAnsi="Times New Roman"/>
        </w:rPr>
        <w:t xml:space="preserve">I. – Ja elektriskās vai elektroniskās iekārtas piedāvā pārdošanai veikalos, pārdevējs saskaņā ar procedūrām un zīmēm, kas noteiktas par vidi un ekonomiku atbildīgā ministra rīkojumā, skaidri norāda ražotāja vai importētāja sniegto remontējamības indeksu par katru iekārtu, ko piedāvā pārdošanai, vai tās tiešā tuvumā.</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Ja elektriskās vai elektroniskās iekārtas pārdod tālpārdošanā, pārdevējs iekārtas uzrādīšanas laikā un tās cenas tuvumā redzamā veidā parāda remontējamības indeksu saskaņā ar I. punktā minētajā Rīkojumā paredzētajiem noteikumiem.</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Pārdevējs arī dara patērētājiem pieejamus parametrus, kas ļauj noteikt iekārtas remonta spējas indeksu, izmantojot jebkuru atbilstošu procesu.</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R541-214. pants.</w:t>
      </w:r>
      <w:r>
        <w:rPr>
          <w:sz w:val="24"/>
          <w:rFonts w:ascii="Times New Roman" w:hAnsi="Times New Roman"/>
        </w:rPr>
        <w:t xml:space="preserve"> </w:t>
      </w:r>
      <w:r>
        <w:rPr>
          <w:sz w:val="24"/>
          <w:rFonts w:ascii="Times New Roman" w:hAnsi="Times New Roman"/>
        </w:rPr>
        <w:t xml:space="preserve">— I. Remontējamības indeksu aprēķina, izmantojot šādus parametrus:</w:t>
      </w:r>
      <w:r>
        <w:rPr>
          <w:sz w:val="24"/>
          <w:rFonts w:ascii="Times New Roman" w:hAnsi="Times New Roman"/>
        </w:rPr>
        <w:br/>
      </w:r>
      <w:r>
        <w:rPr>
          <w:sz w:val="24"/>
          <w:rFonts w:ascii="Times New Roman" w:hAnsi="Times New Roman"/>
        </w:rPr>
        <w:t xml:space="preserve">a) viena atzīme divdesmit punktu skalā attiecībā uz tehniskās dokumentācijas pieejamības ilgumu un ieteikumiem par izmantošanu un uzturēšanu saistībā ar ražotājiem, labotājiem un patērētājiem;</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b) viena atzīme divdesmit punktu skalā attiecībā uz iekārtas demontējamību — demontāžas posmu skaits, lai nodrošinātu vienotu piekļuvi atsevišķām daļām, nepieciešamo instrumentu un stiprinājumu starp atsevišķām daļām raksturojums;</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c) viena atzīme divdesmit punktu skalā attiecībā uz pieejamības ilgumu atsevišķo daļu tirgū un piegādes termiņiem ražotājiem, atsevišķo daļu izplatītājiem, labotājiem un patērētājiem;</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d) viena atzīme divdesmit punktu skalā attiecībā uz starpību starp ražotāja vai importētāja detaļu pārdošanas cenu un ražotāja vai importētāja iekārtas pārdošanas cenu, kas aprēķināta saskaņā ar rīkojumā paredzētajiem noteikumiem;</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e) viena atzīme divdesmit punktu skalā attiecībā uz kritērijiem, kas atbilst attiecīgās iekārtas kategorijai.</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Remontējamības indeksu iegūst, saskaitot piecas iegūtās atzīmes un pēc tam izdalot šo kopsummu ar desmit, lai iegūtu kopējo atzīmi skalā no 1 līdz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Katrai elektrisko un elektronisko iekārtu kategorijai ar rīkojumu, ko izdevis par vidi atbildīgais ministrs un par ekonomiku un finansēm atbildīgais ministrs, nosaka visus kritērijus un apakškritērijus, tostarp specifiskos attiecīgās kategorijas kritērijus, kā arī indeksa aprēķināšanas veidus.</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2. pants</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Šā dekrēta noteikumi stājas spēkā no 2021. gada 1. janvāra.</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3. pants</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Par šā dekrēta izpildi katrs savā jomā atbild ekoloģiskas pārkārtošanas ministre un ekonomikas un finanšu ministrs, un to publicē Journal officiel de la République française (Francijas Republikas Oficiālajā vēstnesī).</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Datēts ar 2020. gada 29. decembri.</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Ministru prezidents Jean Castex:</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Ekoloģiskās pārejas ministre 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Ekonomikas, finanšu un ekonomikas atveseļošanas ministrs 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