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1C74" w:rsidRPr="00817DDD" w:rsidRDefault="00591C74" w:rsidP="00591C74">
      <w:pPr>
        <w:spacing w:after="120"/>
        <w:ind w:right="14"/>
        <w:jc w:val="center"/>
        <w:rPr>
          <w:rFonts w:ascii="Courier New" w:hAnsi="Courier New" w:cs="Courier New"/>
          <w:sz w:val="20"/>
          <w:szCs w:val="20"/>
        </w:rPr>
      </w:pPr>
      <w:r>
        <w:rPr>
          <w:rFonts w:ascii="Courier New" w:hAnsi="Courier New"/>
          <w:sz w:val="20"/>
          <w:szCs w:val="20"/>
        </w:rPr>
        <w:t>1. ------IND- 2020 0469 F-- ES- ------ 20200729 --- --- PROJET</w:t>
      </w:r>
    </w:p>
    <w:p w:rsidR="00A920F2" w:rsidRDefault="00515C32" w:rsidP="00591C74">
      <w:pPr>
        <w:autoSpaceDE w:val="0"/>
        <w:spacing w:after="0" w:line="240" w:lineRule="auto"/>
        <w:jc w:val="right"/>
      </w:pPr>
      <w:r>
        <w:rPr>
          <w:rFonts w:ascii="Times New Roman" w:hAnsi="Times New Roman"/>
          <w:color w:val="000000"/>
          <w:sz w:val="24"/>
          <w:szCs w:val="24"/>
        </w:rPr>
        <w:t>XXXX de 2020</w:t>
      </w:r>
    </w:p>
    <w:p w:rsidR="00A920F2" w:rsidRDefault="00A920F2" w:rsidP="00591C74">
      <w:pPr>
        <w:autoSpaceDE w:val="0"/>
        <w:spacing w:after="0" w:line="240" w:lineRule="auto"/>
        <w:jc w:val="center"/>
      </w:pPr>
    </w:p>
    <w:p w:rsidR="00A920F2" w:rsidRDefault="00A920F2" w:rsidP="00591C74">
      <w:pPr>
        <w:autoSpaceDE w:val="0"/>
        <w:spacing w:after="0" w:line="240" w:lineRule="auto"/>
        <w:jc w:val="center"/>
      </w:pPr>
    </w:p>
    <w:p w:rsidR="00A920F2" w:rsidRDefault="00515C32" w:rsidP="00591C74">
      <w:pPr>
        <w:autoSpaceDE w:val="0"/>
        <w:spacing w:after="0" w:line="240" w:lineRule="auto"/>
        <w:jc w:val="center"/>
      </w:pPr>
      <w:r>
        <w:rPr>
          <w:rFonts w:ascii="Times New Roman" w:hAnsi="Times New Roman"/>
          <w:b/>
          <w:bCs/>
          <w:color w:val="000000"/>
          <w:sz w:val="24"/>
          <w:szCs w:val="24"/>
        </w:rPr>
        <w:t>Orden de XXXX relativa a los métodos de exposición, de señalización y de parámetros generales de cálculo del índice de reparabilidad</w:t>
      </w:r>
    </w:p>
    <w:p w:rsidR="00A920F2" w:rsidRDefault="00A920F2" w:rsidP="00591C74">
      <w:pPr>
        <w:autoSpaceDE w:val="0"/>
        <w:spacing w:after="0" w:line="240" w:lineRule="auto"/>
        <w:jc w:val="center"/>
      </w:pPr>
    </w:p>
    <w:p w:rsidR="00A920F2" w:rsidRDefault="00515C32" w:rsidP="00591C74">
      <w:pPr>
        <w:autoSpaceDE w:val="0"/>
        <w:spacing w:after="0" w:line="240" w:lineRule="auto"/>
        <w:jc w:val="center"/>
      </w:pPr>
      <w:r>
        <w:rPr>
          <w:rFonts w:ascii="Times New Roman" w:hAnsi="Times New Roman"/>
          <w:color w:val="000000"/>
          <w:sz w:val="24"/>
          <w:szCs w:val="24"/>
        </w:rPr>
        <w:t>NOR: XXXXX</w:t>
      </w:r>
    </w:p>
    <w:p w:rsidR="00A920F2" w:rsidRDefault="00A920F2" w:rsidP="00591C74">
      <w:pPr>
        <w:autoSpaceDE w:val="0"/>
        <w:spacing w:after="0" w:line="240" w:lineRule="auto"/>
      </w:pPr>
    </w:p>
    <w:p w:rsidR="00A920F2" w:rsidRDefault="00A920F2" w:rsidP="00591C74">
      <w:pPr>
        <w:autoSpaceDE w:val="0"/>
        <w:spacing w:after="0" w:line="240" w:lineRule="auto"/>
      </w:pPr>
    </w:p>
    <w:p w:rsidR="00A920F2" w:rsidRDefault="00A920F2" w:rsidP="00591C74">
      <w:pPr>
        <w:autoSpaceDE w:val="0"/>
        <w:spacing w:after="0" w:line="240" w:lineRule="auto"/>
      </w:pPr>
    </w:p>
    <w:p w:rsidR="00A920F2" w:rsidRDefault="00515C32" w:rsidP="002A489A">
      <w:pPr>
        <w:autoSpaceDE w:val="0"/>
        <w:spacing w:after="0" w:line="240" w:lineRule="auto"/>
        <w:jc w:val="both"/>
      </w:pPr>
      <w:r>
        <w:rPr>
          <w:rFonts w:ascii="Times New Roman" w:hAnsi="Times New Roman"/>
          <w:color w:val="000000"/>
          <w:sz w:val="24"/>
          <w:szCs w:val="24"/>
        </w:rPr>
        <w:t>La Ministra de la Transición Ecológica y el Ministro de Economía y Hacienda,</w:t>
      </w:r>
    </w:p>
    <w:p w:rsidR="00A920F2" w:rsidRDefault="00A920F2" w:rsidP="002A489A">
      <w:pPr>
        <w:autoSpaceDE w:val="0"/>
        <w:spacing w:after="0" w:line="240" w:lineRule="auto"/>
        <w:jc w:val="both"/>
      </w:pPr>
    </w:p>
    <w:p w:rsidR="00A920F2" w:rsidRPr="00BD3BED" w:rsidRDefault="00515C32" w:rsidP="002A489A">
      <w:pPr>
        <w:autoSpaceDE w:val="0"/>
        <w:spacing w:after="0" w:line="240" w:lineRule="auto"/>
        <w:jc w:val="both"/>
        <w:rPr>
          <w:rFonts w:ascii="Times New Roman" w:hAnsi="Times New Roman" w:cs="Times New Roman"/>
          <w:color w:val="000000"/>
          <w:sz w:val="24"/>
        </w:rPr>
      </w:pPr>
      <w:r>
        <w:rPr>
          <w:rFonts w:ascii="Times New Roman" w:hAnsi="Times New Roman"/>
          <w:color w:val="000000"/>
          <w:sz w:val="24"/>
        </w:rPr>
        <w:t>Visto el Reglamento (UE) 2019/2021 de la Comisión, de 1 de octubre de 2019, por el que se establecen requisitos de diseño ecológico aplicables a las pantallas electrónicas con arreglo a la Directiva 2009/125/CE del Parlamento Europeo y del Consejo, se modifica el Reglamento (CE) n.º 1275/2008 de la Comisión y se deroga el Reglamento (CE) n.º 642/2009 de la Comisión;</w:t>
      </w:r>
    </w:p>
    <w:p w:rsidR="00A920F2" w:rsidRDefault="00A920F2" w:rsidP="002A489A">
      <w:pPr>
        <w:autoSpaceDE w:val="0"/>
        <w:spacing w:after="0" w:line="240" w:lineRule="auto"/>
        <w:jc w:val="both"/>
      </w:pPr>
    </w:p>
    <w:p w:rsidR="00A920F2" w:rsidRDefault="00515C32" w:rsidP="002A489A">
      <w:pPr>
        <w:autoSpaceDE w:val="0"/>
        <w:spacing w:after="0" w:line="240" w:lineRule="auto"/>
        <w:jc w:val="both"/>
      </w:pPr>
      <w:r>
        <w:rPr>
          <w:rFonts w:ascii="Times New Roman" w:hAnsi="Times New Roman"/>
          <w:color w:val="000000"/>
          <w:sz w:val="24"/>
          <w:szCs w:val="24"/>
        </w:rPr>
        <w:t>Visto el Código de Medio Ambiente, en particular, el artículo L. 541-9-2;</w:t>
      </w:r>
    </w:p>
    <w:p w:rsidR="00A920F2" w:rsidRDefault="00A920F2" w:rsidP="002A489A">
      <w:pPr>
        <w:autoSpaceDE w:val="0"/>
        <w:spacing w:after="0" w:line="240" w:lineRule="auto"/>
        <w:jc w:val="both"/>
      </w:pPr>
    </w:p>
    <w:p w:rsidR="00A920F2" w:rsidRDefault="00515C32" w:rsidP="002A489A">
      <w:pPr>
        <w:autoSpaceDE w:val="0"/>
        <w:spacing w:after="0" w:line="240" w:lineRule="auto"/>
        <w:jc w:val="both"/>
      </w:pPr>
      <w:r>
        <w:rPr>
          <w:rFonts w:ascii="Times New Roman" w:hAnsi="Times New Roman"/>
          <w:color w:val="000000"/>
          <w:sz w:val="24"/>
          <w:szCs w:val="24"/>
        </w:rPr>
        <w:t>Visto el Decreto n.º XXX de XXXX relativo a los métodos de aplicación del índice de reparabilidad para productos eléctricos y electrónicos, sus criterios y su método de cálculo,</w:t>
      </w:r>
    </w:p>
    <w:p w:rsidR="00A920F2" w:rsidRDefault="00A920F2" w:rsidP="00591C74">
      <w:pPr>
        <w:autoSpaceDE w:val="0"/>
        <w:spacing w:after="0" w:line="240" w:lineRule="auto"/>
      </w:pPr>
    </w:p>
    <w:p w:rsidR="00A920F2" w:rsidRDefault="00A920F2" w:rsidP="00591C74">
      <w:pPr>
        <w:autoSpaceDE w:val="0"/>
        <w:spacing w:after="0" w:line="240" w:lineRule="auto"/>
        <w:rPr>
          <w:rFonts w:ascii="Times New Roman" w:hAnsi="Times New Roman" w:cs="Times New Roman"/>
          <w:b/>
          <w:bCs/>
          <w:color w:val="000000"/>
          <w:sz w:val="24"/>
          <w:szCs w:val="24"/>
        </w:rPr>
      </w:pPr>
    </w:p>
    <w:p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Artículo 1. Presentación de equipos eléctricos y electrónicos</w:t>
      </w:r>
    </w:p>
    <w:p w:rsidR="00A920F2" w:rsidRDefault="00A920F2" w:rsidP="00591C74">
      <w:pPr>
        <w:keepNext/>
        <w:keepLines/>
        <w:autoSpaceDE w:val="0"/>
        <w:spacing w:after="0" w:line="240" w:lineRule="auto"/>
        <w:rPr>
          <w:rFonts w:ascii="Times New Roman" w:hAnsi="Times New Roman" w:cs="Times New Roman"/>
          <w:color w:val="000000"/>
          <w:sz w:val="24"/>
          <w:szCs w:val="24"/>
        </w:rPr>
      </w:pPr>
    </w:p>
    <w:p w:rsidR="00A920F2" w:rsidRDefault="00515C32" w:rsidP="00591C74">
      <w:pPr>
        <w:autoSpaceDE w:val="0"/>
        <w:spacing w:after="0" w:line="240" w:lineRule="auto"/>
        <w:jc w:val="both"/>
      </w:pPr>
      <w:r>
        <w:rPr>
          <w:rFonts w:ascii="Times New Roman" w:hAnsi="Times New Roman"/>
          <w:color w:val="000000"/>
          <w:sz w:val="24"/>
          <w:szCs w:val="24"/>
        </w:rPr>
        <w:t>El presente Decreto se aplicará a todos los equipos eléctricos y electrónicos respecto de los cuales se vaya a calcular y presentar el índice de reparabilidad según las disposiciones del Decreto n.º XXX de XXXX relativo a los métodos de aplicación del índice de reparabilidad para productos eléctricos y electrónicos, sus criterios y su método de cálculo.</w:t>
      </w:r>
    </w:p>
    <w:p w:rsidR="00A920F2" w:rsidRDefault="00A920F2" w:rsidP="00591C74">
      <w:pPr>
        <w:autoSpaceDE w:val="0"/>
        <w:spacing w:after="0" w:line="240" w:lineRule="auto"/>
        <w:rPr>
          <w:rFonts w:ascii="Times New Roman" w:hAnsi="Times New Roman" w:cs="Times New Roman"/>
          <w:color w:val="000000"/>
          <w:sz w:val="24"/>
          <w:szCs w:val="24"/>
        </w:rPr>
      </w:pPr>
    </w:p>
    <w:p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Artículo 2. Puntuación del índice de reparabilidad</w:t>
      </w:r>
    </w:p>
    <w:p w:rsidR="00A920F2" w:rsidRDefault="00A920F2" w:rsidP="00591C74">
      <w:pPr>
        <w:keepNext/>
        <w:keepLines/>
        <w:autoSpaceDE w:val="0"/>
        <w:spacing w:after="0" w:line="240" w:lineRule="auto"/>
        <w:rPr>
          <w:rFonts w:ascii="Times New Roman" w:hAnsi="Times New Roman" w:cs="Times New Roman"/>
          <w:color w:val="000000"/>
          <w:sz w:val="24"/>
          <w:szCs w:val="24"/>
        </w:rPr>
      </w:pPr>
    </w:p>
    <w:p w:rsidR="00A920F2" w:rsidRDefault="00515C32" w:rsidP="00591C74">
      <w:pPr>
        <w:autoSpaceDE w:val="0"/>
        <w:spacing w:after="0" w:line="240" w:lineRule="auto"/>
        <w:jc w:val="both"/>
      </w:pPr>
      <w:r>
        <w:rPr>
          <w:rFonts w:ascii="Times New Roman" w:hAnsi="Times New Roman"/>
          <w:color w:val="000000"/>
          <w:sz w:val="24"/>
          <w:szCs w:val="24"/>
        </w:rPr>
        <w:t>Para todos los productos eléctricos y electrónicos mencionados en el artículo 1, el índice de reparabilidad se presentará como una puntuación sobre 10 que podrá incluir un decimal después de la coma.</w:t>
      </w:r>
    </w:p>
    <w:p w:rsidR="00A920F2" w:rsidRDefault="00515C32" w:rsidP="00591C74">
      <w:pPr>
        <w:autoSpaceDE w:val="0"/>
        <w:spacing w:after="0" w:line="240" w:lineRule="auto"/>
        <w:jc w:val="both"/>
      </w:pPr>
      <w:r>
        <w:rPr>
          <w:rFonts w:ascii="Times New Roman" w:hAnsi="Times New Roman"/>
          <w:color w:val="000000"/>
          <w:sz w:val="24"/>
          <w:szCs w:val="24"/>
        </w:rPr>
        <w:t>Si el número después del primer decimal es inferior a 5, la puntuación se redondeará al decimal más bajo.</w:t>
      </w:r>
    </w:p>
    <w:p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t>Si el número después del primer decimal es mayor o igual a 5, la puntuación se redondeará al siguiente decimal.</w:t>
      </w:r>
    </w:p>
    <w:p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Artículo 3. Colores y señalización de presentación</w:t>
      </w:r>
    </w:p>
    <w:p w:rsidR="00A920F2" w:rsidRDefault="00A920F2" w:rsidP="00591C74">
      <w:pPr>
        <w:keepNext/>
        <w:keepLines/>
        <w:autoSpaceDE w:val="0"/>
        <w:spacing w:after="0" w:line="240" w:lineRule="auto"/>
        <w:rPr>
          <w:rFonts w:ascii="Times New Roman" w:hAnsi="Times New Roman" w:cs="Times New Roman"/>
          <w:b/>
          <w:color w:val="000000"/>
          <w:sz w:val="24"/>
          <w:szCs w:val="24"/>
        </w:rPr>
      </w:pPr>
    </w:p>
    <w:p w:rsidR="00A920F2" w:rsidRDefault="00515C32" w:rsidP="00591C74">
      <w:pPr>
        <w:pStyle w:val="Paragraphedeliste"/>
        <w:keepNext/>
        <w:keepLines/>
        <w:suppressAutoHyphens w:val="0"/>
        <w:spacing w:after="0" w:line="240" w:lineRule="auto"/>
        <w:ind w:left="0"/>
        <w:jc w:val="both"/>
      </w:pPr>
      <w:r>
        <w:rPr>
          <w:rFonts w:ascii="Times New Roman" w:hAnsi="Times New Roman"/>
          <w:color w:val="000000"/>
          <w:sz w:val="24"/>
          <w:szCs w:val="24"/>
        </w:rPr>
        <w:t>En función de la puntuación así obtenida, se utilizarán los siguientes códigos de color para la presentación del índice:</w:t>
      </w:r>
    </w:p>
    <w:p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puntuación mayor o igual a 0 e inferior o igual a 1,9: rojo, referencia Pantone 186 C, </w:t>
      </w:r>
    </w:p>
    <w:p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puntuación mayor o igual a 2 e inferior o igual a 3,9: naranja, referencia Pantone 1585 C,</w:t>
      </w:r>
    </w:p>
    <w:p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puntuación mayor o igual a 4 e inferior o igual a 5,9: amarillo, referencia Pantone 7548 C,</w:t>
      </w:r>
    </w:p>
    <w:p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puntuación mayor o igual a 6 e inferior o igual a 7,9: verde claro, referencia Pantone 2291 C,</w:t>
      </w:r>
    </w:p>
    <w:p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Puntuación mayor o igual a 8 e inferior o igual a 10: verde oscuro, referencia Pantone 347 C.</w:t>
      </w:r>
    </w:p>
    <w:p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t>La señ</w:t>
      </w:r>
      <w:bookmarkStart w:id="0" w:name="_GoBack"/>
      <w:bookmarkEnd w:id="0"/>
      <w:r>
        <w:rPr>
          <w:rFonts w:ascii="Times New Roman" w:hAnsi="Times New Roman"/>
          <w:color w:val="000000"/>
          <w:sz w:val="24"/>
          <w:szCs w:val="24"/>
        </w:rPr>
        <w:t xml:space="preserve">alización obligatoria para la presentación del índice de reparabilidad será la representación gráfica compuesta por las palabras «índice de reparabilidad» y el pictograma que indica la puntuación del índice que se muestra a continuación (correspondiente a la marca «índice de reparabilidad»]. </w:t>
      </w:r>
    </w:p>
    <w:p w:rsidR="00A920F2" w:rsidRDefault="008A038E" w:rsidP="00591C74">
      <w:pPr>
        <w:pStyle w:val="Paragraphedeliste"/>
        <w:suppressAutoHyphens w:val="0"/>
        <w:spacing w:after="0" w:line="240" w:lineRule="auto"/>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51.5pt;mso-wrap-distance-left:0;mso-wrap-distance-top:0;mso-wrap-distance-right:0;mso-wrap-distance-bottom:0;mso-position-horizontal:center;mso-position-horizontal-relative:text;mso-position-vertical:top;mso-position-vertical-relative:text" filled="t">
            <v:fill color2="black"/>
            <v:imagedata r:id="rId7" o:title=""/>
          </v:shap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863"/>
        <w:gridCol w:w="4863"/>
      </w:tblGrid>
      <w:tr w:rsidR="00882C27" w:rsidRPr="00882C27" w:rsidTr="00882C27">
        <w:tc>
          <w:tcPr>
            <w:tcW w:w="2500" w:type="pct"/>
            <w:shd w:val="clear" w:color="auto" w:fill="auto"/>
          </w:tcPr>
          <w:p w:rsidR="00591C74" w:rsidRPr="008A038E" w:rsidRDefault="00591C74" w:rsidP="00882C27">
            <w:pPr>
              <w:pStyle w:val="Paragraphedeliste"/>
              <w:suppressAutoHyphens w:val="0"/>
              <w:spacing w:after="0" w:line="240" w:lineRule="auto"/>
              <w:ind w:left="0"/>
            </w:pPr>
            <w:r w:rsidRPr="008A038E">
              <w:t>INDICE DE REPETABILITE</w:t>
            </w:r>
          </w:p>
        </w:tc>
        <w:tc>
          <w:tcPr>
            <w:tcW w:w="2500" w:type="pct"/>
            <w:shd w:val="clear" w:color="auto" w:fill="auto"/>
          </w:tcPr>
          <w:p w:rsidR="00591C74" w:rsidRPr="00882C27" w:rsidRDefault="00591C74" w:rsidP="00882C27">
            <w:pPr>
              <w:pStyle w:val="Paragraphedeliste"/>
              <w:suppressAutoHyphens w:val="0"/>
              <w:spacing w:after="0" w:line="240" w:lineRule="auto"/>
              <w:ind w:left="0"/>
              <w:rPr>
                <w:rFonts w:ascii="Times New Roman" w:hAnsi="Times New Roman" w:cs="Times New Roman"/>
                <w:color w:val="000000"/>
                <w:sz w:val="24"/>
                <w:szCs w:val="24"/>
              </w:rPr>
            </w:pPr>
            <w:r>
              <w:t>ÍNDICE DE REPARABILIDAD</w:t>
            </w:r>
          </w:p>
        </w:tc>
      </w:tr>
    </w:tbl>
    <w:p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t>El tamaño de fuente de los dígitos de la puntuación sobre 10 deberá ser al menos igual al tamaño de fuente de los dígitos en el precio de venta.</w:t>
      </w:r>
    </w:p>
    <w:p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t>Cualquier ajuste del tamaño de esta señalización deberá hacerse de manera uniforme.</w:t>
      </w:r>
    </w:p>
    <w:p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rsidR="00A920F2" w:rsidRDefault="00515C32" w:rsidP="00591C74">
      <w:pPr>
        <w:pStyle w:val="Paragraphedeliste"/>
        <w:suppressAutoHyphens w:val="0"/>
        <w:spacing w:after="0" w:line="240" w:lineRule="auto"/>
        <w:ind w:left="0"/>
        <w:jc w:val="both"/>
        <w:rPr>
          <w:rFonts w:ascii="Times New Roman" w:hAnsi="Times New Roman" w:cs="Times New Roman"/>
          <w:color w:val="000000"/>
          <w:sz w:val="24"/>
          <w:szCs w:val="24"/>
        </w:rPr>
      </w:pPr>
      <w:r>
        <w:rPr>
          <w:rFonts w:ascii="Times New Roman" w:hAnsi="Times New Roman"/>
          <w:color w:val="000000"/>
          <w:sz w:val="24"/>
          <w:szCs w:val="24"/>
        </w:rPr>
        <w:t>En el caso de que el índice también se adhiera directamente a cada unidad de modelo o al envase mediante etiquetado o marcado, el tamaño de la representación gráfica podrá elegirse libremente siempre que sea visible y legible.</w:t>
      </w:r>
    </w:p>
    <w:p w:rsidR="00591C74" w:rsidRDefault="00591C74" w:rsidP="00591C74">
      <w:pPr>
        <w:pStyle w:val="Paragraphedeliste"/>
        <w:suppressAutoHyphens w:val="0"/>
        <w:spacing w:after="0" w:line="240" w:lineRule="auto"/>
        <w:ind w:left="0"/>
        <w:jc w:val="both"/>
      </w:pPr>
    </w:p>
    <w:p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Artículo 4. Cálculo del índice y presentación de los parámetros utilizados para establecerlo</w:t>
      </w:r>
    </w:p>
    <w:p w:rsidR="00A920F2" w:rsidRDefault="00A920F2" w:rsidP="00591C74">
      <w:pPr>
        <w:keepNext/>
        <w:keepLines/>
        <w:autoSpaceDE w:val="0"/>
        <w:spacing w:after="0" w:line="240" w:lineRule="auto"/>
        <w:rPr>
          <w:rFonts w:ascii="Times New Roman" w:hAnsi="Times New Roman" w:cs="Times New Roman"/>
          <w:b/>
          <w:color w:val="000000"/>
          <w:sz w:val="24"/>
          <w:szCs w:val="24"/>
        </w:rPr>
      </w:pPr>
    </w:p>
    <w:p w:rsidR="00A920F2" w:rsidRDefault="00515C32" w:rsidP="00591C74">
      <w:pPr>
        <w:autoSpaceDE w:val="0"/>
        <w:spacing w:after="0" w:line="240" w:lineRule="auto"/>
        <w:jc w:val="both"/>
      </w:pPr>
      <w:r>
        <w:rPr>
          <w:rFonts w:ascii="Times New Roman" w:hAnsi="Times New Roman"/>
          <w:color w:val="000000"/>
          <w:sz w:val="24"/>
          <w:szCs w:val="24"/>
        </w:rPr>
        <w:t>Cada subcriterio del índice se puntuará sobre diez y se le asignará un coeficiente que permita obtener una puntuación sobre 20 por criterio, como se indica en la tabla a continuación. La suma, a igual ponderación, de las puntuaciones para cada criterio dará como resultado un total sobre cien, reducido a una puntuación sobre diez del índice.</w:t>
      </w:r>
    </w:p>
    <w:p w:rsidR="00A920F2" w:rsidRDefault="00A920F2" w:rsidP="00591C74">
      <w:pPr>
        <w:autoSpaceDE w:val="0"/>
        <w:spacing w:after="0" w:line="240" w:lineRule="auto"/>
        <w:jc w:val="both"/>
        <w:rPr>
          <w:rFonts w:ascii="Times New Roman" w:hAnsi="Times New Roman" w:cs="Times New Roman"/>
          <w:color w:val="000000"/>
          <w:sz w:val="24"/>
          <w:szCs w:val="24"/>
        </w:rPr>
      </w:pPr>
    </w:p>
    <w:p w:rsidR="00A920F2" w:rsidRDefault="00515C32" w:rsidP="00591C74">
      <w:pPr>
        <w:pStyle w:val="SNSignatureGauche"/>
        <w:spacing w:before="0" w:after="0" w:line="240" w:lineRule="auto"/>
        <w:ind w:left="0" w:right="0" w:firstLine="0"/>
        <w:jc w:val="both"/>
      </w:pPr>
      <w:r>
        <w:rPr>
          <w:rFonts w:ascii="Times New Roman" w:hAnsi="Times New Roman"/>
          <w:color w:val="000000"/>
        </w:rPr>
        <w:t>La comunicación y la puesta a disposición de los parámetros utilizados para establecer el índice de reparabilidad de cada equipo se presentarán de acuerdo con la siguiente tabla, en formato digital no modificable, con dimensiones de 21 x 29,7 cm.</w:t>
      </w:r>
    </w:p>
    <w:p w:rsidR="00A920F2" w:rsidRDefault="00A920F2" w:rsidP="00591C74">
      <w:pPr>
        <w:suppressAutoHyphens w:val="0"/>
        <w:spacing w:after="0" w:line="240" w:lineRule="auto"/>
        <w:rPr>
          <w:rFonts w:ascii="Times New Roman" w:hAnsi="Times New Roman" w:cs="Times New Roman"/>
          <w:color w:val="000000"/>
          <w:sz w:val="24"/>
          <w:szCs w:val="24"/>
        </w:rPr>
      </w:pPr>
    </w:p>
    <w:tbl>
      <w:tblPr>
        <w:tblW w:w="5000" w:type="pct"/>
        <w:tblLayout w:type="fixed"/>
        <w:tblCellMar>
          <w:left w:w="43" w:type="dxa"/>
          <w:right w:w="43" w:type="dxa"/>
        </w:tblCellMar>
        <w:tblLook w:val="0000" w:firstRow="0" w:lastRow="0" w:firstColumn="0" w:lastColumn="0" w:noHBand="0" w:noVBand="0"/>
      </w:tblPr>
      <w:tblGrid>
        <w:gridCol w:w="1797"/>
        <w:gridCol w:w="3439"/>
        <w:gridCol w:w="1070"/>
        <w:gridCol w:w="1319"/>
        <w:gridCol w:w="1004"/>
        <w:gridCol w:w="1097"/>
      </w:tblGrid>
      <w:tr w:rsidR="00A920F2" w:rsidTr="00591C74">
        <w:tc>
          <w:tcPr>
            <w:tcW w:w="924" w:type="pct"/>
            <w:tcBorders>
              <w:top w:val="single" w:sz="4" w:space="0" w:color="00000A"/>
              <w:left w:val="single" w:sz="4" w:space="0" w:color="00000A"/>
              <w:bottom w:val="single" w:sz="4" w:space="0" w:color="00000A"/>
            </w:tcBorders>
            <w:shd w:val="clear" w:color="auto" w:fill="auto"/>
          </w:tcPr>
          <w:p w:rsidR="00A920F2" w:rsidRDefault="00515C32" w:rsidP="00591C74">
            <w:pPr>
              <w:keepNext/>
              <w:keepLines/>
              <w:suppressAutoHyphens w:val="0"/>
              <w:spacing w:after="0" w:line="240" w:lineRule="auto"/>
            </w:pPr>
            <w:r>
              <w:rPr>
                <w:rFonts w:ascii="Times New Roman" w:hAnsi="Times New Roman"/>
                <w:b/>
                <w:color w:val="000000"/>
                <w:sz w:val="24"/>
                <w:szCs w:val="24"/>
              </w:rPr>
              <w:t>Criterio</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keepNext/>
              <w:keepLines/>
              <w:suppressAutoHyphens w:val="0"/>
              <w:spacing w:after="0" w:line="240" w:lineRule="auto"/>
            </w:pPr>
            <w:r>
              <w:rPr>
                <w:rFonts w:ascii="Times New Roman" w:hAnsi="Times New Roman"/>
                <w:b/>
                <w:color w:val="000000"/>
                <w:sz w:val="24"/>
                <w:szCs w:val="24"/>
              </w:rPr>
              <w:t>Subcriterio</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keepNext/>
              <w:keepLines/>
              <w:suppressAutoHyphens w:val="0"/>
              <w:spacing w:after="0" w:line="240" w:lineRule="auto"/>
              <w:jc w:val="center"/>
            </w:pPr>
            <w:r>
              <w:rPr>
                <w:rFonts w:ascii="Times New Roman" w:hAnsi="Times New Roman"/>
                <w:b/>
                <w:color w:val="000000"/>
                <w:sz w:val="24"/>
                <w:szCs w:val="24"/>
              </w:rPr>
              <w:t>Puntuación del subcriterio</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keepNext/>
              <w:keepLines/>
              <w:suppressAutoHyphens w:val="0"/>
              <w:spacing w:after="0" w:line="240" w:lineRule="auto"/>
              <w:jc w:val="center"/>
            </w:pPr>
            <w:r>
              <w:rPr>
                <w:rFonts w:ascii="Times New Roman" w:hAnsi="Times New Roman"/>
                <w:b/>
                <w:color w:val="000000"/>
                <w:sz w:val="24"/>
                <w:szCs w:val="24"/>
              </w:rPr>
              <w:t>Coeficiente del subcriterio</w:t>
            </w:r>
          </w:p>
        </w:tc>
        <w:tc>
          <w:tcPr>
            <w:tcW w:w="515" w:type="pct"/>
            <w:tcBorders>
              <w:top w:val="single" w:sz="8" w:space="0" w:color="00000A"/>
              <w:left w:val="single" w:sz="8" w:space="0" w:color="00000A"/>
              <w:bottom w:val="single" w:sz="8" w:space="0" w:color="00000A"/>
            </w:tcBorders>
            <w:shd w:val="clear" w:color="auto" w:fill="auto"/>
          </w:tcPr>
          <w:p w:rsidR="00A920F2" w:rsidRDefault="00515C32" w:rsidP="00591C74">
            <w:pPr>
              <w:keepNext/>
              <w:keepLines/>
              <w:suppressAutoHyphens w:val="0"/>
              <w:spacing w:after="0" w:line="240" w:lineRule="auto"/>
              <w:jc w:val="center"/>
            </w:pPr>
            <w:r>
              <w:rPr>
                <w:rFonts w:ascii="Times New Roman" w:hAnsi="Times New Roman"/>
                <w:b/>
                <w:color w:val="000000"/>
                <w:sz w:val="24"/>
                <w:szCs w:val="24"/>
              </w:rPr>
              <w:t>Puntuación del criterio</w:t>
            </w:r>
          </w:p>
        </w:tc>
        <w:tc>
          <w:tcPr>
            <w:tcW w:w="564" w:type="pct"/>
            <w:tcBorders>
              <w:top w:val="single" w:sz="8" w:space="0" w:color="00000A"/>
              <w:left w:val="single" w:sz="8" w:space="0" w:color="00000A"/>
              <w:bottom w:val="single" w:sz="8" w:space="0" w:color="00000A"/>
              <w:right w:val="single" w:sz="8" w:space="0" w:color="00000A"/>
            </w:tcBorders>
            <w:shd w:val="clear" w:color="auto" w:fill="auto"/>
          </w:tcPr>
          <w:p w:rsidR="00A920F2" w:rsidRDefault="00515C32" w:rsidP="00591C74">
            <w:pPr>
              <w:keepNext/>
              <w:keepLines/>
              <w:suppressAutoHyphens w:val="0"/>
              <w:spacing w:after="0" w:line="240" w:lineRule="auto"/>
              <w:jc w:val="center"/>
            </w:pPr>
            <w:r>
              <w:rPr>
                <w:rFonts w:ascii="Times New Roman" w:hAnsi="Times New Roman"/>
                <w:b/>
                <w:color w:val="000000"/>
                <w:sz w:val="24"/>
                <w:szCs w:val="24"/>
              </w:rPr>
              <w:t>Total de las puntuaciones de los criterios</w:t>
            </w:r>
          </w:p>
        </w:tc>
      </w:tr>
      <w:tr w:rsidR="00A920F2" w:rsidTr="00591C74">
        <w:tc>
          <w:tcPr>
            <w:tcW w:w="924"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b/>
                <w:color w:val="000000"/>
                <w:sz w:val="24"/>
                <w:szCs w:val="24"/>
              </w:rPr>
              <w:t>1. Documentación</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1.1 Período de disponibilidad de la documentación técnica y relacionada con los consejos de utilización y mantenimiento</w:t>
            </w:r>
          </w:p>
        </w:tc>
        <w:tc>
          <w:tcPr>
            <w:tcW w:w="550" w:type="pct"/>
            <w:tcBorders>
              <w:top w:val="single" w:sz="8"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2</w:t>
            </w:r>
          </w:p>
        </w:tc>
        <w:tc>
          <w:tcPr>
            <w:tcW w:w="515"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▀▀/20</w:t>
            </w:r>
          </w:p>
        </w:tc>
        <w:tc>
          <w:tcPr>
            <w:tcW w:w="564" w:type="pct"/>
            <w:vMerge w:val="restart"/>
            <w:tcBorders>
              <w:top w:val="single" w:sz="8" w:space="0" w:color="00000A"/>
              <w:left w:val="single" w:sz="8" w:space="0" w:color="00000A"/>
              <w:bottom w:val="single" w:sz="8" w:space="0" w:color="00000A"/>
              <w:right w:val="single" w:sz="8" w:space="0" w:color="00000A"/>
            </w:tcBorders>
            <w:shd w:val="clear" w:color="auto" w:fill="auto"/>
            <w:vAlign w:val="center"/>
          </w:tcPr>
          <w:p w:rsidR="00A920F2" w:rsidRDefault="00515C32" w:rsidP="00591C74">
            <w:pPr>
              <w:suppressAutoHyphens w:val="0"/>
              <w:spacing w:after="0" w:line="240" w:lineRule="auto"/>
              <w:jc w:val="center"/>
            </w:pPr>
            <w:r>
              <w:rPr>
                <w:rFonts w:ascii="Times New Roman" w:hAnsi="Times New Roman"/>
                <w:color w:val="000000"/>
                <w:sz w:val="24"/>
                <w:szCs w:val="24"/>
              </w:rPr>
              <w:t>▀▀/100</w:t>
            </w:r>
          </w:p>
        </w:tc>
      </w:tr>
      <w:tr w:rsidR="00A920F2" w:rsidTr="00591C74">
        <w:tc>
          <w:tcPr>
            <w:tcW w:w="924" w:type="pct"/>
            <w:vMerge w:val="restar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b/>
                <w:color w:val="000000"/>
                <w:sz w:val="24"/>
                <w:szCs w:val="24"/>
              </w:rPr>
              <w:t>2. Desmontaje y acceso, herramientas, fijaciones</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2.1 Facilidad de desmontaje de las piezas de la lista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w:t>
            </w:r>
          </w:p>
        </w:tc>
        <w:tc>
          <w:tcPr>
            <w:tcW w:w="515" w:type="pct"/>
            <w:vMerge w:val="restar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2.2 Herramientas necesarias (lista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 xml:space="preserve">2.3 Características de las </w:t>
            </w:r>
            <w:r>
              <w:rPr>
                <w:rFonts w:ascii="Times New Roman" w:hAnsi="Times New Roman"/>
                <w:color w:val="000000"/>
                <w:sz w:val="24"/>
                <w:szCs w:val="24"/>
              </w:rPr>
              <w:lastRenderedPageBreak/>
              <w:t>fijaciones entre las piezas de la lista 1** y de la lista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lastRenderedPageBreak/>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val="restar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b/>
                <w:color w:val="000000"/>
                <w:sz w:val="24"/>
                <w:szCs w:val="24"/>
              </w:rPr>
              <w:t>3. Disponibilidad de piezas de repuesto</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3.1 Período de disponibilidad de las piezas de la lista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w:t>
            </w:r>
          </w:p>
        </w:tc>
        <w:tc>
          <w:tcPr>
            <w:tcW w:w="515" w:type="pct"/>
            <w:vMerge w:val="restar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3.2 Período de disponibilidad de las piezas de la lista 1</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3.3 Tiempo de entrega de las piezas de la lista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0,3</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3.4 Tiempo de entrega de las piezas de la lista 1</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0,2</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b/>
                <w:color w:val="000000"/>
                <w:sz w:val="24"/>
                <w:szCs w:val="24"/>
              </w:rPr>
              <w:t>4. Precio de las piezas de repuesto</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4.1 Relación de precios de las piezas de la lista 2 con los precios de los equipos nuevos</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2</w:t>
            </w:r>
          </w:p>
        </w:tc>
        <w:tc>
          <w:tcPr>
            <w:tcW w:w="515"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val="restar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b/>
                <w:color w:val="000000"/>
                <w:sz w:val="24"/>
                <w:szCs w:val="24"/>
              </w:rPr>
              <w:t>5 Criterio específico</w:t>
            </w:r>
          </w:p>
          <w:p w:rsidR="00A920F2" w:rsidRDefault="00515C32" w:rsidP="00591C74">
            <w:pPr>
              <w:suppressAutoHyphens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(ejemplo con 3 subcriterios)</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 xml:space="preserve">5.1 </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w:t>
            </w:r>
          </w:p>
        </w:tc>
        <w:tc>
          <w:tcPr>
            <w:tcW w:w="515" w:type="pct"/>
            <w:vMerge w:val="restar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5.2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rFonts w:ascii="Times New Roman" w:hAnsi="Times New Roman"/>
                <w:color w:val="000000"/>
                <w:sz w:val="24"/>
                <w:szCs w:val="24"/>
              </w:rPr>
              <w:t>5.3</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4436" w:type="pct"/>
            <w:gridSpan w:val="5"/>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right"/>
            </w:pPr>
            <w:r>
              <w:rPr>
                <w:rFonts w:ascii="Times New Roman" w:hAnsi="Times New Roman"/>
                <w:b/>
                <w:color w:val="000000"/>
                <w:sz w:val="24"/>
                <w:szCs w:val="24"/>
              </w:rPr>
              <w:t xml:space="preserve">Puntuación del índice </w:t>
            </w:r>
          </w:p>
        </w:tc>
        <w:tc>
          <w:tcPr>
            <w:tcW w:w="564" w:type="pct"/>
            <w:tcBorders>
              <w:top w:val="single" w:sz="8" w:space="0" w:color="00000A"/>
              <w:left w:val="single" w:sz="8" w:space="0" w:color="00000A"/>
              <w:bottom w:val="single" w:sz="8" w:space="0" w:color="00000A"/>
              <w:right w:val="single" w:sz="8" w:space="0" w:color="00000A"/>
            </w:tcBorders>
            <w:shd w:val="clear" w:color="auto" w:fill="auto"/>
          </w:tcPr>
          <w:p w:rsidR="00A920F2" w:rsidRDefault="00515C32" w:rsidP="00591C74">
            <w:pPr>
              <w:suppressAutoHyphens w:val="0"/>
              <w:spacing w:after="0" w:line="240" w:lineRule="auto"/>
              <w:jc w:val="center"/>
            </w:pPr>
            <w:r>
              <w:rPr>
                <w:rFonts w:ascii="Times New Roman" w:hAnsi="Times New Roman"/>
                <w:color w:val="000000"/>
                <w:sz w:val="24"/>
                <w:szCs w:val="24"/>
              </w:rPr>
              <w:t>▀▀/10</w:t>
            </w:r>
          </w:p>
        </w:tc>
      </w:tr>
      <w:tr w:rsidR="00A920F2" w:rsidTr="00591C74">
        <w:tc>
          <w:tcPr>
            <w:tcW w:w="5000" w:type="pct"/>
            <w:gridSpan w:val="6"/>
            <w:tcBorders>
              <w:top w:val="single" w:sz="8" w:space="0" w:color="00000A"/>
              <w:left w:val="single" w:sz="8" w:space="0" w:color="00000A"/>
              <w:bottom w:val="single" w:sz="8" w:space="0" w:color="00000A"/>
              <w:right w:val="single" w:sz="8" w:space="0" w:color="00000A"/>
            </w:tcBorders>
            <w:shd w:val="clear" w:color="auto" w:fill="auto"/>
          </w:tcPr>
          <w:p w:rsidR="00A920F2" w:rsidRDefault="00515C32" w:rsidP="00591C74">
            <w:pPr>
              <w:pStyle w:val="SNSignatureGauche"/>
              <w:suppressAutoHyphens w:val="0"/>
              <w:spacing w:before="0" w:after="0" w:line="240" w:lineRule="auto"/>
              <w:ind w:left="0" w:right="0" w:firstLine="0"/>
              <w:jc w:val="both"/>
            </w:pPr>
            <w:r>
              <w:rPr>
                <w:rFonts w:ascii="Times New Roman" w:hAnsi="Times New Roman"/>
                <w:i/>
                <w:color w:val="000000"/>
              </w:rPr>
              <w:t>*lista 2: lista de un máximo de 3 a 5 piezas de repuesto (según la categoría del equipo en cuestión) cuyas roturas o averías son las más frecuentes;</w:t>
            </w:r>
          </w:p>
          <w:p w:rsidR="00A920F2" w:rsidRDefault="00515C32" w:rsidP="00BD3BED">
            <w:pPr>
              <w:pStyle w:val="SNSignatureGauche"/>
              <w:suppressAutoHyphens w:val="0"/>
              <w:spacing w:before="0" w:after="0" w:line="240" w:lineRule="auto"/>
              <w:ind w:left="0" w:right="0" w:firstLine="0"/>
              <w:jc w:val="both"/>
            </w:pPr>
            <w:r>
              <w:rPr>
                <w:rFonts w:ascii="Times New Roman" w:hAnsi="Times New Roman"/>
                <w:i/>
                <w:color w:val="000000"/>
              </w:rPr>
              <w:t>**lista 1: lista de un máximo de otras 10 piezas de repuesto (según la categoría del equipo en cuestión) cuyo buen estado es necesario para el funcionamiento del equipo.</w:t>
            </w:r>
          </w:p>
        </w:tc>
      </w:tr>
    </w:tbl>
    <w:p w:rsidR="00A920F2" w:rsidRDefault="00A920F2" w:rsidP="00591C74">
      <w:pPr>
        <w:pStyle w:val="SNSignatureGauche"/>
        <w:spacing w:before="0" w:after="0" w:line="240" w:lineRule="auto"/>
        <w:ind w:left="0" w:right="0" w:firstLine="0"/>
        <w:jc w:val="both"/>
        <w:rPr>
          <w:rFonts w:ascii="Times New Roman" w:hAnsi="Times New Roman"/>
          <w:color w:val="000000"/>
        </w:rPr>
      </w:pPr>
    </w:p>
    <w:p w:rsidR="00A920F2" w:rsidRDefault="00515C32" w:rsidP="00591C74">
      <w:pPr>
        <w:spacing w:after="0" w:line="240" w:lineRule="auto"/>
      </w:pPr>
      <w:r>
        <w:rPr>
          <w:rFonts w:ascii="Times New Roman" w:hAnsi="Times New Roman"/>
          <w:color w:val="000000"/>
          <w:sz w:val="24"/>
          <w:szCs w:val="24"/>
        </w:rPr>
        <w:t>Para un criterio, la suma de los coeficientes de los subcriterios debe ser igual a 2.</w:t>
      </w:r>
    </w:p>
    <w:p w:rsidR="009451F9" w:rsidRDefault="00515C32" w:rsidP="00591C74">
      <w:pPr>
        <w:spacing w:after="0" w:line="240" w:lineRule="auto"/>
        <w:rPr>
          <w:rFonts w:ascii="Times New Roman" w:hAnsi="Times New Roman" w:cs="Times New Roman"/>
          <w:color w:val="000000"/>
          <w:sz w:val="24"/>
          <w:szCs w:val="24"/>
        </w:rPr>
      </w:pPr>
      <w:r>
        <w:rPr>
          <w:rFonts w:ascii="Times New Roman" w:hAnsi="Times New Roman"/>
          <w:color w:val="000000"/>
          <w:sz w:val="24"/>
          <w:szCs w:val="24"/>
        </w:rPr>
        <w:t>Las cuadrículas de puntuación detalladas específicas para cada categoría de equipo, que indican las listas de piezas y los detalles de cada subcriterio, se definirán mediante orden.</w:t>
      </w:r>
    </w:p>
    <w:p w:rsidR="00A920F2" w:rsidRDefault="00A920F2" w:rsidP="00591C74">
      <w:pPr>
        <w:spacing w:after="0" w:line="240" w:lineRule="auto"/>
      </w:pPr>
    </w:p>
    <w:p w:rsidR="00591C74" w:rsidRDefault="00515C32" w:rsidP="00591C74">
      <w:pPr>
        <w:pStyle w:val="SNSignatureGauche"/>
        <w:keepNext/>
        <w:keepLines/>
        <w:spacing w:before="0" w:after="0" w:line="240" w:lineRule="auto"/>
        <w:ind w:left="0" w:right="0" w:firstLine="0"/>
        <w:jc w:val="both"/>
        <w:rPr>
          <w:rFonts w:ascii="Times New Roman" w:hAnsi="Times New Roman"/>
          <w:b/>
          <w:color w:val="000000"/>
        </w:rPr>
      </w:pPr>
      <w:r>
        <w:rPr>
          <w:rFonts w:ascii="Times New Roman" w:hAnsi="Times New Roman"/>
          <w:b/>
          <w:color w:val="000000"/>
        </w:rPr>
        <w:t>Artículo 5. Definición de los subcriterios</w:t>
      </w:r>
    </w:p>
    <w:p w:rsidR="00591C74" w:rsidRDefault="00591C74" w:rsidP="00591C74">
      <w:pPr>
        <w:pStyle w:val="SNSignatureGauche"/>
        <w:keepNext/>
        <w:keepLines/>
        <w:spacing w:before="0" w:after="0" w:line="240" w:lineRule="auto"/>
        <w:ind w:left="0" w:right="0" w:firstLine="0"/>
        <w:jc w:val="both"/>
        <w:rPr>
          <w:rFonts w:ascii="Times New Roman" w:hAnsi="Times New Roman"/>
          <w:b/>
          <w:color w:val="000000"/>
        </w:rPr>
      </w:pPr>
    </w:p>
    <w:p w:rsidR="00591C74" w:rsidRDefault="00515C32" w:rsidP="00591C74">
      <w:pPr>
        <w:pStyle w:val="SNSignatureGauche"/>
        <w:keepNext/>
        <w:keepLines/>
        <w:spacing w:before="0" w:after="0" w:line="240" w:lineRule="auto"/>
        <w:ind w:left="0" w:right="0" w:firstLine="0"/>
        <w:jc w:val="both"/>
        <w:rPr>
          <w:rFonts w:ascii="Times New Roman" w:hAnsi="Times New Roman"/>
          <w:b/>
          <w:color w:val="000000"/>
        </w:rPr>
      </w:pPr>
      <w:r>
        <w:rPr>
          <w:rFonts w:ascii="Times New Roman" w:hAnsi="Times New Roman"/>
          <w:b/>
          <w:color w:val="000000"/>
        </w:rPr>
        <w:t>Criterio n.º 1. Documentación:</w:t>
      </w:r>
    </w:p>
    <w:p w:rsidR="00591C74" w:rsidRDefault="00591C74" w:rsidP="00591C74">
      <w:pPr>
        <w:pStyle w:val="SNSignatureGauche"/>
        <w:keepNext/>
        <w:keepLines/>
        <w:spacing w:before="0" w:after="0" w:line="240" w:lineRule="auto"/>
        <w:ind w:left="0" w:right="0" w:firstLine="0"/>
        <w:jc w:val="both"/>
        <w:rPr>
          <w:rFonts w:ascii="Times New Roman" w:hAnsi="Times New Roman"/>
          <w:b/>
          <w:color w:val="000000"/>
        </w:rPr>
      </w:pPr>
    </w:p>
    <w:p w:rsidR="009451F9" w:rsidRDefault="00515C32" w:rsidP="00591C74">
      <w:pPr>
        <w:pStyle w:val="SNSignatureGauche"/>
        <w:keepNext/>
        <w:keepLines/>
        <w:spacing w:before="0" w:after="0" w:line="240" w:lineRule="auto"/>
        <w:ind w:left="0" w:right="0" w:firstLine="0"/>
        <w:jc w:val="both"/>
        <w:rPr>
          <w:rFonts w:ascii="Times New Roman" w:hAnsi="Times New Roman"/>
          <w:b/>
          <w:color w:val="000000"/>
        </w:rPr>
      </w:pPr>
      <w:r>
        <w:rPr>
          <w:rFonts w:ascii="Times New Roman" w:hAnsi="Times New Roman"/>
          <w:b/>
          <w:color w:val="000000"/>
        </w:rPr>
        <w:t>Subcriterio 1.1. Período de disponibilidad de la documentación técnica y relacionada con los consejos de utilización y mantenimiento</w:t>
      </w:r>
    </w:p>
    <w:p w:rsidR="00A920F2" w:rsidRPr="009451F9" w:rsidRDefault="00515C32" w:rsidP="009451F9">
      <w:pPr>
        <w:suppressAutoHyphens w:val="0"/>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Determinado por el compromiso del productor de poner a disposición de los talleres de reparación autorizados e independientes y de los consumidores, de forma gratuita, los documentos técnicos, así como los documentos relativos a los consejos de utilización y mantenimiento para los consumidores, durante varios años a partir de la comercialización de la última unidad.</w:t>
      </w:r>
    </w:p>
    <w:p w:rsidR="00A920F2" w:rsidRDefault="00A920F2" w:rsidP="00591C74">
      <w:pPr>
        <w:pStyle w:val="SNSignatureGauche"/>
        <w:spacing w:before="0" w:after="0" w:line="240" w:lineRule="auto"/>
        <w:ind w:left="0" w:right="0" w:firstLine="0"/>
        <w:jc w:val="left"/>
        <w:rPr>
          <w:rFonts w:ascii="Times New Roman" w:hAnsi="Times New Roman"/>
          <w:b/>
          <w:color w:val="000000"/>
        </w:rPr>
      </w:pPr>
    </w:p>
    <w:p w:rsidR="00A920F2" w:rsidRDefault="00515C32" w:rsidP="00591C74">
      <w:pPr>
        <w:keepNext/>
        <w:keepLines/>
        <w:suppressAutoHyphens w:val="0"/>
        <w:spacing w:after="0" w:line="240" w:lineRule="auto"/>
        <w:jc w:val="both"/>
      </w:pPr>
      <w:r>
        <w:rPr>
          <w:rFonts w:ascii="Times New Roman" w:hAnsi="Times New Roman"/>
          <w:b/>
          <w:color w:val="000000"/>
          <w:sz w:val="24"/>
          <w:szCs w:val="24"/>
        </w:rPr>
        <w:t>Criterio n.º 2. Desmontaje y acceso, herramientas, fijaciones:</w:t>
      </w:r>
    </w:p>
    <w:p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rFonts w:ascii="Times New Roman" w:hAnsi="Times New Roman"/>
          <w:b/>
          <w:color w:val="000000"/>
          <w:sz w:val="24"/>
          <w:szCs w:val="24"/>
        </w:rPr>
        <w:t>Subcriterio 2.1. Facilidad de desmontaje de las piezas de la lista 2</w:t>
      </w:r>
    </w:p>
    <w:p w:rsidR="00A920F2" w:rsidRDefault="00515C32" w:rsidP="00591C74">
      <w:pPr>
        <w:suppressAutoHyphens w:val="0"/>
        <w:spacing w:after="0" w:line="240" w:lineRule="auto"/>
        <w:jc w:val="both"/>
      </w:pPr>
      <w:r>
        <w:rPr>
          <w:rFonts w:ascii="Times New Roman" w:hAnsi="Times New Roman"/>
          <w:color w:val="000000"/>
          <w:sz w:val="24"/>
          <w:szCs w:val="24"/>
        </w:rPr>
        <w:t>Determinado por el número de pasos de desmontaje que permiten acceder individualmente a cada pieza de la lista 2 y separarla del equipo, con miras a su sustitución. Se establece un vínculo entre la puntuación de este subcriterio y la del subcriterio 3.1, en el caso de que una pieza no se pueda desmontar: la puntuación cero repercute entonces de un subcriterio a otro.</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jc w:val="both"/>
      </w:pPr>
      <w:r>
        <w:rPr>
          <w:rFonts w:ascii="Times New Roman" w:hAnsi="Times New Roman"/>
          <w:b/>
          <w:color w:val="000000"/>
          <w:sz w:val="24"/>
          <w:szCs w:val="24"/>
        </w:rPr>
        <w:t>Subcriterio 2.2. Herramientas necesarias</w:t>
      </w:r>
    </w:p>
    <w:p w:rsidR="00A920F2" w:rsidRDefault="00515C32" w:rsidP="00591C74">
      <w:pPr>
        <w:suppressAutoHyphens w:val="0"/>
        <w:spacing w:after="0" w:line="240" w:lineRule="auto"/>
        <w:jc w:val="both"/>
      </w:pPr>
      <w:r>
        <w:rPr>
          <w:rFonts w:ascii="Times New Roman" w:hAnsi="Times New Roman"/>
          <w:color w:val="000000"/>
          <w:sz w:val="24"/>
          <w:szCs w:val="24"/>
        </w:rPr>
        <w:t>Determinado por el tipo de herramientas necesarias para desmontar cada pieza de la lista 2, de acuerdo con la tipología que distingue entre herramientas «comunes», «específicas» o «propietarias».</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jc w:val="both"/>
      </w:pPr>
      <w:r>
        <w:rPr>
          <w:rFonts w:ascii="Times New Roman" w:hAnsi="Times New Roman"/>
          <w:b/>
          <w:color w:val="000000"/>
          <w:sz w:val="24"/>
          <w:szCs w:val="24"/>
        </w:rPr>
        <w:t>Subcriterio 2.3. Características de las fijaciones</w:t>
      </w:r>
    </w:p>
    <w:p w:rsidR="00A920F2" w:rsidRDefault="00515C32" w:rsidP="00591C74">
      <w:pPr>
        <w:suppressAutoHyphens w:val="0"/>
        <w:spacing w:after="0" w:line="240" w:lineRule="auto"/>
        <w:jc w:val="both"/>
      </w:pPr>
      <w:r>
        <w:rPr>
          <w:rFonts w:ascii="Times New Roman" w:hAnsi="Times New Roman"/>
          <w:color w:val="000000"/>
          <w:sz w:val="24"/>
          <w:szCs w:val="24"/>
        </w:rPr>
        <w:t>Determinado, para cada pieza de las listas 1 y 2, por el tipo de fijaciones que aseguran su ensamblaje a otras piezas del equipo, de acuerdo con la tipología que distingue entre fijaciones «extraíbles y reutilizables», «extraíbles y no reutilizables» o «no extraíbles ni reutilizables».</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pPr>
      <w:r>
        <w:rPr>
          <w:rFonts w:ascii="Times New Roman" w:hAnsi="Times New Roman"/>
          <w:b/>
          <w:color w:val="000000"/>
          <w:sz w:val="24"/>
          <w:szCs w:val="24"/>
        </w:rPr>
        <w:t>Criterio n.º 3. Disponibilidad de las piezas de repuesto:</w:t>
      </w:r>
    </w:p>
    <w:p w:rsidR="00A920F2" w:rsidRDefault="00A920F2" w:rsidP="00591C74">
      <w:pPr>
        <w:keepNext/>
        <w:keepLines/>
        <w:suppressAutoHyphens w:val="0"/>
        <w:spacing w:after="0" w:line="240" w:lineRule="auto"/>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pPr>
      <w:r>
        <w:rPr>
          <w:rFonts w:ascii="Times New Roman" w:hAnsi="Times New Roman"/>
          <w:b/>
          <w:color w:val="000000"/>
          <w:sz w:val="24"/>
          <w:szCs w:val="24"/>
        </w:rPr>
        <w:t>Subcriterio 3.1. Período de disponibilidad de las piezas de la lista 2</w:t>
      </w:r>
    </w:p>
    <w:p w:rsidR="00A920F2" w:rsidRDefault="00515C32" w:rsidP="00591C74">
      <w:pPr>
        <w:suppressAutoHyphens w:val="0"/>
        <w:spacing w:after="0" w:line="240" w:lineRule="auto"/>
        <w:jc w:val="both"/>
      </w:pPr>
      <w:r>
        <w:rPr>
          <w:rFonts w:ascii="Times New Roman" w:hAnsi="Times New Roman"/>
          <w:color w:val="000000"/>
          <w:sz w:val="24"/>
          <w:szCs w:val="24"/>
        </w:rPr>
        <w:t>Determinado por el compromiso del productor de poner a disposición de los distribuidores de piezas de repuesto, de los talleres de reparación autorizados e independientes y de los consumidores, las piezas de la lista 2, durante varios años a partir de la comercialización de la última unidad.</w:t>
      </w:r>
    </w:p>
    <w:p w:rsidR="00A920F2" w:rsidRDefault="00A920F2" w:rsidP="00591C74">
      <w:pPr>
        <w:suppressAutoHyphens w:val="0"/>
        <w:spacing w:after="0" w:line="240" w:lineRule="auto"/>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pPr>
      <w:r>
        <w:rPr>
          <w:rFonts w:ascii="Times New Roman" w:hAnsi="Times New Roman"/>
          <w:b/>
          <w:color w:val="000000"/>
          <w:sz w:val="24"/>
          <w:szCs w:val="24"/>
        </w:rPr>
        <w:t>Subcriterio 3.2. Período de disponibilidad de las piezas de la lista 1</w:t>
      </w:r>
    </w:p>
    <w:p w:rsidR="00A920F2" w:rsidRDefault="00515C32" w:rsidP="00591C74">
      <w:pPr>
        <w:suppressAutoHyphens w:val="0"/>
        <w:spacing w:after="0" w:line="240" w:lineRule="auto"/>
        <w:jc w:val="both"/>
      </w:pPr>
      <w:r>
        <w:rPr>
          <w:rFonts w:ascii="Times New Roman" w:hAnsi="Times New Roman"/>
          <w:color w:val="000000"/>
          <w:sz w:val="24"/>
          <w:szCs w:val="24"/>
        </w:rPr>
        <w:t>Determinado por el compromiso del productor de poner a disposición de los distribuidores de piezas de repuesto, de los talleres de reparación autorizados e independientes y de los consumidores, las piezas de la lista 1, durante varios años a partir de la comercialización de la última unidad.</w:t>
      </w:r>
    </w:p>
    <w:p w:rsidR="00A920F2" w:rsidRDefault="00A920F2" w:rsidP="00591C74">
      <w:pPr>
        <w:suppressAutoHyphens w:val="0"/>
        <w:spacing w:after="0" w:line="240" w:lineRule="auto"/>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pPr>
      <w:r>
        <w:rPr>
          <w:rFonts w:ascii="Times New Roman" w:hAnsi="Times New Roman"/>
          <w:b/>
          <w:color w:val="000000"/>
          <w:sz w:val="24"/>
          <w:szCs w:val="24"/>
        </w:rPr>
        <w:t>Subcriterio 3.3. Tiempo de entrega de las piezas de la lista 2</w:t>
      </w:r>
    </w:p>
    <w:p w:rsidR="00A920F2" w:rsidRDefault="00515C32" w:rsidP="00591C74">
      <w:pPr>
        <w:suppressAutoHyphens w:val="0"/>
        <w:spacing w:after="0" w:line="240" w:lineRule="auto"/>
        <w:jc w:val="both"/>
      </w:pPr>
      <w:r>
        <w:rPr>
          <w:rFonts w:ascii="Times New Roman" w:hAnsi="Times New Roman"/>
          <w:color w:val="000000"/>
          <w:sz w:val="24"/>
          <w:szCs w:val="24"/>
        </w:rPr>
        <w:t>Determinado por el compromiso del productor de cumplir con un plazo de entrega, en número de días hábiles a partir del día del pedido de las piezas de la lista 2, a distribuidores de piezas de repuesto, talleres de reparación autorizados e independientes y a los consumidores.</w:t>
      </w:r>
    </w:p>
    <w:p w:rsidR="00A920F2" w:rsidRDefault="00A920F2" w:rsidP="00591C74">
      <w:pPr>
        <w:suppressAutoHyphens w:val="0"/>
        <w:spacing w:after="0" w:line="240" w:lineRule="auto"/>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pPr>
      <w:r>
        <w:rPr>
          <w:rFonts w:ascii="Times New Roman" w:hAnsi="Times New Roman"/>
          <w:b/>
          <w:color w:val="000000"/>
          <w:sz w:val="24"/>
          <w:szCs w:val="24"/>
        </w:rPr>
        <w:t>Subcriterio 3.4. Tiempo de entrega de las piezas de la lista 1</w:t>
      </w:r>
    </w:p>
    <w:p w:rsidR="00A920F2" w:rsidRDefault="00515C32" w:rsidP="00591C74">
      <w:pPr>
        <w:suppressAutoHyphens w:val="0"/>
        <w:spacing w:after="0" w:line="240" w:lineRule="auto"/>
        <w:jc w:val="both"/>
      </w:pPr>
      <w:r>
        <w:rPr>
          <w:rFonts w:ascii="Times New Roman" w:hAnsi="Times New Roman"/>
          <w:color w:val="000000"/>
          <w:sz w:val="24"/>
          <w:szCs w:val="24"/>
        </w:rPr>
        <w:t>Determinado por el compromiso del productor de cumplir con un plazo de entrega, en número de días hábiles a partir del día del pedido de las piezas de la lista 1, a distribuidores de piezas de repuesto, talleres de reparación autorizados e independientes y a los consumidores.</w:t>
      </w:r>
    </w:p>
    <w:p w:rsidR="00A920F2" w:rsidRDefault="00A920F2" w:rsidP="00591C74">
      <w:pPr>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rFonts w:ascii="Times New Roman" w:hAnsi="Times New Roman"/>
          <w:b/>
          <w:color w:val="000000"/>
          <w:sz w:val="24"/>
          <w:szCs w:val="24"/>
        </w:rPr>
        <w:t>Criterio n.º 4. Precio de las piezas de repuesto:</w:t>
      </w:r>
    </w:p>
    <w:p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rsidR="00591C74" w:rsidRPr="00591C74" w:rsidRDefault="00515C32" w:rsidP="00591C74">
      <w:pPr>
        <w:keepNext/>
        <w:keepLines/>
        <w:suppressAutoHyphens w:val="0"/>
        <w:spacing w:after="0" w:line="240" w:lineRule="auto"/>
        <w:jc w:val="both"/>
        <w:rPr>
          <w:rFonts w:ascii="Times New Roman" w:hAnsi="Times New Roman" w:cs="Times New Roman"/>
          <w:b/>
          <w:color w:val="000000"/>
          <w:sz w:val="24"/>
          <w:szCs w:val="24"/>
        </w:rPr>
      </w:pPr>
      <w:r>
        <w:rPr>
          <w:rFonts w:ascii="Times New Roman" w:hAnsi="Times New Roman"/>
          <w:b/>
          <w:color w:val="000000"/>
          <w:sz w:val="24"/>
          <w:szCs w:val="24"/>
        </w:rPr>
        <w:t>Subcriterio 4.1. Relación entre el precio de venta del fabricante o importador para las piezas y para los equipos</w:t>
      </w:r>
    </w:p>
    <w:p w:rsidR="00A920F2" w:rsidRDefault="00515C32" w:rsidP="00591C74">
      <w:pPr>
        <w:keepNext/>
        <w:keepLines/>
        <w:suppressAutoHyphens w:val="0"/>
        <w:spacing w:after="0" w:line="240" w:lineRule="auto"/>
        <w:jc w:val="both"/>
      </w:pPr>
      <w:r>
        <w:rPr>
          <w:rFonts w:ascii="Times New Roman" w:hAnsi="Times New Roman"/>
          <w:color w:val="000000"/>
          <w:sz w:val="24"/>
          <w:szCs w:val="24"/>
        </w:rPr>
        <w:t>El criterio se establece al establecer la relación:</w:t>
      </w:r>
    </w:p>
    <w:p w:rsidR="00591C74" w:rsidRDefault="00515C32" w:rsidP="00591C74">
      <w:pPr>
        <w:suppressAutoHyphens w:val="0"/>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entre, por un lado, el precio de la pieza más cara de la lista 2 impuestos excluidos + (promedio de los precios de las otras piezas de la lista 2 impuestos excluidos)/2 y,</w:t>
      </w:r>
    </w:p>
    <w:p w:rsidR="00A920F2" w:rsidRDefault="00515C32" w:rsidP="00591C74">
      <w:pPr>
        <w:suppressAutoHyphens w:val="0"/>
        <w:spacing w:after="0" w:line="240" w:lineRule="auto"/>
        <w:jc w:val="both"/>
      </w:pPr>
      <w:r>
        <w:rPr>
          <w:rFonts w:ascii="Times New Roman" w:hAnsi="Times New Roman"/>
          <w:color w:val="000000"/>
          <w:sz w:val="24"/>
          <w:szCs w:val="24"/>
        </w:rPr>
        <w:t xml:space="preserve">por otro, el precio impuestos excluidos del modelo del equipo en cuestión, donde cada precio se entiende como el precio impuestos excluidos de la lista de precios vigente en el momento del cálculo del índice y que figura en las condiciones generales de venta del fabricante o del importador o, en su defecto, en cualquier documento contractual relevante. </w:t>
      </w:r>
    </w:p>
    <w:p w:rsidR="00A920F2" w:rsidRDefault="00A920F2" w:rsidP="00591C74">
      <w:pPr>
        <w:suppressAutoHyphens w:val="0"/>
        <w:spacing w:after="0" w:line="240" w:lineRule="auto"/>
        <w:jc w:val="both"/>
        <w:rPr>
          <w:rFonts w:ascii="Times New Roman" w:hAnsi="Times New Roman" w:cs="Times New Roman"/>
          <w:color w:val="000000"/>
          <w:sz w:val="24"/>
          <w:szCs w:val="24"/>
        </w:rPr>
      </w:pPr>
    </w:p>
    <w:p w:rsidR="00A920F2" w:rsidRDefault="00515C32" w:rsidP="00591C74">
      <w:pPr>
        <w:suppressAutoHyphens w:val="0"/>
        <w:spacing w:after="0" w:line="240" w:lineRule="auto"/>
        <w:jc w:val="both"/>
      </w:pPr>
      <w:r>
        <w:rPr>
          <w:rFonts w:ascii="Times New Roman" w:hAnsi="Times New Roman"/>
          <w:color w:val="000000"/>
          <w:sz w:val="24"/>
          <w:szCs w:val="24"/>
        </w:rPr>
        <w:t xml:space="preserve">En el caso de que un fabricante o importador tenga, para las piezas o equipos considerados, varias listas de precios según las diferentes categorías de clientes distribuidores o vendedores, los precios utilizados para el cálculo del índice serán los de la lista que haya representado la mayor parte de la facturación del fabricante o del importador por el tipo de piezas o el tipo de equipo en cuestión, durante el último ejercicio económico cerrado. </w:t>
      </w:r>
    </w:p>
    <w:p w:rsidR="00A920F2" w:rsidRDefault="00A920F2" w:rsidP="00591C74">
      <w:pPr>
        <w:suppressAutoHyphens w:val="0"/>
        <w:spacing w:after="0" w:line="240" w:lineRule="auto"/>
        <w:jc w:val="both"/>
        <w:rPr>
          <w:rFonts w:ascii="Times New Roman" w:hAnsi="Times New Roman" w:cs="Times New Roman"/>
          <w:color w:val="000000"/>
          <w:sz w:val="24"/>
          <w:szCs w:val="24"/>
        </w:rPr>
      </w:pPr>
    </w:p>
    <w:p w:rsidR="00A920F2" w:rsidRDefault="00515C32" w:rsidP="00591C74">
      <w:pPr>
        <w:suppressAutoHyphens w:val="0"/>
        <w:spacing w:after="0" w:line="240" w:lineRule="auto"/>
        <w:jc w:val="both"/>
      </w:pPr>
      <w:r>
        <w:rPr>
          <w:rFonts w:ascii="Times New Roman" w:hAnsi="Times New Roman"/>
          <w:color w:val="000000"/>
          <w:sz w:val="24"/>
          <w:szCs w:val="24"/>
        </w:rPr>
        <w:t>En el caso de que algunas de estas piezas sean inseparables o en el caso de que la pieza en cuestión esté integrada en un módulo, que sea el único disponible, el precio que se tendrá en cuenta será el precio acumulativo de las piezas o el precio del módulo.</w:t>
      </w:r>
    </w:p>
    <w:p w:rsidR="00A920F2" w:rsidRDefault="00A920F2" w:rsidP="00591C74">
      <w:pPr>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rFonts w:ascii="Times New Roman" w:hAnsi="Times New Roman"/>
          <w:b/>
          <w:color w:val="000000"/>
          <w:sz w:val="24"/>
          <w:szCs w:val="24"/>
        </w:rPr>
        <w:t>Criterio n.º 5. Criterio específico de la categoría de equipo en cuestión:</w:t>
      </w:r>
    </w:p>
    <w:p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suppressAutoHyphens w:val="0"/>
        <w:spacing w:after="0" w:line="240" w:lineRule="auto"/>
        <w:jc w:val="both"/>
      </w:pPr>
      <w:r>
        <w:rPr>
          <w:rFonts w:ascii="Times New Roman" w:hAnsi="Times New Roman"/>
          <w:color w:val="000000"/>
          <w:sz w:val="24"/>
          <w:szCs w:val="24"/>
        </w:rPr>
        <w:t>Este criterio está compuesto por uno o más subcriterios, específicos de la categoría del equipo en cuestión. Cuando esto es relevante para la categoría de equipo en cuestión, el criterio específico n.º 5 de la categoría incluirá un subcriterio relacionado con la presencia de un medidor de uso visible para el consumidor, cuyo coeficiente será al menos 1.</w:t>
      </w:r>
    </w:p>
    <w:p w:rsidR="00A920F2" w:rsidRDefault="00A920F2" w:rsidP="00591C74">
      <w:pPr>
        <w:pStyle w:val="SNSignatureGauche"/>
        <w:spacing w:before="0" w:after="0" w:line="240" w:lineRule="auto"/>
        <w:ind w:left="0" w:right="0" w:firstLine="0"/>
        <w:jc w:val="left"/>
        <w:rPr>
          <w:rFonts w:ascii="Times New Roman" w:hAnsi="Times New Roman"/>
          <w:b/>
          <w:color w:val="000000"/>
        </w:rPr>
      </w:pPr>
    </w:p>
    <w:p w:rsidR="00A920F2" w:rsidRDefault="00515C32" w:rsidP="00591C74">
      <w:pPr>
        <w:pStyle w:val="SNSignatureGauche"/>
        <w:keepNext/>
        <w:keepLines/>
        <w:spacing w:before="0" w:after="0" w:line="240" w:lineRule="auto"/>
        <w:ind w:left="0" w:right="0" w:firstLine="0"/>
        <w:jc w:val="left"/>
      </w:pPr>
      <w:r>
        <w:rPr>
          <w:rFonts w:ascii="Times New Roman" w:hAnsi="Times New Roman"/>
          <w:b/>
          <w:color w:val="000000"/>
        </w:rPr>
        <w:t>Artículo 6. Definiciones utilizadas</w:t>
      </w:r>
    </w:p>
    <w:p w:rsidR="00A920F2" w:rsidRDefault="00A920F2" w:rsidP="00591C74">
      <w:pPr>
        <w:pStyle w:val="SNSignatureGauche"/>
        <w:keepNext/>
        <w:keepLines/>
        <w:spacing w:before="0" w:after="0" w:line="240" w:lineRule="auto"/>
        <w:ind w:left="0" w:right="0" w:firstLine="0"/>
        <w:jc w:val="left"/>
        <w:rPr>
          <w:rFonts w:ascii="Times New Roman" w:hAnsi="Times New Roman"/>
          <w:b/>
          <w:color w:val="000000"/>
        </w:rPr>
      </w:pPr>
    </w:p>
    <w:p w:rsidR="00591C74" w:rsidRDefault="00515C32" w:rsidP="00591C74">
      <w:pPr>
        <w:pStyle w:val="SNSignatureGauche"/>
        <w:keepNext/>
        <w:keepLines/>
        <w:spacing w:before="0" w:after="0" w:line="240" w:lineRule="auto"/>
        <w:ind w:left="0" w:right="0" w:firstLine="0"/>
        <w:jc w:val="left"/>
        <w:rPr>
          <w:rFonts w:ascii="Times New Roman" w:hAnsi="Times New Roman"/>
          <w:b/>
          <w:color w:val="000000"/>
        </w:rPr>
      </w:pPr>
      <w:r>
        <w:rPr>
          <w:rFonts w:ascii="Times New Roman" w:hAnsi="Times New Roman"/>
          <w:b/>
          <w:color w:val="000000"/>
        </w:rPr>
        <w:t>Listas de piezas</w:t>
      </w:r>
    </w:p>
    <w:p w:rsidR="00591C74" w:rsidRDefault="00515C32" w:rsidP="002A489A">
      <w:pPr>
        <w:pStyle w:val="SNSignatureGauche"/>
        <w:keepNext/>
        <w:keepLines/>
        <w:spacing w:before="0" w:after="0" w:line="240" w:lineRule="auto"/>
        <w:ind w:left="0" w:right="0" w:firstLine="0"/>
        <w:jc w:val="both"/>
        <w:rPr>
          <w:rFonts w:ascii="Times New Roman" w:hAnsi="Times New Roman"/>
          <w:color w:val="000000"/>
        </w:rPr>
      </w:pPr>
      <w:r>
        <w:rPr>
          <w:rFonts w:ascii="Times New Roman" w:hAnsi="Times New Roman"/>
          <w:color w:val="000000"/>
        </w:rPr>
        <w:t>Se definen dos listas de piezas para cada categoría de equipos:</w:t>
      </w:r>
    </w:p>
    <w:p w:rsidR="00591C74" w:rsidRDefault="00515C32" w:rsidP="002A489A">
      <w:pPr>
        <w:pStyle w:val="SNSignatureGauche"/>
        <w:spacing w:before="0" w:after="0" w:line="240" w:lineRule="auto"/>
        <w:ind w:left="0" w:right="0" w:firstLine="0"/>
        <w:jc w:val="both"/>
        <w:rPr>
          <w:rFonts w:ascii="Times New Roman" w:hAnsi="Times New Roman"/>
          <w:color w:val="000000"/>
        </w:rPr>
      </w:pPr>
      <w:r>
        <w:rPr>
          <w:rFonts w:ascii="Times New Roman" w:hAnsi="Times New Roman"/>
          <w:color w:val="000000"/>
        </w:rPr>
        <w:t>- lista 2: lista de un máximo de tres a cinco piezas de repuesto (según la categoría del equipo en cuestión) cuya rotura o avería es la más frecuente,</w:t>
      </w:r>
    </w:p>
    <w:p w:rsidR="00A920F2" w:rsidRDefault="00BD3BED" w:rsidP="002A489A">
      <w:pPr>
        <w:pStyle w:val="SNSignatureGauche"/>
        <w:spacing w:before="0" w:after="0" w:line="240" w:lineRule="auto"/>
        <w:ind w:left="0" w:right="0" w:firstLine="0"/>
        <w:jc w:val="both"/>
        <w:rPr>
          <w:rFonts w:ascii="Times New Roman" w:hAnsi="Times New Roman"/>
          <w:color w:val="000000"/>
        </w:rPr>
      </w:pPr>
      <w:r>
        <w:rPr>
          <w:rFonts w:ascii="Times New Roman" w:hAnsi="Times New Roman"/>
          <w:color w:val="000000"/>
        </w:rPr>
        <w:t>- lista 1: lista de un máximo de otras diez piezas de repuesto (según la categoría del equipo en cuestión) cuyo buen estado es necesario para el funcionamiento del equipo.</w:t>
      </w:r>
    </w:p>
    <w:p w:rsidR="00591C74" w:rsidRDefault="00591C74" w:rsidP="00591C74">
      <w:pPr>
        <w:pStyle w:val="SNSignatureGauche"/>
        <w:spacing w:before="0" w:after="0" w:line="240" w:lineRule="auto"/>
        <w:ind w:left="0" w:right="0" w:firstLine="0"/>
        <w:jc w:val="left"/>
      </w:pPr>
    </w:p>
    <w:p w:rsidR="00A920F2" w:rsidRDefault="00515C32" w:rsidP="00591C74">
      <w:pPr>
        <w:pStyle w:val="SNSignatureGauche"/>
        <w:spacing w:before="0" w:after="0" w:line="240" w:lineRule="auto"/>
        <w:ind w:left="0" w:right="0" w:firstLine="0"/>
        <w:jc w:val="left"/>
      </w:pPr>
      <w:r>
        <w:rPr>
          <w:rFonts w:ascii="Times New Roman" w:hAnsi="Times New Roman"/>
          <w:color w:val="000000"/>
        </w:rPr>
        <w:t xml:space="preserve">Estas listas no cubren necesariamente todas las partes que componen el equipo. </w:t>
      </w:r>
    </w:p>
    <w:p w:rsidR="00591C74" w:rsidRDefault="00591C74" w:rsidP="00591C74">
      <w:pPr>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rFonts w:ascii="Times New Roman" w:hAnsi="Times New Roman"/>
          <w:b/>
          <w:color w:val="000000"/>
          <w:sz w:val="24"/>
          <w:szCs w:val="24"/>
        </w:rPr>
        <w:t>Definición de «paso»</w:t>
      </w:r>
    </w:p>
    <w:p w:rsidR="00A920F2" w:rsidRDefault="00515C32" w:rsidP="00591C74">
      <w:pPr>
        <w:suppressAutoHyphens w:val="0"/>
        <w:spacing w:after="0" w:line="240" w:lineRule="auto"/>
        <w:jc w:val="both"/>
      </w:pPr>
      <w:r>
        <w:rPr>
          <w:rFonts w:ascii="Times New Roman" w:hAnsi="Times New Roman"/>
          <w:color w:val="000000"/>
          <w:sz w:val="24"/>
          <w:szCs w:val="24"/>
        </w:rPr>
        <w:t>Un «paso» es una operación que se traduce en el desmontaje de un componente o de una pieza o en un cambio de herramienta. Un componente puede incluir una o más piezas.</w:t>
      </w:r>
    </w:p>
    <w:p w:rsidR="00A920F2" w:rsidRDefault="00A920F2" w:rsidP="00591C74">
      <w:pPr>
        <w:suppressAutoHyphens w:val="0"/>
        <w:spacing w:after="0" w:line="240" w:lineRule="auto"/>
        <w:jc w:val="both"/>
        <w:rPr>
          <w:rFonts w:ascii="Times New Roman" w:hAnsi="Times New Roman" w:cs="Times New Roman"/>
          <w:bCs/>
          <w:color w:val="000000"/>
          <w:sz w:val="24"/>
          <w:szCs w:val="24"/>
          <w:lang w:eastAsia="fr-FR"/>
        </w:rPr>
      </w:pPr>
    </w:p>
    <w:p w:rsidR="00A920F2" w:rsidRDefault="00515C32" w:rsidP="00591C74">
      <w:pPr>
        <w:suppressAutoHyphens w:val="0"/>
        <w:spacing w:after="0" w:line="240" w:lineRule="auto"/>
        <w:jc w:val="both"/>
      </w:pPr>
      <w:r>
        <w:rPr>
          <w:rFonts w:ascii="Times New Roman" w:hAnsi="Times New Roman"/>
          <w:bCs/>
          <w:color w:val="000000"/>
          <w:sz w:val="24"/>
          <w:szCs w:val="24"/>
        </w:rPr>
        <w:t>Esta definición general podrá permitir excepciones justificadas por consideraciones prácticas o de seguridad. Estas excepciones se especificarán mediante orden del Ministro de Medio Ambiente y del Ministro de Economía y Hacienda para cada categoría de equipo.</w:t>
      </w:r>
    </w:p>
    <w:p w:rsidR="00A920F2" w:rsidRDefault="00A920F2" w:rsidP="00591C74">
      <w:pPr>
        <w:suppressAutoHyphens w:val="0"/>
        <w:spacing w:after="0" w:line="240" w:lineRule="auto"/>
        <w:jc w:val="both"/>
        <w:rPr>
          <w:rFonts w:ascii="Times New Roman" w:hAnsi="Times New Roman" w:cs="Times New Roman"/>
          <w:bCs/>
          <w:color w:val="000000"/>
          <w:sz w:val="24"/>
          <w:szCs w:val="24"/>
        </w:rPr>
      </w:pPr>
    </w:p>
    <w:p w:rsidR="00A920F2" w:rsidRDefault="00515C32" w:rsidP="00591C74">
      <w:pPr>
        <w:suppressAutoHyphens w:val="0"/>
        <w:spacing w:after="0" w:line="240" w:lineRule="auto"/>
        <w:jc w:val="both"/>
      </w:pPr>
      <w:r>
        <w:rPr>
          <w:rFonts w:ascii="Times New Roman" w:hAnsi="Times New Roman"/>
          <w:bCs/>
          <w:color w:val="000000"/>
          <w:sz w:val="24"/>
          <w:szCs w:val="24"/>
        </w:rPr>
        <w:t>Las fijaciones o uniones se definen como técnicas de montaje, fijación o sellado. Los elementos de fijación o conexión no se considerarán piezas.</w:t>
      </w:r>
    </w:p>
    <w:p w:rsidR="00A920F2" w:rsidRDefault="00A920F2" w:rsidP="00591C74">
      <w:pPr>
        <w:suppressAutoHyphens w:val="0"/>
        <w:spacing w:after="0" w:line="240" w:lineRule="auto"/>
        <w:jc w:val="both"/>
        <w:rPr>
          <w:rFonts w:ascii="Times New Roman" w:hAnsi="Times New Roman" w:cs="Times New Roman"/>
          <w:bCs/>
          <w:color w:val="000000"/>
          <w:sz w:val="24"/>
          <w:szCs w:val="24"/>
        </w:rPr>
      </w:pPr>
    </w:p>
    <w:p w:rsidR="00A920F2" w:rsidRDefault="00515C32" w:rsidP="00591C74">
      <w:pPr>
        <w:keepNext/>
        <w:keepLines/>
        <w:suppressAutoHyphens w:val="0"/>
        <w:spacing w:after="0" w:line="240" w:lineRule="auto"/>
        <w:jc w:val="both"/>
      </w:pPr>
      <w:r>
        <w:rPr>
          <w:rFonts w:ascii="Times New Roman" w:hAnsi="Times New Roman"/>
          <w:b/>
          <w:color w:val="000000"/>
          <w:sz w:val="24"/>
          <w:szCs w:val="24"/>
        </w:rPr>
        <w:t>Tipos de fijaciones</w:t>
      </w:r>
    </w:p>
    <w:p w:rsidR="00A920F2" w:rsidRDefault="00515C32" w:rsidP="00591C74">
      <w:pPr>
        <w:suppressAutoHyphens w:val="0"/>
        <w:spacing w:after="0" w:line="240" w:lineRule="auto"/>
        <w:jc w:val="both"/>
      </w:pPr>
      <w:r>
        <w:rPr>
          <w:rFonts w:ascii="Times New Roman" w:hAnsi="Times New Roman"/>
          <w:color w:val="000000"/>
          <w:sz w:val="24"/>
          <w:szCs w:val="24"/>
        </w:rPr>
        <w:t>Extraíble y reutilizable: un sistema de fijación original que se puede quitar por completo sin dañar el equipo ni dejar residuos y que puede reutilizarse.</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rFonts w:ascii="Times New Roman" w:hAnsi="Times New Roman"/>
          <w:color w:val="000000"/>
          <w:sz w:val="24"/>
          <w:szCs w:val="24"/>
        </w:rPr>
        <w:t>Extraíble y no reutilizable: un sistema de fijación original que se puede quitar por completo sin causar daños ni dejar residuos, pero que no se puede reutilizar.</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rFonts w:ascii="Times New Roman" w:hAnsi="Times New Roman"/>
          <w:color w:val="000000"/>
          <w:sz w:val="24"/>
          <w:szCs w:val="24"/>
        </w:rPr>
        <w:t>Ni extraíble ni reutilizable: un sistema de fijación original que no se puede quitar por completo sin dañar el equipo o dejar residuos y que no se puede reutilizar.</w:t>
      </w:r>
    </w:p>
    <w:p w:rsidR="00A920F2" w:rsidRDefault="00A920F2" w:rsidP="00591C74">
      <w:pPr>
        <w:suppressAutoHyphens w:val="0"/>
        <w:spacing w:after="0" w:line="240" w:lineRule="auto"/>
        <w:jc w:val="both"/>
        <w:rPr>
          <w:rFonts w:ascii="Times New Roman" w:hAnsi="Times New Roman" w:cs="Times New Roman"/>
          <w:bCs/>
          <w:color w:val="000000"/>
          <w:sz w:val="24"/>
          <w:szCs w:val="24"/>
          <w:lang w:eastAsia="fr-FR"/>
        </w:rPr>
      </w:pPr>
    </w:p>
    <w:p w:rsidR="00A920F2" w:rsidRDefault="00515C32" w:rsidP="00591C74">
      <w:pPr>
        <w:keepNext/>
        <w:keepLines/>
        <w:suppressAutoHyphens w:val="0"/>
        <w:spacing w:after="0" w:line="240" w:lineRule="auto"/>
        <w:jc w:val="both"/>
      </w:pPr>
      <w:r>
        <w:rPr>
          <w:rFonts w:ascii="Times New Roman" w:hAnsi="Times New Roman"/>
          <w:b/>
          <w:color w:val="000000"/>
          <w:sz w:val="24"/>
          <w:szCs w:val="24"/>
        </w:rPr>
        <w:t>Tipos de herramientas</w:t>
      </w:r>
    </w:p>
    <w:p w:rsidR="00A920F2" w:rsidRDefault="00515C32" w:rsidP="00591C74">
      <w:pPr>
        <w:suppressAutoHyphens w:val="0"/>
        <w:spacing w:after="0" w:line="240" w:lineRule="auto"/>
        <w:jc w:val="both"/>
      </w:pPr>
      <w:r>
        <w:rPr>
          <w:rFonts w:ascii="Times New Roman" w:hAnsi="Times New Roman"/>
          <w:color w:val="000000"/>
          <w:sz w:val="24"/>
          <w:szCs w:val="24"/>
        </w:rPr>
        <w:t>La lista de herramientas comunes está compuesta por la siguiente lista correspondiente a las normas de referencia:</w:t>
      </w:r>
    </w:p>
    <w:p w:rsidR="00A920F2" w:rsidRPr="008A038E" w:rsidRDefault="00A920F2" w:rsidP="00591C74">
      <w:pPr>
        <w:pStyle w:val="Tabletitle"/>
        <w:keepNext w:val="0"/>
        <w:spacing w:before="0" w:after="0" w:line="240" w:lineRule="auto"/>
        <w:jc w:val="left"/>
        <w:rPr>
          <w:rFonts w:ascii="Times New Roman" w:hAnsi="Times New Roman"/>
          <w:color w:val="000000"/>
          <w:sz w:val="24"/>
          <w:lang w:eastAsia="fr-FR"/>
        </w:rPr>
      </w:pPr>
    </w:p>
    <w:tbl>
      <w:tblPr>
        <w:tblW w:w="5000" w:type="pct"/>
        <w:tblLayout w:type="fixed"/>
        <w:tblCellMar>
          <w:left w:w="43" w:type="dxa"/>
          <w:right w:w="43" w:type="dxa"/>
        </w:tblCellMar>
        <w:tblLook w:val="0000" w:firstRow="0" w:lastRow="0" w:firstColumn="0" w:lastColumn="0" w:noHBand="0" w:noVBand="0"/>
      </w:tblPr>
      <w:tblGrid>
        <w:gridCol w:w="4828"/>
        <w:gridCol w:w="4898"/>
      </w:tblGrid>
      <w:tr w:rsidR="00A920F2" w:rsidRPr="009451F9" w:rsidTr="00591C74">
        <w:trPr>
          <w:tblHeader/>
        </w:trPr>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header"/>
              <w:keepNext/>
              <w:keepLines/>
              <w:spacing w:before="0" w:after="0" w:line="240" w:lineRule="auto"/>
              <w:jc w:val="center"/>
              <w:rPr>
                <w:rFonts w:ascii="Times New Roman" w:hAnsi="Times New Roman"/>
                <w:b/>
                <w:color w:val="000000"/>
                <w:sz w:val="24"/>
                <w:szCs w:val="24"/>
              </w:rPr>
            </w:pPr>
            <w:r>
              <w:rPr>
                <w:rFonts w:ascii="Times New Roman" w:hAnsi="Times New Roman"/>
                <w:b/>
                <w:color w:val="000000"/>
                <w:sz w:val="24"/>
                <w:szCs w:val="24"/>
              </w:rPr>
              <w:t>Herramientas comunes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header"/>
              <w:keepNext/>
              <w:keepLines/>
              <w:spacing w:before="0" w:after="0" w:line="240" w:lineRule="auto"/>
              <w:jc w:val="center"/>
              <w:rPr>
                <w:rFonts w:ascii="Times New Roman" w:hAnsi="Times New Roman"/>
                <w:b/>
                <w:color w:val="000000"/>
                <w:sz w:val="24"/>
                <w:szCs w:val="24"/>
              </w:rPr>
            </w:pPr>
            <w:r>
              <w:rPr>
                <w:rFonts w:ascii="Times New Roman" w:hAnsi="Times New Roman"/>
                <w:b/>
                <w:color w:val="000000"/>
                <w:sz w:val="24"/>
                <w:szCs w:val="24"/>
              </w:rPr>
              <w:t>Referencia</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Destornilladores para tornillos de cabeza ranurada, con muesca cruciforme y de hueco hexalobular interno</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rFonts w:ascii="Times New Roman" w:hAnsi="Times New Roman"/>
                <w:color w:val="000000"/>
                <w:sz w:val="24"/>
                <w:szCs w:val="24"/>
              </w:rPr>
            </w:pPr>
            <w:r>
              <w:rPr>
                <w:rFonts w:ascii="Times New Roman" w:hAnsi="Times New Roman"/>
                <w:color w:val="000000"/>
                <w:sz w:val="24"/>
                <w:szCs w:val="24"/>
              </w:rPr>
              <w:t>ISO 2380, ISO 8764, ISO 10664</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Llave para tornillos de cabeza hueca hexagonal</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rFonts w:ascii="Times New Roman" w:hAnsi="Times New Roman"/>
                <w:color w:val="000000"/>
                <w:sz w:val="24"/>
                <w:szCs w:val="24"/>
              </w:rPr>
            </w:pPr>
            <w:r>
              <w:rPr>
                <w:rFonts w:ascii="Times New Roman" w:hAnsi="Times New Roman"/>
                <w:color w:val="000000"/>
                <w:sz w:val="24"/>
                <w:szCs w:val="24"/>
              </w:rPr>
              <w:t>ISO 2936</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Llave combinada</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rFonts w:ascii="Times New Roman" w:hAnsi="Times New Roman"/>
                <w:color w:val="000000"/>
                <w:sz w:val="24"/>
                <w:szCs w:val="24"/>
              </w:rPr>
            </w:pPr>
            <w:r>
              <w:rPr>
                <w:rFonts w:ascii="Times New Roman" w:hAnsi="Times New Roman"/>
                <w:color w:val="000000"/>
                <w:sz w:val="24"/>
                <w:szCs w:val="24"/>
              </w:rPr>
              <w:t>ISO 7738</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Alicates universales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rFonts w:ascii="Times New Roman" w:hAnsi="Times New Roman"/>
                <w:color w:val="000000"/>
                <w:sz w:val="24"/>
                <w:szCs w:val="24"/>
              </w:rPr>
            </w:pPr>
            <w:r>
              <w:rPr>
                <w:rFonts w:ascii="Times New Roman" w:hAnsi="Times New Roman"/>
                <w:color w:val="000000"/>
                <w:sz w:val="24"/>
                <w:szCs w:val="24"/>
              </w:rPr>
              <w:t>ISO 5746</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Alicates de punta redonda</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rFonts w:ascii="Times New Roman" w:hAnsi="Times New Roman"/>
                <w:color w:val="000000"/>
                <w:sz w:val="24"/>
                <w:szCs w:val="24"/>
              </w:rPr>
            </w:pPr>
            <w:r>
              <w:rPr>
                <w:rFonts w:ascii="Times New Roman" w:hAnsi="Times New Roman"/>
                <w:color w:val="000000"/>
                <w:sz w:val="24"/>
                <w:szCs w:val="24"/>
              </w:rPr>
              <w:t>ISO 5745</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Alicates de corte diagonal</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rFonts w:ascii="Times New Roman" w:hAnsi="Times New Roman"/>
                <w:color w:val="000000"/>
                <w:sz w:val="24"/>
                <w:szCs w:val="24"/>
              </w:rPr>
            </w:pPr>
            <w:r>
              <w:rPr>
                <w:rFonts w:ascii="Times New Roman" w:hAnsi="Times New Roman"/>
                <w:color w:val="000000"/>
                <w:sz w:val="24"/>
                <w:szCs w:val="24"/>
              </w:rPr>
              <w:t>ISO 5749</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Tenazas de abertura múltiple</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rFonts w:ascii="Times New Roman" w:hAnsi="Times New Roman"/>
                <w:color w:val="000000"/>
                <w:sz w:val="24"/>
                <w:szCs w:val="24"/>
              </w:rPr>
            </w:pPr>
            <w:r>
              <w:rPr>
                <w:rFonts w:ascii="Times New Roman" w:hAnsi="Times New Roman"/>
                <w:color w:val="000000"/>
                <w:sz w:val="24"/>
                <w:szCs w:val="24"/>
              </w:rPr>
              <w:t>ISO 8976</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Alicates de bloqueo</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Alicates universales para decapar y engastar terminales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Palanca</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Tenazas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Martillo (cabeza metálica)</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rFonts w:ascii="Times New Roman" w:hAnsi="Times New Roman"/>
                <w:color w:val="000000"/>
                <w:sz w:val="24"/>
                <w:szCs w:val="24"/>
              </w:rPr>
            </w:pPr>
            <w:r>
              <w:rPr>
                <w:rFonts w:ascii="Times New Roman" w:hAnsi="Times New Roman"/>
                <w:color w:val="000000"/>
                <w:sz w:val="24"/>
                <w:szCs w:val="24"/>
              </w:rPr>
              <w:t>ISO 15601</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Cuchillo universal (cortador) con hoja retráctil</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Multímetro</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Voltímetro (probador de voltaje)</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Soldador</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Pistola de pegamento</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Lupa</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bl>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rFonts w:ascii="Times New Roman" w:hAnsi="Times New Roman"/>
          <w:color w:val="000000"/>
          <w:sz w:val="24"/>
          <w:szCs w:val="24"/>
        </w:rPr>
        <w:t>Las «herramientas específicas» son herramientas que no figuran en la lista de herramientas comunes, sin ser herramientas propietarias.</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rFonts w:ascii="Times New Roman" w:hAnsi="Times New Roman"/>
          <w:color w:val="000000"/>
          <w:sz w:val="24"/>
          <w:szCs w:val="24"/>
        </w:rPr>
        <w:t>Las «herramientas propietarias» son herramientas cuya propiedad intelectual es propiedad del productor o de un agente específico.</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jc w:val="both"/>
      </w:pPr>
      <w:r>
        <w:rPr>
          <w:rFonts w:ascii="Times New Roman" w:hAnsi="Times New Roman"/>
          <w:b/>
          <w:color w:val="000000"/>
          <w:sz w:val="24"/>
          <w:szCs w:val="24"/>
        </w:rPr>
        <w:t>Medidor de uso</w:t>
      </w:r>
    </w:p>
    <w:p w:rsidR="00A920F2" w:rsidRDefault="00515C32" w:rsidP="00591C74">
      <w:pPr>
        <w:suppressAutoHyphens w:val="0"/>
        <w:spacing w:after="0" w:line="240" w:lineRule="auto"/>
        <w:jc w:val="both"/>
      </w:pPr>
      <w:r>
        <w:rPr>
          <w:rFonts w:ascii="Times New Roman" w:hAnsi="Times New Roman"/>
          <w:color w:val="000000"/>
          <w:sz w:val="24"/>
          <w:szCs w:val="24"/>
        </w:rPr>
        <w:t>Dispositivo que registra de manera acumulativa el uso del equipo en número de unidades. El medidor de uso podrá estar directamente a la vista del consumidor cada vez que se inicie el dispositivo o bien será necesaria una operación voluntaria por parte del usuario para conocer el valor que muestra.</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A920F2" w:rsidP="00591C74">
      <w:pPr>
        <w:spacing w:after="0" w:line="240" w:lineRule="auto"/>
        <w:rPr>
          <w:rFonts w:ascii="Times New Roman" w:hAnsi="Times New Roman" w:cs="Times New Roman"/>
          <w:color w:val="000000"/>
          <w:sz w:val="24"/>
          <w:szCs w:val="24"/>
          <w:lang w:eastAsia="fr-FR"/>
        </w:rPr>
      </w:pPr>
    </w:p>
    <w:p w:rsidR="00591C74" w:rsidRDefault="00591C74" w:rsidP="00591C74">
      <w:pPr>
        <w:spacing w:after="0" w:line="240" w:lineRule="auto"/>
        <w:rPr>
          <w:rFonts w:ascii="Times New Roman" w:hAnsi="Times New Roman" w:cs="Times New Roman"/>
          <w:color w:val="000000"/>
          <w:sz w:val="24"/>
          <w:szCs w:val="24"/>
          <w:lang w:eastAsia="fr-FR"/>
        </w:rPr>
      </w:pPr>
    </w:p>
    <w:p w:rsidR="00A920F2" w:rsidRPr="00247F97" w:rsidRDefault="00515C32" w:rsidP="00845239">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La Ministra de la Transición Ecológica,</w:t>
      </w:r>
    </w:p>
    <w:p w:rsidR="00A920F2" w:rsidRPr="00247F97" w:rsidRDefault="00A920F2" w:rsidP="00845239">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0C5560">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Por la Ministra y por delegación, el Comisionado General para el Desarrollo Sostenible,</w:t>
      </w:r>
    </w:p>
    <w:p w:rsidR="00BD3BED" w:rsidRDefault="00BD3BED" w:rsidP="000C5560">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845239">
      <w:pPr>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T. Lesueur</w:t>
      </w:r>
    </w:p>
    <w:p w:rsidR="00BD3BED" w:rsidRDefault="00BD3BED" w:rsidP="00845239">
      <w:pPr>
        <w:autoSpaceDE w:val="0"/>
        <w:spacing w:after="0" w:line="240" w:lineRule="auto"/>
        <w:rPr>
          <w:rFonts w:ascii="Times New Roman" w:hAnsi="Times New Roman" w:cs="Times New Roman"/>
          <w:color w:val="000000"/>
          <w:sz w:val="24"/>
          <w:szCs w:val="24"/>
        </w:rPr>
      </w:pPr>
    </w:p>
    <w:p w:rsidR="00BD3BED" w:rsidRDefault="00BD3BED" w:rsidP="00845239">
      <w:pPr>
        <w:autoSpaceDE w:val="0"/>
        <w:spacing w:after="0" w:line="240" w:lineRule="auto"/>
        <w:rPr>
          <w:rFonts w:ascii="Times New Roman" w:hAnsi="Times New Roman" w:cs="Times New Roman"/>
          <w:color w:val="000000"/>
          <w:sz w:val="24"/>
          <w:szCs w:val="24"/>
        </w:rPr>
      </w:pPr>
    </w:p>
    <w:p w:rsidR="00BD3BED" w:rsidRDefault="00BD3BED" w:rsidP="00845239">
      <w:pPr>
        <w:autoSpaceDE w:val="0"/>
        <w:spacing w:after="0" w:line="240" w:lineRule="auto"/>
        <w:rPr>
          <w:rFonts w:ascii="Times New Roman" w:hAnsi="Times New Roman" w:cs="Times New Roman"/>
          <w:color w:val="000000"/>
          <w:sz w:val="24"/>
          <w:szCs w:val="24"/>
        </w:rPr>
      </w:pPr>
    </w:p>
    <w:p w:rsidR="00A920F2" w:rsidRPr="00247F97" w:rsidRDefault="00515C32" w:rsidP="00845239">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El Ministro de Economía y Hacienda,</w:t>
      </w:r>
    </w:p>
    <w:p w:rsidR="00A920F2" w:rsidRPr="00247F97" w:rsidRDefault="00A920F2" w:rsidP="00845239">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0C5560">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En nombre del Ministro y por delegación, la Directora General de Competencia, Consumo y Represión del Fraude</w:t>
      </w:r>
    </w:p>
    <w:p w:rsidR="00BD3BED" w:rsidRDefault="00BD3BED" w:rsidP="000C5560">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845239">
      <w:pPr>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V. Beaumeunier</w:t>
      </w:r>
    </w:p>
    <w:sectPr w:rsidR="00A920F2" w:rsidRPr="00247F97">
      <w:pgSz w:w="11906" w:h="16838"/>
      <w:pgMar w:top="1416" w:right="1133" w:bottom="1133" w:left="1133" w:header="113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306" w:rsidRDefault="00C93306">
      <w:pPr>
        <w:spacing w:after="0" w:line="240" w:lineRule="auto"/>
      </w:pPr>
      <w:r>
        <w:separator/>
      </w:r>
    </w:p>
  </w:endnote>
  <w:endnote w:type="continuationSeparator" w:id="0">
    <w:p w:rsidR="00C93306" w:rsidRDefault="00C9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LT Std">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306" w:rsidRDefault="00C93306">
      <w:pPr>
        <w:spacing w:after="0" w:line="240" w:lineRule="auto"/>
      </w:pPr>
      <w:r>
        <w:separator/>
      </w:r>
    </w:p>
  </w:footnote>
  <w:footnote w:type="continuationSeparator" w:id="0">
    <w:p w:rsidR="00C93306" w:rsidRDefault="00C93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C32"/>
    <w:rsid w:val="000C5560"/>
    <w:rsid w:val="00247F97"/>
    <w:rsid w:val="002A489A"/>
    <w:rsid w:val="00515C32"/>
    <w:rsid w:val="00591C74"/>
    <w:rsid w:val="00596751"/>
    <w:rsid w:val="006039E8"/>
    <w:rsid w:val="00801F0A"/>
    <w:rsid w:val="00845239"/>
    <w:rsid w:val="00882C27"/>
    <w:rsid w:val="00886F51"/>
    <w:rsid w:val="008A038E"/>
    <w:rsid w:val="00924F06"/>
    <w:rsid w:val="009451F9"/>
    <w:rsid w:val="009A7F5C"/>
    <w:rsid w:val="00A920F2"/>
    <w:rsid w:val="00BD3BED"/>
    <w:rsid w:val="00C933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chartTrackingRefBased/>
  <w15:docId w15:val="{6E3F2D20-FD34-434E-B052-5EB6BBDA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Calibri" w:hAnsi="Calibri" w:cs="Calibri"/>
      <w:kern w:val="2"/>
      <w:sz w:val="22"/>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sz w:val="20"/>
      <w:szCs w:val="20"/>
      <w:lang w:eastAsia="fr-FR"/>
    </w:rPr>
  </w:style>
  <w:style w:type="character" w:customStyle="1" w:styleId="WW8Num4z0">
    <w:name w:val="WW8Num4z0"/>
    <w:rPr>
      <w:rFonts w:ascii="Times New Roman" w:hAnsi="Times New Roman" w:cs="Times New Roman" w:hint="default"/>
      <w:sz w:val="20"/>
      <w:szCs w:val="2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hAnsi="Times New Roman" w:cs="Times New Roman" w:hint="default"/>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Policepardfaut">
    <w:name w:val="Police par défaut"/>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3">
    <w:name w:val="Police par défaut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Policepardfaut2">
    <w:name w:val="Police par défaut2"/>
  </w:style>
  <w:style w:type="character" w:customStyle="1" w:styleId="WW8Num10z0">
    <w:name w:val="WW8Num10z0"/>
    <w:rPr>
      <w:rFonts w:hint="default"/>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Policepardfaut1">
    <w:name w:val="Police par défaut1"/>
  </w:style>
  <w:style w:type="character" w:customStyle="1" w:styleId="En-tteCar">
    <w:name w:val="En-tête Car"/>
    <w:rPr>
      <w:rFonts w:eastAsia="Calibri"/>
    </w:rPr>
  </w:style>
  <w:style w:type="character" w:customStyle="1" w:styleId="PieddepageCar">
    <w:name w:val="Pied de page Car"/>
    <w:rPr>
      <w:rFonts w:eastAsia="Calibri"/>
    </w:rPr>
  </w:style>
  <w:style w:type="character" w:customStyle="1" w:styleId="TextedebullesCar">
    <w:name w:val="Texte de bulles Car"/>
    <w:rPr>
      <w:rFonts w:ascii="Segoe UI" w:eastAsia="Calibr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hAnsi="Times New Roman" w:cs="Times New Roman"/>
      <w:sz w:val="20"/>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sz w:val="20"/>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hAnsi="Times New Roman" w:cs="Times New Roman"/>
      <w:sz w:val="20"/>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hAnsi="Times New Roman" w:cs="Times New Roman"/>
      <w:sz w:val="20"/>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hAnsi="Times New Roman" w:cs="Times New Roman"/>
      <w:sz w:val="20"/>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hAnsi="Times New Roman" w:cs="Times New Roman"/>
      <w:sz w:val="20"/>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hAnsi="Times New Roman" w:cs="Times New Roman"/>
      <w:sz w:val="20"/>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hAnsi="Times New Roman" w:cs="Times New Roman"/>
      <w:sz w:val="20"/>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CorpsdetexteCar">
    <w:name w:val="Corps de texte Car"/>
    <w:rPr>
      <w:rFonts w:ascii="Calibri" w:eastAsia="Times New Roman" w:hAnsi="Calibri" w:cs="Calibri"/>
      <w:lang w:eastAsia="zh-CN"/>
    </w:rPr>
  </w:style>
  <w:style w:type="character" w:customStyle="1" w:styleId="En-tteCar1">
    <w:name w:val="En-tête Car1"/>
    <w:rPr>
      <w:rFonts w:ascii="Calibri" w:eastAsia="Calibri" w:hAnsi="Calibri" w:cs="Calibri"/>
      <w:lang w:eastAsia="zh-CN"/>
    </w:rPr>
  </w:style>
  <w:style w:type="character" w:customStyle="1" w:styleId="PieddepageCar1">
    <w:name w:val="Pied de page Car1"/>
    <w:rPr>
      <w:rFonts w:ascii="Calibri" w:eastAsia="Calibri" w:hAnsi="Calibri" w:cs="Calibri"/>
      <w:lang w:eastAsia="zh-CN"/>
    </w:rPr>
  </w:style>
  <w:style w:type="character" w:customStyle="1" w:styleId="TextedebullesCar1">
    <w:name w:val="Texte de bulles Car1"/>
    <w:rPr>
      <w:rFonts w:ascii="Segoe UI" w:eastAsia="Calibri" w:hAnsi="Segoe UI" w:cs="Segoe UI"/>
      <w:sz w:val="18"/>
      <w:szCs w:val="18"/>
      <w:lang w:eastAsia="zh-CN"/>
    </w:rPr>
  </w:style>
  <w:style w:type="character" w:customStyle="1" w:styleId="ListLabel100">
    <w:name w:val="ListLabel 100"/>
    <w:rPr>
      <w:rFonts w:cs="Times New Roman"/>
      <w:sz w:val="20"/>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rFonts w:cs="Times New Roman"/>
      <w:sz w:val="20"/>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Puces">
    <w:name w:val="Puces"/>
    <w:rPr>
      <w:rFonts w:ascii="OpenSymbol" w:eastAsia="OpenSymbol" w:hAnsi="OpenSymbol" w:cs="OpenSymbol"/>
    </w:rPr>
  </w:style>
  <w:style w:type="character" w:styleId="Strong">
    <w:name w:val="Strong"/>
    <w:qFormat/>
    <w:rPr>
      <w:b/>
      <w:bCs/>
    </w:rPr>
  </w:style>
  <w:style w:type="character" w:customStyle="1" w:styleId="PrformatHTMLCar">
    <w:name w:val="Préformaté HTML Car"/>
    <w:rPr>
      <w:rFonts w:ascii="Courier New" w:eastAsia="Times New Roman" w:hAnsi="Courier New" w:cs="Courier New"/>
      <w:sz w:val="20"/>
      <w:szCs w:val="20"/>
    </w:rPr>
  </w:style>
  <w:style w:type="character" w:customStyle="1" w:styleId="CarCar">
    <w:name w:val="Car Car"/>
    <w:rPr>
      <w:sz w:val="24"/>
      <w:szCs w:val="24"/>
    </w:rPr>
  </w:style>
  <w:style w:type="character" w:customStyle="1" w:styleId="TabletitleChar">
    <w:name w:val="Table title Char"/>
    <w:rPr>
      <w:rFonts w:ascii="Arial" w:eastAsia="Calibri" w:hAnsi="Arial" w:cs="Arial"/>
      <w:b/>
      <w:szCs w:val="24"/>
      <w:lang w:val="es-ES"/>
    </w:rPr>
  </w:style>
  <w:style w:type="character" w:customStyle="1" w:styleId="TablebodyChar">
    <w:name w:val="Table body Char"/>
    <w:rPr>
      <w:rFonts w:ascii="Arial" w:eastAsia="Calibri" w:hAnsi="Arial" w:cs="Arial"/>
      <w:szCs w:val="22"/>
      <w:lang w:val="es-ES"/>
    </w:rPr>
  </w:style>
  <w:style w:type="character" w:customStyle="1" w:styleId="TableheaderChar">
    <w:name w:val="Table header Char"/>
    <w:rPr>
      <w:rFonts w:ascii="Arial" w:eastAsia="Calibri" w:hAnsi="Arial" w:cs="Arial"/>
      <w:szCs w:val="22"/>
      <w:lang w:val="es-ES"/>
    </w:rPr>
  </w:style>
  <w:style w:type="paragraph" w:customStyle="1" w:styleId="Titre">
    <w:name w:val="Titre"/>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Titre3">
    <w:name w:val="Titre3"/>
    <w:basedOn w:val="Normal"/>
    <w:next w:val="BodyText"/>
    <w:pPr>
      <w:keepNext/>
      <w:spacing w:before="240" w:after="120"/>
    </w:pPr>
    <w:rPr>
      <w:rFonts w:ascii="Liberation Sans" w:eastAsia="Microsoft YaHei" w:hAnsi="Liberation Sans" w:cs="Lucida Sans"/>
      <w:sz w:val="28"/>
      <w:szCs w:val="28"/>
    </w:rPr>
  </w:style>
  <w:style w:type="paragraph" w:customStyle="1" w:styleId="Titre2">
    <w:name w:val="Titre2"/>
    <w:basedOn w:val="Normal"/>
    <w:next w:val="BodyText"/>
    <w:pPr>
      <w:keepNext/>
      <w:spacing w:before="240" w:after="120"/>
    </w:pPr>
    <w:rPr>
      <w:rFonts w:ascii="Liberation Sans" w:eastAsia="Microsoft YaHei" w:hAnsi="Liberation Sans" w:cs="Lucida Sans"/>
      <w:sz w:val="28"/>
      <w:szCs w:val="28"/>
    </w:rPr>
  </w:style>
  <w:style w:type="paragraph" w:customStyle="1" w:styleId="Titre1">
    <w:name w:val="Titre1"/>
    <w:basedOn w:val="Normal"/>
    <w:next w:val="BodyText"/>
    <w:pPr>
      <w:keepNext/>
      <w:spacing w:before="240" w:after="120"/>
    </w:pPr>
    <w:rPr>
      <w:rFonts w:ascii="Liberation Sans" w:eastAsia="Microsoft YaHei" w:hAnsi="Liberation Sans" w:cs="Lucida Sans"/>
      <w:sz w:val="28"/>
      <w:szCs w:val="28"/>
    </w:rPr>
  </w:style>
  <w:style w:type="paragraph" w:styleId="Header">
    <w:name w:val="header"/>
    <w:basedOn w:val="Normal"/>
    <w:pPr>
      <w:tabs>
        <w:tab w:val="center" w:pos="4536"/>
        <w:tab w:val="right" w:pos="9072"/>
      </w:tabs>
      <w:spacing w:after="0" w:line="240" w:lineRule="auto"/>
    </w:pPr>
    <w:rPr>
      <w:rFonts w:eastAsia="Calibri"/>
    </w:rPr>
  </w:style>
  <w:style w:type="paragraph" w:styleId="Footer">
    <w:name w:val="footer"/>
    <w:basedOn w:val="Normal"/>
    <w:pPr>
      <w:tabs>
        <w:tab w:val="center" w:pos="4536"/>
        <w:tab w:val="right" w:pos="9072"/>
      </w:tabs>
      <w:spacing w:after="0" w:line="240" w:lineRule="auto"/>
    </w:pPr>
    <w:rPr>
      <w:rFonts w:eastAsia="Calibri"/>
    </w:rPr>
  </w:style>
  <w:style w:type="paragraph" w:customStyle="1" w:styleId="Paragraphedeliste">
    <w:name w:val="Paragraphe de liste"/>
    <w:basedOn w:val="Normal"/>
    <w:pPr>
      <w:ind w:left="720"/>
      <w:contextualSpacing/>
    </w:pPr>
    <w:rPr>
      <w:rFonts w:eastAsia="Calibri"/>
    </w:rPr>
  </w:style>
  <w:style w:type="paragraph" w:customStyle="1" w:styleId="Textedebulles">
    <w:name w:val="Texte de bulles"/>
    <w:basedOn w:val="Normal"/>
    <w:pPr>
      <w:spacing w:after="0" w:line="240" w:lineRule="auto"/>
    </w:pPr>
    <w:rPr>
      <w:rFonts w:ascii="Segoe UI" w:eastAsia="Calibri" w:hAnsi="Segoe UI" w:cs="Segoe UI"/>
      <w:sz w:val="18"/>
      <w:szCs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widowControl w:val="0"/>
      <w:suppressAutoHyphens/>
    </w:pPr>
    <w:rPr>
      <w:rFonts w:ascii="Times LT Std" w:eastAsia="NSimSun" w:hAnsi="Times LT Std" w:cs="Lucida Sans"/>
      <w:color w:val="000000"/>
      <w:kern w:val="2"/>
      <w:sz w:val="24"/>
      <w:szCs w:val="24"/>
      <w:lang w:eastAsia="zh-CN"/>
    </w:rPr>
  </w:style>
  <w:style w:type="paragraph" w:customStyle="1" w:styleId="DocumentMap">
    <w:name w:val="DocumentMap"/>
    <w:pPr>
      <w:suppressAutoHyphens/>
      <w:spacing w:after="160" w:line="252" w:lineRule="auto"/>
    </w:pPr>
    <w:rPr>
      <w:rFonts w:ascii="Calibri" w:eastAsia="Segoe UI" w:hAnsi="Calibri" w:cs="Calibri"/>
      <w:kern w:val="2"/>
      <w:sz w:val="22"/>
      <w:szCs w:val="22"/>
      <w:lang w:eastAsia="zh-CN" w:bidi="ar-SA"/>
    </w:rPr>
  </w:style>
  <w:style w:type="paragraph" w:customStyle="1" w:styleId="TableGrid1">
    <w:name w:val="Table Grid1"/>
    <w:basedOn w:val="DocumentMap"/>
    <w:rPr>
      <w:rFonts w:cs="Times New Roman"/>
    </w:rPr>
  </w:style>
  <w:style w:type="paragraph" w:styleId="ListParagraph">
    <w:name w:val="List Paragraph"/>
    <w:basedOn w:val="Normal"/>
    <w:qFormat/>
    <w:pPr>
      <w:ind w:left="720"/>
      <w:contextualSpacing/>
    </w:pPr>
    <w:rPr>
      <w:rFonts w:cs="Times New Roman"/>
    </w:rPr>
  </w:style>
  <w:style w:type="paragraph" w:styleId="BalloonText">
    <w:name w:val="Balloon Text"/>
    <w:basedOn w:val="Normal"/>
    <w:rPr>
      <w:rFonts w:ascii="Segoe UI" w:hAnsi="Segoe UI" w:cs="Segoe UI"/>
      <w:sz w:val="18"/>
      <w:szCs w:val="18"/>
    </w:rPr>
  </w:style>
  <w:style w:type="paragraph" w:customStyle="1" w:styleId="western">
    <w:name w:val="western"/>
    <w:basedOn w:val="Normal"/>
    <w:pPr>
      <w:spacing w:before="100" w:after="142" w:line="276" w:lineRule="auto"/>
    </w:pPr>
    <w:rPr>
      <w:color w:val="000000"/>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SNSignatureGauche">
    <w:name w:val="SNSignatureGauche"/>
    <w:basedOn w:val="Normal"/>
    <w:pPr>
      <w:spacing w:before="120" w:after="1680"/>
      <w:ind w:left="720" w:right="-6" w:firstLine="1080"/>
      <w:jc w:val="right"/>
    </w:pPr>
    <w:rPr>
      <w:rFonts w:cs="Times New Roman"/>
      <w:sz w:val="24"/>
      <w:szCs w:val="24"/>
    </w:rPr>
  </w:style>
  <w:style w:type="paragraph" w:customStyle="1" w:styleId="Rvision">
    <w:name w:val="Révision"/>
    <w:pPr>
      <w:suppressAutoHyphens/>
    </w:pPr>
    <w:rPr>
      <w:rFonts w:ascii="Calibri" w:hAnsi="Calibri" w:cs="Calibri"/>
      <w:kern w:val="2"/>
      <w:sz w:val="22"/>
      <w:szCs w:val="22"/>
      <w:lang w:eastAsia="zh-CN"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NSignatureprnomnomDroite">
    <w:name w:val="SNSignature prénom+nom Droite"/>
    <w:basedOn w:val="Normal"/>
    <w:pPr>
      <w:spacing w:before="120" w:after="120" w:line="240" w:lineRule="auto"/>
      <w:ind w:left="5041"/>
      <w:jc w:val="right"/>
    </w:pPr>
    <w:rPr>
      <w:rFonts w:ascii="Times New Roman" w:hAnsi="Times New Roman" w:cs="Times New Roman"/>
      <w:color w:val="000000"/>
      <w:kern w:val="0"/>
      <w:sz w:val="24"/>
      <w:szCs w:val="24"/>
    </w:rPr>
  </w:style>
  <w:style w:type="paragraph" w:customStyle="1" w:styleId="Tabletitle">
    <w:name w:val="Table title"/>
    <w:basedOn w:val="Normal"/>
    <w:pPr>
      <w:keepNext/>
      <w:spacing w:before="120" w:after="120" w:line="240" w:lineRule="atLeast"/>
      <w:jc w:val="center"/>
    </w:pPr>
    <w:rPr>
      <w:rFonts w:ascii="Arial" w:eastAsia="Calibri" w:hAnsi="Arial" w:cs="Times New Roman"/>
      <w:b/>
      <w:kern w:val="0"/>
      <w:sz w:val="20"/>
      <w:szCs w:val="24"/>
    </w:rPr>
  </w:style>
  <w:style w:type="paragraph" w:customStyle="1" w:styleId="Tablebody">
    <w:name w:val="Table body"/>
    <w:basedOn w:val="Normal"/>
    <w:pPr>
      <w:suppressAutoHyphens w:val="0"/>
      <w:spacing w:before="60" w:after="60" w:line="210" w:lineRule="atLeast"/>
    </w:pPr>
    <w:rPr>
      <w:rFonts w:ascii="Arial" w:eastAsia="Calibri" w:hAnsi="Arial" w:cs="Times New Roman"/>
      <w:kern w:val="0"/>
      <w:sz w:val="20"/>
    </w:rPr>
  </w:style>
  <w:style w:type="paragraph" w:customStyle="1" w:styleId="Tableheader">
    <w:name w:val="Table header"/>
    <w:basedOn w:val="Tablebody"/>
  </w:style>
  <w:style w:type="table" w:styleId="TableGrid">
    <w:name w:val="Table Grid"/>
    <w:basedOn w:val="TableNormal"/>
    <w:uiPriority w:val="39"/>
    <w:rsid w:val="0059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11971</Characters>
  <Application>Microsoft Office Word</Application>
  <DocSecurity>0</DocSecurity>
  <Lines>99</Lines>
  <Paragraphs>28</Paragraphs>
  <ScaleCrop>false</ScaleCrop>
  <Company>Microsoft</Company>
  <LinksUpToDate>false</LinksUpToDate>
  <CharactersWithSpaces>14043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officiel de la République française - N° 35 du 11 février 2020</dc:title>
  <dc:subject>Lois et décrets</dc:subject>
  <dc:creator>BARRAUD Flavien</dc:creator>
  <cp:keywords>ISSN:0373-0425</cp:keywords>
  <cp:lastModifiedBy>ZAGHINI, Francesco</cp:lastModifiedBy>
  <cp:revision>4</cp:revision>
  <cp:lastPrinted>1900-01-01T00:00:00Z</cp:lastPrinted>
  <dcterms:created xsi:type="dcterms:W3CDTF">2020-07-22T01:03:00Z</dcterms:created>
  <dcterms:modified xsi:type="dcterms:W3CDTF">2020-07-29T16:25:00Z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Mar 20 10:24:27 CET 2020</vt:lpwstr>
  </property>
  <property fmtid="{D5CDD505-2E9C-101B-9397-08002B2CF9AE}" pid="3" name="jforVersion">
    <vt:lpwstr>jfor V0.7.2rc1 - see http://www.jfor.org</vt:lpwstr>
  </property>
</Properties>
</file>