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F99" w:rsidRPr="00F16955" w:rsidRDefault="00846F99" w:rsidP="00846F99">
      <w:pPr>
        <w:jc w:val="center"/>
        <w:textAlignment w:val="baseline"/>
        <w:rPr>
          <w:rFonts w:ascii="Courier New" w:hAnsi="Courier New"/>
          <w:lang w:val="da-DK"/>
        </w:rPr>
      </w:pPr>
      <w:r>
        <w:rPr>
          <w:rFonts w:ascii="Courier New" w:hAnsi="Courier New"/>
          <w:lang w:val="da-DK"/>
        </w:rPr>
        <w:t>1. ------IND- 2018 0446 B-- LT</w:t>
      </w:r>
      <w:bookmarkStart w:id="0" w:name="_GoBack"/>
      <w:bookmarkEnd w:id="0"/>
      <w:r>
        <w:rPr>
          <w:rFonts w:ascii="Courier New" w:hAnsi="Courier New"/>
          <w:lang w:val="da-DK"/>
        </w:rPr>
        <w:t>- ------ 20181031 --- --- FINAL</w:t>
      </w:r>
    </w:p>
    <w:p w:rsidR="007207F5" w:rsidRPr="00BF69EB"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BF69EB" w:rsidTr="007207F5">
        <w:trPr>
          <w:tblCellSpacing w:w="15" w:type="dxa"/>
        </w:trPr>
        <w:tc>
          <w:tcPr>
            <w:tcW w:w="1000" w:type="pct"/>
            <w:vAlign w:val="center"/>
            <w:hideMark/>
          </w:tcPr>
          <w:p w:rsidR="007207F5" w:rsidRPr="00BF69EB" w:rsidRDefault="00846F99" w:rsidP="007207F5">
            <w:pPr>
              <w:spacing w:after="0" w:line="240" w:lineRule="auto"/>
              <w:jc w:val="center"/>
              <w:rPr>
                <w:rFonts w:ascii="Times New Roman" w:eastAsia="Times New Roman" w:hAnsi="Times New Roman" w:cs="Times New Roman"/>
                <w:sz w:val="24"/>
                <w:szCs w:val="24"/>
              </w:rPr>
            </w:pPr>
            <w:hyperlink r:id="rId6" w:anchor="end" w:tgtFrame="_self" w:history="1">
              <w:r w:rsidR="00470715" w:rsidRPr="00BF69EB">
                <w:rPr>
                  <w:rFonts w:ascii="Times New Roman" w:hAnsi="Times New Roman"/>
                  <w:color w:val="0000FF"/>
                  <w:sz w:val="24"/>
                  <w:szCs w:val="24"/>
                  <w:u w:val="single"/>
                </w:rPr>
                <w:t>pabaiga</w:t>
              </w:r>
            </w:hyperlink>
          </w:p>
        </w:tc>
        <w:tc>
          <w:tcPr>
            <w:tcW w:w="50" w:type="pct"/>
            <w:vAlign w:val="center"/>
            <w:hideMark/>
          </w:tcPr>
          <w:p w:rsidR="007207F5" w:rsidRPr="00BF69EB"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BF69EB" w:rsidRDefault="00846F99" w:rsidP="007207F5">
            <w:pPr>
              <w:spacing w:after="0" w:line="240" w:lineRule="auto"/>
              <w:jc w:val="center"/>
              <w:rPr>
                <w:rFonts w:ascii="Times New Roman" w:eastAsia="Times New Roman" w:hAnsi="Times New Roman" w:cs="Times New Roman"/>
                <w:sz w:val="24"/>
                <w:szCs w:val="24"/>
              </w:rPr>
            </w:pPr>
            <w:hyperlink r:id="rId7" w:anchor="hit1" w:tgtFrame="_self" w:history="1">
              <w:r w:rsidR="00470715" w:rsidRPr="00BF69EB">
                <w:rPr>
                  <w:rFonts w:ascii="Times New Roman" w:hAnsi="Times New Roman"/>
                  <w:color w:val="0000FF"/>
                  <w:sz w:val="24"/>
                  <w:szCs w:val="24"/>
                  <w:u w:val="single"/>
                </w:rPr>
                <w:t>pirmas žodis</w:t>
              </w:r>
            </w:hyperlink>
          </w:p>
        </w:tc>
        <w:tc>
          <w:tcPr>
            <w:tcW w:w="1000" w:type="pct"/>
            <w:vAlign w:val="center"/>
            <w:hideMark/>
          </w:tcPr>
          <w:p w:rsidR="007207F5" w:rsidRPr="00BF69EB" w:rsidRDefault="00846F99" w:rsidP="007207F5">
            <w:pPr>
              <w:spacing w:after="0" w:line="240" w:lineRule="auto"/>
              <w:jc w:val="center"/>
              <w:rPr>
                <w:rFonts w:ascii="Times New Roman" w:eastAsia="Times New Roman" w:hAnsi="Times New Roman" w:cs="Times New Roman"/>
                <w:sz w:val="24"/>
                <w:szCs w:val="24"/>
              </w:rPr>
            </w:pPr>
            <w:hyperlink r:id="rId8" w:anchor="end" w:tgtFrame="_self" w:history="1">
              <w:r w:rsidR="00470715" w:rsidRPr="00BF69EB">
                <w:rPr>
                  <w:rFonts w:ascii="Times New Roman" w:hAnsi="Times New Roman"/>
                  <w:color w:val="0000FF"/>
                  <w:sz w:val="24"/>
                  <w:szCs w:val="24"/>
                  <w:u w:val="single"/>
                </w:rPr>
                <w:t>paskutinis žodis</w:t>
              </w:r>
            </w:hyperlink>
          </w:p>
        </w:tc>
        <w:tc>
          <w:tcPr>
            <w:tcW w:w="50" w:type="pct"/>
            <w:vAlign w:val="center"/>
            <w:hideMark/>
          </w:tcPr>
          <w:p w:rsidR="007207F5" w:rsidRPr="00BF69EB"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BF69EB"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BF69EB">
              <w:rPr>
                <w:rFonts w:ascii="Times New Roman" w:hAnsi="Times New Roman"/>
                <w:b/>
                <w:bCs/>
                <w:color w:val="FF0000"/>
                <w:sz w:val="27"/>
                <w:szCs w:val="27"/>
              </w:rPr>
              <w:t>Paskelbta: 2019-05-17</w:t>
            </w:r>
          </w:p>
          <w:p w:rsidR="007207F5" w:rsidRPr="00BF69EB"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F69EB">
              <w:rPr>
                <w:rFonts w:ascii="Times New Roman" w:hAnsi="Times New Roman"/>
                <w:b/>
                <w:bCs/>
                <w:color w:val="FF0000"/>
                <w:sz w:val="27"/>
                <w:szCs w:val="27"/>
              </w:rPr>
              <w:t>Numac: 2019012059</w:t>
            </w:r>
          </w:p>
        </w:tc>
      </w:tr>
    </w:tbl>
    <w:p w:rsidR="007207F5" w:rsidRPr="00BF69EB" w:rsidRDefault="007207F5" w:rsidP="007207F5">
      <w:pPr>
        <w:spacing w:after="0" w:line="240" w:lineRule="auto"/>
        <w:jc w:val="center"/>
        <w:rPr>
          <w:rFonts w:ascii="Times New Roman" w:eastAsia="Times New Roman" w:hAnsi="Times New Roman" w:cs="Times New Roman"/>
          <w:color w:val="000000"/>
          <w:sz w:val="27"/>
          <w:szCs w:val="27"/>
          <w:lang w:eastAsia="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BF69EB" w:rsidTr="007207F5">
        <w:trPr>
          <w:tblCellSpacing w:w="15" w:type="dxa"/>
          <w:jc w:val="center"/>
        </w:trPr>
        <w:tc>
          <w:tcPr>
            <w:tcW w:w="5000" w:type="pct"/>
            <w:vAlign w:val="center"/>
            <w:hideMark/>
          </w:tcPr>
          <w:p w:rsidR="007207F5" w:rsidRPr="00BF69EB" w:rsidRDefault="007207F5" w:rsidP="007207F5">
            <w:pPr>
              <w:spacing w:after="0" w:line="240" w:lineRule="auto"/>
              <w:jc w:val="center"/>
              <w:rPr>
                <w:rFonts w:ascii="Times New Roman" w:eastAsia="Times New Roman" w:hAnsi="Times New Roman" w:cs="Times New Roman"/>
                <w:sz w:val="24"/>
                <w:szCs w:val="24"/>
              </w:rPr>
            </w:pPr>
            <w:r w:rsidRPr="00BF69EB">
              <w:rPr>
                <w:rFonts w:ascii="Times New Roman" w:hAnsi="Times New Roman"/>
                <w:sz w:val="24"/>
                <w:szCs w:val="24"/>
              </w:rPr>
              <w:t>VISUOMENĖS SVEIKATOS, MAISTO TIEKIMO GRANDINĖS SAUGOS IR APLINKOS VIEŠOJI FEDERALINĖ TARNYBA</w:t>
            </w:r>
          </w:p>
        </w:tc>
      </w:tr>
    </w:tbl>
    <w:p w:rsidR="007207F5" w:rsidRPr="00BF69EB"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BF69EB">
        <w:rPr>
          <w:rFonts w:ascii="Times New Roman" w:hAnsi="Times New Roman"/>
          <w:b/>
          <w:bCs/>
          <w:color w:val="000000"/>
          <w:sz w:val="27"/>
          <w:szCs w:val="27"/>
          <w:u w:val="single"/>
        </w:rPr>
        <w:t>2019 M. BALANDŽIO 13 D. Karališkasis nutarimas dėl standartinės cigarečių, suktinių tabako ir vandens pypkių tabako pakuotės</w:t>
      </w:r>
    </w:p>
    <w:p w:rsidR="009C2279" w:rsidRPr="00BF69EB"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BF69EB"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ATASKAITA KARALIUI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Jūsų didenybe,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šiuo karališkojo nutarimo projektu siekiama pristatyti standartizuotą pakuotę Belgijoje.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2005 m. lapkričio mėn. Belgija ratifikavo PSO Tabako kontrolės pagrindų konvenciją (pranc. CCLAT) ir ji Belgijoje įsigaliojo 2006 m. sausio 31 d. Šios pagrindų konvencijos 11 straipsnyje yra nustatytos griežtos tabako pakuočių ženklinimo taisyklės. Šio straipsnio gairėse konkrečiai rekomenduojama naudoti standartizuotą pakuotę: „Šalys turėtų apsvarstyti galimybę priimti priemones, skirtas apriboti ar uždrausti naudoti logotipus, spalvas, prekės ženklo vaizdinius ar reklaminį tekstą ant pakuotės, išskyrus prekės ženklo ir gaminio pavadinimus, atspausdintus įprastais rašmenimis ir standartinėmis spalvomis (neutrali pakuotė). Dėl to įspėjimai apie sveikatą ir pranešimai galėtų būti geriau matomi ir veiksmingesni siekiant užtikrinti, kad pakuotės forma nenukreiptų vartotojų dėmesio ir būtų pergudrauti tabako pramonėje taikomi dizaino kūrimo metodai, kuriais mėginama įtikinti, jog kai kurie produktai yra mažiau kenksmingi nei kiti. “.</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2014 m. balandžio 3 d. Europos Parlamento ir Tarybos direktyva 2014/40/ES dėl valstybių narių įstatymų ir kitų teisės aktų nuostatų, reglamentuojančių tabako ir susijusių gaminių gamybą, pateikimą ir pardavimą, suderinimo ir kuria panaikinama Direktyva 2001/37/EB, nenustato reikalavimo naudoti standartizuotą pakuotę, tačiau leidžia valstybėms narėms, kurios to nori, tai nustatyti savo teritorijoje (24 straipsnio 2 dalis).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Reikalavimu dėl neutralios pakuotės siekiama:</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 sumažinti pakuotės ir prekės ženklo vaizdinio patrauklumą;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 pagerinti tekstinių ar vaizdinių įspėjimų apie sveikatą, pateiktų ant tabako gaminių pakuočių, veiksmingumą;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 sumažinti tikimybę, kad vartotojai bus neteisingai informuojami apie tabako pavojingumą.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lastRenderedPageBreak/>
        <w:t>Ši priemonė jau taikoma Australijoje, Jungtinėje Karalystėje, Norvegijoje ir Prancūzijoje, kur jos veiksmingumas jau įrodytas.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Įvairūs tyrimai, atlikti po įgyvendinimo Australijoje, parodė teigiamą poveikį mažinant pakuotės patrauklumą, užtikrinant, kad kuo mažiau pakuočių būtų matyti viešojoje erdvėje, didinant rūkalių norą mesti rūkyti ir mažinant tabako vartojimą. Tuo pat metu negalėjo būti įrodytas joks neigiamas ekonominis poveikis, ypač atsižvelgiant į laiką, kurį pardavėjas praleido aptarnaudamas klientą. Galiausiai joks nelegalios prekybos padidėjimas nebuvo nustatytas.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Kalbant apie Prancūziją, įvairūs duomenys, pateikti naujausioje Prancūzijos narkotikų ir narkomanijos observatorijos metinėje ataskaitoje, iš esmės yra teigiami ir rodo tabako pardavimų sumažėjimą, kurio negali kompensuoti išaugusi tarpvalstybinė prekyba, išaugusį susidomėjimą paslaugomis, kurios padeda mesti rūkyti, ir sumažėjusį jaunų žmonių vartojimą – tai buvo patvirtinta atlikus ARAMIS apklausą, kuri taip pat parodė, kad tarp jaunimo tabako įvaizdis labai suprastėjo (daugiau informacijos žr. www.ofdt.fr).</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Kalbant apie Jungtinę Karalystę, kas mėnesį atliekamas rūkymo priemonių rinkinio tyrimas, kuris suteikia galimybę stebėti rūkymo paplitimo pokyčius, taip pat kriterijus, susijusius su pagalba norintiems mesti rūkyti, ir tai pirmiausia parodo, kad pradėjus naudoti standartizuotą pakuotę, tabako vartojimas sparčiau mažėjo. Šiame tyrime įvertinti bandymai mesti rūkyti ir faktinis metimas rūkyti taip pat parodė teigiamus pokyčius.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Šią priemonę taip pat įgyvendino Vengrija, Airija ir Slovėnija.</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Todėl siekdama nustatyti, ar standartizuotos pakuotės naudojimas yra proporcinga priemonė, Belgija, remdamasi „Veiksmingos kovos su tabaku politikos federaline strategija“, taikė direktyvas pagal CCLAT 11 straipsnį, kuriame nustatyta, kad „Šalys, nustatydamos naujas pakavimo ir ženklinimo priemones ir siekdamos taikyti kuo efektyvesnes priemones, turėtų atsižvelgti į turimus duomenis ir kitų šalių patirtį. “.</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Turimi duomenys ir kitų šalių patirtis – tai tvirti įrodymai, kuriais grindžiamas standartizuotos pakuotės įgyvendinimas. Išvados apie priemonės veiksmingumą ir proporcingumą yra taikytinos visuotinai. Tai reiškia, kad jos yra svarbios Belgijai. Juolab, kad tabako gaminių pakuotės yra panašios Belgijoje ir kitose šalyse (ypač ES), o tai rodo, kad vartotojai į tai reaguoja vienodai. Specialūs tyrimai Belgijoje patvirtina šią hipotezę. (1) (2) (3) Galiausiai Aukščiausioji sveikatos taryba pripažįsta šios priemonės veiksmingumą ir savo nuomonėje Nr. 9265, paskelbtoje 2015 m. spalio mėn., rekomenduoja ją įgyvendinti: „Neutralios pakuotės naudojimo per tą laiką veiksmingumas buvo įrodytas atliekant tyrimus ir įvertinant praktinį taikymą Australijoje“. „CSS rekomenduoja priemones, kurios jau taikomos kitose šalyse, įskaitant visišką tabako reklamos draudimą arba neutralių cigarečių pakuočių naudojimą. “</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 xml:space="preserve">Teisinių aspektų atžvilgiu nacionalinės valdžios institucijos kol kas atmetė įvairius tabako pramonės ieškinius (4), nukreiptus prieš įstatymus, kuriais nustatomas </w:t>
      </w:r>
      <w:r w:rsidRPr="00BF69EB">
        <w:rPr>
          <w:rFonts w:ascii="Times New Roman" w:hAnsi="Times New Roman"/>
          <w:color w:val="000000"/>
          <w:sz w:val="27"/>
          <w:szCs w:val="27"/>
        </w:rPr>
        <w:lastRenderedPageBreak/>
        <w:t>reikalavimas dėl neutralios pakuotės Prancūzijoje, Jungtinėje Karalystėje ir Australijoje. Pagrindiniai pramonės kaltinimai buvo susiję su nuosavybės teisės nepaisymu, prekių ženklų įstatymo nesilaikymu ir teisės aktų, kuriais nustatomas reikalavimas dėl neutralios pakuotės, neproporcingumu.</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Tabako gamintojų apeliacija (5) dėl ES Direktyvos 2014/40/ES Europos Sąjungos Teisingumo Teismui (ESTT) taip pat buvo atmesta. Šiame ieškinyje pramonės atstovai teigė, kad Komisija neturėjo teisės Tabako direktyvoje 2014/40 daryti nuorodą į neutralią pakuotę. ESTT nurodo savo nutarime: „Direktyvos 2014/40 24 straipsnio 2</w:t>
      </w:r>
      <w:r w:rsidR="00B5487D" w:rsidRPr="00BF69EB">
        <w:rPr>
          <w:rFonts w:ascii="Times New Roman" w:hAnsi="Times New Roman"/>
          <w:color w:val="000000"/>
          <w:sz w:val="27"/>
          <w:szCs w:val="27"/>
        </w:rPr>
        <w:t> </w:t>
      </w:r>
      <w:r w:rsidRPr="00BF69EB">
        <w:rPr>
          <w:rFonts w:ascii="Times New Roman" w:hAnsi="Times New Roman"/>
          <w:color w:val="000000"/>
          <w:sz w:val="27"/>
          <w:szCs w:val="27"/>
        </w:rPr>
        <w:t>dalį reikia aiškinti taip, kad valstybės narės gali palikti galioti arba nustatyti naujus reikalavimus dėl tabako gaminių pakavimo aspektų, kurie nėra suderinti pagal šią direktyvą. “ ir: „išnagrinėjus šį klausimą nebuvo nustatyta jokių veiksnių, galinčių turėti įtakos šios nuostatos galiojimui“.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PPO lygmeniu (6) PPO komisija atmeta Kubos, Dominikos Respublikos ir Hondūro ieškinius prieš neutralios pakuotės naudojimą Australijoje. Jos nuomone, skundo pateikėjai neįrodė, kad Australijos priemonės prieštarauja tarptautinei teisei ir sudaro kliūčių tarptautinei prekybai. PPO ekspertai taip pat atmetė kaltinimą, kad neutralios pakuotės neleidžia sumažinti tabako vartojimo.</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Priešingai, jie pabrėžė, kad šios pakuotės be prekės ženklo kartu su kitomis priemonėmis, tokiomis kaip įspėjimai apie tabako pavojų sveikatai, galėtų padėti sumažinti tabako vartojimą ir taip padėti pasiekti visuomenės sveikatos tikslus.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Taigi, šiame karališkojo nutarimo projekte numatyta įvesti reikalavimą naudoti neutralias cigarečių, suktinių tabako ir vandens pypkių tabako pakuotes.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Be to, reikalavimas dėl neutralių pakuočių naudojimo taip pat taikomas cigarečių vamzdelių, suktinių tabako popieriaus ir filtrų pakuotėms, kai jų prekės pavadinimai pirmiausia yra žinomi dėl tabako gaminio, taip siekiant užkirsti kelią tabako įmonėms reklamuotis per šias vamzdelių, suktinių tabako popieriaus ir filtrų pakuotes. Karališkojo nutarimo 7 straipsnyje nustatyta, kad ant cigarečių popieriaus, cigarečių vamzdelių ir suktinių tabako popieriaus negalima rašyti jokio teksto.</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Galiausiai dar kelios pastabos apie pereinamąjį laikotarpį.</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Karališkojo nutarimo 13 straipsnyje nustatoma Karališkojo nutarimo įgyvendinimo data – 2020 m. sausio 1 d. Tačiau tam, kad mažmenininkai galėtų išparduoti atsargas, jau esančias parduotuvėse, iki šios datos, t. y. 2020 m. sausio 1 d., 13 straipsnyje yra nustatytas mažmenininkams skirtas papildomas vienų metų pereinamasis laikotarpis. Praktiškai visos pakuotės, neatitinkančios karališkojo nutarimo reikalavimų, nuo 2020</w:t>
      </w:r>
      <w:r w:rsidR="00B5487D" w:rsidRPr="00BF69EB">
        <w:rPr>
          <w:rFonts w:ascii="Times New Roman" w:hAnsi="Times New Roman"/>
          <w:color w:val="000000"/>
          <w:sz w:val="27"/>
          <w:szCs w:val="27"/>
        </w:rPr>
        <w:t> </w:t>
      </w:r>
      <w:r w:rsidRPr="00BF69EB">
        <w:rPr>
          <w:rFonts w:ascii="Times New Roman" w:hAnsi="Times New Roman"/>
          <w:color w:val="000000"/>
          <w:sz w:val="27"/>
          <w:szCs w:val="27"/>
        </w:rPr>
        <w:t>m. sausio 1 d. turi būti išimtos iš visos tiekimo grandinės, išskyrus pakuotes, kurios vis dar yra mažmenininkų sandėlyje. Pastarieji jas vis dar gali parduoti iki 2020</w:t>
      </w:r>
      <w:r w:rsidR="00B5487D" w:rsidRPr="00BF69EB">
        <w:rPr>
          <w:rFonts w:ascii="Times New Roman" w:hAnsi="Times New Roman"/>
          <w:color w:val="000000"/>
          <w:sz w:val="27"/>
          <w:szCs w:val="27"/>
        </w:rPr>
        <w:t> </w:t>
      </w:r>
      <w:r w:rsidRPr="00BF69EB">
        <w:rPr>
          <w:rFonts w:ascii="Times New Roman" w:hAnsi="Times New Roman"/>
          <w:color w:val="000000"/>
          <w:sz w:val="27"/>
          <w:szCs w:val="27"/>
        </w:rPr>
        <w:t>m. gruodžio 31 d.</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Mums garbė būti,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Jūsų didenybe,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Jūsų didenybės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didžiausią pagarbą jums išreiškiančiais ir ištikimiausiais tarnais,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Visuomenės sveikatos ministrė</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M. DE BLOCK</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Ekonomikos ministras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K. PEETERS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Viduriniosios klasės reikalų ministras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D. DUCARME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_______</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Pastabos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Van Hal, G., "Flemish adolescents' perceptions of cigarette plain packaging: a qualitative study with focus group discussions", BMJ Open, Antwerp, 2012.</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Nacionalinė kova su vėžiu, „Ką belgų jaunimas galvoja apie naująją neutralią cigarečių pakuotę Australijoje? “, Briuselis, 2012 m.</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Kovos su vėžiu fondas „Jaunimo pozicija dėl cigarečių ir tabako reklamos “, Briuselis, 2015 m.</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4) „Société jt international SA“, pramoninę veiklą vykdanti tabako ir degtukų įmonė, įmonė „Philip Morris France SA“ ir kiti. Valstybės taryba, 2016 m. gruodžio 23 d .; JT Int'l SA v Commonwealth (Tobacco Plain Packaging Case) [2012] HCA 43; British American tobacco UK ltd &amp; others v the secretary of state for health EWCA Civ 1182, November 30 2016.</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(5) „Philip Morris Brands SARL“ ir kiti prieš „Secretary of State for Health“ (Sveikatos apsaugos ministrą); 2016 m. gegužės 4 d., Byla C-547/14.</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(6) https://www.wto.org/french/tratop_f/dispu_f/cases_f/ds458_f.htm</w:t>
      </w:r>
    </w:p>
    <w:p w:rsidR="009C2279" w:rsidRPr="00BF69EB" w:rsidRDefault="009C2279" w:rsidP="002F0E9D">
      <w:pPr>
        <w:spacing w:after="0" w:line="240" w:lineRule="auto"/>
        <w:jc w:val="both"/>
        <w:rPr>
          <w:rFonts w:ascii="Times New Roman" w:eastAsia="Times New Roman" w:hAnsi="Times New Roman" w:cs="Times New Roman"/>
          <w:color w:val="000000"/>
          <w:sz w:val="27"/>
          <w:szCs w:val="27"/>
          <w:lang w:eastAsia="fr-FR"/>
        </w:rPr>
      </w:pP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2019 M. BALANDŽIO 13 D. Karališkasis nutarimas dėl standartinės cigarečių, suktinių tabako ir vandens pypkių tabako pakuotės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FILIPAS, belgų karalius,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sveikina visus esančius ir ateisiančius.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atsižvelgdami į 1977 m. sausio 24 d. Vartotojų apsaugos, susijusios su maisto produktais ir kitais gaminiais, įstatymo 6 straipsnio 1 dalies a punktą, pakeistą 1989 m. kovo 22 d. įstatymu,</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atsižvelgdami į 2018 m. rugsėjo 7 d. Komunika</w:t>
      </w:r>
      <w:r w:rsidR="00B5487D" w:rsidRPr="00BF69EB">
        <w:rPr>
          <w:rFonts w:ascii="Times New Roman" w:hAnsi="Times New Roman"/>
          <w:color w:val="000000"/>
          <w:sz w:val="27"/>
          <w:szCs w:val="27"/>
        </w:rPr>
        <w:t>tą Europos Komisijai pagal 2015 </w:t>
      </w:r>
      <w:r w:rsidRPr="00BF69EB">
        <w:rPr>
          <w:rFonts w:ascii="Times New Roman" w:hAnsi="Times New Roman"/>
          <w:color w:val="000000"/>
          <w:sz w:val="27"/>
          <w:szCs w:val="27"/>
        </w:rPr>
        <w:t>m. rugsėjo 9 d. Europos Parlamento ir Tarybos direktyvos 2015/1535/ES, kuria nustatoma informacijos apie techninius reglamentus ir informacinės visuomenės paslaugų taisykles teikimo tvarka, 5 straipsnio 1 dalį,</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atsižvelgdami į 2018 m. rugsėjo 20 d. pateiktą finansų inspektoriaus nuomonę,</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atsižvelgdami į Valstybės Tarybos nuomonę 65.367/3, pateiktą 2019 m. kovo</w:t>
      </w:r>
      <w:r w:rsidR="00B5487D" w:rsidRPr="00BF69EB">
        <w:rPr>
          <w:rFonts w:ascii="Times New Roman" w:hAnsi="Times New Roman"/>
          <w:color w:val="000000"/>
          <w:sz w:val="27"/>
          <w:szCs w:val="27"/>
        </w:rPr>
        <w:t xml:space="preserve"> 11 </w:t>
      </w:r>
      <w:r w:rsidRPr="00BF69EB">
        <w:rPr>
          <w:rFonts w:ascii="Times New Roman" w:hAnsi="Times New Roman"/>
          <w:color w:val="000000"/>
          <w:sz w:val="27"/>
          <w:szCs w:val="27"/>
        </w:rPr>
        <w:t>d., pagal Valstybės Tarybos įstatymų sąvado, suderinto 1973 m</w:t>
      </w:r>
      <w:r w:rsidR="00B5487D" w:rsidRPr="00BF69EB">
        <w:rPr>
          <w:rFonts w:ascii="Times New Roman" w:hAnsi="Times New Roman"/>
          <w:color w:val="000000"/>
          <w:sz w:val="27"/>
          <w:szCs w:val="27"/>
        </w:rPr>
        <w:t>. sausio 12 d., 84 straipsnio 1 </w:t>
      </w:r>
      <w:r w:rsidRPr="00BF69EB">
        <w:rPr>
          <w:rFonts w:ascii="Times New Roman" w:hAnsi="Times New Roman"/>
          <w:color w:val="000000"/>
          <w:sz w:val="27"/>
          <w:szCs w:val="27"/>
        </w:rPr>
        <w:t>dalies pirmos pastraipos 2 punktą,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remdamiesi ekonomikos ministro, visuomenės sveikatos ministrės ir viduriniosios klasės reikalų ministro pasiūlymu,</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nusprendėme ir skelbiame šį nutarimą: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SKYRIUS. Taikymo sritis ir apibrėžtys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skirsnis. Taikymo sritis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straipsnis. Šiuo įsakymu iš dalies perkeliama 2014 m. balandžio 3 d. Europos Parlamento ir Tarybos direktyva 2014/40/ES dėl valstybių narių įstatymų ir kitų teisės aktų nuostatų, reglamentuojančių tabako ir susijusių gaminių gamybą, pateikimą ir pardavimą, suderinimo ir kuria panaikinama Direktyva 2001/37/EB.</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straipsnis. Šis karališkasis nutarimas taikomas cigaretėms, suktinių tabakui, vandens pypkių tabakui, cigarečių vamzdeliams, cigarečių popieriui ir suktinių tabako popieriui ir juo apibrėžiama spalva ir elementai, pateiktini ant šių minėtų produktų pakuočių.</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skirsnis. Apibrėžtys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straipsnis. Šiame nutarime: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tabakas – lapai ir bet kokia kita natūrali tabako augalo dalis, pakeista ar ne, įskaitant išpūstą ir atkurtą tabaką;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tabako gaminys – gaminys, skirtas vartotojams vartoti ir pagamintas, net jei tik iš dalies, iš genetiškai modifikuoto ar nemodifikuoto tabako;</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suktinių tabakas – tabakas, kuris gali būti naudojamas cigaretėms gaminti vartotojų ar mažmeninės prekybos vietose;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4) cigaretė – tabako ritinėlis, vartojamas prideg</w:t>
      </w:r>
      <w:r w:rsidR="00B5487D" w:rsidRPr="00BF69EB">
        <w:rPr>
          <w:rFonts w:ascii="Times New Roman" w:hAnsi="Times New Roman"/>
          <w:color w:val="000000"/>
          <w:sz w:val="27"/>
          <w:szCs w:val="27"/>
        </w:rPr>
        <w:t>tas ir išsamiau apibrėžtas 1997 </w:t>
      </w:r>
      <w:r w:rsidRPr="00BF69EB">
        <w:rPr>
          <w:rFonts w:ascii="Times New Roman" w:hAnsi="Times New Roman"/>
          <w:color w:val="000000"/>
          <w:sz w:val="27"/>
          <w:szCs w:val="27"/>
        </w:rPr>
        <w:t>m. balandžio 3 d. įstatymo dėl apdoroto tabako gaminių apmokestinimo tvarkos 5 straipsnyje;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5) vandens pypkių tabakas – tabako gaminys, vartojamas naudojant vandens pypkę. Šiame nutarime vandens pypkių tabakas laikomas rūkomuoju tabaku. Jei produktą galima naudoti ir vandens pypkėje, ir kaip suktinių tabaką, toks produktas laikomas suktinių tabaku;</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6) išorinė pakuotė – bet kokia pakuotė, į kurią supakuoti gaminiai pateikiami rinkai ir kuri apima vienetinį pakelį ar vienetinių pakelių bloką; skaidrūs vynioti skirti maišeliai nėra laikomi išorinėmis pakuotėmis;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7) vienetinis pakelis – mažiausia atskira rinkai pateikiamo tabako gaminio pakuotė;</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8) prekės pavadinimas – iš ne daugiau kaip trijų žodžių sudarytas žodžių junginys, skirtas tabako gaminiams atskirti;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9) permatoma antrinė pakuotė – celofaninis apvalkalas be jokio atspalvio ir (arba) jokio rašto ar kito elemento, toliau vadinamas „antrine pakuote“;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10) mažmeninės prekybos vieta – bet kuri vieta, kurioje tabako gaminiai pateikiami rinkai, įskaitant, kai tai daro fizinis asmuo;</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11) ministras – visuomenės sveikatos ministras.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SKYRIUS. Cigarečių, suktinių tabako ir vandens pypkių tabako vienetinių pakelių ir išorinių pakuočių išvaizda ir turinys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skirsnis. Sąsajos su 2016 m. vasario 5 d. karališkuoju nutarimu</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4 straipsnis. Vienetiniai pakeliai ir išorinės pakuotės turi atitikti 2016 m. vasario 5 d. karališkojo nutarimo dėl tabako gaminių gamybos ir teikimo prekybai reikalavimus.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skirsnis. Bendrosios nuostatos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5 straipsnis. 1. Vienetiniai pakeliai ir išorinės pakuotės turi būti vienodos spalvos. Gamintojas gali pasirinkti, kurį iš dviejų spalvos atspalvių naudoti vienetinių pakelių vidinei pusei.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Ministras nustato, kokie turi būti spalvos atspalviai.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6 straipsnis. 1. Vienetiniame pakelyje, be tabako gaminio, gali būti tik dengiamasis sluoksnis.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Ministras nustato, kokia turi būti dengiamojo sluoksnio spalva ir savybės.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7 straipsnis. 1. Draudžiama taikyti bet kokius būdus, kuriais siekiama pakenkti vienetinių pakelių, išorinių pakuočių ir antrinių pakuočių neutralumui ir vienodumui, ypač tokius, kuriais siekiama suteikti jiems konkrečias su klausos, uoslės ar regėjimo pojūčiais susijusias savybes.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Ministras gali sudaryti pagrindinių draudžiamų metodų sąrašą.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Be to, draudžiama į vienetinių pakelių, išorinių pakuočių ir antrinių pakuočių vidų įdėti bet kokius įdėtinius lapelius ar kitus elementus.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8 straipsnis. 1. Cigarečių, cigarečių vamzdelių ir suktinių tabako popierius turi būti vienodos spalvos. Gamintojas gali pasirinkti iš dviejų filtrą supančio popieriaus spalvos atspalvių.</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Ministras nustato 1 dalyje nurodytus spalvos atspalvius.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9 straipsnis. 1. Išoriniai ir vidiniai vienetinių pakelių, išorinių pakuočių ir antrinių pakuočių paviršiai turi būti lygūs, o gretasienio formos vienetinių pakelių ar išorinių pakuočių atveju – lygūs ir plokšti.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Ministras gali nustatyti papildomas 1 dalyje nurodytų paviršių charakteristikas.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skirsnis. Suktinių tabako vienetiniai pakeliai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10 straipsnis. 1. Jeigu suktinų tabako vienetiniai pakeliai yra su liežuvėliu, kuriuo pakelis gali būti uždarytas, liežuvėlis turi būti: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nepažymėtas;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permatomas ir nespalvotas.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Nepažeidžiant 1 dalies, leidžiama taikyti charakteristikas, kurios būtinos tvirtinant prie cilindro dugno arba atidarant ir uždarant vienetinį pakelį arba išorinę pakuotę.</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Vienetinis cilindro arba gretasienio formos suktinių tabako pakelis gali būti su dengiamuoju aliuminio sluoksniu, kuris turi būti sidabro spalvos, be jokio spalvos arba atspalvio pasikeitimo, be tekstūros. Šis dengiamasis sluoksnis yra jo vidinės pakuotės dalis.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4. Ministras gali nustatyti 2 dalyje nurodytas charakteristikas.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5. Ministras gali nustatyti papildomas 3 dalyje nurodytos aliuminio folijos charakteristikas.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SKYRIUS. Ant vienetinių pakelių leistina nurodyti informacija</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11 straipsnis. 1. Tik toliau nurodyti užrašai gali būti aiškiai ir vienodo dydžio šriftu pateikti ant vienetinio pakelio arba išorinės pakuotės: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prekės ženklo pavadinimas;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gamintojo pavadinimas, pašto adresas, el. pašto adresas ir telefono numeris;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cigarečių skaičius arba suktinių tabako ar vandens pypkių tabako svoris gramais;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4) akcizo banderolė;</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5) įspėjimai apie grėsmę sveikatai, kaip numatyta 2016 m. vasario 5 d. karališkajame nutarime dėl tabako gaminių gamybos ir teikimo prekybai;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6) kiti teisiškai privalomi elementai.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Vienetiniai pakeliai ir išorinės pakuotės gali būti pažymėtos brūkšniniu kodu.</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Prekės pavadinimas negali būti pateiktas vidinėje vienetinio pakelio ir išorinės pakuotės pusėje.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4. Ministras nustato vietą ir informacijos, nurodytos 1 ir 2 dalyse, atspausdinimo ant vienetinių pakelių arba išorinės pakuotės, būdus bei jų charakteristikas.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4 SKYRIUS. Cigarečių vamzdelių, suktinių tabako popieriaus ir filtrų vienetiniai pakeliai</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12 straipsnis. 5, 6, 7, 8, 9, 10 straipsnių ir 11 straipsnio 1 dalies 1 ir 2 punktų, 2–4 dalių reikalavimai taikomi cigarečių vamzdelių, suktinių tabako popieriaus ir filtrų, kurių prekės pavadinimas visų pirma yra žinomas dėl tabako gaminio, vienetiniams pakeliams.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5 SKYRIUS. Baigiamosios nuostatos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 skirsnis. Sankcijos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13 straipsnis. 1. Draudžiama pateikti į rinką produktus, kurie neatitinka šio nutarimo reikalavimų. Šie produktai yra laikomi kenksmingais, kaip apibrėžta 1977 m. sausio 24 d. įstatymo dėl vartotojų sveikatos apsaugos, susijusios su maisto produktais ir kitais gaminiais, 18 straipsnyje.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Šio nutarimo nuostatų pažeidimai yra ištiriami, konstatuojami ir už juos yra patraukiama baudžiamojon atsakomybėn bei skiriamos bausmės pagal minėto 1977 m. sausio 24 d. įstatymo nuostatas.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2 skirsnis. Įsigaliojimas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14 straipsnis. Šis nutarimas įsigalioja 2020 m. sausio 1 d., išskyrus mažmenines prekybos vietas, kurioms šis nutarimas įsigalioja 2021 m. sausio 1 d.</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3 skirsnis. Vykdymas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15 straipsnis. Ekonomikos ministrui, visuomenės sveikatos ministrei ir viduriniosios klasės ministrui, kiekvienam pagal savo įgaliojimus pavesta vykdyti šį nutarimą.</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Pateikta Briuselyje, 2019 m. balandžio 13 d.</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PHILIPPE</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Karaliaus vardu:</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Visuomenės sveikatos ministrė</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M. DE BLOCK</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Ekonomikos ministras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K. PEETERS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Viduriniosios klasės reikalų ministras</w:t>
      </w:r>
    </w:p>
    <w:p w:rsidR="009C2279" w:rsidRPr="00BF69EB" w:rsidRDefault="007207F5" w:rsidP="002F0E9D">
      <w:pPr>
        <w:spacing w:after="0" w:line="240" w:lineRule="auto"/>
        <w:jc w:val="both"/>
        <w:rPr>
          <w:rFonts w:ascii="Times New Roman" w:eastAsia="Times New Roman" w:hAnsi="Times New Roman" w:cs="Times New Roman"/>
          <w:color w:val="000000"/>
          <w:sz w:val="27"/>
          <w:szCs w:val="27"/>
        </w:rPr>
      </w:pPr>
      <w:r w:rsidRPr="00BF69EB">
        <w:rPr>
          <w:rFonts w:ascii="Times New Roman" w:hAnsi="Times New Roman"/>
          <w:color w:val="000000"/>
          <w:sz w:val="27"/>
          <w:szCs w:val="27"/>
        </w:rPr>
        <w:t>D. DUCARME</w:t>
      </w:r>
    </w:p>
    <w:p w:rsidR="009C2279" w:rsidRPr="00BF69EB" w:rsidRDefault="009C2279" w:rsidP="007207F5">
      <w:pPr>
        <w:spacing w:after="0" w:line="240" w:lineRule="auto"/>
        <w:rPr>
          <w:rFonts w:ascii="Times New Roman" w:eastAsia="Times New Roman" w:hAnsi="Times New Roman" w:cs="Times New Roman"/>
          <w:color w:val="000000"/>
          <w:sz w:val="27"/>
          <w:szCs w:val="27"/>
          <w:lang w:eastAsia="fr-FR"/>
        </w:rPr>
      </w:pPr>
    </w:p>
    <w:p w:rsidR="007207F5" w:rsidRPr="00BF69EB"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BF69EB" w:rsidTr="007207F5">
        <w:trPr>
          <w:tblCellSpacing w:w="15" w:type="dxa"/>
        </w:trPr>
        <w:tc>
          <w:tcPr>
            <w:tcW w:w="1000" w:type="pct"/>
            <w:vAlign w:val="center"/>
            <w:hideMark/>
          </w:tcPr>
          <w:p w:rsidR="007207F5" w:rsidRPr="00BF69EB" w:rsidRDefault="00846F99" w:rsidP="007207F5">
            <w:pPr>
              <w:spacing w:after="0" w:line="240" w:lineRule="auto"/>
              <w:jc w:val="center"/>
              <w:rPr>
                <w:rFonts w:ascii="Times New Roman" w:eastAsia="Times New Roman" w:hAnsi="Times New Roman" w:cs="Times New Roman"/>
                <w:sz w:val="24"/>
                <w:szCs w:val="24"/>
              </w:rPr>
            </w:pPr>
            <w:hyperlink r:id="rId9" w:anchor="top" w:tgtFrame="_self" w:history="1">
              <w:r w:rsidR="00470715" w:rsidRPr="00BF69EB">
                <w:rPr>
                  <w:rFonts w:ascii="Times New Roman" w:hAnsi="Times New Roman"/>
                  <w:color w:val="0000FF"/>
                  <w:sz w:val="24"/>
                  <w:szCs w:val="24"/>
                  <w:u w:val="single"/>
                </w:rPr>
                <w:t>pradžia</w:t>
              </w:r>
            </w:hyperlink>
          </w:p>
        </w:tc>
        <w:tc>
          <w:tcPr>
            <w:tcW w:w="50" w:type="pct"/>
            <w:vAlign w:val="center"/>
            <w:hideMark/>
          </w:tcPr>
          <w:p w:rsidR="007207F5" w:rsidRPr="00BF69EB"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BF69EB" w:rsidRDefault="00846F99" w:rsidP="007207F5">
            <w:pPr>
              <w:spacing w:after="0" w:line="240" w:lineRule="auto"/>
              <w:jc w:val="center"/>
              <w:rPr>
                <w:rFonts w:ascii="Times New Roman" w:eastAsia="Times New Roman" w:hAnsi="Times New Roman" w:cs="Times New Roman"/>
                <w:sz w:val="24"/>
                <w:szCs w:val="24"/>
              </w:rPr>
            </w:pPr>
            <w:hyperlink r:id="rId10" w:anchor="hit1" w:tgtFrame="_self" w:history="1">
              <w:r w:rsidR="00470715" w:rsidRPr="00BF69EB">
                <w:rPr>
                  <w:rFonts w:ascii="Times New Roman" w:hAnsi="Times New Roman"/>
                  <w:color w:val="0000FF"/>
                  <w:sz w:val="24"/>
                  <w:szCs w:val="24"/>
                  <w:u w:val="single"/>
                </w:rPr>
                <w:t>pirmas žodis</w:t>
              </w:r>
            </w:hyperlink>
          </w:p>
        </w:tc>
        <w:tc>
          <w:tcPr>
            <w:tcW w:w="1000" w:type="pct"/>
            <w:vAlign w:val="center"/>
            <w:hideMark/>
          </w:tcPr>
          <w:p w:rsidR="007207F5" w:rsidRPr="00BF69EB" w:rsidRDefault="00846F99" w:rsidP="007207F5">
            <w:pPr>
              <w:spacing w:after="0" w:line="240" w:lineRule="auto"/>
              <w:jc w:val="center"/>
              <w:rPr>
                <w:rFonts w:ascii="Times New Roman" w:eastAsia="Times New Roman" w:hAnsi="Times New Roman" w:cs="Times New Roman"/>
                <w:sz w:val="24"/>
                <w:szCs w:val="24"/>
              </w:rPr>
            </w:pPr>
            <w:hyperlink r:id="rId11" w:anchor="hit0" w:tgtFrame="_self" w:history="1">
              <w:r w:rsidR="00470715" w:rsidRPr="00BF69EB">
                <w:rPr>
                  <w:rFonts w:ascii="Times New Roman" w:hAnsi="Times New Roman"/>
                  <w:color w:val="0000FF"/>
                  <w:sz w:val="24"/>
                  <w:szCs w:val="24"/>
                  <w:u w:val="single"/>
                </w:rPr>
                <w:t>paskutinis žodis</w:t>
              </w:r>
            </w:hyperlink>
          </w:p>
        </w:tc>
        <w:tc>
          <w:tcPr>
            <w:tcW w:w="50" w:type="pct"/>
            <w:vAlign w:val="center"/>
            <w:hideMark/>
          </w:tcPr>
          <w:p w:rsidR="007207F5" w:rsidRPr="00BF69EB"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BF69EB"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BF69EB">
              <w:rPr>
                <w:rFonts w:ascii="Times New Roman" w:hAnsi="Times New Roman"/>
                <w:b/>
                <w:bCs/>
                <w:color w:val="FF0000"/>
                <w:sz w:val="27"/>
                <w:szCs w:val="27"/>
              </w:rPr>
              <w:t>Paskelbta: 2019-05-17</w:t>
            </w:r>
          </w:p>
          <w:p w:rsidR="007207F5" w:rsidRPr="00BF69EB"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F69EB">
              <w:rPr>
                <w:rFonts w:ascii="Times New Roman" w:hAnsi="Times New Roman"/>
                <w:b/>
                <w:bCs/>
                <w:color w:val="FF0000"/>
                <w:sz w:val="27"/>
                <w:szCs w:val="27"/>
              </w:rPr>
              <w:t>Numac: 2019012059</w:t>
            </w:r>
          </w:p>
        </w:tc>
      </w:tr>
    </w:tbl>
    <w:p w:rsidR="00A97B31" w:rsidRPr="00BF69EB" w:rsidRDefault="00A97B31"/>
    <w:sectPr w:rsidR="00A97B31" w:rsidRPr="00BF69EB"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89A" w:rsidRDefault="00EF589A" w:rsidP="00CA6C25">
      <w:pPr>
        <w:spacing w:after="0" w:line="240" w:lineRule="auto"/>
      </w:pPr>
      <w:r>
        <w:separator/>
      </w:r>
    </w:p>
  </w:endnote>
  <w:endnote w:type="continuationSeparator" w:id="0">
    <w:p w:rsidR="00EF589A" w:rsidRDefault="00EF589A"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89A" w:rsidRDefault="00EF589A" w:rsidP="00CA6C25">
      <w:pPr>
        <w:spacing w:after="0" w:line="240" w:lineRule="auto"/>
      </w:pPr>
      <w:r>
        <w:separator/>
      </w:r>
    </w:p>
  </w:footnote>
  <w:footnote w:type="continuationSeparator" w:id="0">
    <w:p w:rsidR="00EF589A" w:rsidRDefault="00EF589A"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2715FE"/>
    <w:rsid w:val="002B4F80"/>
    <w:rsid w:val="002F0E9D"/>
    <w:rsid w:val="00324B0C"/>
    <w:rsid w:val="00470715"/>
    <w:rsid w:val="00550C1A"/>
    <w:rsid w:val="00566A2E"/>
    <w:rsid w:val="006F0EF7"/>
    <w:rsid w:val="007207F5"/>
    <w:rsid w:val="00846F99"/>
    <w:rsid w:val="008D5D77"/>
    <w:rsid w:val="009C2279"/>
    <w:rsid w:val="00A97B31"/>
    <w:rsid w:val="00B5487D"/>
    <w:rsid w:val="00BF69EB"/>
    <w:rsid w:val="00CA6C25"/>
    <w:rsid w:val="00D111D5"/>
    <w:rsid w:val="00E87A36"/>
    <w:rsid w:val="00EF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lt-L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lt-LT" w:eastAsia="en-US"/>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2247</Words>
  <Characters>17958</Characters>
  <Application>Microsoft Office Word</Application>
  <DocSecurity>0</DocSecurity>
  <Lines>855</Lines>
  <Paragraphs>696</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19509</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5</cp:revision>
  <dcterms:created xsi:type="dcterms:W3CDTF">2019-07-26T09:15:00Z</dcterms:created>
  <dcterms:modified xsi:type="dcterms:W3CDTF">2019-11-04T15:30:00Z</dcterms:modified>
</cp:coreProperties>
</file>