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43F" w14:textId="77777777" w:rsidR="006E7FC5" w:rsidRPr="00CF2667" w:rsidRDefault="006E7FC5" w:rsidP="006E7FC5">
      <w:pPr>
        <w:spacing w:after="0" w:line="240" w:lineRule="auto"/>
        <w:jc w:val="center"/>
        <w:rPr>
          <w:rFonts w:eastAsia="Calibri"/>
          <w:b/>
        </w:rPr>
      </w:pPr>
      <w:r>
        <w:rPr>
          <w:b/>
        </w:rPr>
        <w:t>Regulatiivküsimuste Järelevalveameti presidendi SZTFH määrus nr</w:t>
      </w:r>
    </w:p>
    <w:p w14:paraId="78A2EE9D" w14:textId="77777777" w:rsidR="006E7FC5" w:rsidRPr="00CF2667" w:rsidRDefault="006E7FC5" w:rsidP="006E7FC5">
      <w:pPr>
        <w:spacing w:after="0" w:line="240" w:lineRule="auto"/>
        <w:jc w:val="center"/>
        <w:rPr>
          <w:rFonts w:eastAsia="Calibri"/>
          <w:b/>
        </w:rPr>
      </w:pPr>
    </w:p>
    <w:p w14:paraId="1DA8F30D" w14:textId="77777777" w:rsidR="006E7FC5" w:rsidRPr="00CF2667" w:rsidRDefault="006E7FC5" w:rsidP="006E7FC5">
      <w:pPr>
        <w:spacing w:after="0" w:line="240" w:lineRule="auto"/>
        <w:jc w:val="center"/>
        <w:rPr>
          <w:rFonts w:eastAsia="Calibri"/>
          <w:b/>
        </w:rPr>
      </w:pPr>
      <w:r>
        <w:rPr>
          <w:b/>
        </w:rPr>
        <w:t>.../2023 (...),</w:t>
      </w:r>
    </w:p>
    <w:p w14:paraId="7580F07E" w14:textId="77777777" w:rsidR="006E7FC5" w:rsidRPr="00CF2667" w:rsidRDefault="006E7FC5" w:rsidP="006E7FC5">
      <w:pPr>
        <w:spacing w:after="0" w:line="240" w:lineRule="auto"/>
        <w:jc w:val="center"/>
        <w:rPr>
          <w:rFonts w:eastAsia="Calibri"/>
          <w:b/>
        </w:rPr>
      </w:pPr>
    </w:p>
    <w:p w14:paraId="6E970982" w14:textId="77777777" w:rsidR="006E7FC5" w:rsidRPr="00CF2667" w:rsidRDefault="006E7FC5" w:rsidP="006E7FC5">
      <w:pPr>
        <w:spacing w:after="0" w:line="240" w:lineRule="auto"/>
        <w:jc w:val="center"/>
        <w:rPr>
          <w:rFonts w:eastAsia="Calibri"/>
          <w:b/>
        </w:rPr>
      </w:pPr>
      <w:r>
        <w:rPr>
          <w:b/>
        </w:rPr>
        <w:t>millega muudetakse SZTFH 29. oktoobri 2021. aasta määrust nr 20/2021 teatavate hasartmängude lubamise, haldamise ja kontrolliga seotud ülesannete täitmise kohta</w:t>
      </w:r>
    </w:p>
    <w:p w14:paraId="3354A442" w14:textId="77777777" w:rsidR="006E7FC5" w:rsidRPr="00CF2667" w:rsidRDefault="006E7FC5" w:rsidP="006E7FC5">
      <w:pPr>
        <w:spacing w:after="0" w:line="240" w:lineRule="auto"/>
        <w:jc w:val="center"/>
        <w:rPr>
          <w:rFonts w:eastAsia="Calibri"/>
          <w:b/>
        </w:rPr>
      </w:pPr>
    </w:p>
    <w:p w14:paraId="27B80967" w14:textId="77777777" w:rsidR="00BE630A" w:rsidRDefault="00BE630A" w:rsidP="00BE630A">
      <w:pPr>
        <w:spacing w:after="0" w:line="240" w:lineRule="auto"/>
        <w:jc w:val="both"/>
        <w:rPr>
          <w:rFonts w:eastAsia="Calibri"/>
        </w:rPr>
      </w:pPr>
    </w:p>
    <w:p w14:paraId="5A4D706F" w14:textId="77777777" w:rsidR="00BE630A" w:rsidRDefault="00BE630A" w:rsidP="00BE630A">
      <w:pPr>
        <w:spacing w:after="0" w:line="240" w:lineRule="auto"/>
        <w:jc w:val="both"/>
        <w:rPr>
          <w:rFonts w:eastAsia="Calibri"/>
        </w:rPr>
      </w:pPr>
      <w:r>
        <w:t xml:space="preserve">1991. aasta XXXIV seaduse (mis käsitleb hasartmängutegevust) paragrahvi 38 lõike 2 punktide a ja b alusel antud loa alusel, </w:t>
      </w:r>
    </w:p>
    <w:p w14:paraId="67DF3F1E" w14:textId="258A6756" w:rsidR="00BE630A" w:rsidRDefault="00BE630A" w:rsidP="00BE630A">
      <w:pPr>
        <w:spacing w:after="0" w:line="240" w:lineRule="auto"/>
        <w:jc w:val="both"/>
        <w:rPr>
          <w:rFonts w:eastAsia="Calibri"/>
        </w:rPr>
      </w:pPr>
      <w:r>
        <w:t>seoses paragrahvide 2 ja 3 ning paragrahvi 13 punktiga b alusel toimuva hasartmängutegevusega, mis põhineb 1991. aasta XXXIV seaduse (mis käsitleb hasartmängutegevust) paragrahvi 38 lõike 2 punkti d alusel antud loal;</w:t>
      </w:r>
    </w:p>
    <w:p w14:paraId="7A855835" w14:textId="77777777" w:rsidR="00BE630A" w:rsidRDefault="00BE630A" w:rsidP="00BE630A">
      <w:pPr>
        <w:spacing w:after="0" w:line="240" w:lineRule="auto"/>
        <w:jc w:val="both"/>
        <w:rPr>
          <w:rFonts w:eastAsia="Calibri"/>
        </w:rPr>
      </w:pPr>
      <w:r>
        <w:t>seoses paragrahvide 4 kuni 10 ning paragrahvi 12 alusel toimuva hasartmängutegevusega, mis põhineb 1991. aasta XXXIV seaduse (mis käsitleb hasartmängutegevust) paragrahvi 38 lõike 2 punkti g alusel antud loal;</w:t>
      </w:r>
    </w:p>
    <w:p w14:paraId="6895E230" w14:textId="77777777" w:rsidR="00BE630A" w:rsidRDefault="00BE630A" w:rsidP="00BE630A">
      <w:pPr>
        <w:spacing w:after="0" w:line="240" w:lineRule="auto"/>
        <w:jc w:val="both"/>
        <w:rPr>
          <w:rFonts w:eastAsia="Calibri"/>
        </w:rPr>
      </w:pPr>
      <w:r>
        <w:t>ning tegutsedes oma ülesannete raames, mis on määratletud 2021. aasta XXXII seaduse (regulatiivse järelevalveasutuse kohta) paragrahvis 13 punktides i ja n,</w:t>
      </w:r>
    </w:p>
    <w:p w14:paraId="59132BDE" w14:textId="77777777" w:rsidR="00BE630A" w:rsidRDefault="00BE630A" w:rsidP="00BE630A">
      <w:pPr>
        <w:spacing w:after="0" w:line="240" w:lineRule="auto"/>
        <w:jc w:val="both"/>
        <w:rPr>
          <w:rFonts w:eastAsia="Calibri"/>
        </w:rPr>
      </w:pPr>
      <w:r>
        <w:t>teen järgmise otsuse:</w:t>
      </w:r>
    </w:p>
    <w:p w14:paraId="0EB70FA2" w14:textId="77777777" w:rsidR="00BE630A" w:rsidRPr="00CF2667" w:rsidRDefault="00BE630A" w:rsidP="006E7FC5">
      <w:pPr>
        <w:spacing w:after="0" w:line="240" w:lineRule="auto"/>
        <w:jc w:val="both"/>
        <w:rPr>
          <w:rFonts w:eastAsia="Calibri"/>
        </w:rPr>
      </w:pPr>
    </w:p>
    <w:p w14:paraId="66058B66" w14:textId="77777777" w:rsidR="006E7FC5" w:rsidRPr="00CF2667" w:rsidRDefault="006E7FC5" w:rsidP="006E7FC5">
      <w:pPr>
        <w:spacing w:after="0" w:line="240" w:lineRule="auto"/>
        <w:jc w:val="center"/>
        <w:rPr>
          <w:rFonts w:eastAsia="Calibri"/>
          <w:b/>
        </w:rPr>
      </w:pPr>
      <w:r>
        <w:rPr>
          <w:b/>
        </w:rPr>
        <w:t>§ 1</w:t>
      </w:r>
    </w:p>
    <w:p w14:paraId="7DC1A809" w14:textId="77777777" w:rsidR="00C9669B" w:rsidRPr="00CF2667" w:rsidRDefault="00C9669B" w:rsidP="006E7FC5">
      <w:pPr>
        <w:spacing w:after="0" w:line="240" w:lineRule="auto"/>
        <w:jc w:val="center"/>
        <w:rPr>
          <w:rFonts w:eastAsia="Calibri"/>
          <w:b/>
        </w:rPr>
      </w:pPr>
    </w:p>
    <w:p w14:paraId="09585543" w14:textId="0173393E" w:rsidR="00C9669B" w:rsidRPr="00CF2667" w:rsidRDefault="00C9669B" w:rsidP="00C9669B">
      <w:pPr>
        <w:spacing w:after="0" w:line="240" w:lineRule="auto"/>
        <w:jc w:val="both"/>
        <w:rPr>
          <w:rFonts w:eastAsia="Calibri"/>
        </w:rPr>
      </w:pPr>
      <w:r>
        <w:t>SZTFH 29. oktoobri 2021. aasta määruse nr 20/2021 (teatavate hasartmängude lubamise, haldamise ja kontrolliga seotud ülesannete täitmise kohta) I peatükki lisatakse uus paragrahv 2/A (edaspidi: rakendusmäärus), mis sõnastatakse järgmiselt:</w:t>
      </w:r>
    </w:p>
    <w:p w14:paraId="1CCBA5B6" w14:textId="77777777" w:rsidR="00C9669B" w:rsidRPr="00CF2667" w:rsidRDefault="00C9669B" w:rsidP="00C9669B">
      <w:pPr>
        <w:spacing w:after="0" w:line="240" w:lineRule="auto"/>
        <w:jc w:val="both"/>
        <w:rPr>
          <w:rFonts w:eastAsia="Calibri"/>
        </w:rPr>
      </w:pPr>
    </w:p>
    <w:p w14:paraId="4BA0FDB3" w14:textId="42989738" w:rsidR="00C9669B" w:rsidRPr="00CF2667" w:rsidRDefault="00C9669B" w:rsidP="00C9669B">
      <w:pPr>
        <w:spacing w:after="0" w:line="240" w:lineRule="auto"/>
        <w:jc w:val="both"/>
        <w:rPr>
          <w:rFonts w:eastAsia="Calibri"/>
          <w:b/>
        </w:rPr>
      </w:pPr>
      <w:r>
        <w:t>„§ 2/A Kui ettevõtjal on lubatud korraldada korraga mitut õnnemängu, registreerib ta ja peab arvestust iga õnnemängu tulude ja tegelike kulude kohta kontrollitaval viisil ja üksteisest eraldi, sõltumata tema muust tegevusest.“</w:t>
      </w:r>
    </w:p>
    <w:p w14:paraId="7A3199E9" w14:textId="77777777" w:rsidR="00421C27" w:rsidRPr="00CF2667" w:rsidRDefault="00421C27" w:rsidP="006E7FC5">
      <w:pPr>
        <w:spacing w:after="0" w:line="240" w:lineRule="auto"/>
        <w:jc w:val="center"/>
        <w:rPr>
          <w:rFonts w:eastAsia="Calibri"/>
          <w:b/>
        </w:rPr>
      </w:pPr>
    </w:p>
    <w:p w14:paraId="5BEA7056" w14:textId="77777777" w:rsidR="00421C27" w:rsidRPr="00CF2667" w:rsidRDefault="007F34EE" w:rsidP="006E7FC5">
      <w:pPr>
        <w:spacing w:after="0" w:line="240" w:lineRule="auto"/>
        <w:jc w:val="center"/>
        <w:rPr>
          <w:rFonts w:eastAsia="Calibri"/>
          <w:b/>
        </w:rPr>
      </w:pPr>
      <w:r>
        <w:rPr>
          <w:b/>
        </w:rPr>
        <w:t>§ 2</w:t>
      </w:r>
    </w:p>
    <w:p w14:paraId="4BE47446" w14:textId="77777777" w:rsidR="006E7FC5" w:rsidRPr="00CF2667" w:rsidRDefault="006E7FC5" w:rsidP="006E7FC5">
      <w:pPr>
        <w:spacing w:after="0" w:line="240" w:lineRule="auto"/>
        <w:jc w:val="both"/>
        <w:rPr>
          <w:rFonts w:eastAsia="Calibri"/>
        </w:rPr>
      </w:pPr>
    </w:p>
    <w:p w14:paraId="164D83E3" w14:textId="6FB86AC7" w:rsidR="00591010" w:rsidRPr="00CF2667" w:rsidRDefault="00591010" w:rsidP="00991F71">
      <w:pPr>
        <w:spacing w:after="0" w:line="240" w:lineRule="auto"/>
        <w:jc w:val="both"/>
      </w:pPr>
      <w:r>
        <w:t>(1) Rakendusmääruse § 13 lõige 3 asendatakse järgmisega:</w:t>
      </w:r>
    </w:p>
    <w:p w14:paraId="36C968DE" w14:textId="77777777" w:rsidR="00D67727" w:rsidRPr="00CF2667" w:rsidRDefault="00D67727" w:rsidP="00591010">
      <w:pPr>
        <w:tabs>
          <w:tab w:val="center" w:pos="6096"/>
        </w:tabs>
        <w:spacing w:after="0" w:line="240" w:lineRule="auto"/>
        <w:jc w:val="both"/>
      </w:pPr>
    </w:p>
    <w:p w14:paraId="67C8D879" w14:textId="77777777" w:rsidR="00591010" w:rsidRPr="00CF2667" w:rsidRDefault="005F7926" w:rsidP="00591010">
      <w:pPr>
        <w:tabs>
          <w:tab w:val="center" w:pos="6096"/>
        </w:tabs>
        <w:spacing w:after="0" w:line="240" w:lineRule="auto"/>
        <w:jc w:val="both"/>
      </w:pPr>
      <w:r>
        <w:t>„3) Loteriipileteid saab toota ainult arvutiga kontrollitud suletud tehnoloogia abil, mis tagab:</w:t>
      </w:r>
    </w:p>
    <w:p w14:paraId="1F259345" w14:textId="77777777" w:rsidR="00173F50" w:rsidRPr="00CF2667" w:rsidRDefault="00173F50" w:rsidP="00591010">
      <w:pPr>
        <w:tabs>
          <w:tab w:val="center" w:pos="6096"/>
        </w:tabs>
        <w:spacing w:after="0" w:line="240" w:lineRule="auto"/>
        <w:jc w:val="both"/>
      </w:pPr>
    </w:p>
    <w:p w14:paraId="7F8F7476" w14:textId="77777777" w:rsidR="00591010" w:rsidRPr="00CF2667" w:rsidRDefault="00591010" w:rsidP="00591010">
      <w:pPr>
        <w:tabs>
          <w:tab w:val="center" w:pos="6096"/>
        </w:tabs>
        <w:spacing w:after="0" w:line="240" w:lineRule="auto"/>
        <w:jc w:val="both"/>
      </w:pPr>
      <w:r>
        <w:rPr>
          <w:i/>
        </w:rPr>
        <w:t xml:space="preserve">(a) </w:t>
      </w:r>
      <w:r>
        <w:t xml:space="preserve"> hasartmänguseaduses täpsustatud võidusumma;</w:t>
      </w:r>
    </w:p>
    <w:p w14:paraId="3D73CE20" w14:textId="77777777" w:rsidR="00591010" w:rsidRPr="00CF2667" w:rsidRDefault="00591010" w:rsidP="00591010">
      <w:pPr>
        <w:tabs>
          <w:tab w:val="center" w:pos="6096"/>
        </w:tabs>
        <w:spacing w:after="0" w:line="240" w:lineRule="auto"/>
        <w:jc w:val="both"/>
      </w:pPr>
      <w:r>
        <w:rPr>
          <w:i/>
        </w:rPr>
        <w:t xml:space="preserve">(b) </w:t>
      </w:r>
      <w:r>
        <w:t xml:space="preserve"> võitvate loteriipiletite ühtlase jaotumise võiduklassi kohta lubatud koguse või seeria piires vastavalt mänguplaanile; ja</w:t>
      </w:r>
    </w:p>
    <w:p w14:paraId="1EB773D3" w14:textId="77777777" w:rsidR="00591010" w:rsidRPr="00CF2667" w:rsidRDefault="00591010" w:rsidP="00591010">
      <w:pPr>
        <w:tabs>
          <w:tab w:val="center" w:pos="6096"/>
        </w:tabs>
        <w:spacing w:after="0" w:line="240" w:lineRule="auto"/>
        <w:jc w:val="both"/>
      </w:pPr>
      <w:r>
        <w:rPr>
          <w:i/>
        </w:rPr>
        <w:t xml:space="preserve">(c) </w:t>
      </w:r>
      <w:r>
        <w:t>selle, et täielik seeria loteriipileteid toodetakse suletud tootmisprotsessis, mis võimaldab tuvastada võiduga loteriipileteid alles pärast seda, kui virtuaalne või füüsiline kate on eemaldatud.“</w:t>
      </w:r>
    </w:p>
    <w:p w14:paraId="7EE32317" w14:textId="77777777" w:rsidR="00C012D4" w:rsidRPr="00CF2667" w:rsidRDefault="00C012D4" w:rsidP="00591010">
      <w:pPr>
        <w:tabs>
          <w:tab w:val="center" w:pos="6096"/>
        </w:tabs>
        <w:spacing w:after="0" w:line="240" w:lineRule="auto"/>
        <w:jc w:val="both"/>
        <w:rPr>
          <w:u w:val="single"/>
        </w:rPr>
      </w:pPr>
    </w:p>
    <w:p w14:paraId="6AC62775" w14:textId="10E53AA6" w:rsidR="00C012D4" w:rsidRPr="00CF2667" w:rsidRDefault="00C012D4" w:rsidP="00C012D4">
      <w:pPr>
        <w:spacing w:after="0"/>
        <w:jc w:val="both"/>
      </w:pPr>
      <w:r>
        <w:t>(2) Rakendusmääruse artiklisse 13 lisatakse lõiked 10 ja 11:</w:t>
      </w:r>
    </w:p>
    <w:p w14:paraId="4EE4A851" w14:textId="77777777" w:rsidR="00B82D5A" w:rsidRPr="00CF2667" w:rsidRDefault="00B82D5A" w:rsidP="00C012D4">
      <w:pPr>
        <w:spacing w:after="0"/>
        <w:jc w:val="both"/>
      </w:pPr>
    </w:p>
    <w:p w14:paraId="351A0C29" w14:textId="5227B30D" w:rsidR="00C012D4" w:rsidRPr="00CF2667" w:rsidRDefault="00C012D4" w:rsidP="00C012D4">
      <w:pPr>
        <w:tabs>
          <w:tab w:val="center" w:pos="6096"/>
        </w:tabs>
        <w:spacing w:after="0" w:line="240" w:lineRule="auto"/>
        <w:jc w:val="both"/>
      </w:pPr>
      <w:r>
        <w:t xml:space="preserve">„10) Lõikeid 2–4 ja lõike 5 punkte a ja b kohaldatakse mutatis mutandis põhimõtetel sidevahendite ja -süsteemide abil müüdavate kraapekaartide suhtes, kusjuures loteriid salvestatakse ja lastakse turule sidevahendite ja -süsteemide kaudu ning lõike 5 punktis a esitatud dokumendid esitatakse hasartmänguasutusele loa andmise menetluse käigus. </w:t>
      </w:r>
    </w:p>
    <w:p w14:paraId="386CFFD5" w14:textId="77777777" w:rsidR="00BE630A" w:rsidRDefault="00BE630A" w:rsidP="00203C3F">
      <w:pPr>
        <w:tabs>
          <w:tab w:val="center" w:pos="6096"/>
        </w:tabs>
        <w:spacing w:after="0" w:line="240" w:lineRule="auto"/>
        <w:jc w:val="both"/>
      </w:pPr>
    </w:p>
    <w:p w14:paraId="4351477A" w14:textId="1A3C832B" w:rsidR="006E7FC5" w:rsidRPr="00CF2667" w:rsidRDefault="00C012D4" w:rsidP="00203C3F">
      <w:pPr>
        <w:tabs>
          <w:tab w:val="center" w:pos="6096"/>
        </w:tabs>
        <w:spacing w:after="0" w:line="240" w:lineRule="auto"/>
        <w:jc w:val="both"/>
      </w:pPr>
      <w:r>
        <w:lastRenderedPageBreak/>
        <w:t>(11) Käesoleva määruse kaughasartmängude ja veebipõhiste kasiinomängude auditeerimist käsitlevate sätete hulgast kohaldatakse sideseadmete ja -süsteemide kaudu müüdavate kraapekaartide suhtes käesoleva määruse paragrahvi 15 lõikeid 2 ja 3, 2. lisa, 3. lisa punkti I, punkti II alapunkti a ja punkti III alapunkti c, 4. lisa punkti II alapunkti 1 punkte f ja h ning punkti 2 alapunkte a-c.“</w:t>
      </w:r>
    </w:p>
    <w:p w14:paraId="202FF135" w14:textId="77777777" w:rsidR="00431B0E" w:rsidRPr="00CF2667" w:rsidRDefault="00431B0E" w:rsidP="00203C3F">
      <w:pPr>
        <w:tabs>
          <w:tab w:val="center" w:pos="6096"/>
        </w:tabs>
        <w:spacing w:after="0" w:line="240" w:lineRule="auto"/>
        <w:jc w:val="both"/>
        <w:rPr>
          <w:rFonts w:eastAsia="Calibri"/>
        </w:rPr>
      </w:pPr>
    </w:p>
    <w:p w14:paraId="6A454895" w14:textId="77777777" w:rsidR="006E7FC5" w:rsidRPr="00CF2667" w:rsidRDefault="00C9669B" w:rsidP="006E7FC5">
      <w:pPr>
        <w:spacing w:after="0" w:line="240" w:lineRule="auto"/>
        <w:jc w:val="center"/>
        <w:rPr>
          <w:rFonts w:eastAsia="Calibri"/>
          <w:b/>
        </w:rPr>
      </w:pPr>
      <w:r>
        <w:rPr>
          <w:b/>
        </w:rPr>
        <w:t>§ 3</w:t>
      </w:r>
    </w:p>
    <w:p w14:paraId="7EFE5D28" w14:textId="77777777" w:rsidR="006E7FC5" w:rsidRPr="00CF2667" w:rsidRDefault="006E7FC5" w:rsidP="006E7FC5">
      <w:pPr>
        <w:spacing w:after="0" w:line="240" w:lineRule="auto"/>
        <w:jc w:val="both"/>
        <w:rPr>
          <w:rFonts w:eastAsia="Calibri"/>
        </w:rPr>
      </w:pPr>
    </w:p>
    <w:p w14:paraId="7F48D059" w14:textId="580CD7E8" w:rsidR="006E7FC5" w:rsidRPr="00CF2667" w:rsidRDefault="00B82D5A" w:rsidP="006E7FC5">
      <w:pPr>
        <w:spacing w:after="0" w:line="240" w:lineRule="auto"/>
        <w:jc w:val="both"/>
        <w:rPr>
          <w:rFonts w:eastAsia="Calibri"/>
        </w:rPr>
      </w:pPr>
      <w:r>
        <w:t>Rakendusmääruse III peatükki lisatakse järgmine jagu 7/A:</w:t>
      </w:r>
    </w:p>
    <w:p w14:paraId="276DDA3F" w14:textId="77777777" w:rsidR="006E7FC5" w:rsidRPr="00CF2667" w:rsidRDefault="006E7FC5" w:rsidP="006E7FC5">
      <w:pPr>
        <w:spacing w:after="0" w:line="240" w:lineRule="auto"/>
        <w:jc w:val="both"/>
        <w:rPr>
          <w:rFonts w:eastAsia="Calibri"/>
        </w:rPr>
      </w:pPr>
    </w:p>
    <w:p w14:paraId="3C5A7CBA" w14:textId="4E8E5C4B" w:rsidR="00B82D5A" w:rsidRPr="00CF2667" w:rsidRDefault="00B82D5A" w:rsidP="00B82D5A">
      <w:pPr>
        <w:spacing w:after="0" w:line="240" w:lineRule="auto"/>
        <w:jc w:val="center"/>
        <w:rPr>
          <w:bCs/>
        </w:rPr>
      </w:pPr>
      <w:r>
        <w:t>„§ 7/A Erieeskirjad üksnes sidevahendite ja -süsteemide kaudu müüdavate loteriimängude kohta</w:t>
      </w:r>
    </w:p>
    <w:p w14:paraId="766FBD3D" w14:textId="77777777" w:rsidR="00B82D5A" w:rsidRPr="00CF2667" w:rsidRDefault="00B82D5A" w:rsidP="00B82D5A">
      <w:pPr>
        <w:spacing w:after="0" w:line="240" w:lineRule="auto"/>
        <w:jc w:val="both"/>
        <w:rPr>
          <w:bCs/>
        </w:rPr>
      </w:pPr>
    </w:p>
    <w:p w14:paraId="37BBCCEA" w14:textId="111517D0" w:rsidR="00B82D5A" w:rsidRPr="00CF2667" w:rsidRDefault="008126DB" w:rsidP="00B82D5A">
      <w:pPr>
        <w:spacing w:after="0" w:line="240" w:lineRule="auto"/>
        <w:jc w:val="both"/>
        <w:rPr>
          <w:bCs/>
        </w:rPr>
      </w:pPr>
      <w:r>
        <w:t>§ 13/A Eksklusiivsete sidevahendite ja -süsteemide kaudu müüdavate loteriimängude puhul kohalduvad paragrahvi 15 lõike 2 punkt a, 2. lisa, 3. lisa punkt I ja punkti II alapunkt A ning punkt III(c</w:t>
      </w:r>
      <w:r>
        <w:rPr>
          <w:i/>
        </w:rPr>
        <w:t>)</w:t>
      </w:r>
      <w:r>
        <w:t>, 4. lisa punkti II alapunktid (1)(f) ja (h) ja lõike 2 punktid a kuni c.“</w:t>
      </w:r>
    </w:p>
    <w:p w14:paraId="3AB0FB4F" w14:textId="77777777" w:rsidR="006E7FC5" w:rsidRPr="00CF2667" w:rsidRDefault="006E7FC5" w:rsidP="006E7FC5">
      <w:pPr>
        <w:spacing w:after="0" w:line="240" w:lineRule="auto"/>
        <w:jc w:val="both"/>
        <w:rPr>
          <w:rFonts w:eastAsia="Calibri"/>
        </w:rPr>
      </w:pPr>
    </w:p>
    <w:p w14:paraId="32A5D86C" w14:textId="77777777" w:rsidR="006E7FC5" w:rsidRPr="00CF2667" w:rsidRDefault="00C9669B" w:rsidP="006E7FC5">
      <w:pPr>
        <w:spacing w:after="0" w:line="240" w:lineRule="auto"/>
        <w:jc w:val="center"/>
        <w:rPr>
          <w:rFonts w:eastAsia="Calibri"/>
          <w:b/>
        </w:rPr>
      </w:pPr>
      <w:r>
        <w:rPr>
          <w:b/>
        </w:rPr>
        <w:t>§ 4</w:t>
      </w:r>
    </w:p>
    <w:p w14:paraId="1F6C6F18" w14:textId="77777777" w:rsidR="00447FE9" w:rsidRPr="00CF2667" w:rsidRDefault="00447FE9" w:rsidP="00447FE9">
      <w:pPr>
        <w:spacing w:after="0" w:line="240" w:lineRule="auto"/>
        <w:jc w:val="both"/>
        <w:rPr>
          <w:rFonts w:eastAsia="Calibri"/>
          <w:b/>
        </w:rPr>
      </w:pPr>
    </w:p>
    <w:p w14:paraId="1DEEA69D" w14:textId="147BF699" w:rsidR="00447FE9" w:rsidRPr="00CF2667" w:rsidRDefault="00447FE9" w:rsidP="00447FE9">
      <w:pPr>
        <w:jc w:val="both"/>
      </w:pPr>
      <w:r>
        <w:t>Rakendusmääruse jakku 9/C lisatakse uus paragrahv 16/F, mis sõnastatakse järgmiselt:</w:t>
      </w:r>
    </w:p>
    <w:p w14:paraId="677AA608" w14:textId="7DEB23EE" w:rsidR="00447FE9" w:rsidRPr="00CF2667" w:rsidRDefault="00447FE9" w:rsidP="00447FE9">
      <w:pPr>
        <w:jc w:val="both"/>
      </w:pPr>
      <w:r>
        <w:t>„§ 16/F Varase makse korral on hasartmängukorraldaja kohustatud sellele funktsioonile mängija tähelepanu reklaamides selgelt juhtima, kuna selle funktsiooni kasutamisega kaasneb suurem risk liigseks hasartmänguks ja sõltuvuseks, ning see teave esitatakse reklaami tekstis tekstiga samas kirjatüübis. Hasartmängukorraldaja teeb mängijale hasartmängude veebisaidil kättesaadavaks ka teabe selle kohta, et selle funktsiooni kasutamisega kaasneb suurem risk liigseks hasartmänguks ja sõltuvuseks.“</w:t>
      </w:r>
    </w:p>
    <w:p w14:paraId="6740684E" w14:textId="77777777" w:rsidR="0018214B" w:rsidRPr="00CF2667" w:rsidRDefault="00C9669B" w:rsidP="0018214B">
      <w:pPr>
        <w:spacing w:after="0" w:line="240" w:lineRule="auto"/>
        <w:jc w:val="center"/>
        <w:rPr>
          <w:rFonts w:eastAsia="Calibri"/>
          <w:b/>
        </w:rPr>
      </w:pPr>
      <w:r>
        <w:rPr>
          <w:b/>
        </w:rPr>
        <w:t>§ 5</w:t>
      </w:r>
    </w:p>
    <w:p w14:paraId="2CEE6BA7" w14:textId="77777777" w:rsidR="00447FE9" w:rsidRPr="00CF2667" w:rsidRDefault="00447FE9" w:rsidP="00447FE9">
      <w:pPr>
        <w:spacing w:after="0" w:line="240" w:lineRule="auto"/>
        <w:jc w:val="both"/>
        <w:rPr>
          <w:rFonts w:eastAsia="Calibri"/>
          <w:b/>
        </w:rPr>
      </w:pPr>
    </w:p>
    <w:p w14:paraId="51A4AE0C" w14:textId="77777777" w:rsidR="0018214B" w:rsidRPr="00CF2667" w:rsidRDefault="0018214B" w:rsidP="0018214B">
      <w:pPr>
        <w:spacing w:after="0"/>
        <w:jc w:val="both"/>
      </w:pPr>
      <w:r>
        <w:t>(1) Rakendusmääruse § 22 lõike 1 punkt c asendatakse järgmisega:</w:t>
      </w:r>
    </w:p>
    <w:p w14:paraId="35B5EE08" w14:textId="77777777" w:rsidR="0018214B" w:rsidRPr="00CF2667" w:rsidRDefault="0018214B" w:rsidP="00447FE9">
      <w:pPr>
        <w:spacing w:after="0" w:line="240" w:lineRule="auto"/>
        <w:jc w:val="both"/>
        <w:rPr>
          <w:rFonts w:eastAsia="Calibri"/>
          <w:b/>
        </w:rPr>
      </w:pPr>
    </w:p>
    <w:p w14:paraId="1F79836C" w14:textId="77777777" w:rsidR="0018214B" w:rsidRPr="00CF2667" w:rsidRDefault="003A5B78" w:rsidP="0018214B">
      <w:pPr>
        <w:spacing w:after="0" w:line="240" w:lineRule="auto"/>
        <w:jc w:val="both"/>
        <w:rPr>
          <w:i/>
        </w:rPr>
      </w:pPr>
      <w:r>
        <w:rPr>
          <w:i/>
        </w:rPr>
        <w:t>(Kui ettevõtja avastab pärast registreerimist, et registri andmete sisu näitab eeskirjade eiramisi, sest)</w:t>
      </w:r>
    </w:p>
    <w:p w14:paraId="13B389E6" w14:textId="77777777" w:rsidR="00173F50" w:rsidRPr="00CF2667" w:rsidRDefault="00173F50" w:rsidP="0018214B">
      <w:pPr>
        <w:spacing w:after="0" w:line="240" w:lineRule="auto"/>
        <w:jc w:val="both"/>
      </w:pPr>
    </w:p>
    <w:p w14:paraId="69BDF0DA" w14:textId="77777777" w:rsidR="0018214B" w:rsidRPr="00CF2667" w:rsidRDefault="003A5B78" w:rsidP="0018214B">
      <w:pPr>
        <w:spacing w:after="0" w:line="240" w:lineRule="auto"/>
        <w:jc w:val="both"/>
      </w:pPr>
      <w:r>
        <w:t>„</w:t>
      </w:r>
      <w:r>
        <w:rPr>
          <w:i/>
        </w:rPr>
        <w:t xml:space="preserve"> (c) </w:t>
      </w:r>
      <w:r>
        <w:t xml:space="preserve"> sama mängija on registreeritud mitu korda sama mängu või sama mängija saldo jaoks.“</w:t>
      </w:r>
    </w:p>
    <w:p w14:paraId="36CDD328" w14:textId="77777777" w:rsidR="00173F50" w:rsidRPr="00CF2667" w:rsidRDefault="00173F50" w:rsidP="0018214B">
      <w:pPr>
        <w:spacing w:after="0" w:line="240" w:lineRule="auto"/>
        <w:jc w:val="both"/>
        <w:rPr>
          <w:i/>
        </w:rPr>
      </w:pPr>
    </w:p>
    <w:p w14:paraId="112A77F5" w14:textId="77777777" w:rsidR="0018214B" w:rsidRPr="00CF2667" w:rsidRDefault="003A5B78" w:rsidP="0018214B">
      <w:pPr>
        <w:spacing w:after="0" w:line="240" w:lineRule="auto"/>
        <w:jc w:val="both"/>
        <w:rPr>
          <w:i/>
        </w:rPr>
      </w:pPr>
      <w:r>
        <w:rPr>
          <w:i/>
        </w:rPr>
        <w:t>(mängija saldo peatatakse kohe.)</w:t>
      </w:r>
    </w:p>
    <w:p w14:paraId="25489DFD" w14:textId="77777777" w:rsidR="00447FE9" w:rsidRPr="00CF2667" w:rsidRDefault="00447FE9" w:rsidP="0018214B">
      <w:pPr>
        <w:spacing w:after="0" w:line="240" w:lineRule="auto"/>
        <w:jc w:val="both"/>
        <w:rPr>
          <w:rFonts w:eastAsia="Calibri"/>
          <w:b/>
        </w:rPr>
      </w:pPr>
    </w:p>
    <w:p w14:paraId="6DE1BE49" w14:textId="77777777" w:rsidR="0018214B" w:rsidRPr="00CF2667" w:rsidRDefault="0018214B" w:rsidP="0018214B">
      <w:pPr>
        <w:spacing w:after="0" w:line="240" w:lineRule="auto"/>
        <w:jc w:val="both"/>
        <w:rPr>
          <w:rFonts w:eastAsia="Calibri"/>
        </w:rPr>
      </w:pPr>
      <w:r>
        <w:t>(2) Rakendusmääruse § 22 lõige 2 asendatakse järgmisega:</w:t>
      </w:r>
    </w:p>
    <w:p w14:paraId="084DEC63" w14:textId="77777777" w:rsidR="0018214B" w:rsidRPr="00CF2667" w:rsidRDefault="0018214B" w:rsidP="0018214B">
      <w:pPr>
        <w:spacing w:after="0" w:line="240" w:lineRule="auto"/>
        <w:jc w:val="both"/>
        <w:rPr>
          <w:rFonts w:eastAsia="Calibri"/>
        </w:rPr>
      </w:pPr>
    </w:p>
    <w:p w14:paraId="30723ACD" w14:textId="77777777" w:rsidR="0018214B" w:rsidRPr="00CF2667" w:rsidRDefault="0018214B" w:rsidP="0018214B">
      <w:pPr>
        <w:spacing w:after="0" w:line="240" w:lineRule="auto"/>
        <w:jc w:val="both"/>
      </w:pPr>
      <w:r>
        <w:t>„2) Mitmekordse registreerimise korral vastavalt lõike 1 punktile c rakendatakse mängija suhtes meetmeid mängija saldo lõplikuks sulgemiseks, arveldamiseks ja mängust väljajätmiseks ning mõjutatud mängija saldot nii, et mängus osalemiseks on saadaval ainult ühe mängija saldo.“</w:t>
      </w:r>
    </w:p>
    <w:p w14:paraId="2946A417" w14:textId="77777777" w:rsidR="006E7FC5" w:rsidRPr="00CF2667" w:rsidRDefault="006E7FC5" w:rsidP="006E7FC5">
      <w:pPr>
        <w:spacing w:after="0" w:line="240" w:lineRule="auto"/>
        <w:jc w:val="both"/>
        <w:rPr>
          <w:rFonts w:eastAsia="Calibri"/>
        </w:rPr>
      </w:pPr>
    </w:p>
    <w:p w14:paraId="1611C320" w14:textId="77777777" w:rsidR="005F30D0" w:rsidRPr="00CF2667" w:rsidRDefault="005F30D0" w:rsidP="006E7FC5">
      <w:pPr>
        <w:spacing w:after="0" w:line="240" w:lineRule="auto"/>
        <w:jc w:val="both"/>
        <w:rPr>
          <w:rFonts w:eastAsia="Calibri"/>
        </w:rPr>
      </w:pPr>
      <w:r>
        <w:t>(3) Rakendusmääruse § 22 lõige 4 asendatakse järgmisega:</w:t>
      </w:r>
    </w:p>
    <w:p w14:paraId="42776204" w14:textId="77777777" w:rsidR="005F30D0" w:rsidRPr="00CF2667" w:rsidRDefault="005F30D0" w:rsidP="006E7FC5">
      <w:pPr>
        <w:spacing w:after="0" w:line="240" w:lineRule="auto"/>
        <w:jc w:val="both"/>
        <w:rPr>
          <w:rFonts w:eastAsia="Calibri"/>
        </w:rPr>
      </w:pPr>
    </w:p>
    <w:p w14:paraId="78F8008D" w14:textId="431D0808" w:rsidR="00CE4959" w:rsidRPr="00CF2667" w:rsidRDefault="005F30D0" w:rsidP="00CE4959">
      <w:pPr>
        <w:spacing w:after="0" w:line="240" w:lineRule="auto"/>
        <w:jc w:val="both"/>
      </w:pPr>
      <w:r>
        <w:t xml:space="preserve">„4) Kui käitaja saab teada, et registreerimine või arvepidamine ei ole asjakohane muudel põhjustel, mis ei kuulu lõikes 1 määratletud reguleerimisalasse, eelkõige andmete muutmisest teatamise hilinemise tõttu, võtab korraldaja meetmeid eeskirjade eiramise kõrvaldamiseks. </w:t>
      </w:r>
      <w:r>
        <w:lastRenderedPageBreak/>
        <w:t>Vajaduse korral helistab operaator mängijale, et aidata kaasa eeskirjade eiramise kõrvaldamisele, ja võib peatada kõik mängija saldod kuni eeskirjade eiramise kõrvaldamiseni. Kui rikkumist ei ole võimalik 30 päeva jooksul kõrvaldada ja seetõttu ei ole võimalik tagada mängu vastavalt seadusele, võtab operaator meetmeid, et sulgeda kõik asjakohased mängija saldod ja mängija diskvalifitseerida.“</w:t>
      </w:r>
    </w:p>
    <w:p w14:paraId="5D3A1DE7" w14:textId="77777777" w:rsidR="0018214B" w:rsidRPr="00CF2667" w:rsidRDefault="0018214B" w:rsidP="006E7FC5">
      <w:pPr>
        <w:spacing w:after="0" w:line="240" w:lineRule="auto"/>
        <w:jc w:val="both"/>
      </w:pPr>
    </w:p>
    <w:p w14:paraId="199A0A5A" w14:textId="77777777" w:rsidR="009817D0" w:rsidRPr="00CF2667" w:rsidRDefault="009817D0" w:rsidP="009E31C9">
      <w:pPr>
        <w:spacing w:after="0" w:line="240" w:lineRule="auto"/>
        <w:jc w:val="center"/>
        <w:rPr>
          <w:b/>
        </w:rPr>
      </w:pPr>
    </w:p>
    <w:p w14:paraId="53A4CF1C" w14:textId="38586C46" w:rsidR="00CE4959" w:rsidRPr="00CF2667" w:rsidRDefault="00CE4959" w:rsidP="006E7FC5">
      <w:pPr>
        <w:spacing w:after="0" w:line="240" w:lineRule="auto"/>
        <w:jc w:val="both"/>
        <w:rPr>
          <w:rFonts w:eastAsia="Calibri"/>
        </w:rPr>
      </w:pPr>
    </w:p>
    <w:p w14:paraId="74AA5137" w14:textId="333E8DF3" w:rsidR="0018214B" w:rsidRPr="00CF2667" w:rsidRDefault="0053730E" w:rsidP="00CA1F6D">
      <w:pPr>
        <w:spacing w:after="0" w:line="240" w:lineRule="auto"/>
        <w:jc w:val="center"/>
        <w:rPr>
          <w:rFonts w:eastAsia="Calibri"/>
          <w:b/>
        </w:rPr>
      </w:pPr>
      <w:r>
        <w:rPr>
          <w:b/>
        </w:rPr>
        <w:t>§ 6</w:t>
      </w:r>
    </w:p>
    <w:p w14:paraId="44FAA856" w14:textId="77777777" w:rsidR="00CA1F6D" w:rsidRPr="00CF2667" w:rsidRDefault="00CA1F6D" w:rsidP="006E7FC5">
      <w:pPr>
        <w:spacing w:after="0" w:line="240" w:lineRule="auto"/>
        <w:jc w:val="both"/>
        <w:rPr>
          <w:rFonts w:eastAsia="Calibri"/>
        </w:rPr>
      </w:pPr>
    </w:p>
    <w:p w14:paraId="5F18C0BC" w14:textId="77777777" w:rsidR="00CA1F6D" w:rsidRPr="00CF2667" w:rsidRDefault="0099589C" w:rsidP="00CA1F6D">
      <w:pPr>
        <w:spacing w:after="0" w:line="240" w:lineRule="auto"/>
        <w:jc w:val="both"/>
      </w:pPr>
      <w:r>
        <w:t>(1) Rakendusmääruse § 25 lõiked 1–4 asendatakse järgmisega:</w:t>
      </w:r>
    </w:p>
    <w:p w14:paraId="53A6CFCD" w14:textId="77777777" w:rsidR="00CA1F6D" w:rsidRPr="00CF2667" w:rsidRDefault="00CA1F6D" w:rsidP="00CA1F6D">
      <w:pPr>
        <w:spacing w:after="0" w:line="240" w:lineRule="auto"/>
        <w:jc w:val="both"/>
      </w:pPr>
    </w:p>
    <w:p w14:paraId="417ECDB4" w14:textId="77777777" w:rsidR="00CA1F6D" w:rsidRDefault="00CA1F6D" w:rsidP="00CA1F6D">
      <w:pPr>
        <w:spacing w:after="0" w:line="240" w:lineRule="auto"/>
        <w:jc w:val="both"/>
      </w:pPr>
      <w:r>
        <w:t xml:space="preserve">„1) Kui operaatoril on luba korraldada muid hasartmänge peale kaughasartmängude, võib panuste, võitude ja muude hasartmängudega seotud tehingute arveldamist ja salvestamist hoida mängija jaoks ühel või mitmel ühisel mängija saldol seoses kõigi mängudega, mida mõjutab konkreetse mängija saldo. </w:t>
      </w:r>
    </w:p>
    <w:p w14:paraId="489F5722" w14:textId="77777777" w:rsidR="00BE630A" w:rsidRPr="00CF2667" w:rsidRDefault="00BE630A" w:rsidP="00CA1F6D">
      <w:pPr>
        <w:spacing w:after="0" w:line="240" w:lineRule="auto"/>
        <w:jc w:val="both"/>
        <w:rPr>
          <w:strike/>
        </w:rPr>
      </w:pPr>
    </w:p>
    <w:p w14:paraId="38A65140" w14:textId="77777777" w:rsidR="00CA1F6D" w:rsidRDefault="00CA1F6D" w:rsidP="00CA1F6D">
      <w:pPr>
        <w:spacing w:after="0" w:line="240" w:lineRule="auto"/>
        <w:jc w:val="both"/>
      </w:pPr>
      <w:r>
        <w:t>(2) Korraldaja võib kehtestada ühise mängija saldo, kasutades mängija saldot, mis on juba korraldaja juures või sellest eraldi.</w:t>
      </w:r>
    </w:p>
    <w:p w14:paraId="23DE9B81" w14:textId="77777777" w:rsidR="00BE630A" w:rsidRPr="00CF2667" w:rsidRDefault="00BE630A" w:rsidP="00CA1F6D">
      <w:pPr>
        <w:spacing w:after="0" w:line="240" w:lineRule="auto"/>
        <w:jc w:val="both"/>
      </w:pPr>
    </w:p>
    <w:p w14:paraId="5F87DC70" w14:textId="01D878ED" w:rsidR="00CA1F6D" w:rsidRDefault="00CA1F6D" w:rsidP="00CA1F6D">
      <w:pPr>
        <w:spacing w:after="0" w:line="240" w:lineRule="auto"/>
        <w:jc w:val="both"/>
      </w:pPr>
      <w:r>
        <w:t>(3) Kui ühine mängija saldo luuakse olemasoleva saldo abil või sellest eraldi, võib mängija osalemine kaughasartmängudes toimuda siis, kui kaughasartmängu reguleerivaid sätteid on järgitud.</w:t>
      </w:r>
    </w:p>
    <w:p w14:paraId="2E0069C6" w14:textId="77777777" w:rsidR="00BE630A" w:rsidRPr="00CF2667" w:rsidRDefault="00BE630A" w:rsidP="00CA1F6D">
      <w:pPr>
        <w:spacing w:after="0" w:line="240" w:lineRule="auto"/>
        <w:jc w:val="both"/>
      </w:pPr>
    </w:p>
    <w:p w14:paraId="7A20ACDF" w14:textId="77777777" w:rsidR="00CA1F6D" w:rsidRPr="00CF2667" w:rsidRDefault="00CA1F6D" w:rsidP="00CA1F6D">
      <w:pPr>
        <w:spacing w:after="0" w:line="240" w:lineRule="auto"/>
        <w:jc w:val="both"/>
      </w:pPr>
      <w:r>
        <w:t>(4) Hasartmänguseaduse § 29/H lõike 5 kohane ühiste mängijate saldode väljamaksemarginaal tuleb kindlaks määrata nii, et oleks tagatud väljamaksed kõigis mõjutatud mängudes.“</w:t>
      </w:r>
    </w:p>
    <w:p w14:paraId="5294CE56" w14:textId="77777777" w:rsidR="0099589C" w:rsidRPr="00CF2667" w:rsidRDefault="0099589C" w:rsidP="00CA1F6D">
      <w:pPr>
        <w:spacing w:after="0" w:line="240" w:lineRule="auto"/>
        <w:jc w:val="both"/>
      </w:pPr>
    </w:p>
    <w:p w14:paraId="31BCA5AA" w14:textId="68A3C0CF" w:rsidR="0099589C" w:rsidRPr="00CF2667" w:rsidRDefault="0099589C" w:rsidP="00CA1F6D">
      <w:pPr>
        <w:spacing w:after="0" w:line="240" w:lineRule="auto"/>
        <w:jc w:val="both"/>
      </w:pPr>
      <w:r>
        <w:t>(2) Rakendusmääruse § 25 lõiked 6 ja 7 asendatakse järgmisega:</w:t>
      </w:r>
    </w:p>
    <w:p w14:paraId="2D2C3E3B" w14:textId="77777777" w:rsidR="0099589C" w:rsidRPr="00CF2667" w:rsidRDefault="0099589C" w:rsidP="00CA1F6D">
      <w:pPr>
        <w:spacing w:after="0" w:line="240" w:lineRule="auto"/>
        <w:jc w:val="both"/>
      </w:pPr>
    </w:p>
    <w:p w14:paraId="155C1E40" w14:textId="77777777" w:rsidR="00CA1F6D" w:rsidRDefault="0099589C" w:rsidP="00CA1F6D">
      <w:pPr>
        <w:spacing w:after="0" w:line="240" w:lineRule="auto"/>
        <w:jc w:val="both"/>
      </w:pPr>
      <w:r>
        <w:t>„6) Mängulitsentsi peatamise ajal kannab operaator ühisele mängijale üle kõik tasud ja krediidid, mis on seotud mängutehingute arveldamisega muudes mängudes kui mõjutatud mäng, mis peavad kuuluma ühisesse bilanssi, ning teeb selliste mängutehingutega seotud makseid. Seoses mänguga, mida litsentsi peatamine mõjutab, kannab ettevõtja üle üksnes peatamise kuupäevale eelnenud mängude eest makstavad tasud ja krediidid ning võib teha makseid ainult seoses hasartmängutehingute arveldamisega enne peatamise kuupäeva.</w:t>
      </w:r>
    </w:p>
    <w:p w14:paraId="60E69676" w14:textId="77777777" w:rsidR="00BE630A" w:rsidRPr="00CF2667" w:rsidRDefault="00BE630A" w:rsidP="00CA1F6D">
      <w:pPr>
        <w:spacing w:after="0" w:line="240" w:lineRule="auto"/>
        <w:jc w:val="both"/>
      </w:pPr>
    </w:p>
    <w:p w14:paraId="0A01354D" w14:textId="77777777" w:rsidR="00CA1F6D" w:rsidRPr="00CF2667" w:rsidRDefault="00CA1F6D" w:rsidP="00CA1F6D">
      <w:pPr>
        <w:spacing w:after="0" w:line="240" w:lineRule="auto"/>
        <w:jc w:val="both"/>
      </w:pPr>
      <w:r>
        <w:t>(7) Mängija ühise saldo peatamist või lõpetamist operaatori poolt käsitatakse kõiki mänge mõjutava meetmena. Kui SZTFH määrusega kehtestatakse mängude vastutustundlikku korraldust reguleeriv kord, täpsustab operaator mänguplaanis ja osalemiseeskirjades, kas lepingu tõsise rikkumise korral lõpeb mängija saldo ja võimalus mängudele juurdepääsuks kõigi asjaomaste mängude puhul.“</w:t>
      </w:r>
    </w:p>
    <w:p w14:paraId="6B66795A" w14:textId="77777777" w:rsidR="00672BEF" w:rsidRPr="00CF2667" w:rsidRDefault="00672BEF" w:rsidP="00CA1F6D">
      <w:pPr>
        <w:spacing w:after="0" w:line="240" w:lineRule="auto"/>
        <w:jc w:val="both"/>
      </w:pPr>
    </w:p>
    <w:p w14:paraId="554A5C3E" w14:textId="6D28C58D" w:rsidR="00672BEF" w:rsidRPr="00CF2667" w:rsidRDefault="0053730E" w:rsidP="008902D0">
      <w:pPr>
        <w:keepNext/>
        <w:keepLines/>
        <w:spacing w:after="0" w:line="240" w:lineRule="auto"/>
        <w:jc w:val="center"/>
        <w:rPr>
          <w:rFonts w:eastAsia="Calibri"/>
          <w:b/>
        </w:rPr>
      </w:pPr>
      <w:r>
        <w:rPr>
          <w:b/>
        </w:rPr>
        <w:t>§ 7</w:t>
      </w:r>
    </w:p>
    <w:p w14:paraId="20C19BC1" w14:textId="77777777" w:rsidR="005A6F45" w:rsidRPr="00CF2667" w:rsidRDefault="005A6F45" w:rsidP="008902D0">
      <w:pPr>
        <w:keepNext/>
        <w:keepLines/>
        <w:spacing w:after="0"/>
        <w:rPr>
          <w:b/>
        </w:rPr>
      </w:pPr>
    </w:p>
    <w:p w14:paraId="3E80FDCD" w14:textId="502FA8D5" w:rsidR="005A6F45" w:rsidRPr="00CF2667" w:rsidRDefault="005A6F45" w:rsidP="00D007AF">
      <w:pPr>
        <w:spacing w:after="0"/>
        <w:jc w:val="both"/>
      </w:pPr>
      <w:r>
        <w:t>Rakendusmääruse § 26 lõiked 2–3 asendatakse järgmisega:</w:t>
      </w:r>
    </w:p>
    <w:p w14:paraId="75956E45" w14:textId="77777777" w:rsidR="005A6F45" w:rsidRPr="00CF2667" w:rsidRDefault="005A6F45" w:rsidP="005A6F45">
      <w:pPr>
        <w:spacing w:after="0" w:line="240" w:lineRule="auto"/>
        <w:jc w:val="both"/>
      </w:pPr>
    </w:p>
    <w:p w14:paraId="00B4543E" w14:textId="4F6CE1E6" w:rsidR="005A6F45" w:rsidRDefault="005A6F45" w:rsidP="005A6F45">
      <w:pPr>
        <w:spacing w:after="0" w:line="240" w:lineRule="auto"/>
        <w:jc w:val="both"/>
      </w:pPr>
      <w:r>
        <w:t>„2) Mängija võib mänguplaanis ja osalemisreeglites sätestatud muudel põhjustel, eelkõige mängus osalemise reeglite rikkumise korral, peatada sellesse mängu kuuluva mängija saldo või isegi iga mängija saldo.</w:t>
      </w:r>
    </w:p>
    <w:p w14:paraId="09271C4A" w14:textId="77777777" w:rsidR="00BE630A" w:rsidRPr="00CF2667" w:rsidRDefault="00BE630A" w:rsidP="005A6F45">
      <w:pPr>
        <w:spacing w:after="0" w:line="240" w:lineRule="auto"/>
        <w:jc w:val="both"/>
      </w:pPr>
    </w:p>
    <w:p w14:paraId="211075B7" w14:textId="77777777" w:rsidR="005A6F45" w:rsidRPr="00CF2667" w:rsidRDefault="005A6F45" w:rsidP="005A6F45">
      <w:pPr>
        <w:spacing w:after="0" w:line="240" w:lineRule="auto"/>
        <w:jc w:val="both"/>
      </w:pPr>
      <w:r>
        <w:lastRenderedPageBreak/>
        <w:t>(3) Operaator teavitab mängijat viivitamata elektronposti teel mängija saldost või saldo peatamise faktist, kuupäevast ja põhjusest või peatamise lõpetamise faktist ja kuupäevast.“</w:t>
      </w:r>
    </w:p>
    <w:p w14:paraId="0F80A0E3" w14:textId="77777777" w:rsidR="00672BEF" w:rsidRPr="00CF2667" w:rsidRDefault="00672BEF" w:rsidP="00CA1F6D">
      <w:pPr>
        <w:spacing w:after="0" w:line="240" w:lineRule="auto"/>
        <w:jc w:val="both"/>
      </w:pPr>
    </w:p>
    <w:p w14:paraId="54A8D44E" w14:textId="1F230B53" w:rsidR="00CA1F6D" w:rsidRPr="00CF2667" w:rsidRDefault="006A2019" w:rsidP="00883ECB">
      <w:pPr>
        <w:spacing w:after="0" w:line="240" w:lineRule="auto"/>
        <w:jc w:val="center"/>
        <w:rPr>
          <w:rFonts w:eastAsia="Calibri"/>
          <w:b/>
        </w:rPr>
      </w:pPr>
      <w:r>
        <w:rPr>
          <w:b/>
        </w:rPr>
        <w:t>§ 8</w:t>
      </w:r>
    </w:p>
    <w:p w14:paraId="6BE5A07E" w14:textId="77777777" w:rsidR="00CA1F6D" w:rsidRPr="00CF2667" w:rsidRDefault="00CA1F6D" w:rsidP="006E7FC5">
      <w:pPr>
        <w:spacing w:after="0" w:line="240" w:lineRule="auto"/>
        <w:jc w:val="both"/>
        <w:rPr>
          <w:rFonts w:eastAsia="Calibri"/>
        </w:rPr>
      </w:pPr>
    </w:p>
    <w:p w14:paraId="634AF65C" w14:textId="77777777" w:rsidR="00883ECB" w:rsidRPr="00CF2667" w:rsidRDefault="00883ECB" w:rsidP="00883ECB">
      <w:pPr>
        <w:spacing w:after="0" w:line="240" w:lineRule="auto"/>
        <w:jc w:val="both"/>
      </w:pPr>
      <w:r>
        <w:t>Rakendusmääruse § 29 lõige 3 asendatakse järgmisega:</w:t>
      </w:r>
    </w:p>
    <w:p w14:paraId="4DDA198A" w14:textId="77777777" w:rsidR="00883ECB" w:rsidRPr="00CF2667" w:rsidRDefault="00883ECB" w:rsidP="00883ECB">
      <w:pPr>
        <w:spacing w:after="0" w:line="240" w:lineRule="auto"/>
        <w:jc w:val="both"/>
      </w:pPr>
    </w:p>
    <w:p w14:paraId="43128F1C" w14:textId="71C5936B" w:rsidR="00883ECB" w:rsidRPr="00CF2667" w:rsidRDefault="00883ECB" w:rsidP="00883ECB">
      <w:pPr>
        <w:spacing w:after="0" w:line="240" w:lineRule="auto"/>
        <w:jc w:val="both"/>
      </w:pPr>
      <w:r>
        <w:t>„3) Ühise mängija saldo puhul võib mängija kasutada kinkeboonust ja eriboonuspakkumist panusena selle mängija saldol, tingimusel et operaator arvestab seda samal viisil, nagu on määratletud heakskiidetud mänguplaanides.“</w:t>
      </w:r>
    </w:p>
    <w:p w14:paraId="3A09060E" w14:textId="77777777" w:rsidR="00883ECB" w:rsidRPr="00CF2667" w:rsidRDefault="00883ECB" w:rsidP="006E7FC5">
      <w:pPr>
        <w:spacing w:after="0" w:line="240" w:lineRule="auto"/>
        <w:jc w:val="both"/>
        <w:rPr>
          <w:rFonts w:eastAsia="Calibri"/>
        </w:rPr>
      </w:pPr>
    </w:p>
    <w:p w14:paraId="073A1B9C" w14:textId="1E762FAB" w:rsidR="00883ECB" w:rsidRPr="00CF2667" w:rsidRDefault="006A2019" w:rsidP="00BE416C">
      <w:pPr>
        <w:spacing w:after="0" w:line="240" w:lineRule="auto"/>
        <w:jc w:val="center"/>
        <w:rPr>
          <w:rFonts w:eastAsia="Calibri"/>
          <w:b/>
        </w:rPr>
      </w:pPr>
      <w:r>
        <w:rPr>
          <w:b/>
        </w:rPr>
        <w:t>§ 9</w:t>
      </w:r>
    </w:p>
    <w:p w14:paraId="5B41DEF3" w14:textId="77777777" w:rsidR="00BE416C" w:rsidRPr="00CF2667" w:rsidRDefault="00BE416C" w:rsidP="00BE416C">
      <w:pPr>
        <w:spacing w:after="0" w:line="240" w:lineRule="auto"/>
        <w:jc w:val="both"/>
        <w:rPr>
          <w:rFonts w:eastAsia="Calibri"/>
          <w:b/>
        </w:rPr>
      </w:pPr>
    </w:p>
    <w:p w14:paraId="091301B9" w14:textId="77777777" w:rsidR="00BE416C" w:rsidRPr="00CF2667" w:rsidRDefault="00BE416C" w:rsidP="00BE416C">
      <w:pPr>
        <w:spacing w:after="0" w:line="240" w:lineRule="auto"/>
        <w:jc w:val="both"/>
      </w:pPr>
      <w:r>
        <w:t>Rakendusmääruse § 32 lõige 2 asendatakse järgmisega:</w:t>
      </w:r>
    </w:p>
    <w:p w14:paraId="3935C9D5" w14:textId="77777777" w:rsidR="00BE416C" w:rsidRPr="00CF2667" w:rsidRDefault="00BE416C" w:rsidP="00BE416C">
      <w:pPr>
        <w:spacing w:after="0" w:line="240" w:lineRule="auto"/>
        <w:jc w:val="both"/>
      </w:pPr>
    </w:p>
    <w:p w14:paraId="5F8CCFFC" w14:textId="77777777" w:rsidR="00BE416C" w:rsidRPr="00CF2667" w:rsidRDefault="00BE416C" w:rsidP="00BE416C">
      <w:pPr>
        <w:spacing w:after="0" w:line="240" w:lineRule="auto"/>
        <w:jc w:val="both"/>
      </w:pPr>
      <w:r>
        <w:t>„2) § 25 lõikes 1 nimetatud mitme ühise mängija saldo puhul esitatakse lisa 3 punkti I punktides a kuni d, i kuni l ja n seoses asjaomase mängija saldoga osutatud andmed.“</w:t>
      </w:r>
    </w:p>
    <w:p w14:paraId="3C2DC92C" w14:textId="77777777" w:rsidR="00EF1F0E" w:rsidRPr="00CF2667" w:rsidRDefault="00EF1F0E" w:rsidP="00D831E3">
      <w:pPr>
        <w:spacing w:after="0" w:line="240" w:lineRule="auto"/>
        <w:jc w:val="center"/>
        <w:rPr>
          <w:rFonts w:eastAsia="Calibri"/>
          <w:b/>
        </w:rPr>
      </w:pPr>
    </w:p>
    <w:p w14:paraId="3368B22F" w14:textId="77777777" w:rsidR="00CC2AA8" w:rsidRPr="00CF2667" w:rsidRDefault="00CC2AA8" w:rsidP="009B4363">
      <w:pPr>
        <w:spacing w:after="0"/>
        <w:jc w:val="both"/>
      </w:pPr>
    </w:p>
    <w:p w14:paraId="5288889E" w14:textId="005DDDB9" w:rsidR="00BE416C" w:rsidRPr="00CF2667" w:rsidRDefault="00D831E3" w:rsidP="00BE416C">
      <w:pPr>
        <w:spacing w:after="0" w:line="240" w:lineRule="auto"/>
        <w:jc w:val="center"/>
        <w:rPr>
          <w:rFonts w:eastAsia="Calibri"/>
          <w:b/>
        </w:rPr>
      </w:pPr>
      <w:r>
        <w:rPr>
          <w:b/>
        </w:rPr>
        <w:t>§ 10</w:t>
      </w:r>
    </w:p>
    <w:p w14:paraId="5AEE038B" w14:textId="77777777" w:rsidR="00883ECB" w:rsidRPr="00CF2667" w:rsidRDefault="00883ECB" w:rsidP="006E7FC5">
      <w:pPr>
        <w:spacing w:after="0" w:line="240" w:lineRule="auto"/>
        <w:jc w:val="both"/>
        <w:rPr>
          <w:rFonts w:eastAsia="Calibri"/>
        </w:rPr>
      </w:pPr>
    </w:p>
    <w:p w14:paraId="780AC5C8" w14:textId="77777777" w:rsidR="00BE416C" w:rsidRDefault="00BE416C" w:rsidP="00BE416C">
      <w:r>
        <w:t>Rakendusmääruse § 76 lõige 5 asendatakse järgmisega:</w:t>
      </w:r>
    </w:p>
    <w:p w14:paraId="7CCD7B57" w14:textId="4704AFFB" w:rsidR="00D87DB3" w:rsidRPr="00B404C3" w:rsidRDefault="00D87DB3" w:rsidP="00BE416C">
      <w:pPr>
        <w:rPr>
          <w:i/>
        </w:rPr>
      </w:pPr>
      <w:r>
        <w:rPr>
          <w:i/>
        </w:rPr>
        <w:t>(Käesoleva määruse kohaldamisel)</w:t>
      </w:r>
    </w:p>
    <w:p w14:paraId="50528523" w14:textId="77777777" w:rsidR="00BE416C" w:rsidRPr="00CF2667" w:rsidRDefault="00BE416C" w:rsidP="00BE416C">
      <w:pPr>
        <w:spacing w:after="0" w:line="240" w:lineRule="auto"/>
        <w:jc w:val="both"/>
      </w:pPr>
      <w:r>
        <w:t xml:space="preserve">„5. </w:t>
      </w:r>
      <w:r>
        <w:rPr>
          <w:i/>
        </w:rPr>
        <w:t xml:space="preserve"> ühine mängijate saldo: </w:t>
      </w:r>
      <w:r>
        <w:t xml:space="preserve"> on mängija saldo, mida hoitakse operaatori juures (kellel on õigus korraldada mitut liiki hasartmänge) arvepidamise ning panuste, võitude ja muude asjaomaste mängudega seotud tehingute salvestamise eesmärgil.“</w:t>
      </w:r>
    </w:p>
    <w:p w14:paraId="08CA76BF" w14:textId="77777777" w:rsidR="006E7FC5" w:rsidRPr="00CF2667" w:rsidRDefault="006E7FC5" w:rsidP="006E7FC5">
      <w:pPr>
        <w:spacing w:after="0" w:line="240" w:lineRule="auto"/>
        <w:jc w:val="both"/>
        <w:rPr>
          <w:rFonts w:eastAsia="Calibri"/>
        </w:rPr>
      </w:pPr>
    </w:p>
    <w:p w14:paraId="1A64D24D" w14:textId="6112EEA4" w:rsidR="004B77C9" w:rsidRPr="00CF2667" w:rsidRDefault="004B77C9" w:rsidP="006E7FC5">
      <w:pPr>
        <w:spacing w:after="0" w:line="240" w:lineRule="auto"/>
        <w:jc w:val="both"/>
        <w:rPr>
          <w:rFonts w:eastAsia="Calibri"/>
        </w:rPr>
      </w:pPr>
    </w:p>
    <w:p w14:paraId="28E48A86" w14:textId="77777777" w:rsidR="00024F51" w:rsidRPr="00CF2667" w:rsidRDefault="00024F51" w:rsidP="00D851ED">
      <w:pPr>
        <w:spacing w:after="0" w:line="240" w:lineRule="auto"/>
        <w:jc w:val="center"/>
        <w:rPr>
          <w:rFonts w:eastAsia="Calibri"/>
          <w:b/>
        </w:rPr>
      </w:pPr>
    </w:p>
    <w:p w14:paraId="62A2F325" w14:textId="299A9708" w:rsidR="00024F51" w:rsidRDefault="00B8585F" w:rsidP="00D851ED">
      <w:pPr>
        <w:spacing w:after="0" w:line="240" w:lineRule="auto"/>
        <w:jc w:val="center"/>
        <w:rPr>
          <w:rFonts w:eastAsia="Calibri"/>
          <w:b/>
        </w:rPr>
      </w:pPr>
      <w:r>
        <w:rPr>
          <w:b/>
        </w:rPr>
        <w:t>§ 11</w:t>
      </w:r>
    </w:p>
    <w:p w14:paraId="2AA0E041" w14:textId="77777777" w:rsidR="00B8585F" w:rsidRDefault="00B8585F" w:rsidP="00D851ED">
      <w:pPr>
        <w:spacing w:after="0" w:line="240" w:lineRule="auto"/>
        <w:jc w:val="center"/>
        <w:rPr>
          <w:rFonts w:eastAsia="Calibri"/>
          <w:b/>
        </w:rPr>
      </w:pPr>
    </w:p>
    <w:p w14:paraId="284227C6" w14:textId="77777777" w:rsidR="00B8585F" w:rsidRDefault="00B8585F" w:rsidP="00B8585F">
      <w:pPr>
        <w:spacing w:after="0" w:line="240" w:lineRule="auto"/>
        <w:jc w:val="both"/>
        <w:rPr>
          <w:rFonts w:eastAsia="Calibri"/>
        </w:rPr>
      </w:pPr>
      <w:r>
        <w:t>Rakendusmääruse XI peatükki lisatakse uus paragrahv 79, mis sõnastatakse järgmiselt:</w:t>
      </w:r>
    </w:p>
    <w:p w14:paraId="0CFCA622" w14:textId="77777777" w:rsidR="00B8585F" w:rsidRDefault="00B8585F" w:rsidP="00B8585F">
      <w:pPr>
        <w:spacing w:after="0" w:line="240" w:lineRule="auto"/>
        <w:jc w:val="both"/>
        <w:rPr>
          <w:rFonts w:eastAsia="Calibri"/>
          <w:b/>
        </w:rPr>
      </w:pPr>
    </w:p>
    <w:p w14:paraId="537E199A" w14:textId="5CD65CEE" w:rsidR="00B8585F" w:rsidRPr="003B294C" w:rsidRDefault="00B8585F" w:rsidP="00B8585F">
      <w:pPr>
        <w:spacing w:after="0" w:line="240" w:lineRule="auto"/>
        <w:jc w:val="both"/>
        <w:rPr>
          <w:rFonts w:eastAsia="Calibri"/>
        </w:rPr>
      </w:pPr>
      <w:r>
        <w:t>„§ 79 Käesoleva määruse sätete eelnõu, mis on kehtestatud SZTFH 29. oktoobri 2021. aasta määrusega nr 20/2021, millega muudetakse SZTFH 29. oktoobri 2021. aasta määrust nr 20/2021 teatavate hasartmängude lubamise, haldamise ja kontrolliga seotud ülesannete täitmise kohta, nimelt § 2/A, § 13 lõiked 3, 10 ja 11, jagu 7/A, § 16/F, § 22 lõiget 1, § 22 lõikeid 2 ja 4, § 25 lõikeid 1–4, 6 ja 7, § 26 lõikeid 2 ja 3, § 29 lõiget 3, § 32 lõiget 2, § 76 lõiget 5 ja lisa 2 punkti C alapunkti 1, on eelnevalt teavitatud vastavalt Euroopa Parlamendi ja nõukogu 9. septembri 2015. aasta direktiivi (EL) 2015/1535, millega nähakse ette tehnilistest eeskirjadest ning infoühiskonna teenuste eeskirjadest teatamise kord, artiklitele 5–7.“</w:t>
      </w:r>
    </w:p>
    <w:p w14:paraId="78C7E8FD" w14:textId="77777777" w:rsidR="00B8585F" w:rsidRPr="00CF2667" w:rsidRDefault="00B8585F" w:rsidP="00D851ED">
      <w:pPr>
        <w:spacing w:after="0" w:line="240" w:lineRule="auto"/>
        <w:jc w:val="center"/>
        <w:rPr>
          <w:rFonts w:eastAsia="Calibri"/>
          <w:b/>
        </w:rPr>
      </w:pPr>
    </w:p>
    <w:p w14:paraId="2056C2B0" w14:textId="77777777" w:rsidR="00024F51" w:rsidRPr="00CF2667" w:rsidRDefault="00024F51" w:rsidP="00D851ED">
      <w:pPr>
        <w:spacing w:after="0" w:line="240" w:lineRule="auto"/>
        <w:jc w:val="center"/>
        <w:rPr>
          <w:rFonts w:eastAsia="Calibri"/>
          <w:b/>
        </w:rPr>
      </w:pPr>
    </w:p>
    <w:p w14:paraId="115BBCEA" w14:textId="2E59E0DF" w:rsidR="00B8585F" w:rsidRPr="00CF2667" w:rsidRDefault="00D831E3" w:rsidP="00B8585F">
      <w:pPr>
        <w:spacing w:after="0" w:line="240" w:lineRule="auto"/>
        <w:jc w:val="center"/>
        <w:rPr>
          <w:rFonts w:eastAsia="Calibri"/>
          <w:b/>
        </w:rPr>
      </w:pPr>
      <w:r>
        <w:rPr>
          <w:b/>
        </w:rPr>
        <w:t>§ 12</w:t>
      </w:r>
    </w:p>
    <w:p w14:paraId="7508A6B6" w14:textId="77777777" w:rsidR="006E7FC5" w:rsidRPr="00CF2667" w:rsidRDefault="006E7FC5" w:rsidP="006E7FC5">
      <w:pPr>
        <w:spacing w:after="0" w:line="240" w:lineRule="auto"/>
        <w:jc w:val="both"/>
        <w:rPr>
          <w:rFonts w:eastAsia="Calibri"/>
        </w:rPr>
      </w:pPr>
    </w:p>
    <w:p w14:paraId="67F085A2" w14:textId="718B856E" w:rsidR="00173F50" w:rsidRPr="00CF2667" w:rsidRDefault="00CB7CD2" w:rsidP="006E7FC5">
      <w:pPr>
        <w:spacing w:after="0" w:line="240" w:lineRule="auto"/>
        <w:jc w:val="both"/>
        <w:rPr>
          <w:rFonts w:eastAsia="Calibri"/>
        </w:rPr>
      </w:pPr>
      <w:r>
        <w:t xml:space="preserve">Vastavalt rakendusmäärusele, </w:t>
      </w:r>
    </w:p>
    <w:p w14:paraId="1AD1CF86" w14:textId="6E94142C" w:rsidR="00A52272" w:rsidRPr="00CF2667" w:rsidRDefault="00F63205" w:rsidP="006E7FC5">
      <w:pPr>
        <w:spacing w:after="0" w:line="240" w:lineRule="auto"/>
        <w:jc w:val="both"/>
        <w:rPr>
          <w:rFonts w:eastAsia="Calibri"/>
        </w:rPr>
      </w:pPr>
      <w:r>
        <w:rPr>
          <w:i/>
        </w:rPr>
        <w:t xml:space="preserve">a) </w:t>
      </w:r>
      <w:r>
        <w:t xml:space="preserve"> paragrahvi 22 lõikes 1 asendatakse sõnad „mängija saldo“ sõnadega „kõik asjaomased mängijate saldod“;</w:t>
      </w:r>
    </w:p>
    <w:p w14:paraId="0E38F8A0" w14:textId="10A0D320" w:rsidR="00F63205" w:rsidRPr="008D4778" w:rsidRDefault="00F63205" w:rsidP="00F63205">
      <w:pPr>
        <w:spacing w:after="0" w:line="240" w:lineRule="auto"/>
        <w:jc w:val="both"/>
        <w:rPr>
          <w:rFonts w:eastAsia="Calibri"/>
        </w:rPr>
      </w:pPr>
      <w:r>
        <w:rPr>
          <w:i/>
        </w:rPr>
        <w:lastRenderedPageBreak/>
        <w:t xml:space="preserve">b) </w:t>
      </w:r>
      <w:r>
        <w:t xml:space="preserve"> 2. lisa punkti C alapunktis 1 asendatakse sõnad „mängija ühise saldo jaoks“ sõnadega „asjaomase ühise mängija saldo puhul“.</w:t>
      </w:r>
    </w:p>
    <w:p w14:paraId="3DF148E3" w14:textId="77777777" w:rsidR="00BF5C0C" w:rsidRPr="00CF2667" w:rsidRDefault="00BF5C0C" w:rsidP="006E7FC5">
      <w:pPr>
        <w:spacing w:after="0" w:line="240" w:lineRule="auto"/>
        <w:jc w:val="both"/>
        <w:rPr>
          <w:rFonts w:eastAsia="Calibri"/>
        </w:rPr>
      </w:pPr>
    </w:p>
    <w:p w14:paraId="264E9D44" w14:textId="77777777" w:rsidR="00CC2AA8" w:rsidRPr="00CF2667" w:rsidRDefault="00CC2AA8" w:rsidP="006E7FC5">
      <w:pPr>
        <w:spacing w:after="0" w:line="240" w:lineRule="auto"/>
        <w:jc w:val="both"/>
        <w:rPr>
          <w:rFonts w:eastAsia="Calibri"/>
        </w:rPr>
      </w:pPr>
    </w:p>
    <w:p w14:paraId="1B62B26B" w14:textId="77777777" w:rsidR="00A52272" w:rsidRPr="00CF2667" w:rsidRDefault="00A52272" w:rsidP="006E7FC5">
      <w:pPr>
        <w:spacing w:after="0" w:line="240" w:lineRule="auto"/>
        <w:jc w:val="both"/>
        <w:rPr>
          <w:rFonts w:eastAsia="Calibri"/>
        </w:rPr>
      </w:pPr>
    </w:p>
    <w:p w14:paraId="34636380" w14:textId="61602DFD" w:rsidR="00421C27" w:rsidRPr="00CF2667" w:rsidRDefault="00D831E3" w:rsidP="00421C27">
      <w:pPr>
        <w:spacing w:after="0" w:line="240" w:lineRule="auto"/>
        <w:jc w:val="center"/>
        <w:rPr>
          <w:rFonts w:eastAsia="Calibri"/>
          <w:b/>
        </w:rPr>
      </w:pPr>
      <w:r>
        <w:rPr>
          <w:b/>
        </w:rPr>
        <w:t>§ 13</w:t>
      </w:r>
    </w:p>
    <w:p w14:paraId="63ECFAEB" w14:textId="45A2EF41" w:rsidR="00BF5C0C" w:rsidRPr="00CF2667" w:rsidRDefault="00BF5C0C" w:rsidP="006E7FC5">
      <w:pPr>
        <w:spacing w:after="0" w:line="240" w:lineRule="auto"/>
        <w:jc w:val="both"/>
        <w:rPr>
          <w:rFonts w:eastAsia="Calibri"/>
        </w:rPr>
      </w:pPr>
    </w:p>
    <w:p w14:paraId="1562E5E9" w14:textId="77777777" w:rsidR="00C9669B" w:rsidRPr="00CF2667" w:rsidRDefault="00D851ED" w:rsidP="006E7FC5">
      <w:pPr>
        <w:spacing w:after="0" w:line="240" w:lineRule="auto"/>
        <w:jc w:val="both"/>
        <w:rPr>
          <w:rFonts w:eastAsia="Calibri"/>
        </w:rPr>
      </w:pPr>
      <w:r>
        <w:t>Rakendusmääruse järgmised sätted tunnistatakse kehtetuks:</w:t>
      </w:r>
    </w:p>
    <w:p w14:paraId="0E1ADBA3" w14:textId="77777777" w:rsidR="00BF5C0C" w:rsidRPr="00CF2667" w:rsidRDefault="00BF5C0C" w:rsidP="006E7FC5">
      <w:pPr>
        <w:spacing w:after="0" w:line="240" w:lineRule="auto"/>
        <w:jc w:val="both"/>
        <w:rPr>
          <w:rFonts w:eastAsia="Calibri"/>
        </w:rPr>
      </w:pPr>
    </w:p>
    <w:p w14:paraId="3768B456" w14:textId="77777777" w:rsidR="00C9669B" w:rsidRPr="00CF2667" w:rsidRDefault="00C9669B" w:rsidP="006E7FC5">
      <w:pPr>
        <w:spacing w:after="0" w:line="240" w:lineRule="auto"/>
        <w:jc w:val="both"/>
        <w:rPr>
          <w:rFonts w:eastAsia="Calibri"/>
        </w:rPr>
      </w:pPr>
      <w:r>
        <w:rPr>
          <w:i/>
        </w:rPr>
        <w:t xml:space="preserve">(a) </w:t>
      </w:r>
      <w:r>
        <w:t>§ 11 lõige 2,</w:t>
      </w:r>
    </w:p>
    <w:p w14:paraId="46DB22F4" w14:textId="77777777" w:rsidR="00D851ED" w:rsidRPr="00CF2667" w:rsidRDefault="00C9669B" w:rsidP="006E7FC5">
      <w:pPr>
        <w:spacing w:after="0" w:line="240" w:lineRule="auto"/>
        <w:jc w:val="both"/>
        <w:rPr>
          <w:rFonts w:eastAsia="Calibri"/>
        </w:rPr>
      </w:pPr>
      <w:r>
        <w:t>(b) § 76 lõige 1,</w:t>
      </w:r>
    </w:p>
    <w:p w14:paraId="5FD8D111" w14:textId="77777777" w:rsidR="006D702B" w:rsidRPr="00CF2667" w:rsidRDefault="006D702B" w:rsidP="006E7FC5">
      <w:pPr>
        <w:spacing w:after="0" w:line="240" w:lineRule="auto"/>
        <w:jc w:val="both"/>
        <w:rPr>
          <w:rFonts w:eastAsia="Calibri"/>
        </w:rPr>
      </w:pPr>
    </w:p>
    <w:p w14:paraId="1BD95EA2" w14:textId="41D12212" w:rsidR="00BF5C0C" w:rsidRPr="00CF2667" w:rsidRDefault="00BF5C0C" w:rsidP="00CF2667">
      <w:pPr>
        <w:spacing w:after="0" w:line="240" w:lineRule="auto"/>
        <w:jc w:val="center"/>
        <w:rPr>
          <w:rFonts w:eastAsia="Calibri"/>
          <w:b/>
        </w:rPr>
      </w:pPr>
      <w:r>
        <w:rPr>
          <w:b/>
        </w:rPr>
        <w:t>§ 14</w:t>
      </w:r>
    </w:p>
    <w:p w14:paraId="7D101E13" w14:textId="173FDD3E" w:rsidR="00BF5C0C" w:rsidRPr="00CF2667" w:rsidRDefault="00BF5C0C" w:rsidP="006E7FC5">
      <w:pPr>
        <w:spacing w:after="0" w:line="240" w:lineRule="auto"/>
        <w:jc w:val="both"/>
        <w:rPr>
          <w:rFonts w:eastAsia="Calibri"/>
        </w:rPr>
      </w:pPr>
    </w:p>
    <w:p w14:paraId="6E5ECC11" w14:textId="77777777" w:rsidR="006D702B" w:rsidRPr="00CF2667" w:rsidRDefault="006D702B" w:rsidP="006E7FC5">
      <w:pPr>
        <w:spacing w:after="0" w:line="240" w:lineRule="auto"/>
        <w:jc w:val="both"/>
        <w:rPr>
          <w:rFonts w:eastAsia="Calibri"/>
        </w:rPr>
      </w:pPr>
      <w:r>
        <w:t>Käesolev määrus jõustub...... 2023.</w:t>
      </w:r>
    </w:p>
    <w:p w14:paraId="45C78A1B" w14:textId="77777777" w:rsidR="006D702B" w:rsidRPr="00CF2667" w:rsidRDefault="006D702B" w:rsidP="006E7FC5">
      <w:pPr>
        <w:spacing w:after="0" w:line="240" w:lineRule="auto"/>
        <w:jc w:val="center"/>
        <w:rPr>
          <w:rFonts w:eastAsia="Calibri"/>
          <w:b/>
        </w:rPr>
      </w:pPr>
    </w:p>
    <w:p w14:paraId="130A173C" w14:textId="0F14DA3E" w:rsidR="006E7FC5" w:rsidRPr="00CF2667" w:rsidRDefault="00BF5C0C" w:rsidP="006E7FC5">
      <w:pPr>
        <w:jc w:val="center"/>
        <w:rPr>
          <w:rFonts w:eastAsia="Calibri"/>
          <w:b/>
        </w:rPr>
      </w:pPr>
      <w:r>
        <w:rPr>
          <w:b/>
        </w:rPr>
        <w:t>§ 15</w:t>
      </w:r>
    </w:p>
    <w:p w14:paraId="052A2215" w14:textId="14F24F13" w:rsidR="006E7FC5" w:rsidRPr="0073100A" w:rsidRDefault="00D669AC" w:rsidP="006E7FC5">
      <w:pPr>
        <w:jc w:val="both"/>
        <w:rPr>
          <w:rFonts w:eastAsia="Calibri"/>
        </w:rPr>
      </w:pPr>
      <w:r>
        <w:t>Käesoleva määruse eelnõust teatati ette, nagu on nõutud Euroopa Parlamendi ja nõukogu 9. septembri 2015. aasta direktiivi (EL) 2015/1535 (millega nähakse ette tehnilistest eeskirjadest ning infoühiskonna teenuste eeskirjadest teatamise kord) artiklites 5–7.</w:t>
      </w:r>
    </w:p>
    <w:p w14:paraId="3C6A2578" w14:textId="77777777" w:rsidR="007F34EE" w:rsidRPr="00CF2667" w:rsidRDefault="006E7FC5" w:rsidP="007F34EE">
      <w:pPr>
        <w:jc w:val="center"/>
        <w:rPr>
          <w:rFonts w:eastAsia="Calibri"/>
        </w:rPr>
      </w:pPr>
      <w:r>
        <w:t xml:space="preserve">   </w:t>
      </w:r>
    </w:p>
    <w:p w14:paraId="7E631094" w14:textId="5CD1C4E6" w:rsidR="006E7FC5" w:rsidRPr="00F135C5" w:rsidRDefault="006E7FC5" w:rsidP="00F135C5">
      <w:pPr>
        <w:rPr>
          <w:rFonts w:eastAsia="Calibri"/>
          <w:b/>
          <w:bCs/>
        </w:rPr>
      </w:pPr>
    </w:p>
    <w:sectPr w:rsidR="006E7FC5" w:rsidRPr="00F1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167"/>
    <w:multiLevelType w:val="hybridMultilevel"/>
    <w:tmpl w:val="0078767E"/>
    <w:lvl w:ilvl="0" w:tplc="A63243D0">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745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C5"/>
    <w:rsid w:val="0001079C"/>
    <w:rsid w:val="00012DCD"/>
    <w:rsid w:val="00024F51"/>
    <w:rsid w:val="00041F7B"/>
    <w:rsid w:val="0009293C"/>
    <w:rsid w:val="000A7196"/>
    <w:rsid w:val="000B3671"/>
    <w:rsid w:val="000E02F3"/>
    <w:rsid w:val="000F2AD6"/>
    <w:rsid w:val="001052C1"/>
    <w:rsid w:val="00127FAE"/>
    <w:rsid w:val="0015599C"/>
    <w:rsid w:val="0016206A"/>
    <w:rsid w:val="00173F50"/>
    <w:rsid w:val="00181F7A"/>
    <w:rsid w:val="0018214B"/>
    <w:rsid w:val="00193CE0"/>
    <w:rsid w:val="0020391A"/>
    <w:rsid w:val="00203C3F"/>
    <w:rsid w:val="00206AC5"/>
    <w:rsid w:val="0021203C"/>
    <w:rsid w:val="00212B64"/>
    <w:rsid w:val="0023017A"/>
    <w:rsid w:val="00234A70"/>
    <w:rsid w:val="002572BC"/>
    <w:rsid w:val="002662A1"/>
    <w:rsid w:val="002A7C40"/>
    <w:rsid w:val="00334106"/>
    <w:rsid w:val="003A5B78"/>
    <w:rsid w:val="003A78F0"/>
    <w:rsid w:val="003D5B7A"/>
    <w:rsid w:val="00421C27"/>
    <w:rsid w:val="00431B0E"/>
    <w:rsid w:val="00444CCE"/>
    <w:rsid w:val="00447FE9"/>
    <w:rsid w:val="00460640"/>
    <w:rsid w:val="0047373B"/>
    <w:rsid w:val="00482857"/>
    <w:rsid w:val="00497BD3"/>
    <w:rsid w:val="004B777D"/>
    <w:rsid w:val="004B77C9"/>
    <w:rsid w:val="005034BC"/>
    <w:rsid w:val="00517308"/>
    <w:rsid w:val="00521538"/>
    <w:rsid w:val="00526197"/>
    <w:rsid w:val="0053730E"/>
    <w:rsid w:val="00591010"/>
    <w:rsid w:val="005A5938"/>
    <w:rsid w:val="005A6F45"/>
    <w:rsid w:val="005C402F"/>
    <w:rsid w:val="005D223D"/>
    <w:rsid w:val="005E07CA"/>
    <w:rsid w:val="005F0267"/>
    <w:rsid w:val="005F0F64"/>
    <w:rsid w:val="005F30D0"/>
    <w:rsid w:val="005F7926"/>
    <w:rsid w:val="00605AC6"/>
    <w:rsid w:val="00632E1B"/>
    <w:rsid w:val="00634997"/>
    <w:rsid w:val="00655C54"/>
    <w:rsid w:val="00667115"/>
    <w:rsid w:val="00672BEF"/>
    <w:rsid w:val="006A0AD9"/>
    <w:rsid w:val="006A2019"/>
    <w:rsid w:val="006D702B"/>
    <w:rsid w:val="006E7FC5"/>
    <w:rsid w:val="0070150D"/>
    <w:rsid w:val="007176D9"/>
    <w:rsid w:val="00723037"/>
    <w:rsid w:val="0073100A"/>
    <w:rsid w:val="00743DA6"/>
    <w:rsid w:val="0076793D"/>
    <w:rsid w:val="00774591"/>
    <w:rsid w:val="00782E0A"/>
    <w:rsid w:val="00785E70"/>
    <w:rsid w:val="007919A4"/>
    <w:rsid w:val="007B051F"/>
    <w:rsid w:val="007F34EE"/>
    <w:rsid w:val="00803C4C"/>
    <w:rsid w:val="00806F38"/>
    <w:rsid w:val="008120A6"/>
    <w:rsid w:val="008126DB"/>
    <w:rsid w:val="00815C73"/>
    <w:rsid w:val="00816C55"/>
    <w:rsid w:val="00836DF7"/>
    <w:rsid w:val="0084156F"/>
    <w:rsid w:val="00846670"/>
    <w:rsid w:val="00883ECB"/>
    <w:rsid w:val="008902D0"/>
    <w:rsid w:val="008A5958"/>
    <w:rsid w:val="008C4599"/>
    <w:rsid w:val="008F4AEA"/>
    <w:rsid w:val="0094265F"/>
    <w:rsid w:val="00965042"/>
    <w:rsid w:val="009817D0"/>
    <w:rsid w:val="00991F71"/>
    <w:rsid w:val="0099589C"/>
    <w:rsid w:val="009B4363"/>
    <w:rsid w:val="009C02BE"/>
    <w:rsid w:val="009C35BE"/>
    <w:rsid w:val="009E31C9"/>
    <w:rsid w:val="009E5ECF"/>
    <w:rsid w:val="009F37D4"/>
    <w:rsid w:val="00A23564"/>
    <w:rsid w:val="00A52272"/>
    <w:rsid w:val="00A654AB"/>
    <w:rsid w:val="00A93213"/>
    <w:rsid w:val="00B12456"/>
    <w:rsid w:val="00B162E1"/>
    <w:rsid w:val="00B2554E"/>
    <w:rsid w:val="00B2666F"/>
    <w:rsid w:val="00B404C3"/>
    <w:rsid w:val="00B47621"/>
    <w:rsid w:val="00B60400"/>
    <w:rsid w:val="00B82D5A"/>
    <w:rsid w:val="00B8585F"/>
    <w:rsid w:val="00BB0F1A"/>
    <w:rsid w:val="00BC68A9"/>
    <w:rsid w:val="00BE416C"/>
    <w:rsid w:val="00BE630A"/>
    <w:rsid w:val="00BF5A71"/>
    <w:rsid w:val="00BF5C0C"/>
    <w:rsid w:val="00C012D4"/>
    <w:rsid w:val="00C350BD"/>
    <w:rsid w:val="00C50A71"/>
    <w:rsid w:val="00C536ED"/>
    <w:rsid w:val="00C63619"/>
    <w:rsid w:val="00C84F9C"/>
    <w:rsid w:val="00C9669B"/>
    <w:rsid w:val="00CA1F6D"/>
    <w:rsid w:val="00CB1E4B"/>
    <w:rsid w:val="00CB7CD2"/>
    <w:rsid w:val="00CC134D"/>
    <w:rsid w:val="00CC2AA8"/>
    <w:rsid w:val="00CE4959"/>
    <w:rsid w:val="00CF2667"/>
    <w:rsid w:val="00D007AF"/>
    <w:rsid w:val="00D32BE4"/>
    <w:rsid w:val="00D42C8A"/>
    <w:rsid w:val="00D65715"/>
    <w:rsid w:val="00D669AC"/>
    <w:rsid w:val="00D67727"/>
    <w:rsid w:val="00D831E3"/>
    <w:rsid w:val="00D851ED"/>
    <w:rsid w:val="00D87DB3"/>
    <w:rsid w:val="00DD6AA8"/>
    <w:rsid w:val="00E25CE6"/>
    <w:rsid w:val="00E261AE"/>
    <w:rsid w:val="00E35F25"/>
    <w:rsid w:val="00E64453"/>
    <w:rsid w:val="00EA2A22"/>
    <w:rsid w:val="00ED1E39"/>
    <w:rsid w:val="00EF1F0E"/>
    <w:rsid w:val="00F135C5"/>
    <w:rsid w:val="00F34A5B"/>
    <w:rsid w:val="00F42DAC"/>
    <w:rsid w:val="00F632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289"/>
  <w15:docId w15:val="{689E1621-4457-4042-BDCB-0C05FD9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C5"/>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010"/>
    <w:rPr>
      <w:sz w:val="16"/>
      <w:szCs w:val="16"/>
    </w:rPr>
  </w:style>
  <w:style w:type="paragraph" w:styleId="CommentText">
    <w:name w:val="annotation text"/>
    <w:basedOn w:val="Normal"/>
    <w:link w:val="CommentTextChar"/>
    <w:uiPriority w:val="99"/>
    <w:unhideWhenUsed/>
    <w:rsid w:val="00591010"/>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9101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9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10"/>
    <w:rPr>
      <w:rFonts w:ascii="Tahoma" w:eastAsia="Times New Roman" w:hAnsi="Tahoma" w:cs="Tahoma"/>
      <w:sz w:val="16"/>
      <w:szCs w:val="16"/>
      <w:lang w:eastAsia="hu-HU"/>
    </w:rPr>
  </w:style>
  <w:style w:type="paragraph" w:styleId="NormalWeb">
    <w:name w:val="Normal (Web)"/>
    <w:basedOn w:val="Normal"/>
    <w:uiPriority w:val="99"/>
    <w:semiHidden/>
    <w:unhideWhenUsed/>
    <w:rsid w:val="00EF1F0E"/>
    <w:pPr>
      <w:spacing w:before="100" w:beforeAutospacing="1" w:after="100" w:afterAutospacing="1"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EF1F0E"/>
    <w:pPr>
      <w:spacing w:after="160"/>
    </w:pPr>
    <w:rPr>
      <w:rFonts w:ascii="Times New Roman" w:eastAsia="Times New Roman" w:hAnsi="Times New Roman"/>
      <w:b/>
      <w:bCs/>
      <w:lang w:eastAsia="hu-HU"/>
    </w:rPr>
  </w:style>
  <w:style w:type="character" w:customStyle="1" w:styleId="CommentSubjectChar">
    <w:name w:val="Comment Subject Char"/>
    <w:basedOn w:val="CommentTextChar"/>
    <w:link w:val="CommentSubject"/>
    <w:uiPriority w:val="99"/>
    <w:semiHidden/>
    <w:rsid w:val="00EF1F0E"/>
    <w:rPr>
      <w:rFonts w:ascii="Times New Roman" w:eastAsia="Times New Roman" w:hAnsi="Times New Roman" w:cs="Times New Roman"/>
      <w:b/>
      <w:bCs/>
      <w:sz w:val="20"/>
      <w:szCs w:val="20"/>
      <w:lang w:eastAsia="hu-HU"/>
    </w:rPr>
  </w:style>
  <w:style w:type="paragraph" w:styleId="ListParagraph">
    <w:name w:val="List Paragraph"/>
    <w:basedOn w:val="Normal"/>
    <w:uiPriority w:val="34"/>
    <w:qFormat/>
    <w:rsid w:val="00173F50"/>
    <w:pPr>
      <w:ind w:left="720"/>
      <w:contextualSpacing/>
    </w:pPr>
  </w:style>
  <w:style w:type="paragraph" w:styleId="Revision">
    <w:name w:val="Revision"/>
    <w:hidden/>
    <w:uiPriority w:val="99"/>
    <w:semiHidden/>
    <w:rsid w:val="00806F3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45586802">
      <w:bodyDiv w:val="1"/>
      <w:marLeft w:val="0"/>
      <w:marRight w:val="0"/>
      <w:marTop w:val="0"/>
      <w:marBottom w:val="0"/>
      <w:divBdr>
        <w:top w:val="none" w:sz="0" w:space="0" w:color="auto"/>
        <w:left w:val="none" w:sz="0" w:space="0" w:color="auto"/>
        <w:bottom w:val="none" w:sz="0" w:space="0" w:color="auto"/>
        <w:right w:val="none" w:sz="0" w:space="0" w:color="auto"/>
      </w:divBdr>
    </w:div>
    <w:div w:id="164908087">
      <w:bodyDiv w:val="1"/>
      <w:marLeft w:val="0"/>
      <w:marRight w:val="0"/>
      <w:marTop w:val="0"/>
      <w:marBottom w:val="0"/>
      <w:divBdr>
        <w:top w:val="none" w:sz="0" w:space="0" w:color="auto"/>
        <w:left w:val="none" w:sz="0" w:space="0" w:color="auto"/>
        <w:bottom w:val="none" w:sz="0" w:space="0" w:color="auto"/>
        <w:right w:val="none" w:sz="0" w:space="0" w:color="auto"/>
      </w:divBdr>
    </w:div>
    <w:div w:id="429547432">
      <w:bodyDiv w:val="1"/>
      <w:marLeft w:val="0"/>
      <w:marRight w:val="0"/>
      <w:marTop w:val="0"/>
      <w:marBottom w:val="0"/>
      <w:divBdr>
        <w:top w:val="none" w:sz="0" w:space="0" w:color="auto"/>
        <w:left w:val="none" w:sz="0" w:space="0" w:color="auto"/>
        <w:bottom w:val="none" w:sz="0" w:space="0" w:color="auto"/>
        <w:right w:val="none" w:sz="0" w:space="0" w:color="auto"/>
      </w:divBdr>
    </w:div>
    <w:div w:id="529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259-9B7A-46FB-A08F-3149266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8334</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Krisztina dr.</dc:creator>
  <cp:lastModifiedBy>Anastasia Stavroulaki</cp:lastModifiedBy>
  <cp:revision>4</cp:revision>
  <cp:lastPrinted>2023-03-21T08:45:00Z</cp:lastPrinted>
  <dcterms:created xsi:type="dcterms:W3CDTF">2023-03-22T13:23:00Z</dcterms:created>
  <dcterms:modified xsi:type="dcterms:W3CDTF">2023-03-29T15:00:00Z</dcterms:modified>
</cp:coreProperties>
</file>