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rFonts w:ascii="Courier New" w:hAnsi="Courier New"/>
          <w:sz w:val="20"/>
        </w:rPr>
      </w:pPr>
      <w:r>
        <w:rPr>
          <w:rFonts w:ascii="Courier New" w:hAnsi="Courier New"/>
          <w:sz w:val="20"/>
        </w:rPr>
        <w:t>1. ------IND- 2020 0813 D-- SL-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rPr>
        <w:t>Stanje: 16.12.2020</w:t>
      </w:r>
    </w:p>
    <w:p w:rsidR="002C21BC" w:rsidRPr="00077B73" w:rsidRDefault="009C24A4">
      <w:pPr>
        <w:rPr>
          <w:rFonts w:ascii="Calibri" w:hAnsi="Calibri"/>
          <w:sz w:val="22"/>
          <w:szCs w:val="22"/>
        </w:rPr>
      </w:pPr>
      <w:r>
        <w:rPr>
          <w:rFonts w:ascii="Calibri" w:hAnsi="Calibri"/>
          <w:sz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bookmarkStart w:id="0" w:name="_GoBack"/>
      <w:bookmarkEnd w:id="0"/>
    </w:p>
    <w:p w:rsidR="00485576" w:rsidRPr="00077B73" w:rsidRDefault="00F57DE5" w:rsidP="00485576">
      <w:pPr>
        <w:spacing w:line="276" w:lineRule="auto"/>
        <w:jc w:val="center"/>
        <w:rPr>
          <w:rFonts w:asciiTheme="minorHAnsi" w:eastAsia="Calibri" w:hAnsiTheme="minorHAnsi" w:cstheme="minorHAnsi"/>
          <w:b/>
          <w:bCs/>
          <w:sz w:val="22"/>
          <w:szCs w:val="22"/>
        </w:rPr>
      </w:pPr>
      <w:r>
        <w:rPr>
          <w:b/>
          <w:sz w:val="22"/>
        </w:rPr>
        <w:t>Statut za opredelitev določb državne pogodbe o medijih o medijskih platformah in uporabniških vmesnikih</w:t>
      </w:r>
      <w:r>
        <w:rPr>
          <w:rFonts w:asciiTheme="minorHAnsi" w:hAnsiTheme="minorHAnsi"/>
          <w:b/>
          <w:sz w:val="22"/>
        </w:rPr>
        <w:t xml:space="preserv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sz w:val="22"/>
        </w:rPr>
        <w:t>(Statut MB)</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rPr>
        <w:t>z dne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sz w:val="22"/>
        </w:rPr>
        <w:t>Na podlagi oddelka 84(8) in oddelka 88 državne pogodbe o medijih z dne od 14. do 28. aprila 2020 ([…] sklic) [naziv medijskega zavoda] v soglasju z drugimi deželnimi medijskimi zavodi izdaja naslednji statut: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Poglavje 1: Splošni predpisi</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Oddelek 1</w:t>
      </w:r>
      <w:r>
        <w:rPr>
          <w:rFonts w:ascii="Calibri" w:hAnsi="Calibri"/>
          <w:b/>
          <w:sz w:val="22"/>
        </w:rPr>
        <w:br/>
        <w:t>Namen, področje uporabe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sz w:val="22"/>
        </w:rPr>
        <w:t xml:space="preserve">(1) </w:t>
      </w:r>
      <w:r>
        <w:rPr>
          <w:sz w:val="22"/>
          <w:vertAlign w:val="superscript"/>
        </w:rPr>
        <w:t>1</w:t>
      </w:r>
      <w:r>
        <w:rPr>
          <w:sz w:val="22"/>
        </w:rPr>
        <w:t>Ta statut v skladu z oddelkom 84(8) in oddelkom 88 državne pogodbe o medijih podrobneje ureja vsebinsko in postopkovno opredelitev zakonskih določb poglavja V(2) državne pogodbe o medijih o medijskih platformah in uporabniških vmesnikih (oddelki od 78 do 88 državne pogodbe o medijih).</w:t>
      </w:r>
      <w:r>
        <w:rPr>
          <w:rFonts w:asciiTheme="minorHAnsi" w:hAnsiTheme="minorHAnsi"/>
          <w:sz w:val="22"/>
        </w:rPr>
        <w:t xml:space="preserve"> </w:t>
      </w:r>
      <w:r>
        <w:rPr>
          <w:rFonts w:asciiTheme="minorHAnsi" w:hAnsiTheme="minorHAnsi"/>
          <w:sz w:val="22"/>
          <w:vertAlign w:val="superscript"/>
        </w:rPr>
        <w:t>2</w:t>
      </w:r>
      <w:r>
        <w:rPr>
          <w:rFonts w:asciiTheme="minorHAnsi" w:hAnsiTheme="minorHAnsi"/>
          <w:sz w:val="22"/>
        </w:rPr>
        <w:t xml:space="preserve">Služi za pozitivno zagotavljanje raznolikosti mnenj (raznolikost ponudb in ponudnikov).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Določbe tega statuta se uporabljajo za medijske platforme in uporabniške vmesnike. </w:t>
      </w:r>
      <w:r>
        <w:rPr>
          <w:rFonts w:asciiTheme="minorHAnsi" w:hAnsiTheme="minorHAnsi"/>
          <w:sz w:val="22"/>
          <w:vertAlign w:val="superscript"/>
        </w:rPr>
        <w:t>2</w:t>
      </w:r>
      <w:r>
        <w:rPr>
          <w:rFonts w:asciiTheme="minorHAnsi" w:hAnsiTheme="minorHAnsi"/>
          <w:sz w:val="22"/>
        </w:rPr>
        <w:t xml:space="preserve">Z izjemo oddelkov 1, 2, 3, 12 in naslednjih oddelkov tega statuta ne veljajo za medijske platforme in uporabniške vmesnike, katerih pomen za raznolikost ponudb in mnenj je manjši. </w:t>
      </w:r>
      <w:r>
        <w:rPr>
          <w:rFonts w:asciiTheme="minorHAnsi" w:hAnsiTheme="minorHAnsi"/>
          <w:sz w:val="22"/>
          <w:vertAlign w:val="superscript"/>
        </w:rPr>
        <w:t>3</w:t>
      </w:r>
      <w:r>
        <w:rPr>
          <w:rFonts w:asciiTheme="minorHAnsi" w:hAnsiTheme="minorHAnsi"/>
          <w:sz w:val="22"/>
        </w:rPr>
        <w:t>To praviloma velja, če je medijska platforma ali uporabniški vmesnik pod pragom iz točk 1 in 2 drugega stavka oddelka 78 državne pogodbe o medijih.</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Medijska platforma je vezana na infrastrukturo, kadar ponudnik medijske platforme nadzoruje tudi prenosno infrastrukturo od vstopne točke do omrežne priključne točke. </w:t>
      </w:r>
      <w:r>
        <w:rPr>
          <w:rFonts w:asciiTheme="minorHAnsi" w:hAnsiTheme="minorHAnsi"/>
          <w:sz w:val="22"/>
          <w:vertAlign w:val="superscript"/>
        </w:rPr>
        <w:t>2</w:t>
      </w:r>
      <w:r>
        <w:rPr>
          <w:rFonts w:asciiTheme="minorHAnsi" w:hAnsiTheme="minorHAnsi"/>
          <w:sz w:val="22"/>
        </w:rPr>
        <w:t>Nadzor lahko poteka tudi na podlagi pogodbenega dogovora med ponudnikom in lastnikom prenosne infrastrukture.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rPr>
        <w:t>(4) Določitev povezanih stanovanjskih enot za medijske platforme, vezane na kabelsko omrežje, in njihovih uporabniških vmesnikov v skladu s točko 1 drugega stavka oddelka 78 državne pogodbe o medijih se izvede v skladu z naslednjimi določbami:</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sz w:val="22"/>
        </w:rPr>
        <w:t>Obravnavana so vsa omrežja, ki jih je mogoče pripisati ponudniku medijske platforme, vezane na kabelsko omrežje.</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t>Povezane stanovanjske enote v smislu točke 1 drugega stavka oddelka 78 državne pogodbe o medijih so pri medijskih platformah, vezanih na kabelsko omrežje, stanovanjske enote, v katerih je fizična omrežna priključna točka, na kateri je končnemu uporabniku omogočen dostop do kabelskega omrežja, pod pogojem, da za omrežno priključno točko obstaja dogovor, v skladu s katerim je končni uporabnik upravičen do predvajanja radiodifuznih programov.</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rPr>
        <w:lastRenderedPageBreak/>
        <w:t>(5) Za ugotavljanje dejanskih dnevnih uporabnikov v smislu točke 2 drugega stavka oddelka 78 državne pogodbe o medijih veljajo naslednje določbe: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Dejanski dnevni uporabniki medijske platforme, ki ni vezana na infrastrukturo, ali uporabniškega vmesnika so uporabniki, ki medijsko platformo ali uporabniški vmesnik obiščejo v enem dnevu. Več priklicev enega uporabnika se šteje enkrat (Unique User).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Odločilen je priklic prve ravni izbire medijske platforme ali uporabniškega vmesnika. Če je po drugi strani medijska platforma določljiv del mešane ponudbe, so odločilne številke edinstvenih uporabnikov (Unique User) določljive funkcije.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Če je priklic radiodifuznih programov, elektronskih komunikacijskih in informacijskih storitev, podobnih radiodifuznim storitvam, ali elektronskih komunikacijskih in informacijskih storitev v smislu oddelka 19(1) državne pogodbe o medijih odvisen izključno od registracije ali prijave, je priklic prve ravni izbire, ki je dostopna po registraciji ali prijavi, odločilen za merjenje edinstvenih uporabnikov.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Če podatkov o dejanskih dnevnih uporabnikih ni mogoče določiti, se kot osnova za uporabniške vmesnike uporabi število prodanih naprav.</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Kot osnova za zgornje izračune mesečnega povprečja se uporablja obdobje 6 mesecev.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(6) Ponudnik mora izpolnjevati zahteve v skladu s točkama 1 in 2 drugega stavka oddelka 78 državne pogodbe o medijih.</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rPr>
        <w:t>Oddelek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Prijava</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Ponudniki, ki želijo ponuditi medijsko platformo ali uporabniški vmesnik, morajo o tem obvestiti pristojni deželni medijski zavod najmanj 1 mesec pred začetkom delovanja. </w:t>
      </w:r>
      <w:r>
        <w:rPr>
          <w:rFonts w:asciiTheme="minorHAnsi" w:hAnsiTheme="minorHAnsi"/>
          <w:sz w:val="22"/>
          <w:vertAlign w:val="superscript"/>
        </w:rPr>
        <w:t>2</w:t>
      </w:r>
      <w:r>
        <w:rPr>
          <w:rFonts w:asciiTheme="minorHAnsi" w:hAnsiTheme="minorHAnsi"/>
          <w:sz w:val="22"/>
        </w:rPr>
        <w:t xml:space="preserve">Če ponudnik ni odgovoren za začetek delovanja ponudbe, obveznost obveščanja iz prvega stavka temelji na času, ko je ponudba dana na trg.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rPr>
        <w:t>(2) V okviru obveščanja se zagotovijo zlasti naslednje informacije in dokumenti:</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predstavitev ponudbe; sem spadajo tudi informacije o naravi povezave medijske platforme z infrastrukturo ali informacije o tem, ali gre za uporabniški vmesnik medijske platforme, vezane na infrastrukturo;</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navedba fizične ali pravne osebe ponudnika medijske platforme ali uporabniškega vmesnika ter stalnega prebivališča ali sedeža;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predložitev pravnega potrdila o nekaznovanosti za predložitev organu ali primerljivega tujega dokumenta za osebo ponudnika medijske platforme ali uporabniškega vmesnika ali osebo, ki jo zakonito zastopa ali ki jo zastopa v skladu s statutom, ki ob predložitvi ni starejši od 6 mesecev. V primeru zakonitega zastopanja več oseb ali v primeru zastopanja v skladu s statutom predložitev dokumenta v smislu prvega stavka zadostuje za tiste zastopnike, ki so odgovorni za izbiro ponudb ali načrtovanje pregleda;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podatki o tehničnem in pričakovanem obsegu uporabe. Sem spadajo zlasti informacije, potrebne za pregled drugega stavka oddelka 78 državne pogodbe o medijih ter oddelka 1(4) do (6) tega statuta.</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Če ponudnik medijske platforme ali uporabniškega vmesnika nima prebivališča ali sedeža v Nemčiji, drugi državi članici Evropske unije ali drugi podpisnici Sporazuma o Evropskem </w:t>
      </w:r>
      <w:r>
        <w:rPr>
          <w:rFonts w:asciiTheme="minorHAnsi" w:hAnsiTheme="minorHAnsi"/>
          <w:sz w:val="22"/>
        </w:rPr>
        <w:lastRenderedPageBreak/>
        <w:t xml:space="preserve">gospodarskem prostoru, mora v okviru prijave imenovati zastopnika v skladu z drugim stavkom oddelka 79(1) državne pogodbe o medijih s predložitvijo dokumenta v skladu z odstavkom 2(3).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(4) Odgovorni medijski zavod lahko zahteva tudi predložitev dodatnih dokumentov in informacij, potrebnih za oceno prijave.</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Celovitost signala, prekrivanje in skaliranje</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(1) Tehnična sprememba v smislu oddelka 80(1)(1) državne pogodbe o medijih obstaja tudi, če ponudniki medijske platforme ne posredujejo tehnično zagotovljenih signalov HbbTV.</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rPr>
        <w:t xml:space="preserve">(2) Prekrivanje v smislu oddelka 80(1)(2) državne pogodbe o medijih je enakovredno zvočnim ali vizualnim prikazom, ki se pojavijo takoj po izbiri uporabnika in pred začetkom radiodifuznega programa (Pre-Roll).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Zahteva v posameznih primerih v smislu drugega in tretjega stavka oddelka 80(2) državne pogodbe o medijih poteka prek jasnega ukrepanja uporabnika, s katerim se za določeno situacijo uporabe in nedvoumno izjavi, da želi uporabnik sprožiti prekrivanje ali skaliranje. </w:t>
      </w:r>
      <w:r>
        <w:rPr>
          <w:rFonts w:asciiTheme="minorHAnsi" w:hAnsiTheme="minorHAnsi"/>
          <w:sz w:val="22"/>
          <w:vertAlign w:val="superscript"/>
        </w:rPr>
        <w:t>2</w:t>
      </w:r>
      <w:r>
        <w:rPr>
          <w:rFonts w:asciiTheme="minorHAnsi" w:hAnsiTheme="minorHAnsi"/>
          <w:sz w:val="22"/>
        </w:rPr>
        <w:t>To še posebej velja, če uporabnik uporablja ustrezno označene vizualne ali zvočne nadzorne elemente za sprožitev prekrivanja ali skaliranja.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Poglavje 2: Določbe o zasedenosti</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Oddelek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Določbe o zasedenosti za medijske platforme, vezane na infrastrukturo</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rPr>
        <w:t>Ustrezno upoštevanje ponudb v skladu s točko 1(b) in (c) prvega stavka oddelka 81(2) in točko 1(b) prvega stavka oddelka 81(3) državne pogodbe o medijih predvideva, da:</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je treba dokazati, da zmogljivost za zasedenost v skladu s točko 1 prvega stavka ni zadostna, da bi v celoti izpolnili obveznosti distribucije v skladu s točko 1 prvega stavka oddelka 81(2) in točko 1 prvega stavka oddelka 81(3) državne pogodbe o medijih;</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se programi, ki se distribuirajo po različnih standardih, štejejo samo enkrat;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se programi v skladu s točko 1 prvega stavka oddelka 81(2) in točko 1 prvega stavka oddelka 81(3) državne pogodbe o medijih, ki niso zakonsko določeni za posamezno območje distribucije, distribuirajo podrejeno glede na ponudbe v skladu s točko 1(b) in (c) prvega stavka oddelka 81(2) in s točko 1(b) prvega stavka oddelka 81(3) državne pogodbe o medijih;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se ponudbe v skladu s točko 1(b) in (c) prvega stavka oddelka 81(2) in točko 1(b) prvega stavka oddelka 81(3) državne pogodbe o medijih ne izpodrinejo v celoti.</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lastRenderedPageBreak/>
        <w:t>Poglavje 3: Pogoji dostopa za medijske platforme</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Enake možnosti</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(1) Ponudniki medijskih platform morajo dostop do svojih medijskih platform nuditi na način, da ponudbe v skladu z oddelkom 82(2) državne pogodbe o medijih niso posredno ali neposredno neustrezno ovirane pri njihovi distribuciji ali trženju.</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Neustrezno oviranje se ugotovi po celovitem tehtanju interesov udeleženih strani in ob upoštevanju ciljev državne pogodbe o medijih in teh zakonov, katerih namen je zagotoviti raznolikost mnenj in ponudb.</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(3) Neustrezno oviranje obstaja zlasti, če medijske platforme ne ponujajo realnih možnosti za dostop v okviru tega, kar je tehnično mogoče in ekonomsko smiselno ali če pogoji dostopa vodijo do strukturne zapostavljenosti ponudb v skladu z oddelkom 82(2) državne pogodbe o medijih.</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Nediskriminacija</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Ponudniki medijskih platform ponudb v okviru oddelka 82(2) državne pogodbe o medijih ne smejo obravnavati drugače kot podobnih ponudb brez objektivno utemeljenega razloga. </w:t>
      </w:r>
      <w:r>
        <w:rPr>
          <w:rFonts w:asciiTheme="minorHAnsi" w:hAnsiTheme="minorHAnsi"/>
          <w:sz w:val="22"/>
          <w:vertAlign w:val="superscript"/>
        </w:rPr>
        <w:t>2</w:t>
      </w:r>
      <w:r>
        <w:rPr>
          <w:rFonts w:asciiTheme="minorHAnsi" w:hAnsiTheme="minorHAnsi"/>
          <w:sz w:val="22"/>
        </w:rPr>
        <w:t xml:space="preserve">To še posebej velja, če ponudnik medijske platforme dostop do medijskih platform v skladu z oddelkom 82(2) državne pogodbe o medijih ponuja pod drugačnimi pogoji dostopa kot podjetju, ki ga je mogoče pripisati ponudniku medijske platforme, razen če ima za to objektivno utemeljen razlog. </w:t>
      </w:r>
      <w:r>
        <w:rPr>
          <w:rFonts w:asciiTheme="minorHAnsi" w:hAnsiTheme="minorHAnsi"/>
          <w:sz w:val="22"/>
          <w:vertAlign w:val="superscript"/>
        </w:rPr>
        <w:t>3</w:t>
      </w:r>
      <w:r>
        <w:rPr>
          <w:rFonts w:asciiTheme="minorHAnsi" w:hAnsiTheme="minorHAnsi"/>
          <w:sz w:val="22"/>
        </w:rPr>
        <w:t>Določiti je treba podjetja, s katerimi so ponudniki medijskih platform neposredno ali posredno povezani z lastniškim deležem ali na kakršen koli drug način. Ustrezno se uporablja oddelek 62 državne pogodbe o medijih.</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Objektivno utemeljen razlog za neenako obravnavanje prevlada pred glavnim ciljem zagotavljanja raznolikosti mnenj.</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Sistemi s pogojnim dostopom</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Sistem s pogojnim dostopom je: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vsak tehnični ukrep,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kateri koli sistem za preverjanje pristnosti in/ali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vsaka naprava,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rPr>
        <w:t>zaradi katerih je dostop do zaščitene radijske ali televizijske storitve v nešifrirani obliki odvisen od naročnine ali druge oblike predhodnega individualnega dovoljenja.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Za sisteme s pogojnim dostopom v smislu oddelka 82(2)(1) državne pogodbe o medijih velja, da se vsem pooblaščenim osebam omogoči uporaba tehničnih storitev, ki so potrebne za uporabo teh sistemov, informacije, potrebne za to, pa morajo biti zagotovljene ob upoštevanju načela enakih možnosti ter pod ustreznimi in nediskriminatornimi pogoji.</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Oddelek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Pogoji dostopa</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(1) Oblika pogojev dostopa v smislu oddelka 82(2)(4) in oddelka 83(2) državne pogodbe o medijih vključuje zlasti način, na katerega ponudnik medijskih platform s finančnimi in tehničnimi zahtevami določa dostop ponudbe v smislu oddelka 82(2) državne pogodbe do medijske platforme.</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(2) Če izdajatelj radiodifuznega programa zahteva dostop do medijske platforme, je treba v preučitev nediskriminacije in enakih možnosti vključiti vse storitve, za katere se zahteva plačilo, ki se izmenjujejo ali jih je treba izmenjati v neposredni ali posredni materialni povezavi z dostopom. Sem sodijo zlasti:</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pristojbine in tarife, ki jih ponudnik medijske platforme zaračuna ali želi zaračunati izdajateljem televizijskih programov, ki zahtevajo dostop,</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nadomestila, ki jih ponudnik medijske platforme plačuje ali naj bi jih pogodbeno plačeval izdajatelju na podlagi prenosa signala, vključno z donosi v modelih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rPr>
        <w:t>(3) Če je to potrebno za obravnavo stanja dostopa, se lahko v zahtevano splošno oceno vključijo tudi sporazumi o podelitvi in plačilu pravic, ki jih ponudnik medijske platforme sklene ali namerava skleniti z izdajateljem radiodifuznih programov na podlagi avtorskih pravic ali blagovnih znamk. Predpisi UrhG, UrhWahrG in GWB ter z njimi povezane odgovornosti ostajajo nespremenjeni.</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rPr>
        <w:t>Oddelek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Razkritje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(1) Ponudniki medijskih platform so dolžni: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rPr>
        <w:t xml:space="preserve">če so preseženi regulativni pragovi iz oddelka 78 državne pogodbe o medijih, pogoje dostopa v smislu oddelka 82(2) državne pogodbe o medijih in oddelka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rPr>
        <w:t>v primeru iz drugega stavka oddelka 81(2) državne pogodbe o medijih, podatke o skupni razpoložljivi zmogljivosti za digitalno distribucijo televizijskih ali radijskih programov</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rPr>
        <w:t>na zahtevo razkriti pristojnemu deželnemu medijskemu zavodu.</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rPr>
        <w:t>(2) Razkritje mora biti izvedeno s predložitvijo ustreznih dokumentov.</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(3) Razkritje mora vsebovati podatke o naslednjih točkah:</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V primeru odstavka 1(1):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vse tehnične parametre in tehnične okvirne pogoje, katerih poznavanje je potrebno za oceno dostopa v skladu z oddelkom 82(2)(1) in (2) državne pogodbe o medijih;</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pristojbine in tarife, ki jih zahtevajo ponudniki medijskih platform, vključno z njihovim izračunom, osnovnimi podatki in poslovnimi predpostavkami;</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opis uporabljenega sistema plačil.</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V primeru odstavka 1(2):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podatke o uporabljenih možnostih učinkovite uporabe zmogljivosti;</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ali in v katerih različnih standardih distribucije poteka distribucija programa.</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lastRenderedPageBreak/>
        <w:t>Poglavje 4: Predpisi za uporabniške vmesnike</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rPr>
        <w:t xml:space="preserve">Oddelek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Iskanje v uporabniških vmesnikih</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Razvrščanje, urejanje in predstavitev ponudb in vsebin ter druge besedilne, vizualne in zvočne oblike predstavitve, ki služijo iskanju ponudb in vsebin v uporabniških vmesnikih, so odločilnega pomena pri iskanju. </w:t>
      </w:r>
      <w:r>
        <w:rPr>
          <w:rFonts w:asciiTheme="minorHAnsi" w:hAnsiTheme="minorHAnsi"/>
          <w:sz w:val="22"/>
          <w:vertAlign w:val="superscript"/>
        </w:rPr>
        <w:t>2</w:t>
      </w:r>
      <w:r>
        <w:rPr>
          <w:rFonts w:asciiTheme="minorHAnsi" w:hAnsiTheme="minorHAnsi"/>
          <w:sz w:val="22"/>
        </w:rPr>
        <w:t xml:space="preserve">Ponudbe so posamezni radiodifuzni programi, elektronske komunikacijske in informacijske storitve, podobne radiodifuznim storitvam, ali elektronske komunikacijske in informacijske storitve v smislu oddelka 19(1) državne pogodbe o medijih kot tudi programsko zasnovane aplikacije v njihovi celoti, ki v svojem bistvu služijo neposrednemu nadzoru zgoraj omenjenih ponudb. </w:t>
      </w:r>
      <w:r>
        <w:rPr>
          <w:rFonts w:asciiTheme="minorHAnsi" w:hAnsiTheme="minorHAnsi"/>
          <w:sz w:val="22"/>
          <w:vertAlign w:val="superscript"/>
        </w:rPr>
        <w:t>3</w:t>
      </w:r>
      <w:r>
        <w:rPr>
          <w:rFonts w:asciiTheme="minorHAnsi" w:hAnsiTheme="minorHAnsi"/>
          <w:sz w:val="22"/>
        </w:rPr>
        <w:t>Vsebine so določljivi, zlasti ločeno imenovani ali zaznavni deli ponudb, kot so oddaje.</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rPr>
        <w:t>(2) Glede zahtev za iskanje in uporabo uporabniških vmesnikov je razumevanje povprečnega uporabnika, ki nima posebnega tehničnega znanja, odločilno v naslednjih predpisih.</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Podobne ponudbe ali vsebine mora biti mogoče najti pod enakimi možnostmi in brez diskriminacije. </w:t>
      </w:r>
      <w:r>
        <w:rPr>
          <w:rFonts w:asciiTheme="minorHAnsi" w:hAnsiTheme="minorHAnsi"/>
          <w:sz w:val="22"/>
          <w:vertAlign w:val="superscript"/>
        </w:rPr>
        <w:t>2</w:t>
      </w:r>
      <w:r>
        <w:rPr>
          <w:rFonts w:asciiTheme="minorHAnsi" w:hAnsiTheme="minorHAnsi"/>
          <w:sz w:val="22"/>
        </w:rPr>
        <w:t xml:space="preserve">Neenako obravnavanje je dovoljeno le, če zanj obstaja preverljiv objektivni razlog, ki ni v nasprotju s ciljem zagotavljanja raznolikosti. </w:t>
      </w:r>
      <w:r>
        <w:rPr>
          <w:rFonts w:asciiTheme="minorHAnsi" w:hAnsiTheme="minorHAnsi"/>
          <w:sz w:val="22"/>
          <w:vertAlign w:val="superscript"/>
        </w:rPr>
        <w:t>3</w:t>
      </w:r>
      <w:r>
        <w:rPr>
          <w:rFonts w:asciiTheme="minorHAnsi" w:hAnsiTheme="minorHAnsi"/>
          <w:sz w:val="22"/>
        </w:rPr>
        <w:t>Dovoljena merila za razvrščanje ali urejanje ponudb in vsebin so zlasti: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abecedni red;</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žanri, kot so informacije, izobraževanje, kultura, regionalni ali zabavni ali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obseg uporabe.</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vertAlign w:val="superscript"/>
        </w:rPr>
        <w:t>4</w:t>
      </w:r>
      <w:r>
        <w:rPr>
          <w:rFonts w:asciiTheme="minorHAnsi" w:hAnsiTheme="minorHAnsi"/>
          <w:sz w:val="22"/>
        </w:rPr>
        <w:t xml:space="preserve">Možnost nadaljnjega razvoja meril se ne spremeni. </w:t>
      </w:r>
      <w:r>
        <w:rPr>
          <w:rFonts w:asciiTheme="minorHAnsi" w:hAnsiTheme="minorHAnsi"/>
          <w:sz w:val="22"/>
          <w:vertAlign w:val="superscript"/>
        </w:rPr>
        <w:t>5</w:t>
      </w:r>
      <w:r>
        <w:rPr>
          <w:rFonts w:asciiTheme="minorHAnsi" w:hAnsiTheme="minorHAnsi"/>
          <w:sz w:val="22"/>
        </w:rPr>
        <w:t xml:space="preserve">Diskriminacija obstaja zlasti, če ponudnik uporabniškega vmesnika odstopa od lastnih dovoljenih meril. </w:t>
      </w:r>
      <w:r>
        <w:rPr>
          <w:rFonts w:asciiTheme="minorHAnsi" w:hAnsiTheme="minorHAnsi"/>
          <w:sz w:val="22"/>
          <w:vertAlign w:val="superscript"/>
        </w:rPr>
        <w:t>6</w:t>
      </w:r>
      <w:r>
        <w:rPr>
          <w:rFonts w:asciiTheme="minorHAnsi" w:hAnsiTheme="minorHAnsi"/>
          <w:sz w:val="22"/>
        </w:rPr>
        <w:t xml:space="preserve">Ponudnik mora deželnim medijskim zavodom zagotoviti, da so merila preverljiva in da so izpolnjena, zlasti tako, da podrobno pojasni, katera merila se uporabljajo in katere informacije so podlaga za to. </w:t>
      </w:r>
      <w:r>
        <w:rPr>
          <w:rFonts w:asciiTheme="minorHAnsi" w:hAnsiTheme="minorHAnsi"/>
          <w:sz w:val="22"/>
          <w:vertAlign w:val="superscript"/>
        </w:rPr>
        <w:t>7</w:t>
      </w:r>
      <w:r>
        <w:rPr>
          <w:rFonts w:asciiTheme="minorHAnsi" w:hAnsiTheme="minorHAnsi"/>
          <w:sz w:val="22"/>
        </w:rPr>
        <w:t xml:space="preserve">Praviloma ni dovoljeno: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razvrščanje ali urejanje, na katerega vpliva plačilo ali podobno nadomestilo; ali</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 xml:space="preserve">favoriziranje ponudbe in vsebine ponudnika uporabniškega vmesnika, razen če je njihova uporaba plačljiva.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Uporabniški vmesniki morajo omogočati iskanje določenih ponudb po celotni ponudbi (funkcija iskanja). </w:t>
      </w:r>
      <w:r>
        <w:rPr>
          <w:rFonts w:asciiTheme="minorHAnsi" w:hAnsiTheme="minorHAnsi"/>
          <w:sz w:val="22"/>
          <w:vertAlign w:val="superscript"/>
        </w:rPr>
        <w:t>2</w:t>
      </w:r>
      <w:r>
        <w:rPr>
          <w:rFonts w:asciiTheme="minorHAnsi" w:hAnsiTheme="minorHAnsi"/>
          <w:sz w:val="22"/>
        </w:rPr>
        <w:t xml:space="preserve">Rezultat iskanja, vključno s predlogi za iskanje med postopkom iskanja (npr. s funkcijo samodokončanja), mora biti nediskriminatoren. </w:t>
      </w:r>
      <w:r>
        <w:rPr>
          <w:rFonts w:asciiTheme="minorHAnsi" w:hAnsiTheme="minorHAnsi"/>
          <w:sz w:val="22"/>
          <w:vertAlign w:val="superscript"/>
        </w:rPr>
        <w:t>3</w:t>
      </w:r>
      <w:r>
        <w:rPr>
          <w:rFonts w:asciiTheme="minorHAnsi" w:hAnsiTheme="minorHAnsi"/>
          <w:sz w:val="22"/>
        </w:rPr>
        <w:t>Poleg tega lahko uporabniški vmesnik omogoča tudi iskanje po vsebini; ustrezno se uporablja prvi stavek odstavka 3.</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rPr>
        <w:t xml:space="preserve">(5) </w:t>
      </w:r>
      <w:r>
        <w:rPr>
          <w:rFonts w:asciiTheme="minorHAnsi" w:hAnsiTheme="minorHAnsi"/>
          <w:sz w:val="22"/>
          <w:vertAlign w:val="superscript"/>
        </w:rPr>
        <w:t>1</w:t>
      </w:r>
      <w:r>
        <w:rPr>
          <w:rFonts w:asciiTheme="minorHAnsi" w:hAnsiTheme="minorHAnsi"/>
          <w:sz w:val="22"/>
        </w:rPr>
        <w:t xml:space="preserve">Šteje se, da je ponudbe v uporabniških vmesnikih enostavno najti, če jih je mogoče najti hitro in preprosto, ker so npr. postavljene na začetek ali poudarjene, na primer z lastnim gumbom. </w:t>
      </w:r>
      <w:r>
        <w:rPr>
          <w:rFonts w:asciiTheme="minorHAnsi" w:hAnsiTheme="minorHAnsi"/>
          <w:sz w:val="22"/>
          <w:vertAlign w:val="superscript"/>
        </w:rPr>
        <w:t>2</w:t>
      </w:r>
      <w:r>
        <w:rPr>
          <w:rFonts w:asciiTheme="minorHAnsi" w:hAnsiTheme="minorHAnsi"/>
          <w:sz w:val="22"/>
        </w:rPr>
        <w:t xml:space="preserve">Kako enostavno je najti ponudbe in vsebine v posameznih primerih, je odvisno od načina, obsega in oblike uporabniškega vmesnika, pa tudi od posebne upodobitve ali druge predstavitve ponudb in vsebin. </w:t>
      </w:r>
      <w:r>
        <w:rPr>
          <w:rFonts w:asciiTheme="minorHAnsi" w:hAnsiTheme="minorHAnsi"/>
          <w:sz w:val="22"/>
          <w:vertAlign w:val="superscript"/>
        </w:rPr>
        <w:t>3</w:t>
      </w:r>
      <w:r>
        <w:rPr>
          <w:rFonts w:asciiTheme="minorHAnsi" w:hAnsiTheme="minorHAnsi"/>
          <w:sz w:val="22"/>
        </w:rPr>
        <w:t>Za lažje iskanje ustreznih ponudb je praviloma potrebno, vendar ne dovolj, da jih je mogoče najti enako enostavno in hitro kot druge ponudbe.</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rPr>
        <w:lastRenderedPageBreak/>
        <w:t xml:space="preserve">(6) </w:t>
      </w:r>
      <w:r>
        <w:rPr>
          <w:rFonts w:asciiTheme="minorHAnsi" w:hAnsiTheme="minorHAnsi"/>
          <w:sz w:val="22"/>
          <w:vertAlign w:val="superscript"/>
        </w:rPr>
        <w:t>1</w:t>
      </w:r>
      <w:r>
        <w:rPr>
          <w:rFonts w:asciiTheme="minorHAnsi" w:hAnsiTheme="minorHAnsi"/>
          <w:sz w:val="22"/>
        </w:rPr>
        <w:t>V uporabniških vmesnikih mora biti enostavno najti naslednje: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radiodifuzijo v celoti na prvi ravni izbire, pod pogojem, da na tej ravni ni mogoče izbrati samo radiodifuznih programov;</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znotraj radiodifuzije, zakonsko določene programe, ki se financirajo s prispevki, radiodifuzne programe, ki morajo vključiti okenske programe (oddelek 59(4) državne pogodbe o medijih), in zasebne programe, ki posebej prispevajo k raznolikosti mnenj in ponudb na zveznem ozemlju, in</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na ravneh izbire, ki predstavljajo samo ali pretežno elektronske komunikacijske in informacijske storitve, podobne radiodifuznim storitvam, ali programske aplikacije, ki služijo njihovemu neposrednemu nadzoru, ponudbe elektronskih komunikacijskih in informacijskih storitev in programske aplikacije v skladu z oddelkom 84(4) državne pogodbe o medijih.</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 xml:space="preserve">Radiodifuzijo v svoji celoti mora biti mogoče doseči na prvi ravni izbire brez večjih vmesnih korakov, običajno le z enim dejanjem. </w:t>
      </w:r>
      <w:r>
        <w:rPr>
          <w:rFonts w:asciiTheme="minorHAnsi" w:hAnsiTheme="minorHAnsi"/>
          <w:sz w:val="22"/>
          <w:vertAlign w:val="superscript"/>
        </w:rPr>
        <w:t>3</w:t>
      </w:r>
      <w:r>
        <w:rPr>
          <w:rFonts w:asciiTheme="minorHAnsi" w:hAnsiTheme="minorHAnsi"/>
          <w:sz w:val="22"/>
        </w:rPr>
        <w:t>Če se vizualno ali zvočno predvajajo radiodifuzni programi, ki morajo vključiti okenske programe (oddelek 59(4)), se na območju, za katerega so dovoljeni ali zakonsko določeni okenski programi, prednostno predvajajo glavni programi z okenskim programom v primerjavi z glavnim programom, ki se predvaja brez okenskega programa, in v primerjavi z okenskimi programi, ki so dovoljeni ali zakonsko določeni za druga področja.</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rPr>
        <w:t xml:space="preserve">(7) </w:t>
      </w:r>
      <w:r>
        <w:rPr>
          <w:rFonts w:asciiTheme="minorHAnsi" w:hAnsiTheme="minorHAnsi"/>
          <w:sz w:val="22"/>
          <w:vertAlign w:val="superscript"/>
        </w:rPr>
        <w:t>1</w:t>
      </w:r>
      <w:r>
        <w:rPr>
          <w:rFonts w:asciiTheme="minorHAnsi" w:hAnsiTheme="minorHAnsi"/>
          <w:sz w:val="22"/>
        </w:rPr>
        <w:t xml:space="preserve">Ne glede na privzete nastavitve morata biti uporabniku omogočena enostavno in hitro razvrščanje in urejanje ponudb in vsebin (npr. s pomočjo seznama priljubljenih). </w:t>
      </w:r>
      <w:r>
        <w:rPr>
          <w:rFonts w:asciiTheme="minorHAnsi" w:hAnsiTheme="minorHAnsi"/>
          <w:sz w:val="22"/>
          <w:vertAlign w:val="superscript"/>
        </w:rPr>
        <w:t>2</w:t>
      </w:r>
      <w:r>
        <w:rPr>
          <w:rFonts w:asciiTheme="minorHAnsi" w:hAnsiTheme="minorHAnsi"/>
          <w:sz w:val="22"/>
        </w:rPr>
        <w:t xml:space="preserve">Praviloma se lahko ponudbe ali vsebine enostavno in hitro razvrstijo in uredijo, če je to očitno ali obrazloženo na lahko razumljiv način. </w:t>
      </w:r>
      <w:r>
        <w:rPr>
          <w:rFonts w:asciiTheme="minorHAnsi" w:hAnsiTheme="minorHAnsi"/>
          <w:sz w:val="22"/>
          <w:vertAlign w:val="superscript"/>
        </w:rPr>
        <w:t>3</w:t>
      </w:r>
      <w:r>
        <w:rPr>
          <w:rFonts w:asciiTheme="minorHAnsi" w:hAnsiTheme="minorHAnsi"/>
          <w:sz w:val="22"/>
        </w:rPr>
        <w:t>Razvrščanje ali urejanje, ki ga opravi uporabnik, lahko spremeni samo on, nikakor ne s posodobitvami.</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rPr>
        <w:t xml:space="preserve">(8) </w:t>
      </w:r>
      <w:r>
        <w:rPr>
          <w:rFonts w:asciiTheme="minorHAnsi" w:hAnsiTheme="minorHAnsi"/>
          <w:sz w:val="22"/>
          <w:vertAlign w:val="superscript"/>
        </w:rPr>
        <w:t>1</w:t>
      </w:r>
      <w:r>
        <w:rPr>
          <w:rFonts w:asciiTheme="minorHAnsi" w:hAnsiTheme="minorHAnsi"/>
          <w:sz w:val="22"/>
        </w:rPr>
        <w:t xml:space="preserve">Odstavki od 4 do 7 se ne uporabljajo, če ponudnik uporabniškega vmesnika dokaže, da je izvedba tehnično nemogoča ali možna le z nesorazmernimi vložki. </w:t>
      </w:r>
      <w:r>
        <w:rPr>
          <w:rFonts w:asciiTheme="minorHAnsi" w:hAnsiTheme="minorHAnsi"/>
          <w:sz w:val="22"/>
          <w:vertAlign w:val="superscript"/>
        </w:rPr>
        <w:t>2</w:t>
      </w:r>
      <w:r>
        <w:rPr>
          <w:rFonts w:asciiTheme="minorHAnsi" w:hAnsiTheme="minorHAnsi"/>
          <w:sz w:val="22"/>
        </w:rPr>
        <w:t>Odločilni dejavnik za določanje nesorazmernih vložkov je splošna ocena, pri kateri se upoštevajo zlasti finančna zmožnost ponudnika, vložek za druge funkcije uporabniškega vmesnika, ki služijo lažjemu iskanju, ter vrsta in obseg kršitve, storjene v primeru neizvedbe. Vložki so nesorazmerni le, če gre za veliko nesorazmerje.</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Poglavje 5: Zahteve po preglednosti</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rPr>
        <w:t>Oddelek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Preglednost</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Ponudniki medijskih platform in uporabniških vmesnikov morajo poskrbeti za preglednost informacij v smislu oddelka 85 državne pogodbe o medijih. </w:t>
      </w:r>
      <w:r>
        <w:rPr>
          <w:rFonts w:asciiTheme="minorHAnsi" w:hAnsiTheme="minorHAnsi"/>
          <w:sz w:val="22"/>
          <w:vertAlign w:val="superscript"/>
        </w:rPr>
        <w:t>2</w:t>
      </w:r>
      <w:r>
        <w:rPr>
          <w:rFonts w:asciiTheme="minorHAnsi" w:hAnsiTheme="minorHAnsi"/>
          <w:sz w:val="22"/>
        </w:rPr>
        <w:t>Informacije je treba dati na razpolago v nemščini na tak način, da so uporabniku zlahka zaznavne ter neposredno in vedno dostopne.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(2) Glede zahtev za izvajanje zahtev po preglednosti je odločilno razumevanje povprečnega uporabnika, ki nima posebnega tehničnega znanja.</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Informacije so zlahka zaznavne, če jih je mogoče hitro in enostavno najti med uporabo medijske platforme ali uporabniškega vmesnika, saj so na primer poudarjene in označene z nedvoumnim izrazom. </w:t>
      </w:r>
      <w:r>
        <w:rPr>
          <w:rFonts w:asciiTheme="minorHAnsi" w:hAnsiTheme="minorHAnsi"/>
          <w:sz w:val="22"/>
          <w:vertAlign w:val="superscript"/>
        </w:rPr>
        <w:t>2</w:t>
      </w:r>
      <w:r>
        <w:rPr>
          <w:rFonts w:asciiTheme="minorHAnsi" w:hAnsiTheme="minorHAnsi"/>
          <w:sz w:val="22"/>
        </w:rPr>
        <w:t xml:space="preserve">Poseben dizajn, ki zagotavlja enostavno zaznavnost, je treba izdelati glede na vrsto, obseg in drugo obliko storitve. </w:t>
      </w:r>
      <w:r>
        <w:rPr>
          <w:rFonts w:asciiTheme="minorHAnsi" w:hAnsiTheme="minorHAnsi"/>
          <w:sz w:val="22"/>
          <w:vertAlign w:val="superscript"/>
        </w:rPr>
        <w:t>3</w:t>
      </w:r>
      <w:r>
        <w:rPr>
          <w:rFonts w:asciiTheme="minorHAnsi" w:hAnsiTheme="minorHAnsi"/>
          <w:sz w:val="22"/>
        </w:rPr>
        <w:t xml:space="preserve">Če je uporaba storitve pretežno glasovno nadzorovana, je treba informacije </w:t>
      </w:r>
      <w:r>
        <w:rPr>
          <w:rFonts w:asciiTheme="minorHAnsi" w:hAnsiTheme="minorHAnsi"/>
          <w:sz w:val="22"/>
        </w:rPr>
        <w:lastRenderedPageBreak/>
        <w:t>na zahtevo uporabnika reproducirati tudi zvočno, pri čemer zadošča zvočna opomba, kje so shranjene informacije.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Informacije so neposredno dostopne, če so na voljo tako, da je do njih mogoče dostopati znotraj medijske platforme ali uporabniškega vmesnika brez večjih vmesnih korakov. </w:t>
      </w:r>
      <w:r>
        <w:rPr>
          <w:rFonts w:asciiTheme="minorHAnsi" w:hAnsiTheme="minorHAnsi"/>
          <w:sz w:val="22"/>
          <w:vertAlign w:val="superscript"/>
        </w:rPr>
        <w:t>2</w:t>
      </w:r>
      <w:r>
        <w:rPr>
          <w:rFonts w:asciiTheme="minorHAnsi" w:hAnsiTheme="minorHAnsi"/>
          <w:sz w:val="22"/>
        </w:rPr>
        <w:t>Če se storitev uporablja prek interneta, se lahko to izvede tudi s povezavo.</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(5) Informacije so vedno dostopne, če so dostopne trajno in brez kakršne koli časovne omejitve.</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Poglavje 6: Postopkovni predpisi</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rPr>
        <w:t>Oddelek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Komisija za odobritev in nadzor (Kommission für Zulassung und Aufsicht – ZAK) pristojnega deželnega medijskega zavoda služi kot organ za naloge, ki jih je treba izpolniti v okviru tega statuta (točka 1 prvega stavka oddelka 104(2), točki 8 in 9 prvega stavka oddelka 105(1) državne pogodbe o medijih v povezavi s pravilnikom o poslovanju in postopkih ZAK – GVO ZAK). </w:t>
      </w:r>
      <w:r>
        <w:rPr>
          <w:rFonts w:asciiTheme="minorHAnsi" w:hAnsiTheme="minorHAnsi"/>
          <w:sz w:val="22"/>
        </w:rPr>
        <w:br/>
      </w:r>
      <w:r>
        <w:rPr>
          <w:rFonts w:asciiTheme="minorHAnsi" w:hAnsiTheme="minorHAnsi"/>
          <w:sz w:val="22"/>
          <w:vertAlign w:val="superscript"/>
        </w:rPr>
        <w:t>2</w:t>
      </w:r>
      <w:r>
        <w:rPr>
          <w:rFonts w:asciiTheme="minorHAnsi" w:hAnsiTheme="minorHAnsi"/>
          <w:sz w:val="22"/>
        </w:rPr>
        <w:t>Tretji stavek oddelka 81(5) v povezavi s točko 2 prvega stavka oddelka 105(2) državne pogodbe o medijih ostane nespremenjen.</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Pristojni deželni medijski zavod prijave v skladu z oddelkom 2 in pritožbe v skladu z oddelkom 14 posreduje takoj prek skupne pisarne na Komisijo za odobritev in nadzor in jo obvesti o pregledih po uradni dolžnosti. </w:t>
      </w:r>
      <w:r>
        <w:rPr>
          <w:rFonts w:asciiTheme="minorHAnsi" w:hAnsiTheme="minorHAnsi"/>
          <w:sz w:val="22"/>
          <w:vertAlign w:val="superscript"/>
        </w:rPr>
        <w:t>2</w:t>
      </w:r>
      <w:r>
        <w:rPr>
          <w:rFonts w:asciiTheme="minorHAnsi" w:hAnsiTheme="minorHAnsi"/>
          <w:sz w:val="22"/>
        </w:rPr>
        <w:t xml:space="preserve">Pristojni deželni medijski zavod vodi postopek, dokler ni pripravljen na odločitev.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Postopek</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(1) Pristojni deželni medijski zavod prek Komisije za odobritev in nadzor na podlagi pritožbe pooblaščene osebe v skladu z oddelkom 14 ali po uradni dolžnosti preveri, ali ponudnik medijske platforme ali uporabniškega vmesnika izpolnjuje določbe oddelkov od 79 do 85 državne pogodbe o medijih ali oddelkov od 2 do 6, 10 in 11 tega statuta.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(2) Če obstajajo konkretni znaki kršitve, je ponudnik medijske platforme ali uporabniškega vmesnika dolžan informacije in dokumente, potrebne za preverjanje, nemudoma predložiti pristojnemu deželnemu medijskemu zavodu.</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Če pristojni deželni medijski zavod odkrije kršitev prek Komisije za odobritev in nadzor v skladu z odstavkom 1, lahko ponudniku medijske platforme ali uporabniškega vmesnika omogoči, da kršitev odpravi, in v zvezi s tem določi razumni rok. </w:t>
      </w:r>
      <w:r>
        <w:rPr>
          <w:rFonts w:asciiTheme="minorHAnsi" w:hAnsiTheme="minorHAnsi"/>
          <w:sz w:val="22"/>
          <w:vertAlign w:val="superscript"/>
        </w:rPr>
        <w:t>2</w:t>
      </w:r>
      <w:r>
        <w:rPr>
          <w:rFonts w:asciiTheme="minorHAnsi" w:hAnsiTheme="minorHAnsi"/>
          <w:sz w:val="22"/>
        </w:rPr>
        <w:t>Če zakonske zahteve po tem še vedno niso izpolnjene, pristojni deželni medijski zavod z odločbo Komisije za odobritev in nadzor ter, v primerih iz tretjega stavka oddelka 81(5) državne pogodbe o medijih, z odločbo Konference predsednika upravnega odbora (Gremienvorsitzendenkonferenz – GVK) sprejme ukrepe, ki se zahtevajo v skladu z oddelkom 109(1) državne pogodbe o medijih.</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rPr>
        <w:lastRenderedPageBreak/>
        <w:t>Oddelek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b/>
          <w:sz w:val="22"/>
        </w:rPr>
        <w:t>Pritožbe v okviru nadzora</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Pravico do vložitve pritožbe imajo ponudniki radiodifuznih programov, elektronskih komunikacijskih in informacijskih storitev, podobnih radiodifuznim storitvam, ali elektronskih komunikacijskih in informacijskih storitev v skladu z oddelkom 19(1) državne pogodbe o medijih, ki: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se distribuirajo na medijski platformi, ali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zahtevajo dostop do medijske platforme, da bi ponujali ali tržili radiodifuzne programe, elektronske komunikacijske in informacijske storitve, podobne radiodifuznim storitvam, ali elektronske komunikacijske in informacijske storitve v skladu z oddelkom 19(1) državne pogodbe o medijih, ali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nanje vpliva prikaz v uporabniških vmesnikih v smislu oddelka 2(2)(15) državne pogodbe o medijih.</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Toženi so lahko ponudniki medijskih platform v skladu z oddelkom 2(2)(19) državne pogodbe o medijih in ponudniki uporabniških vmesnikov v skladu z oddelkom 2(2)(20) državne pogodbe o medijih.</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(2) Strani, ki so upravičene do vložitve pritožbe v skladu z odstavkom 1, se lahko pisno obrnejo na pristojni deželni medijski zavod, pri čemer navedejo konkretne znake za obstoj kršitve določb oddelkov od 80 do 84 državne pogodbe o medijih ali oddelkov od 3 do 6 in 10 tega statuta ter pojasnijo dejstva, na katerih temelji pritožba.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(3) Ob vložitvi pritožbe morajo strani, ki so upravičene do vložitve pritožbe, pojasniti in dokazati, da so si prizadevale razjasniti sporno stališče s ponudnikom medijske platforme ali uporabniškega vmesnika.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Pristojni deželni medijski zavod lahko najprej poskusi poiskati ustrezno rešitev med vpletenimi. </w:t>
      </w:r>
      <w:r>
        <w:rPr>
          <w:rFonts w:asciiTheme="minorHAnsi" w:hAnsiTheme="minorHAnsi"/>
          <w:sz w:val="22"/>
          <w:vertAlign w:val="superscript"/>
        </w:rPr>
        <w:t>2</w:t>
      </w:r>
      <w:r>
        <w:rPr>
          <w:rFonts w:asciiTheme="minorHAnsi" w:hAnsiTheme="minorHAnsi"/>
          <w:sz w:val="22"/>
        </w:rPr>
        <w:t>V primerih iz oddelka 83(3) državne pogodbe o medijih mora pristojni deželni medijski organ opraviti mediacijo pred pritožbenim postopkom.</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(5) Kar zadeva sisteme s pogojnim dostopom in vmesnike za aplikacijske programe, pristojni deželni medijski zavod pritožbo v okviru postopka, dogovorjenega z Zvezno agencijo za omrežja (BNetzA) (opis postopka z dne 20. aprila 2010), posreduje Zvezni agenciji za omrežja, kjer se postopek vodi.</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(6) </w:t>
      </w:r>
      <w:r>
        <w:rPr>
          <w:rFonts w:asciiTheme="minorHAnsi" w:hAnsiTheme="minorHAnsi"/>
          <w:sz w:val="22"/>
          <w:vertAlign w:val="superscript"/>
        </w:rPr>
        <w:t>1</w:t>
      </w:r>
      <w:r>
        <w:rPr>
          <w:rFonts w:asciiTheme="minorHAnsi" w:hAnsiTheme="minorHAnsi"/>
          <w:sz w:val="22"/>
        </w:rPr>
        <w:t xml:space="preserve">Pritožba mora biti naslovljena na deželni medijski zavod, pri katerem je prijavljena medijska platforma ali uporabniški vmesnik. </w:t>
      </w:r>
      <w:r>
        <w:rPr>
          <w:rFonts w:asciiTheme="minorHAnsi" w:hAnsiTheme="minorHAnsi"/>
          <w:sz w:val="22"/>
          <w:vertAlign w:val="superscript"/>
        </w:rPr>
        <w:t>2</w:t>
      </w:r>
      <w:r>
        <w:rPr>
          <w:rFonts w:asciiTheme="minorHAnsi" w:hAnsiTheme="minorHAnsi"/>
          <w:sz w:val="22"/>
        </w:rPr>
        <w:t>Če v času pritožbe ni nobene prijave, se za ponudbe, usmerjene na vso državo, ustrezno uporablja oddelek 106(1) državne pogodbe o medijih.</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Izdaja potrdila o odobritvi v skladu z oddelkom 87 državne pogodbe o medijih</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Če je vložena prošnja za potrdilo o odobritvi v skladu s prvim stavkom oddelka 87 državne pogodbe o medijih, pristojni deželni medijski zavod obvesti ponudnike privilegiranih ponudb v skladu z drugim stavkom oddelka 84(3) in oddelkom 84(4) državne pogodbe o medijih o začetku postopka. </w:t>
      </w:r>
      <w:r>
        <w:rPr>
          <w:rFonts w:asciiTheme="minorHAnsi" w:hAnsiTheme="minorHAnsi"/>
          <w:sz w:val="22"/>
          <w:vertAlign w:val="superscript"/>
        </w:rPr>
        <w:t>2</w:t>
      </w:r>
      <w:r>
        <w:rPr>
          <w:rFonts w:asciiTheme="minorHAnsi" w:hAnsiTheme="minorHAnsi"/>
          <w:sz w:val="22"/>
        </w:rPr>
        <w:t>Informacije je mogoče zagotoviti v elektronski obliki.</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lastRenderedPageBreak/>
        <w:t xml:space="preserve">(2) Pristojni deželni medijski zavod prošnjo prek skupne pisarne posreduje Komisiji za odobritev in nadzor. Pristojni deželni medijski zavod vodi postopek, dokler ni pripravljen na odločitev.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V obdobju veljavnosti potrdila o odobritvi mora ponudnik medijske platforme ali uporabniškega vmesnika obvestiti pristojni deželni medijski zavod o vseh pomembnih spremembah na medijski platformi ali uporabniškem vmesniku. </w:t>
      </w:r>
      <w:r>
        <w:rPr>
          <w:rFonts w:asciiTheme="minorHAnsi" w:hAnsiTheme="minorHAnsi"/>
          <w:sz w:val="22"/>
          <w:vertAlign w:val="superscript"/>
        </w:rPr>
        <w:t>2</w:t>
      </w:r>
      <w:r>
        <w:rPr>
          <w:rFonts w:asciiTheme="minorHAnsi" w:hAnsiTheme="minorHAnsi"/>
          <w:sz w:val="22"/>
        </w:rPr>
        <w:t>Pristojni deželni medijski organ po uradni dolžnosti preveri, ali so zahteve za potrdilo o odobritvi še vedno izpolnjene.</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Poglavje 7: Končne določbe</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Oddelek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Dostopnost</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rPr>
        <w:t>Ponudniki uporabniških vmesnikov in ponudniki medijskih platform morajo v okviru svojih tehničnih in finančnih možnosti podpirati neoviran dostop do televizijskih programov in elektronskih komunikacijskih in informacijskih storitev, podobnih televizijskim programom (oddelek 21 državne pogodbe o medijih).</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sz w:val="22"/>
        </w:rPr>
        <w:t>Oddelek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Začetek veljavnosti, prenehanje veljavnosti</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Ta statut začne veljati 15. aprila 2021. </w:t>
      </w:r>
      <w:r>
        <w:rPr>
          <w:rFonts w:asciiTheme="minorHAnsi" w:hAnsiTheme="minorHAnsi"/>
          <w:sz w:val="22"/>
          <w:vertAlign w:val="superscript"/>
        </w:rPr>
        <w:t>2</w:t>
      </w:r>
      <w:r>
        <w:rPr>
          <w:rFonts w:asciiTheme="minorHAnsi" w:hAnsiTheme="minorHAnsi"/>
          <w:sz w:val="22"/>
        </w:rPr>
        <w:t xml:space="preserve">Predsednik konference direktorjev deželnih medijskih zavodov (Direktorenkonferenz der Landesmedienanstalten) na spletni strani pod krovno blagovno znamko „die medienanstalten“ objavi, ali so do takrat vsi deželni medijski zavodi izdali in objavili ustrezne statute. </w:t>
      </w:r>
      <w:r>
        <w:rPr>
          <w:rFonts w:asciiTheme="minorHAnsi" w:hAnsiTheme="minorHAnsi"/>
          <w:sz w:val="22"/>
          <w:vertAlign w:val="superscript"/>
        </w:rPr>
        <w:t>3</w:t>
      </w:r>
      <w:r>
        <w:rPr>
          <w:rFonts w:asciiTheme="minorHAnsi" w:hAnsiTheme="minorHAnsi"/>
          <w:sz w:val="22"/>
        </w:rPr>
        <w:t>Ne glede na prvi stavek začne oddelek 10(5) do (7) tega statuta veljati 1. septembra 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(2) Hkrati preneha veljati statut o prostem dostopu do digitalnih storitev in regulaciji platform v skladu z oddelkom 53 Državne pogodbe o radiodifuziji z dne 14. decembra 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EEA" w:rsidRDefault="00AE4EEA" w:rsidP="00986629">
      <w:r>
        <w:separator/>
      </w:r>
    </w:p>
  </w:endnote>
  <w:endnote w:type="continuationSeparator" w:id="0">
    <w:p w:rsidR="00AE4EEA" w:rsidRDefault="00AE4EEA"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484727">
          <w:rPr>
            <w:rFonts w:asciiTheme="minorHAnsi" w:hAnsiTheme="minorHAnsi" w:cstheme="minorHAnsi"/>
            <w:noProof/>
            <w:sz w:val="22"/>
          </w:rPr>
          <w:t>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EEA" w:rsidRDefault="00AE4EEA" w:rsidP="00986629">
      <w:r>
        <w:separator/>
      </w:r>
    </w:p>
  </w:footnote>
  <w:footnote w:type="continuationSeparator" w:id="0">
    <w:p w:rsidR="00AE4EEA" w:rsidRDefault="00AE4EEA"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Priglašeno v skladu z Direktivo (EU) 2015/1535 Evropskega parlamenta in Sveta z dne 9. septembra 2015 o določitvi postopka za zbiranje informacij na področju tehničnih predpisov in pravil za storitve informacijske družbe (UL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w:rPr>
        <w:noProof/>
        <w:lang w:val="en-US" w:eastAsia="zh-CN"/>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4727"/>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74A92"/>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E4EEA"/>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24DDF"/>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sl-SI"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25B8-7EE9-4F93-9EFA-97CA538D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3626</Words>
  <Characters>21760</Characters>
  <Application>Microsoft Office Word</Application>
  <DocSecurity>0</DocSecurity>
  <Lines>181</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Geschäfts- und Verfahrensordnung</vt:lpstr>
      <vt:lpstr>Geschäfts- und Verfahrensordnung</vt:lpstr>
    </vt:vector>
  </TitlesOfParts>
  <Company>Bayer. Sozialgerichtsbarkeit</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BONITO, Joana</cp:lastModifiedBy>
  <cp:revision>4</cp:revision>
  <cp:lastPrinted>2014-01-13T11:15:00Z</cp:lastPrinted>
  <dcterms:created xsi:type="dcterms:W3CDTF">2020-12-31T08:56:00Z</dcterms:created>
  <dcterms:modified xsi:type="dcterms:W3CDTF">2020-12-31T09:32:00Z</dcterms:modified>
</cp:coreProperties>
</file>