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ИКОНОМИКА И МОРСКИ ВЪПРОСИ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Служба на държавния секретар по икономическите въпроси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Наредба № 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Обобщение: Наредба за определяне на Наредба за законовия метрологичен контрол на димомерите.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Метрологичният контрол на измервателните методи и уреди в Португалия е в съответствие с общата схема, одобрена с Указ-закон № 29/2022 от 7 април, общите нормативни разпоредби, предвидени в Общия правилник за метрологичен контрол, одобрен с Наредба № 211/2022 от 23 август, както и разпоредбите, съдържащи се в специалните наредби на всеки измервателен уред.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С оглед на публикуването на тази правна позиция е необходимо да се приеме специална наредба, която да се спазва от метрологичния контрол на димомерите, за отмяна на Наредба № 797/2009 от 1 декември.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Тази Наредба е предмет на информационната процедура в областта на техническите регламенти и правилата за услугите на информационното общество, предвидена в Директива (ЕС) 2015/1535 на Европейския парламент и на Съвета от 9 септември 2015 г.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Следователно: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Съгласно член 2, буква а) и член 25, параграф 1 от Указ-закон № 29/2022 от 7 април във връзка с разпоредбите на член 1, параграф 4 от наредбата, приложена към Наредба № 211/2022 от 23 август, правителството, в лицето на Държавния секретар по икономическите въпроси, възлага следното: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Член 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Предмет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С настоящото се одобрява Наредбата за законовия метрологичен контрол на димомерите, приложена към настоящата наредба, от която е неразделна част.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Клауза за отмяна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Наредба № 797/2009 от 1 декември се отменя.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Влизане в сила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Настоящата наредба влиза в сила в деня след публикуването ѝ.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хх xxxxxx 2023 г. – Държавният секретар по икономическите въпроси, </w:t>
      </w:r>
      <w:r>
        <w:rPr>
          <w:rFonts w:ascii="Garamond" w:hAnsi="Garamond"/>
          <w:i/>
          <w:sz w:val="24"/>
        </w:rPr>
        <w:t>Pedro Cilínio</w:t>
      </w:r>
      <w:r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ПРИЛОЖЕНИЕ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НАРЕДБА ЗА ЗАКОНОВИЯ МЕТРОЛОГИЧЕН КОНТРОЛ НА ДИМОМЕРИТЕ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Обхват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Настоящата наредба се прилага за димомерите, предназначени за измерване на непрозрачността на емисиите на отработили газове от дизелови превозни средства.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Определение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За целите на настоящата наредба димомери означава измервателни уреди, предназначени за непрекъснато измерване на непрозрачността на отработилите газове, отделяни от превозните средства.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Член 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Въвеждане в експлоатация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Димомерите трябва да отговарят на определените метрологични и технически изисквания </w:t>
      </w:r>
      <w:bookmarkStart w:id="2" w:name="_Hlk63409046"/>
      <w:bookmarkStart w:id="3" w:name="_Hlk63674255"/>
      <w:r>
        <w:rPr>
          <w:rFonts w:ascii="Garamond" w:hAnsi="Garamond"/>
          <w:sz w:val="24"/>
        </w:rPr>
        <w:t xml:space="preserve">в </w:t>
      </w:r>
      <w:bookmarkEnd w:id="2"/>
      <w:bookmarkEnd w:id="3"/>
      <w:r>
        <w:rPr>
          <w:rFonts w:ascii="Garamond" w:hAnsi="Garamond"/>
          <w:sz w:val="24"/>
        </w:rPr>
        <w:t>стандарта ISO 11614.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4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Показание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Показанието на димомерите се изразява посредством коефициента на поглъщане на светлината, представен със символа k, и в единицата m</w:t>
      </w:r>
      <w:r>
        <w:rPr>
          <w:rFonts w:ascii="Garamond" w:hAnsi="Garamond"/>
          <w:sz w:val="24"/>
          <w:vertAlign w:val="superscript"/>
        </w:rPr>
        <w:t xml:space="preserve">-1 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Стойностите на непрозрачността са проценти и се изразяват чрез символа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Когато коефициентът на преобразуване е надлежно изразен, други еквивалентни мерни единици могат да бъдат приети въз основа на мерните единици на Международната система от мерни единици (SI).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5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Законов метрологичен контрол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Законовият метрологичен контрол на </w:t>
      </w:r>
      <w:bookmarkStart w:id="4" w:name="_Hlk106875133"/>
      <w:r>
        <w:rPr>
          <w:rFonts w:ascii="Garamond" w:hAnsi="Garamond"/>
          <w:sz w:val="24"/>
        </w:rPr>
        <w:t xml:space="preserve">димомерите </w:t>
      </w:r>
      <w:bookmarkEnd w:id="4"/>
      <w:r>
        <w:rPr>
          <w:rFonts w:ascii="Garamond" w:hAnsi="Garamond"/>
          <w:sz w:val="24"/>
        </w:rPr>
        <w:t>е отговорност на португалския институт по качеството, I. P. (IPQ, I. P.) и включва дейностите по типово одобрение, първа проверка, периодична проверка и извънредна проверка.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Одобрение на модела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Образецът на одобрение трябва да отговаря на изискванията, предвидени в член 7 от Указ-закон № 29/2022 от 7 април и член 2 от наредбата, приложена към Наредба № 211/2022 от 23 август.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(2) По време на срока на валидност на типовото одобрение, някои или всички промени, направени в одобрения модел, чрез подмяна на компоненти, чрез добавяне на допълнително устройство, </w:t>
      </w:r>
      <w:r>
        <w:rPr>
          <w:rFonts w:ascii="Garamond" w:hAnsi="Garamond"/>
          <w:color w:val="000000"/>
          <w:sz w:val="24"/>
        </w:rPr>
        <w:t xml:space="preserve"> промяна на инсталираната компютърна програма </w:t>
      </w:r>
      <w:r>
        <w:rPr>
          <w:rFonts w:ascii="Garamond" w:hAnsi="Garamond"/>
          <w:i/>
          <w:color w:val="000000"/>
          <w:sz w:val="24"/>
        </w:rPr>
        <w:t>(софтуер)</w:t>
      </w:r>
      <w:r>
        <w:rPr>
          <w:rFonts w:ascii="Garamond" w:hAnsi="Garamond"/>
          <w:color w:val="000000"/>
          <w:sz w:val="24"/>
        </w:rPr>
        <w:t>, или чрез изменения, които могат да повлияят на резултатите от измерванията или регулаторните условия на употреба, се нуждаят от допълнително одобрение на модела.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>(3) Компютърните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color w:val="000000"/>
          <w:sz w:val="24"/>
        </w:rPr>
        <w:t>програми, използвани от</w:t>
      </w:r>
      <w:r>
        <w:t xml:space="preserve"> </w:t>
      </w:r>
      <w:bookmarkStart w:id="5" w:name="_Hlk126936097"/>
      <w:r>
        <w:rPr>
          <w:rFonts w:ascii="Garamond" w:hAnsi="Garamond"/>
          <w:sz w:val="24"/>
        </w:rPr>
        <w:t>димомерите</w:t>
      </w:r>
      <w:r>
        <w:rPr>
          <w:rFonts w:ascii="Garamond" w:hAnsi="Garamond"/>
          <w:color w:val="000000"/>
          <w:sz w:val="24"/>
        </w:rPr>
        <w:t xml:space="preserve"> </w:t>
      </w:r>
      <w:bookmarkEnd w:id="5"/>
      <w:r>
        <w:rPr>
          <w:rFonts w:ascii="Garamond" w:hAnsi="Garamond"/>
          <w:color w:val="000000"/>
          <w:sz w:val="24"/>
        </w:rPr>
        <w:t>трябва да гарантират целостта и поверителността на получените и подадените данни и трябва да бъдат обект на уникална и недвусмислена идентификация.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Първа проверка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Първата проверка се извършва преди пускането на измервателния уред на пазара или след ремонта му и при всяко нарушение на системата за запечатване, без периодична проверка през същата година със същия срок на валидност.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Първите изпитвания за проверка се провеждат в съответствие с метрологичните и техническите изисквания, определени в член 3 от настоящата наредба.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lastRenderedPageBreak/>
        <w:t>(3)</w:t>
      </w:r>
      <w:bookmarkEnd w:id="6"/>
      <w:r>
        <w:rPr>
          <w:rFonts w:ascii="Garamond" w:hAnsi="Garamond"/>
          <w:sz w:val="24"/>
        </w:rPr>
        <w:t xml:space="preserve"> Максимално допустимите стойности на грешката за първата проверка са равни на ± 2 % непрозрачност,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Периодични проверки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t>(1) Периодичната проверка е с годишна честота и е валидна една година след приключването ѝ.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Изпитванията за периодична проверка са същите като тези, установени за първата проверка.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Максимално допустимите стойности на грешка при периодичната проверка трябва да са равни на максимално допустимите стойности на грешка, установени при първата проверка.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9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Извънредна проверка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Извънредната проверка включва периодични изпитвания за проверка.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При извънредната проверка стойностите на максимално допустимите грешки са равни на стойностите на максимално допустимите грешки, установени за периодичната проверка.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Надписи и маркировки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(1) Димомерите показват, видимо и четливо, надписи и маркировки в съответствие с метрологичните и техническите изисквания, определени в член 3 от настоящата наредба.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9"/>
      <w:r>
        <w:rPr>
          <w:rFonts w:ascii="Garamond" w:hAnsi="Garamond"/>
          <w:sz w:val="24"/>
        </w:rPr>
        <w:t xml:space="preserve"> Димомерите трябва също така да носят символа за одобрение на модела и други символи или означения, които са полезни за тяхната употреба.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9D5CD0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lastRenderedPageBreak/>
        <w:t>Член 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Преходна разпоредба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Измервателните уреди, които са в употреба, могат да останат в употреба, докато са в добро състояние и ако възникнат, в метрологичните изпитвания за проверка, грешки, които не надвишават максимално допустимите грешки.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Член 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Окончателна разпоредба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Разпоредбите на предходните членове не възпрепятстват пускането на пазара или по-нататъшната употреба на димомери, придружени от сертификати за оценяване на съответствието, издадени от органи, признати съгласно приложимото законодателство на Европейския съюз, в рамките на законовата метрологична дейност, въз основа на спецификации и процедури, осигуряващи метрологично качество на посоченото в настоящия регламент, като еквивалентността се оценява от IPQ, I.P.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D5CD0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customXml/itemProps2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Liana Brili</cp:lastModifiedBy>
  <cp:revision>4</cp:revision>
  <dcterms:created xsi:type="dcterms:W3CDTF">2023-04-03T15:23:00Z</dcterms:created>
  <dcterms:modified xsi:type="dcterms:W3CDTF">2023-04-19T13:39:00Z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