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4AF" w14:textId="6293A273" w:rsidR="00A61365" w:rsidRDefault="00A61365">
      <w:pPr>
        <w:rPr>
          <w:b/>
        </w:rPr>
      </w:pPr>
      <w:r>
        <w:rPr>
          <w:b/>
        </w:rPr>
        <w:t>PROIECT DIN 24 aprilie 2023</w:t>
      </w:r>
    </w:p>
    <w:p w14:paraId="47AEB7CF" w14:textId="77777777" w:rsidR="00A61365" w:rsidRDefault="00A61365">
      <w:pPr>
        <w:rPr>
          <w:b/>
        </w:rPr>
      </w:pPr>
    </w:p>
    <w:p w14:paraId="6180DDA9" w14:textId="710E2BAE" w:rsidR="00812A71" w:rsidRDefault="00DE2DBE">
      <w:r>
        <w:rPr>
          <w:b/>
        </w:rPr>
        <w:t>Decretul de modificare a Decretului privind focurile de artificii în legătură cu punerea în aplicare a Deciziei Benelux privind introducerea unei autorizații privind articolele pirotehnice și a unor alte modificări</w:t>
      </w:r>
    </w:p>
    <w:p w14:paraId="72D47658" w14:textId="77777777" w:rsidR="004550E6" w:rsidRDefault="004550E6"/>
    <w:p w14:paraId="27C48DC3" w14:textId="1F17E5B8" w:rsidR="00812A71" w:rsidRDefault="00DE2DBE">
      <w:r>
        <w:t> </w:t>
      </w:r>
    </w:p>
    <w:p w14:paraId="29AE9671" w14:textId="77777777" w:rsidR="001B02F2" w:rsidRDefault="00DE2DBE">
      <w:r>
        <w:t>La recomandarea secretarului de stat pentru infrastructură și gestionarea apelor, nr. Ien/BSK, Direcția Generală Afaceri Administrative și Juridice,</w:t>
      </w:r>
    </w:p>
    <w:p w14:paraId="35B52BA7" w14:textId="77777777" w:rsidR="001B02F2" w:rsidRDefault="00DE2DBE">
      <w:r>
        <w:t>având în vedere articolul 9.2.2.1 alineatele (1) și (2) și articolul 9.5.8 alineatele (3), (4) și (6) din Legea privind managementul de mediu,</w:t>
      </w:r>
    </w:p>
    <w:p w14:paraId="0BFE77BB" w14:textId="4E8CB4F4" w:rsidR="001B02F2" w:rsidRDefault="00DE2DBE">
      <w:r>
        <w:t>în urma consultării avizului Comisiei consultative din cadrul Consiliului de Stat (avizul din</w:t>
      </w:r>
      <w:r w:rsidR="004D7CBE">
        <w:t xml:space="preserve">    </w:t>
      </w:r>
      <w:r>
        <w:t>, nr.</w:t>
      </w:r>
      <w:r w:rsidR="004D7CBE">
        <w:t xml:space="preserve">     </w:t>
      </w:r>
      <w:r>
        <w:t>),</w:t>
      </w:r>
    </w:p>
    <w:p w14:paraId="6870CA70" w14:textId="3C44008C" w:rsidR="00812A71" w:rsidRDefault="00DE2DBE">
      <w:r>
        <w:t>având în vedere raportul detaliat al secretarului de stat pentru infrastructură și gestionarea apelor din, nr. IenW/BSK-, Direcția Generală Afaceri Administrative și Juridice;</w:t>
      </w:r>
    </w:p>
    <w:p w14:paraId="4A13238C" w14:textId="77777777" w:rsidR="00812A71" w:rsidRDefault="00DE2DBE">
      <w:r>
        <w:t> </w:t>
      </w:r>
    </w:p>
    <w:p w14:paraId="5B478B2C" w14:textId="77777777" w:rsidR="00812A71" w:rsidRDefault="00DE2DBE">
      <w:r>
        <w:t>am aprobat și prin prezentul stabilim următoarele:</w:t>
      </w:r>
    </w:p>
    <w:p w14:paraId="62B3049A" w14:textId="77777777" w:rsidR="00812A71" w:rsidRDefault="00DE2DBE">
      <w:r>
        <w:t> </w:t>
      </w:r>
    </w:p>
    <w:p w14:paraId="08C47E30" w14:textId="147069F8" w:rsidR="00812A71" w:rsidRDefault="006F7252">
      <w:pPr>
        <w:rPr>
          <w:b/>
          <w:bCs/>
        </w:rPr>
      </w:pPr>
      <w:bookmarkStart w:id="0" w:name="_Hlk124949658"/>
      <w:r>
        <w:rPr>
          <w:b/>
        </w:rPr>
        <w:t>ARTICOLUL I</w:t>
      </w:r>
    </w:p>
    <w:p w14:paraId="379E0185" w14:textId="43AD2E86" w:rsidR="006F7252" w:rsidRDefault="006F7252">
      <w:pPr>
        <w:rPr>
          <w:b/>
          <w:bCs/>
        </w:rPr>
      </w:pPr>
    </w:p>
    <w:p w14:paraId="65DE9109" w14:textId="514A9AD2" w:rsidR="006F7252" w:rsidRPr="006F7252" w:rsidRDefault="006F7252">
      <w:r>
        <w:t>Decretul privind focurile de artificii [Vuurwerkbesluit] se modifică după cum urmează:</w:t>
      </w:r>
    </w:p>
    <w:p w14:paraId="75299CAD" w14:textId="77777777" w:rsidR="00812A71" w:rsidRDefault="00DE2DBE">
      <w:r>
        <w:t> </w:t>
      </w:r>
    </w:p>
    <w:p w14:paraId="586C7D40" w14:textId="693C44A7" w:rsidR="00812A71" w:rsidRDefault="00C57973">
      <w:r>
        <w:t>A</w:t>
      </w:r>
    </w:p>
    <w:p w14:paraId="4822AB6F" w14:textId="7517A952" w:rsidR="00C57973" w:rsidRDefault="00C57973"/>
    <w:p w14:paraId="4169BAB0" w14:textId="784B9809" w:rsidR="00864C9A" w:rsidRDefault="00864C9A" w:rsidP="00864C9A">
      <w:r>
        <w:t>În ordinea alfabetică a articolului 1.1.1 alineatul (1), se introduc următoarele definiții:</w:t>
      </w:r>
    </w:p>
    <w:p w14:paraId="0714850A" w14:textId="6A9B9B8B" w:rsidR="00A00841" w:rsidRPr="00DF3AEC" w:rsidRDefault="00A00841" w:rsidP="00864C9A">
      <w:r>
        <w:t>„autorizație privind articolele pirotehnice” înseamnă un document de inspecție eliberat de autoritatea competentă din Belgia, Luxemburg sau Țările de Jos care permite titularului să demonstreze că pot fi furnizate articole pirotehnice din categoriile F3 și F4, articole pirotehnice pentru uz teatral din categoria T2 și alte articole pirotehnice din categoria P2;</w:t>
      </w:r>
    </w:p>
    <w:p w14:paraId="02589494" w14:textId="44710ED4" w:rsidR="006722D9" w:rsidRPr="00DF3AEC" w:rsidRDefault="006722D9" w:rsidP="00864C9A">
      <w:r>
        <w:t>„registrul autorizațiilor privind articolele pirotehnice” înseamnă registrul menționat la articolul 9.5.8 alineatul (1) din Legea privind managementul de mediu;</w:t>
      </w:r>
    </w:p>
    <w:p w14:paraId="5F9CB859" w14:textId="063BB3E5" w:rsidR="001D30A8" w:rsidRPr="00DF3AEC" w:rsidRDefault="00031518" w:rsidP="00317EB5">
      <w:r>
        <w:t xml:space="preserve">„persoană responsabilă” înseamnă o persoană cu cunoștințe de specialitate, procesator de focuri de artificii sau operator de focuri de artificii desemnată de </w:t>
      </w:r>
      <w:bookmarkStart w:id="1" w:name="_Hlk130044621"/>
      <w:r>
        <w:t xml:space="preserve">persoana juridică cu dreptul de a utiliza, a stoca sau a pune la dispoziție pe piață articole pirotehnice, </w:t>
      </w:r>
      <w:bookmarkEnd w:id="1"/>
      <w:r>
        <w:t>pentru manipularea sau utilizarea articolelor pirotehnice în numele persoanei juridice respective;</w:t>
      </w:r>
    </w:p>
    <w:p w14:paraId="317A0783" w14:textId="73E49B15" w:rsidR="001D30A8" w:rsidRPr="00DF3AEC" w:rsidRDefault="001D30A8" w:rsidP="00317EB5">
      <w:r>
        <w:t xml:space="preserve">„procesor de focuri de artificii” înseamnă o persoană </w:t>
      </w:r>
      <w:bookmarkStart w:id="2" w:name="_Hlk124078821"/>
      <w:r>
        <w:t>înregistrată în Registrul procesatorilor de focuri de artificii menționat la articolul 4.9 alineatul (2) din Decretul privind condițiile de muncă</w:t>
      </w:r>
      <w:bookmarkEnd w:id="2"/>
      <w:r>
        <w:t>;</w:t>
      </w:r>
    </w:p>
    <w:p w14:paraId="710EEB49" w14:textId="241E6D0A" w:rsidR="00031518" w:rsidRDefault="001D30A8" w:rsidP="00317EB5">
      <w:r>
        <w:lastRenderedPageBreak/>
        <w:t xml:space="preserve">„operator de artificii” înseamnă o persoană înregistrată în Registrul operatorilor de focuri de artificii menționat la articolul 4.9 alineatul (1) din Decretul privind condițiile de muncă. </w:t>
      </w:r>
    </w:p>
    <w:p w14:paraId="6785AB54" w14:textId="5BBC2F4A" w:rsidR="00864C9A" w:rsidRDefault="00864C9A" w:rsidP="00864C9A"/>
    <w:p w14:paraId="5D6EFE7A" w14:textId="416A9532" w:rsidR="003F0C01" w:rsidRDefault="003F0C01" w:rsidP="00864C9A">
      <w:r>
        <w:t>B</w:t>
      </w:r>
    </w:p>
    <w:p w14:paraId="30EA7B1A" w14:textId="2E81696A" w:rsidR="00400AC3" w:rsidRDefault="00400AC3" w:rsidP="00864C9A"/>
    <w:p w14:paraId="67F69213" w14:textId="0D7C0B08" w:rsidR="003F0C01" w:rsidRDefault="00603A66" w:rsidP="00864C9A">
      <w:r>
        <w:t>La articolul 1.1.3 se adaugă un alineat cu următoarea formulare:</w:t>
      </w:r>
    </w:p>
    <w:p w14:paraId="6207D1B7" w14:textId="2B1CFD2E" w:rsidR="00603A66" w:rsidRDefault="00603A66" w:rsidP="00864C9A">
      <w:r>
        <w:t>(3) Capitolul 4 se aplică și articolelor pirotehnice din categoria P2.</w:t>
      </w:r>
    </w:p>
    <w:p w14:paraId="206638C4" w14:textId="77777777" w:rsidR="00603A66" w:rsidRDefault="00603A66" w:rsidP="00864C9A"/>
    <w:p w14:paraId="48552EC5" w14:textId="590E48AF" w:rsidR="00864C9A" w:rsidRDefault="003F0C01" w:rsidP="00864C9A">
      <w:r>
        <w:t>C</w:t>
      </w:r>
    </w:p>
    <w:p w14:paraId="779A719A" w14:textId="5BC15FB4" w:rsidR="003F0C01" w:rsidRDefault="003F0C01" w:rsidP="00864C9A"/>
    <w:p w14:paraId="24815D6D" w14:textId="02BA9EE8" w:rsidR="003F0C01" w:rsidRDefault="00E32087" w:rsidP="00864C9A">
      <w:r>
        <w:t xml:space="preserve">La articolul 1.2.5 alineatul (2), textul „un certificat de înregistrare sau o scrisoare de trăsură, astfel cum se menționează la articolele 20 și 29 din Legea privind transportul rutier de mărfuri”, se înlocuiește cu textul „o scrisoare de trăsură menționată la articolul 2.13 din Legea privind transportul rutier de mărfuri”. </w:t>
      </w:r>
    </w:p>
    <w:p w14:paraId="7878B565" w14:textId="49D3E265" w:rsidR="002B6FA7" w:rsidRDefault="002B6FA7" w:rsidP="00864C9A"/>
    <w:p w14:paraId="60A11C86" w14:textId="0F6ABCE9" w:rsidR="002B6FA7" w:rsidRDefault="002B6FA7" w:rsidP="00864C9A">
      <w:r>
        <w:t>D</w:t>
      </w:r>
    </w:p>
    <w:p w14:paraId="0CDDFC7B" w14:textId="3B2BB940" w:rsidR="002B6FA7" w:rsidRDefault="002B6FA7" w:rsidP="00864C9A"/>
    <w:p w14:paraId="5F694593" w14:textId="253090EE" w:rsidR="002B6FA7" w:rsidRDefault="002B6FA7" w:rsidP="002B6FA7">
      <w:r>
        <w:t>La articolul 3B.1 se adaugă un alineat cu următoarea formulare:</w:t>
      </w:r>
    </w:p>
    <w:p w14:paraId="649EF529" w14:textId="77777777" w:rsidR="002B6FA7" w:rsidRDefault="002B6FA7" w:rsidP="002B6FA7">
      <w:r>
        <w:t xml:space="preserve">(7) Autorizația de utilizare este valabilă timp de cinci ani. </w:t>
      </w:r>
    </w:p>
    <w:p w14:paraId="2F92B588" w14:textId="77777777" w:rsidR="00E32087" w:rsidRDefault="00E32087" w:rsidP="00864C9A"/>
    <w:p w14:paraId="17DE2EF5" w14:textId="77777777" w:rsidR="00B35E9F" w:rsidRDefault="007460A2" w:rsidP="00864C9A">
      <w:r>
        <w:t>E</w:t>
      </w:r>
    </w:p>
    <w:p w14:paraId="683CCB9B" w14:textId="77777777" w:rsidR="00B35E9F" w:rsidRDefault="00B35E9F" w:rsidP="00864C9A"/>
    <w:p w14:paraId="306C8B8E" w14:textId="79750FD1" w:rsidR="00895E5E" w:rsidRDefault="00895E5E" w:rsidP="00864C9A">
      <w:r>
        <w:t>La articolul 3B.6 se adaugă un alineat cu următoarea formulare:</w:t>
      </w:r>
    </w:p>
    <w:p w14:paraId="1CDB343A" w14:textId="0F48CA81" w:rsidR="00895E5E" w:rsidRDefault="0054451D" w:rsidP="00864C9A">
      <w:r>
        <w:t>(6) O modificare a datelor menționate la alineatul (1) litera (a) este notificată imediat ministrului nostru.</w:t>
      </w:r>
    </w:p>
    <w:p w14:paraId="10331F17" w14:textId="143C7DE4" w:rsidR="00B35E9F" w:rsidRDefault="00B35E9F" w:rsidP="00864C9A"/>
    <w:p w14:paraId="6FB657B6" w14:textId="414FD0B0" w:rsidR="00B35E9F" w:rsidRDefault="00B35E9F" w:rsidP="00864C9A">
      <w:r>
        <w:t>F</w:t>
      </w:r>
    </w:p>
    <w:p w14:paraId="4754A8C1" w14:textId="15DADDEA" w:rsidR="00A12AF7" w:rsidRDefault="00A12AF7" w:rsidP="00864C9A"/>
    <w:p w14:paraId="7DE21107" w14:textId="55C8D053" w:rsidR="000F702A" w:rsidRDefault="004B4934" w:rsidP="00864C9A">
      <w:r>
        <w:t>După capitolul 3B, se introduce un capitol după cum urmează:</w:t>
      </w:r>
    </w:p>
    <w:p w14:paraId="4CEFE234" w14:textId="29C5BC09" w:rsidR="000F702A" w:rsidRDefault="000F702A" w:rsidP="00864C9A"/>
    <w:p w14:paraId="21CB6243" w14:textId="17276665" w:rsidR="000F702A" w:rsidRPr="002304E9" w:rsidRDefault="004B4934">
      <w:pPr>
        <w:rPr>
          <w:b/>
          <w:bCs/>
        </w:rPr>
      </w:pPr>
      <w:r>
        <w:rPr>
          <w:b/>
        </w:rPr>
        <w:t>Capitolul 4. Autorizația privind articolele pirotehnice</w:t>
      </w:r>
    </w:p>
    <w:p w14:paraId="4A6084CB" w14:textId="73D3469F" w:rsidR="000F702A" w:rsidRPr="002304E9" w:rsidRDefault="000F702A" w:rsidP="00864C9A">
      <w:pPr>
        <w:rPr>
          <w:b/>
          <w:bCs/>
        </w:rPr>
      </w:pPr>
    </w:p>
    <w:p w14:paraId="15C97DA4" w14:textId="78FAB42F" w:rsidR="000F702A" w:rsidRPr="004B4934" w:rsidRDefault="004B4934" w:rsidP="00864C9A">
      <w:pPr>
        <w:rPr>
          <w:b/>
          <w:bCs/>
        </w:rPr>
      </w:pPr>
      <w:bookmarkStart w:id="3" w:name="_Hlk127535452"/>
      <w:r>
        <w:rPr>
          <w:b/>
        </w:rPr>
        <w:t>Articolul 4.1</w:t>
      </w:r>
    </w:p>
    <w:p w14:paraId="57E5750B" w14:textId="28D6C40F" w:rsidR="004B4934" w:rsidRPr="009A55B4" w:rsidRDefault="003F1E3A" w:rsidP="004B4934">
      <w:pPr>
        <w:pStyle w:val="ListParagraph"/>
        <w:numPr>
          <w:ilvl w:val="0"/>
          <w:numId w:val="26"/>
        </w:numPr>
      </w:pPr>
      <w:r>
        <w:t>Operatorii pot pune la dispoziție pe piață focuri de artificii profesionale, articole pirotehnice de teatru și articole pirotehnice din categoria P2 numai persoanelor cu cunoștințe de specialitate, la prezentarea unui document de control și a unui document de identitate.</w:t>
      </w:r>
    </w:p>
    <w:p w14:paraId="7E9230A5" w14:textId="530D3733" w:rsidR="00AB2AC7" w:rsidRPr="009A55B4" w:rsidRDefault="00AB2AC7" w:rsidP="004B4934">
      <w:pPr>
        <w:pStyle w:val="ListParagraph"/>
        <w:numPr>
          <w:ilvl w:val="0"/>
          <w:numId w:val="26"/>
        </w:numPr>
      </w:pPr>
      <w:r>
        <w:t xml:space="preserve">În plus, în cazul în care o persoană fizică acționează în numele unei persoane juridice care are dreptul să solicite, să stocheze sau să pună la dispoziție pe piață articole pirotehnice, articolele pirotehnice în cauză pot fi furnizate numai pe baza prezentării documentului de control și a documentului de identitate al persoanei desemnate de respectiva persoană juridică. </w:t>
      </w:r>
    </w:p>
    <w:p w14:paraId="31B600EA" w14:textId="7B16AA02" w:rsidR="00C532E8" w:rsidRDefault="008E1C92" w:rsidP="004B4934">
      <w:pPr>
        <w:pStyle w:val="ListParagraph"/>
        <w:numPr>
          <w:ilvl w:val="0"/>
          <w:numId w:val="26"/>
        </w:numPr>
      </w:pPr>
      <w:r>
        <w:t xml:space="preserve">Pentru persoanele cu cunoștințe de specialitate sau persoanele responsabile desemnate ca atare în temeiul legislației din Belgia, Luxemburg sau Țările de Jos, cu excepția persoanelor cu cunoștințe de specialitate menționate la articolul 1.1.2a alineatul (1) literele (c)-(f), autorizația privind articolele pirotehnice constituie documentul de control menționat la alineatul (1). </w:t>
      </w:r>
    </w:p>
    <w:p w14:paraId="6F2C5157" w14:textId="1E4A15D5" w:rsidR="00C532E8" w:rsidRDefault="00C532E8" w:rsidP="004B4934">
      <w:pPr>
        <w:pStyle w:val="ListParagraph"/>
        <w:numPr>
          <w:ilvl w:val="0"/>
          <w:numId w:val="26"/>
        </w:numPr>
      </w:pPr>
      <w:r>
        <w:t xml:space="preserve">Titularii de autorizații privind articolele pirotehnice autorizați pentru focuri de artificii din categoria F3 sau F4 sunt, de asemenea, considerați autorizați pentru focurile de artificii din categoria F2 care nu sunt concepute pentru uz personal. </w:t>
      </w:r>
    </w:p>
    <w:p w14:paraId="3BA1F50D" w14:textId="3F881A76" w:rsidR="000850FB" w:rsidRPr="009A55B4" w:rsidRDefault="00C532E8" w:rsidP="004B4934">
      <w:pPr>
        <w:pStyle w:val="ListParagraph"/>
        <w:numPr>
          <w:ilvl w:val="0"/>
          <w:numId w:val="26"/>
        </w:numPr>
      </w:pPr>
      <w:r>
        <w:lastRenderedPageBreak/>
        <w:t xml:space="preserve">Titularii de autorizații privind articolele pirotehnice autorizați pentru articolele pirotehnice pentru utilizarea articolelor pirotehnice din categoria T2 sunt, de asemenea, considerați autorizați pentru articolele pirotehnice din categoria T1. </w:t>
      </w:r>
    </w:p>
    <w:p w14:paraId="790DA6F6" w14:textId="07CEEADF" w:rsidR="008E1C92" w:rsidRPr="009A55B4" w:rsidRDefault="00C41727" w:rsidP="004B4934">
      <w:pPr>
        <w:pStyle w:val="ListParagraph"/>
        <w:numPr>
          <w:ilvl w:val="0"/>
          <w:numId w:val="26"/>
        </w:numPr>
      </w:pPr>
      <w:r>
        <w:t>La verificarea autorizației privind articolele pirotehnice, operatorii economici consultă, de asemenea, registrul autorizațiilor privind articolele pirotehnice pentru a verifica valabilitatea autorizației privind articolele pirotehnice.</w:t>
      </w:r>
    </w:p>
    <w:p w14:paraId="5A80755F" w14:textId="37B504C7" w:rsidR="00BB309A" w:rsidRPr="009A55B4" w:rsidRDefault="00BB309A" w:rsidP="004B4934">
      <w:pPr>
        <w:pStyle w:val="ListParagraph"/>
        <w:numPr>
          <w:ilvl w:val="0"/>
          <w:numId w:val="26"/>
        </w:numPr>
      </w:pPr>
      <w:r>
        <w:t xml:space="preserve">Pentru persoanele cu cunoștințe de specialitate care nu au fost desemnate ca atare în Belgia, Luxemburg sau Țările de Jos, documentul de control constă în dovada scrisă a autorizației primite de o persoană într-un stat membru al Uniunii Europene care nu face parte din Benelux, astfel cum se menționează la articolul 1.1.2a alineatul (2). </w:t>
      </w:r>
    </w:p>
    <w:p w14:paraId="401495BD" w14:textId="09A5EDDF" w:rsidR="00F57FFC" w:rsidRDefault="003A36BF" w:rsidP="004B4934">
      <w:pPr>
        <w:pStyle w:val="ListParagraph"/>
        <w:numPr>
          <w:ilvl w:val="0"/>
          <w:numId w:val="26"/>
        </w:numPr>
      </w:pPr>
      <w:r>
        <w:t xml:space="preserve">Operatorii de piață </w:t>
      </w:r>
      <w:r>
        <w:rPr>
          <w:color w:val="auto"/>
        </w:rPr>
        <w:t>care furnizează focuri de artificii, astfel cum se menționează la primul paragraf,</w:t>
      </w:r>
      <w:r>
        <w:t xml:space="preserve"> păstrează o copie a documentului de control în evidențe, împreună cu factura relevantă și documentul de transport în cauză, în conformitate cu anexa 1 la Regulamentul privind transportul terestru al substanțelor periculoase, care este traducerea în limba neerlandeză a anexelor A și B la ADR și a anexelor de însoțire, pe o perioadă de șapte ani. </w:t>
      </w:r>
    </w:p>
    <w:bookmarkEnd w:id="3"/>
    <w:p w14:paraId="77CCAB3D" w14:textId="6C5EE37D" w:rsidR="000D187A" w:rsidRPr="00F57FFC" w:rsidRDefault="000D187A" w:rsidP="000D187A"/>
    <w:p w14:paraId="0F4A2607" w14:textId="6E2FEC3B" w:rsidR="007542A2" w:rsidRDefault="007542A2" w:rsidP="000D187A">
      <w:pPr>
        <w:rPr>
          <w:b/>
          <w:bCs/>
        </w:rPr>
      </w:pPr>
      <w:r>
        <w:rPr>
          <w:b/>
        </w:rPr>
        <w:t>Articolul 4.2</w:t>
      </w:r>
    </w:p>
    <w:p w14:paraId="6C9263C0" w14:textId="2F392ECE" w:rsidR="00E32087" w:rsidRDefault="002F342A" w:rsidP="00C03B50">
      <w:pPr>
        <w:pStyle w:val="ListParagraph"/>
        <w:numPr>
          <w:ilvl w:val="0"/>
          <w:numId w:val="28"/>
        </w:numPr>
      </w:pPr>
      <w:r>
        <w:t>Următoarele persoane fizice sunt eligibile pentru o autorizație privind articolele pirotehnice:</w:t>
      </w:r>
    </w:p>
    <w:p w14:paraId="7E1D1169" w14:textId="0C382BF9" w:rsidR="002E68CD" w:rsidRPr="00DF3AEC" w:rsidRDefault="002E68CD" w:rsidP="00B35E9F">
      <w:pPr>
        <w:pStyle w:val="ListParagraph"/>
        <w:numPr>
          <w:ilvl w:val="1"/>
          <w:numId w:val="28"/>
        </w:numPr>
      </w:pPr>
      <w:r>
        <w:t>o persoană cu cunoștințe de specialitate, astfel cum se menționează la articolul 1.1.2a alineatul (1) litera (a), care este, de asemenea, un procesator de focuri artificii;</w:t>
      </w:r>
    </w:p>
    <w:p w14:paraId="6D94DC98" w14:textId="09CB35A6" w:rsidR="002E68CD" w:rsidRPr="00DF3AEC" w:rsidRDefault="002E68CD" w:rsidP="002E68CD">
      <w:pPr>
        <w:pStyle w:val="ListParagraph"/>
        <w:numPr>
          <w:ilvl w:val="1"/>
          <w:numId w:val="28"/>
        </w:numPr>
      </w:pPr>
      <w:r>
        <w:t>o persoană cu cunoștințe de specialitate, astfel cum se menționează la articolul 1.1.2a alineatul (1) litera (b), care este, de asemenea, operator de focuri de artificii;</w:t>
      </w:r>
    </w:p>
    <w:p w14:paraId="53D5CF3C" w14:textId="24BCD38A" w:rsidR="00BC356D" w:rsidRPr="00DF3AEC" w:rsidRDefault="00B35E9F" w:rsidP="002E68CD">
      <w:pPr>
        <w:pStyle w:val="ListParagraph"/>
        <w:numPr>
          <w:ilvl w:val="1"/>
          <w:numId w:val="28"/>
        </w:numPr>
      </w:pPr>
      <w:r>
        <w:t xml:space="preserve">o persoană responsabilă; </w:t>
      </w:r>
    </w:p>
    <w:p w14:paraId="56DE35FC" w14:textId="1FE5C43F" w:rsidR="006A7277" w:rsidRPr="00DF3AEC" w:rsidRDefault="0076622F" w:rsidP="002E68CD">
      <w:pPr>
        <w:pStyle w:val="ListParagraph"/>
        <w:numPr>
          <w:ilvl w:val="1"/>
          <w:numId w:val="28"/>
        </w:numPr>
      </w:pPr>
      <w:r>
        <w:t xml:space="preserve">o persoană cu cunoștințe de specialitate pentru articole pirotehnice din categoria P2. </w:t>
      </w:r>
    </w:p>
    <w:p w14:paraId="6C382F70" w14:textId="2769EB19" w:rsidR="0007311B" w:rsidRPr="00DF3AEC" w:rsidRDefault="0007311B" w:rsidP="002D1271">
      <w:pPr>
        <w:pStyle w:val="ListParagraph"/>
        <w:numPr>
          <w:ilvl w:val="0"/>
          <w:numId w:val="28"/>
        </w:numPr>
      </w:pPr>
      <w:r>
        <w:t xml:space="preserve">Cererea pentru o autorizație privind articolele pirotehnice pentru o persoană responsabilă va fi înaintată ministrului nostru de către titularul unei autorizații de utilizare, împreună cu persoana responsabilă. </w:t>
      </w:r>
    </w:p>
    <w:p w14:paraId="4BDACCD8" w14:textId="6400775F" w:rsidR="00BA12A9" w:rsidRPr="00734FD2" w:rsidRDefault="00C57360" w:rsidP="00D73B55">
      <w:pPr>
        <w:pStyle w:val="ListParagraph"/>
        <w:numPr>
          <w:ilvl w:val="0"/>
          <w:numId w:val="28"/>
        </w:numPr>
      </w:pPr>
      <w:r>
        <w:t xml:space="preserve">Se aplică modelul autorizației privind articolele pirotehnice, cerințele privind cererea și procedura de depunere a cererilor, astfel cum au fost stabilite prin ordin ministerial. </w:t>
      </w:r>
    </w:p>
    <w:p w14:paraId="702AC5EF" w14:textId="77777777" w:rsidR="004F1E43" w:rsidRDefault="00C15C66" w:rsidP="00C03B50">
      <w:pPr>
        <w:pStyle w:val="ListParagraph"/>
        <w:numPr>
          <w:ilvl w:val="0"/>
          <w:numId w:val="28"/>
        </w:numPr>
      </w:pPr>
      <w:r>
        <w:t xml:space="preserve">Autorizația privind articolele pirotehnice a procesatorilor și a operatorilor de focuri de artificii expiră atunci când expiră înregistrarea acestora în Registrul procesatorilor de focuri de artificii sau în Registrul operatorilor de focuri de artificii. </w:t>
      </w:r>
    </w:p>
    <w:p w14:paraId="2A5184CC" w14:textId="0ED72ECA" w:rsidR="0076622F" w:rsidRPr="00734FD2" w:rsidRDefault="009632C8" w:rsidP="00C03B50">
      <w:pPr>
        <w:pStyle w:val="ListParagraph"/>
        <w:numPr>
          <w:ilvl w:val="0"/>
          <w:numId w:val="28"/>
        </w:numPr>
      </w:pPr>
      <w:r>
        <w:t>Perioada de valabilitate a autorizației privind focurile de artificii este perioada de valabilitate a înregistrării ca operator de focuri de artificii sau procesator de focuri de artificii, cu excepția cazului în care autorizația de mediu menționată la articolul 1.1.2a alineatul (1) litera (a) sau autorizația de utilizare are o perioadă de valabilitate mai scurtă.</w:t>
      </w:r>
    </w:p>
    <w:p w14:paraId="0DE9BD15" w14:textId="7E5A88AF" w:rsidR="00C03B50" w:rsidRDefault="00866364" w:rsidP="008709B6">
      <w:pPr>
        <w:pStyle w:val="ListParagraph"/>
        <w:numPr>
          <w:ilvl w:val="0"/>
          <w:numId w:val="28"/>
        </w:numPr>
      </w:pPr>
      <w:r>
        <w:t xml:space="preserve">Ministrul va retrage autorizația privind articolele pirotehnice dacă persoana căreia i s-a eliberat autorizația privind articolele pirotehnice: </w:t>
      </w:r>
    </w:p>
    <w:p w14:paraId="2ED244AD" w14:textId="215639E0" w:rsidR="00C03B50" w:rsidRDefault="00C03B50" w:rsidP="006D6DD1">
      <w:pPr>
        <w:pStyle w:val="ListParagraph"/>
        <w:numPr>
          <w:ilvl w:val="1"/>
          <w:numId w:val="28"/>
        </w:numPr>
      </w:pPr>
      <w:r>
        <w:t xml:space="preserve">nu mai îndeplinește cerințele pentru o persoană cu cunoștințe de specialitate, astfel cum se menționează la articolul 1.1.2a, sau nu mai este desemnată de o persoană cu cunoștințe specializate să manipuleze sau să utilizeze focuri de artificii în numele persoanei respective; </w:t>
      </w:r>
    </w:p>
    <w:p w14:paraId="26A5E645" w14:textId="7F810F0C" w:rsidR="00C03B50" w:rsidRDefault="00C03B50" w:rsidP="006D6DD1">
      <w:pPr>
        <w:pStyle w:val="ListParagraph"/>
        <w:numPr>
          <w:ilvl w:val="1"/>
          <w:numId w:val="28"/>
        </w:numPr>
      </w:pPr>
      <w:r>
        <w:t>a abuzat de autorizația privind articolele pirotehnice.</w:t>
      </w:r>
    </w:p>
    <w:p w14:paraId="7A9A9F1A" w14:textId="622A6EF4" w:rsidR="00C03B50" w:rsidRDefault="00C03B50" w:rsidP="00C03B50">
      <w:pPr>
        <w:pStyle w:val="ListParagraph"/>
        <w:numPr>
          <w:ilvl w:val="0"/>
          <w:numId w:val="28"/>
        </w:numPr>
      </w:pPr>
      <w:r>
        <w:lastRenderedPageBreak/>
        <w:t>Utilizarea abuzivă menționată la alineatul (6) litera (b) include:</w:t>
      </w:r>
    </w:p>
    <w:p w14:paraId="09E47B8D" w14:textId="1241E2ED" w:rsidR="00C03B50" w:rsidRDefault="00C03B50" w:rsidP="00C03B50">
      <w:pPr>
        <w:pStyle w:val="ListParagraph"/>
        <w:numPr>
          <w:ilvl w:val="1"/>
          <w:numId w:val="28"/>
        </w:numPr>
      </w:pPr>
      <w:r>
        <w:t>punerea la dispoziție pe piață a focurilor de artificiilor din categoriile F3 și F4, a articolelor pirotehnice de teatru din categoria T2 și a altor articole pirotehnice din categoria P2 către o altă persoană decât o persoană cu cunoștințe de specialitate;</w:t>
      </w:r>
    </w:p>
    <w:p w14:paraId="51CEFB2A" w14:textId="12860C5F" w:rsidR="00C03B50" w:rsidRDefault="00C03B50" w:rsidP="00450E58">
      <w:pPr>
        <w:pStyle w:val="ListParagraph"/>
        <w:numPr>
          <w:ilvl w:val="1"/>
          <w:numId w:val="28"/>
        </w:numPr>
      </w:pPr>
      <w:r>
        <w:t>depozitarea acestora într-o locație fără licență.</w:t>
      </w:r>
    </w:p>
    <w:p w14:paraId="3B9564DD" w14:textId="17356908" w:rsidR="00C41727" w:rsidRPr="00C41727" w:rsidRDefault="00C41727" w:rsidP="009A55B4">
      <w:pPr>
        <w:pStyle w:val="ListParagraph"/>
        <w:numPr>
          <w:ilvl w:val="0"/>
          <w:numId w:val="28"/>
        </w:numPr>
      </w:pPr>
      <w:r>
        <w:t>Ministrul nostru va indica în registru dacă autorizația privind articolele pirotehnice este retrasă sau a expirat.</w:t>
      </w:r>
    </w:p>
    <w:p w14:paraId="7E2D75FF" w14:textId="77777777" w:rsidR="00BA12A9" w:rsidRPr="00C41727" w:rsidRDefault="00BA12A9" w:rsidP="000D187A"/>
    <w:p w14:paraId="7D32A34D" w14:textId="71E8F1B3" w:rsidR="00F90681" w:rsidRPr="009A55B4" w:rsidRDefault="00F90681" w:rsidP="000D187A">
      <w:pPr>
        <w:rPr>
          <w:b/>
          <w:bCs/>
        </w:rPr>
      </w:pPr>
      <w:r>
        <w:rPr>
          <w:b/>
        </w:rPr>
        <w:t>Articolul 4.3</w:t>
      </w:r>
    </w:p>
    <w:p w14:paraId="108D4D5A" w14:textId="5BC28F8A" w:rsidR="00F90681" w:rsidRPr="009A55B4" w:rsidRDefault="00F90681" w:rsidP="000D187A">
      <w:r>
        <w:t>Următoarele date și documente se introduc în registrul autorizațiilor privind articolele pirotehnice:</w:t>
      </w:r>
    </w:p>
    <w:p w14:paraId="5209896F" w14:textId="08B555D1" w:rsidR="00A42410" w:rsidRPr="009A55B4" w:rsidRDefault="0096601D" w:rsidP="00A42410">
      <w:pPr>
        <w:pStyle w:val="ListParagraph"/>
        <w:numPr>
          <w:ilvl w:val="0"/>
          <w:numId w:val="51"/>
        </w:numPr>
      </w:pPr>
      <w:r>
        <w:t>o copie a autorizației privind articolele pirotehnice;</w:t>
      </w:r>
    </w:p>
    <w:p w14:paraId="6DDD51EE" w14:textId="6EAB093F" w:rsidR="00972741" w:rsidRPr="009A55B4" w:rsidRDefault="0083099A" w:rsidP="00A42410">
      <w:pPr>
        <w:pStyle w:val="ListParagraph"/>
        <w:numPr>
          <w:ilvl w:val="0"/>
          <w:numId w:val="51"/>
        </w:numPr>
      </w:pPr>
      <w:r>
        <w:t>dovada că solicitantul a fost desemnat ca persoană cu cunoștințe de specialitate pentru articolele pirotehnice din categoria P2; sau</w:t>
      </w:r>
    </w:p>
    <w:p w14:paraId="08498957" w14:textId="23B692FD" w:rsidR="00A42410" w:rsidRPr="009A55B4" w:rsidRDefault="0083099A" w:rsidP="00A42410">
      <w:pPr>
        <w:pStyle w:val="ListParagraph"/>
        <w:numPr>
          <w:ilvl w:val="0"/>
          <w:numId w:val="51"/>
        </w:numPr>
      </w:pPr>
      <w:r>
        <w:t>dovada înregistrării solicitantului ca operator sau utilizator de focuri de artificii; și</w:t>
      </w:r>
    </w:p>
    <w:p w14:paraId="7052A3C4" w14:textId="43D7FCA7" w:rsidR="00972741" w:rsidRPr="009A55B4" w:rsidRDefault="0083099A" w:rsidP="00972741">
      <w:pPr>
        <w:pStyle w:val="ListParagraph"/>
        <w:numPr>
          <w:ilvl w:val="0"/>
          <w:numId w:val="51"/>
        </w:numPr>
      </w:pPr>
      <w:r>
        <w:t>după caz, o copie a autorizației de utilizare sau a autorizației de mediu menționate la articolul 1.1.2a alineatul (1) litera (a);</w:t>
      </w:r>
    </w:p>
    <w:p w14:paraId="521386B6" w14:textId="028FA53C" w:rsidR="00F90681" w:rsidRPr="00A42410" w:rsidRDefault="00F90681" w:rsidP="00A42410">
      <w:pPr>
        <w:pStyle w:val="ListParagraph"/>
      </w:pPr>
    </w:p>
    <w:p w14:paraId="61B58290" w14:textId="77777777" w:rsidR="00F90681" w:rsidRDefault="00F90681" w:rsidP="000D187A">
      <w:pPr>
        <w:rPr>
          <w:b/>
          <w:bCs/>
        </w:rPr>
      </w:pPr>
    </w:p>
    <w:p w14:paraId="275DDCA7" w14:textId="409638DF" w:rsidR="00C57360" w:rsidRPr="00C57360" w:rsidRDefault="00C03BFC" w:rsidP="000D187A">
      <w:r>
        <w:rPr>
          <w:b/>
        </w:rPr>
        <w:t xml:space="preserve">Articolul 4.4 </w:t>
      </w:r>
    </w:p>
    <w:p w14:paraId="395C4940" w14:textId="66A85C1F" w:rsidR="000F702A" w:rsidRPr="008A135A" w:rsidRDefault="00450BE5" w:rsidP="000F702A">
      <w:pPr>
        <w:pStyle w:val="Default"/>
        <w:rPr>
          <w:rFonts w:ascii="Verdana" w:hAnsi="Verdana" w:cs="ALKKO J+ Univers"/>
          <w:color w:val="211D1F"/>
          <w:sz w:val="18"/>
          <w:szCs w:val="18"/>
        </w:rPr>
      </w:pPr>
      <w:r>
        <w:rPr>
          <w:rFonts w:ascii="Verdana" w:hAnsi="Verdana"/>
          <w:color w:val="211D1F"/>
          <w:sz w:val="18"/>
        </w:rPr>
        <w:t xml:space="preserve">Ministrul nostru se asigură că datele și documentele înscrise în registrul autorizațiilor privind articolele pirotehnice sunt puse fără întârziere la dispoziția autorităților cărora le sunt accesibile datele și documentele în conformitate cu articolul 4.5 alineatele (1) și (2). </w:t>
      </w:r>
    </w:p>
    <w:p w14:paraId="594C0EAD" w14:textId="15070A64" w:rsidR="000F702A" w:rsidRDefault="000F702A" w:rsidP="00864C9A">
      <w:pPr>
        <w:rPr>
          <w:b/>
          <w:bCs/>
        </w:rPr>
      </w:pPr>
    </w:p>
    <w:p w14:paraId="3C25919C" w14:textId="5E109E33" w:rsidR="008A135A" w:rsidRDefault="008A135A" w:rsidP="008A135A">
      <w:pPr>
        <w:pStyle w:val="Default"/>
        <w:rPr>
          <w:rFonts w:ascii="Verdana" w:hAnsi="Verdana" w:cs="ALKKO H+ Univers"/>
          <w:b/>
          <w:bCs/>
          <w:color w:val="211D1F"/>
          <w:sz w:val="18"/>
          <w:szCs w:val="18"/>
        </w:rPr>
      </w:pPr>
      <w:r>
        <w:rPr>
          <w:rFonts w:ascii="Verdana" w:hAnsi="Verdana"/>
          <w:b/>
          <w:color w:val="211D1F"/>
          <w:sz w:val="18"/>
        </w:rPr>
        <w:t xml:space="preserve">Articolul 4.5 </w:t>
      </w:r>
    </w:p>
    <w:p w14:paraId="0C7D3561" w14:textId="63C5A020" w:rsidR="00A83423" w:rsidRDefault="008A135A" w:rsidP="00B35E9F">
      <w:pPr>
        <w:pStyle w:val="ListParagraph"/>
        <w:numPr>
          <w:ilvl w:val="0"/>
          <w:numId w:val="31"/>
        </w:numPr>
      </w:pPr>
      <w:r>
        <w:t>Datele și documentele incluse în registrul autorizațiilor privind articolele pirotehnice sunt accesibile autorităților competente din Belgia, Luxemburg și Țările de Jos responsabile de monitorizarea respectării normelor aplicabile articolelor pirotehnice și de asigurarea respectării acestor norme.</w:t>
      </w:r>
    </w:p>
    <w:p w14:paraId="4CD86864" w14:textId="2603B817" w:rsidR="00A83423" w:rsidRDefault="008A135A" w:rsidP="0024295E">
      <w:pPr>
        <w:pStyle w:val="ListParagraph"/>
        <w:numPr>
          <w:ilvl w:val="0"/>
          <w:numId w:val="31"/>
        </w:numPr>
      </w:pPr>
      <w:r>
        <w:t>Informațiile și documentele înscrise în registrul autorizațiilor privind articolele pirotehnice sunt accesibile operatorilor economici menționați la articolul 4.1 alineatul (1) pentru a verifica valabilitatea documentelor de control și a autorizației privind articolele pirotehnice.</w:t>
      </w:r>
    </w:p>
    <w:p w14:paraId="13A7FA7F" w14:textId="1E079461" w:rsidR="00A83423" w:rsidRDefault="008A135A" w:rsidP="00A83423">
      <w:pPr>
        <w:pStyle w:val="ListParagraph"/>
        <w:numPr>
          <w:ilvl w:val="0"/>
          <w:numId w:val="31"/>
        </w:numPr>
      </w:pPr>
      <w:r>
        <w:t xml:space="preserve">Pentru accesul la registrul autorizațiilor privind articolele pirotehnice, se utilizează recunoașterea electronică sau orice alt mijloc electronic de autentificare desemnat de administratorul registrului. </w:t>
      </w:r>
    </w:p>
    <w:p w14:paraId="5548DEA6" w14:textId="77777777" w:rsidR="00B8205D" w:rsidRDefault="008A135A" w:rsidP="00A83423">
      <w:pPr>
        <w:pStyle w:val="ListParagraph"/>
        <w:numPr>
          <w:ilvl w:val="0"/>
          <w:numId w:val="31"/>
        </w:numPr>
      </w:pPr>
      <w:r>
        <w:t xml:space="preserve">Accesul la registrul autorizațiilor privind articolele pirotehnice se limitează la angajații autorităților menționate la alineatele (1) și (2) care sunt direct implicați în îndeplinirea sarcinii juridice a organismului în cauză sau a activității desfășurate de societatea în cauză pentru vânzarea de articole pirotehnice și autorizate de organismul sau societatea în cauză. </w:t>
      </w:r>
    </w:p>
    <w:p w14:paraId="4CDEBD4E" w14:textId="4DBA1CD8" w:rsidR="00B8205D" w:rsidRDefault="00C72CE5" w:rsidP="00A83423">
      <w:pPr>
        <w:pStyle w:val="ListParagraph"/>
        <w:numPr>
          <w:ilvl w:val="0"/>
          <w:numId w:val="31"/>
        </w:numPr>
      </w:pPr>
      <w:r>
        <w:t>Normele detaliate stabilite prin ordin ministerial se aplică în ceea ce privește introducerea și consultarea datelor și a înregistrărilor în registrul autorizațiilor privind articolele pirotehnice de către persoanele care au acces la sistemul respectiv, inclusiv nivelul necesar de fiabilitate al recunoașterii electronice.</w:t>
      </w:r>
      <w:r>
        <w:rPr>
          <w:b/>
        </w:rPr>
        <w:t xml:space="preserve"> </w:t>
      </w:r>
      <w:r>
        <w:rPr>
          <w:b/>
        </w:rPr>
        <w:br/>
      </w:r>
    </w:p>
    <w:p w14:paraId="3627E4CF" w14:textId="641AF07A" w:rsidR="00164C4F" w:rsidRDefault="008A135A" w:rsidP="00B8205D">
      <w:r>
        <w:rPr>
          <w:b/>
        </w:rPr>
        <w:t xml:space="preserve">Articolul 4.6 </w:t>
      </w:r>
      <w:r>
        <w:rPr>
          <w:b/>
        </w:rPr>
        <w:br/>
      </w:r>
      <w:r>
        <w:t xml:space="preserve">Datele și documentele înscrise în registrul autorizațiilor privind articolele pirotehnice se păstrează pe o perioadă de 12 ani. </w:t>
      </w:r>
    </w:p>
    <w:p w14:paraId="1C231879" w14:textId="77777777" w:rsidR="007F6D5D" w:rsidRDefault="007F6D5D" w:rsidP="0022132D"/>
    <w:p w14:paraId="55F68ADA" w14:textId="46A2A4D2" w:rsidR="00510B4B" w:rsidRDefault="008A135A" w:rsidP="004D7CBE">
      <w:pPr>
        <w:keepNext/>
        <w:keepLines/>
        <w:rPr>
          <w:b/>
          <w:bCs/>
        </w:rPr>
      </w:pPr>
      <w:r>
        <w:lastRenderedPageBreak/>
        <w:br/>
      </w:r>
      <w:r>
        <w:rPr>
          <w:b/>
        </w:rPr>
        <w:t>Articolul II Dispoziție tranzitorie</w:t>
      </w:r>
    </w:p>
    <w:p w14:paraId="144AE3D4" w14:textId="1812F051" w:rsidR="001A647B" w:rsidRDefault="001A647B" w:rsidP="004D7CBE">
      <w:pPr>
        <w:keepNext/>
        <w:keepLines/>
        <w:rPr>
          <w:b/>
          <w:bCs/>
        </w:rPr>
      </w:pPr>
    </w:p>
    <w:p w14:paraId="299A2506" w14:textId="30EE6ECC" w:rsidR="001A647B" w:rsidRDefault="001A647B" w:rsidP="004D7CBE">
      <w:pPr>
        <w:keepNext/>
        <w:keepLines/>
      </w:pPr>
      <w:r>
        <w:t>Fără a aduce atingere dispozițiilor articolului 3B.1 alineatul (6), licențele de utilizare deja acordate la data intrării în vigoare a prezentului decret își pierd valabilitatea de la 1 ianuarie 2025.</w:t>
      </w:r>
    </w:p>
    <w:p w14:paraId="461D4DA5" w14:textId="6D387BFE" w:rsidR="001A647B" w:rsidRDefault="001A647B" w:rsidP="0022132D"/>
    <w:p w14:paraId="01073440" w14:textId="72BC960E" w:rsidR="00510B4B" w:rsidRDefault="001A647B" w:rsidP="0022132D">
      <w:pPr>
        <w:rPr>
          <w:b/>
          <w:bCs/>
        </w:rPr>
      </w:pPr>
      <w:r>
        <w:rPr>
          <w:b/>
        </w:rPr>
        <w:t>Articolul III</w:t>
      </w:r>
    </w:p>
    <w:p w14:paraId="4126569C" w14:textId="77777777" w:rsidR="001A647B" w:rsidRDefault="001A647B" w:rsidP="0022132D">
      <w:pPr>
        <w:rPr>
          <w:b/>
          <w:bCs/>
        </w:rPr>
      </w:pPr>
    </w:p>
    <w:p w14:paraId="2CA2AEBF" w14:textId="785F24DD" w:rsidR="00510B4B" w:rsidRPr="00510B4B" w:rsidRDefault="00510B4B" w:rsidP="0022132D">
      <w:r>
        <w:t xml:space="preserve">Prezentul decret intră în vigoare la o dată stabilită prin decret regal, care poate fi diferită pentru fiecare dintre articolele sau părțile acestuia. </w:t>
      </w:r>
    </w:p>
    <w:p w14:paraId="550DE960" w14:textId="77777777" w:rsidR="00812A71" w:rsidRDefault="00DE2DBE">
      <w:r>
        <w:t> </w:t>
      </w:r>
    </w:p>
    <w:p w14:paraId="11BEDBA6" w14:textId="77777777" w:rsidR="00812A71" w:rsidRDefault="00DE2DBE">
      <w:r>
        <w:t>Prin prezentul dispun ca decretul și notele sale explicative asociate să fie publicate în Monitorul Oficial.</w:t>
      </w:r>
    </w:p>
    <w:p w14:paraId="61FD25A0" w14:textId="77777777" w:rsidR="00812A71" w:rsidRPr="00AE0502" w:rsidRDefault="00DE2DBE">
      <w:pPr>
        <w:rPr>
          <w:sz w:val="16"/>
          <w:szCs w:val="16"/>
        </w:rPr>
      </w:pPr>
      <w:r>
        <w:rPr>
          <w:sz w:val="16"/>
        </w:rPr>
        <w:t> </w:t>
      </w:r>
    </w:p>
    <w:p w14:paraId="20CA73A6" w14:textId="07BE9C46" w:rsidR="00812A71" w:rsidRPr="00AE0502" w:rsidRDefault="00812A71">
      <w:pPr>
        <w:rPr>
          <w:sz w:val="16"/>
          <w:szCs w:val="16"/>
        </w:rPr>
      </w:pPr>
    </w:p>
    <w:p w14:paraId="11C36AE5" w14:textId="77777777" w:rsidR="00812A71" w:rsidRPr="00AE0502" w:rsidRDefault="00DE2DBE">
      <w:pPr>
        <w:rPr>
          <w:sz w:val="16"/>
          <w:szCs w:val="16"/>
        </w:rPr>
      </w:pPr>
      <w:r>
        <w:rPr>
          <w:sz w:val="16"/>
        </w:rPr>
        <w:t> </w:t>
      </w:r>
    </w:p>
    <w:p w14:paraId="10E88087" w14:textId="77777777" w:rsidR="00812A71" w:rsidRPr="00AE0502" w:rsidRDefault="00DE2DBE">
      <w:pPr>
        <w:rPr>
          <w:sz w:val="16"/>
          <w:szCs w:val="16"/>
        </w:rPr>
      </w:pPr>
      <w:r>
        <w:rPr>
          <w:sz w:val="16"/>
        </w:rPr>
        <w:t> </w:t>
      </w:r>
    </w:p>
    <w:p w14:paraId="42976A66" w14:textId="77777777" w:rsidR="00812A71" w:rsidRPr="00AE0502" w:rsidRDefault="00DE2DBE">
      <w:pPr>
        <w:rPr>
          <w:sz w:val="16"/>
          <w:szCs w:val="16"/>
        </w:rPr>
      </w:pPr>
      <w:r>
        <w:rPr>
          <w:sz w:val="16"/>
        </w:rPr>
        <w:t> </w:t>
      </w:r>
    </w:p>
    <w:p w14:paraId="45D99D1A" w14:textId="77777777" w:rsidR="00812A71" w:rsidRPr="00AE0502" w:rsidRDefault="00DE2DBE">
      <w:pPr>
        <w:rPr>
          <w:sz w:val="16"/>
          <w:szCs w:val="16"/>
        </w:rPr>
      </w:pPr>
      <w:r>
        <w:rPr>
          <w:sz w:val="16"/>
        </w:rPr>
        <w:t> </w:t>
      </w:r>
    </w:p>
    <w:p w14:paraId="486CC450" w14:textId="77777777" w:rsidR="00812A71" w:rsidRDefault="00DE2DBE">
      <w:r>
        <w:br/>
        <w:t>SECRETARUL DE STAT PENTRU INFRASTRUCTURĂ ȘI GOSPODĂRIREA APELOR,</w:t>
      </w:r>
    </w:p>
    <w:p w14:paraId="0FB4110D" w14:textId="77777777" w:rsidR="00812A71" w:rsidRPr="00AE0502" w:rsidRDefault="00DE2DBE">
      <w:pPr>
        <w:rPr>
          <w:sz w:val="16"/>
          <w:szCs w:val="16"/>
        </w:rPr>
      </w:pPr>
      <w:r>
        <w:t> </w:t>
      </w:r>
    </w:p>
    <w:p w14:paraId="09FEC6FD" w14:textId="77777777" w:rsidR="00812A71" w:rsidRPr="00AE0502" w:rsidRDefault="00DE2DBE">
      <w:pPr>
        <w:rPr>
          <w:sz w:val="16"/>
          <w:szCs w:val="16"/>
        </w:rPr>
      </w:pPr>
      <w:r>
        <w:rPr>
          <w:sz w:val="16"/>
        </w:rPr>
        <w:t> </w:t>
      </w:r>
    </w:p>
    <w:p w14:paraId="272976D2" w14:textId="69520E85" w:rsidR="00865EEC" w:rsidRDefault="00DE2DBE" w:rsidP="00AE0502">
      <w:r>
        <w:rPr>
          <w:sz w:val="16"/>
        </w:rPr>
        <w:t> </w:t>
      </w:r>
      <w:r>
        <w:br w:type="page"/>
      </w:r>
    </w:p>
    <w:bookmarkEnd w:id="0"/>
    <w:p w14:paraId="11542E4E" w14:textId="2FAD49F7" w:rsidR="00812A71" w:rsidRDefault="00865EEC">
      <w:pPr>
        <w:rPr>
          <w:b/>
          <w:bCs/>
        </w:rPr>
      </w:pPr>
      <w:r>
        <w:rPr>
          <w:b/>
        </w:rPr>
        <w:lastRenderedPageBreak/>
        <w:t>NOTE EXPLICATIVE</w:t>
      </w:r>
    </w:p>
    <w:p w14:paraId="25FB4EDE" w14:textId="350D65BA" w:rsidR="00865EEC" w:rsidRDefault="00865EEC">
      <w:pPr>
        <w:rPr>
          <w:b/>
          <w:bCs/>
        </w:rPr>
      </w:pPr>
    </w:p>
    <w:p w14:paraId="5E046A8F" w14:textId="37E54663" w:rsidR="00865EEC" w:rsidRDefault="00865EEC">
      <w:pPr>
        <w:rPr>
          <w:b/>
          <w:bCs/>
        </w:rPr>
      </w:pPr>
      <w:r>
        <w:rPr>
          <w:b/>
        </w:rPr>
        <w:t>Informații generale</w:t>
      </w:r>
    </w:p>
    <w:p w14:paraId="71CA219F" w14:textId="7278D2E9" w:rsidR="0022132D" w:rsidRDefault="0022132D">
      <w:pPr>
        <w:rPr>
          <w:b/>
          <w:bCs/>
        </w:rPr>
      </w:pPr>
    </w:p>
    <w:p w14:paraId="33F08ADF" w14:textId="382743B7" w:rsidR="00E021AD" w:rsidRPr="00E021AD" w:rsidRDefault="00E021AD" w:rsidP="00E021AD">
      <w:pPr>
        <w:pStyle w:val="ListParagraph"/>
        <w:numPr>
          <w:ilvl w:val="0"/>
          <w:numId w:val="23"/>
        </w:numPr>
        <w:rPr>
          <w:b/>
          <w:bCs/>
        </w:rPr>
      </w:pPr>
      <w:r>
        <w:rPr>
          <w:b/>
        </w:rPr>
        <w:t>Introducere</w:t>
      </w:r>
    </w:p>
    <w:p w14:paraId="2B349D7E" w14:textId="77777777" w:rsidR="00E021AD" w:rsidRDefault="00E021AD" w:rsidP="002701E5"/>
    <w:p w14:paraId="297BEA88" w14:textId="7A565559" w:rsidR="00E021AD" w:rsidRDefault="0022132D">
      <w:r>
        <w:t>Scopul prezentului decret este de a pune în aplicare o decizie Benelux</w:t>
      </w:r>
      <w:r w:rsidR="002701E5" w:rsidRPr="00183C54">
        <w:rPr>
          <w:rStyle w:val="FootnoteReference"/>
        </w:rPr>
        <w:footnoteReference w:id="2"/>
      </w:r>
      <w:r>
        <w:t xml:space="preserve"> în domeniul focurilor de artificiilor din Decretul privind focurile de artificii. Acest decret operaționalizează și mai mult registrul autorizațiilor privind articolele pirotehnice, astfel cum s-a anunțat în expunerea de motive a proiectului de lege de modificare a unora dintre legile Ministerului Infrastructurii și Gospodăririi Apelor (Legea colectivă IenW 2021).</w:t>
      </w:r>
      <w:r>
        <w:rPr>
          <w:rStyle w:val="FootnoteReference"/>
        </w:rPr>
        <w:footnoteReference w:id="3"/>
      </w:r>
      <w:r>
        <w:t xml:space="preserve"> Instituirea registrului autorizațiilor privind articolele pirotehnice este reglementată de articolul 9.5.8 din Legea privind gestionarea mediului (denumită în continuare „Wm”). Elaborarea acestuia are loc în prezentul decret. Detaliile tehnice ale registrului și ale procesului de depunere a cererilor se elaborează prin ordin ministerial. Temeiul acestui decret este textul Decretului privind focurile de artificii, astfel cum va fi acesta ca urmare a intrării în vigoare a Legii privind mediul și a modificării Decretului privind focurile de artificii, care intră în vigoare în același timp cu Legea privind mediul (Buletinul de legi și decrete 2022, 291). </w:t>
      </w:r>
    </w:p>
    <w:p w14:paraId="650CCA37" w14:textId="36B682F6" w:rsidR="00E021AD" w:rsidRDefault="00E021AD"/>
    <w:p w14:paraId="0C057784" w14:textId="552DF53B" w:rsidR="00E021AD" w:rsidRDefault="000734E3" w:rsidP="000734E3">
      <w:pPr>
        <w:pStyle w:val="ListParagraph"/>
        <w:numPr>
          <w:ilvl w:val="0"/>
          <w:numId w:val="23"/>
        </w:numPr>
        <w:rPr>
          <w:b/>
          <w:bCs/>
        </w:rPr>
      </w:pPr>
      <w:r>
        <w:rPr>
          <w:b/>
        </w:rPr>
        <w:t>Legislația de punere în aplicare</w:t>
      </w:r>
    </w:p>
    <w:p w14:paraId="5F25AEAD" w14:textId="77777777" w:rsidR="000734E3" w:rsidRPr="000734E3" w:rsidRDefault="000734E3" w:rsidP="000734E3">
      <w:pPr>
        <w:pStyle w:val="ListParagraph"/>
        <w:rPr>
          <w:b/>
          <w:bCs/>
        </w:rPr>
      </w:pPr>
    </w:p>
    <w:p w14:paraId="3E0499A7" w14:textId="5D131EB0" w:rsidR="007F40A5" w:rsidRDefault="007F40A5" w:rsidP="00E021AD">
      <w:r>
        <w:t>În temeiul Directivei 2013/29/UE</w:t>
      </w:r>
      <w:r>
        <w:rPr>
          <w:rStyle w:val="FootnoteReference"/>
        </w:rPr>
        <w:footnoteReference w:id="4"/>
      </w:r>
      <w:r>
        <w:t xml:space="preserve"> (denumită în continuare „Directiva privind articolele pirotehnice”), anumite articole pirotehnice pot fi puse la dispoziție pe piață numai persoanelor cu cunoștințe de specialitate. La 7 decembrie 2020, a fost semnată o decizie Benelux cu scopul de a introduce un document de control uniform, astfel încât o persoană care dorește să achiziționeze articolele pirotehnice în cauză să poată dovedi că deține cunoștințele de specialitate necesare într-un context transfrontalier. Introducerea autorizației privind articolele pirotehnice, un document de control uniform în Benelux, poate facilita verificarea autenticității și valabilității unui vânzător de astfel de articole pirotehnice într-o țară Benelux. Acest lucru elimină un obstacol în calea bunei funcționări a pieței interne. În plus, acest instrument poate contribui în mod semnificativ la combaterea comerțului ilicit și la prevenirea vătămărilor și a daunelor materiale. Țările Benelux doresc să preia conducerea în cadrul UE, cu scopul de a stabili un acord care să se aplice în cele din urmă persoanelor autorizate ca persoane cu cunoștințe de specialitate în alte state membre ale UE. </w:t>
      </w:r>
    </w:p>
    <w:p w14:paraId="39FD9BF4" w14:textId="5154AA32" w:rsidR="00FA2E81" w:rsidRDefault="00FA2E81" w:rsidP="00E021AD"/>
    <w:p w14:paraId="0EC72B35" w14:textId="77BA0E63" w:rsidR="00FA2E81" w:rsidRDefault="00C22BC4" w:rsidP="00E021AD">
      <w:r>
        <w:t>Decizia Benelux este limitată în ceea ce privește domeniul de aplicare și obiectul. Decizia Benelux nu urmărește armonizarea cerințelor de fond pe care țările Benelux respective le pot impune sau nu pentru a autoriza o persoană cu cunoștințe de specialitate.</w:t>
      </w:r>
      <w:r w:rsidR="00FA2E81">
        <w:rPr>
          <w:rStyle w:val="FootnoteReference"/>
        </w:rPr>
        <w:footnoteReference w:id="5"/>
      </w:r>
      <w:r>
        <w:t xml:space="preserve"> Decizia Benelux nu modifică nici interdicția actuală – europeană sau neerlandeză – de a pune la dispoziția publicului larg anumite articole pirotehnice. De asemenea, Decizia Benelux nu conține norme privind manipularea și/sau utilizarea articolelor pirotehnice după achiziționarea lor. </w:t>
      </w:r>
    </w:p>
    <w:p w14:paraId="7DDCC343" w14:textId="77777777" w:rsidR="00AC6B62" w:rsidRDefault="00AC6B62" w:rsidP="00AC6B62">
      <w:pPr>
        <w:rPr>
          <w:u w:val="single"/>
        </w:rPr>
      </w:pPr>
    </w:p>
    <w:p w14:paraId="4AF20E0C" w14:textId="6451BBD4" w:rsidR="000734E3" w:rsidRPr="00AC6B62" w:rsidRDefault="000734E3" w:rsidP="00AE0502">
      <w:pPr>
        <w:pStyle w:val="ListParagraph"/>
        <w:keepNext/>
        <w:keepLines/>
        <w:numPr>
          <w:ilvl w:val="0"/>
          <w:numId w:val="23"/>
        </w:numPr>
        <w:rPr>
          <w:u w:val="single"/>
        </w:rPr>
      </w:pPr>
      <w:r>
        <w:rPr>
          <w:b/>
        </w:rPr>
        <w:lastRenderedPageBreak/>
        <w:t>Principiile propunerii</w:t>
      </w:r>
    </w:p>
    <w:p w14:paraId="7A469048" w14:textId="6BCD8C84" w:rsidR="003557A3" w:rsidRDefault="003557A3" w:rsidP="00AE0502">
      <w:pPr>
        <w:keepNext/>
        <w:keepLines/>
        <w:spacing w:line="240" w:lineRule="auto"/>
        <w:rPr>
          <w:b/>
          <w:bCs/>
        </w:rPr>
      </w:pPr>
    </w:p>
    <w:p w14:paraId="4794A2CE" w14:textId="0690B572" w:rsidR="003557A3" w:rsidRDefault="003557A3" w:rsidP="00AE0502">
      <w:pPr>
        <w:keepNext/>
        <w:keepLines/>
        <w:spacing w:line="240" w:lineRule="auto"/>
      </w:pPr>
      <w:r>
        <w:t xml:space="preserve">Utilizarea necorespunzătoare a articolelor pirotehnice de către persoane care nu sunt autorizate să facă acest lucru este o problemă persistentă care are ca rezultat un număr mare de vătămări și pagube în fiecare an. Anumite tipuri de articole pirotehnice mai grele pot fi puse la dispoziție pe piață numai persoanelor cu cunoștințe de specialitate. Deși persoana care dorește să achiziționeze astfel de produse într-un context transfrontalier poate prezenta un document dintr-o altă țară pentru a dovedi acest lucru, vânzătorul nu este în măsură să evalueze în mod adecvat autenticitatea și valabilitatea documentului respectiv. Introducerea autorizației privind articolele pirotehnice ca document de control uniform poate remedia acest lucru în ceea ce privește persoanele autorizate ca persoane cu cunoștințe de specialitate într-o altă țară Benelux. Acest lucru face posibilă vizibilitatea fluxurilor comerciale legale, astfel încât vânzarea ilegală de focuri de artificii profesionale să poată fi redusă mai eficient. În plus, aceasta contribuie la buna funcționare a pieței interne a montatorilor profesioniști de focuri de artificii care doresc să își furnizeze serviciile într-o altă țară. </w:t>
      </w:r>
    </w:p>
    <w:p w14:paraId="215B2C65" w14:textId="41C2E340" w:rsidR="003557A3" w:rsidRDefault="003557A3" w:rsidP="000734E3">
      <w:pPr>
        <w:spacing w:line="240" w:lineRule="auto"/>
      </w:pPr>
    </w:p>
    <w:p w14:paraId="7AEDAB51" w14:textId="6A9A2BD6" w:rsidR="00C15C66" w:rsidRDefault="003557A3" w:rsidP="000734E3">
      <w:pPr>
        <w:spacing w:line="240" w:lineRule="auto"/>
      </w:pPr>
      <w:r>
        <w:t xml:space="preserve">Prezenta modificare a Decretului privind focurile de artificii stabilește cazurile în care verificarea documentelor de inspecție necesare trebuie efectuată pe baza autorizației privind articolele pirotehnice, obligația de verificare a acesteia și motivele retragerii. În plus, accesibilitatea registrului autorizațiilor privind articolele pirotehnice este, de asemenea, elaborată în continuare. </w:t>
      </w:r>
    </w:p>
    <w:p w14:paraId="7E4A8999" w14:textId="0C8DBEDA" w:rsidR="00C15C66" w:rsidRDefault="00C15C66" w:rsidP="000734E3">
      <w:pPr>
        <w:spacing w:line="240" w:lineRule="auto"/>
      </w:pPr>
    </w:p>
    <w:p w14:paraId="34DF65DF" w14:textId="3790A2B5" w:rsidR="00C15C66" w:rsidRDefault="00C15C66" w:rsidP="000734E3">
      <w:pPr>
        <w:spacing w:line="240" w:lineRule="auto"/>
      </w:pPr>
      <w:r>
        <w:t xml:space="preserve">Prezenta propunere obligă operatorii economici (producători, importatori și distribuitori) care pun la dispoziție pe piață focuri de artificii profesionale, articole pirotehnice destinate teatrului și articole pirotehnice din categoria P2 să verifice dacă această persoană are dreptul să achiziționeze respectivele articole pirotehnice. Pentru persoanele desemnate în conformitate cu legislația țărilor Benelux ca persoană cu cunoștințe de specialitate sau ca persoană responsabilă, această verificare se efectuează pe baza autorizației privind articolele pirotehnice. Operatorul este apoi în măsură să verifice valabilitatea autorizației privind articolele pirotehnice în sistemul echipat în acest scop. În plus, operatorul economic este obligat să păstreze în evidențe o copie a autorizației privind articolele pirotehnice și a facturii. Autorizația privind articolele pirotehnice poate fi retrasă atunci când desemnarea ca persoană cu cunoștințe de specialitate sau persoană responsabilă nu mai este valabilă sau în caz de utilizare abuzivă. </w:t>
      </w:r>
    </w:p>
    <w:p w14:paraId="509A1F16" w14:textId="77777777" w:rsidR="00FA2E81" w:rsidRDefault="00FA2E81" w:rsidP="000734E3">
      <w:pPr>
        <w:spacing w:line="240" w:lineRule="auto"/>
      </w:pPr>
    </w:p>
    <w:p w14:paraId="6C94EFCE" w14:textId="46409923" w:rsidR="003557A3" w:rsidRPr="003557A3" w:rsidRDefault="00D156E5" w:rsidP="000734E3">
      <w:pPr>
        <w:spacing w:line="240" w:lineRule="auto"/>
      </w:pPr>
      <w:r>
        <w:t xml:space="preserve">În plus, se utilizează posibilitatea de a atașa o perioadă de valabilitate autorizației de utilizare, iar anumite omisiuni minore sunt rectificate. Acest aspect va fi discutat mai detaliat în notele articol cu articol. </w:t>
      </w:r>
    </w:p>
    <w:p w14:paraId="195F8E5C" w14:textId="77777777" w:rsidR="000734E3" w:rsidRDefault="000734E3" w:rsidP="000734E3">
      <w:pPr>
        <w:spacing w:line="240" w:lineRule="auto"/>
        <w:rPr>
          <w:b/>
          <w:bCs/>
        </w:rPr>
      </w:pPr>
    </w:p>
    <w:p w14:paraId="00156170" w14:textId="7F21773E" w:rsidR="00975E08" w:rsidRDefault="00975E08" w:rsidP="00AC6B62">
      <w:pPr>
        <w:pStyle w:val="ListParagraph"/>
        <w:numPr>
          <w:ilvl w:val="0"/>
          <w:numId w:val="23"/>
        </w:numPr>
        <w:spacing w:line="240" w:lineRule="auto"/>
        <w:rPr>
          <w:b/>
          <w:bCs/>
        </w:rPr>
      </w:pPr>
      <w:r>
        <w:rPr>
          <w:b/>
        </w:rPr>
        <w:t>Legătura cu legislația superioară</w:t>
      </w:r>
    </w:p>
    <w:p w14:paraId="41E88221" w14:textId="69B181BD" w:rsidR="00AC6B62" w:rsidRDefault="00AC6B62" w:rsidP="00AC6B62">
      <w:pPr>
        <w:spacing w:line="240" w:lineRule="auto"/>
        <w:rPr>
          <w:b/>
          <w:bCs/>
        </w:rPr>
      </w:pPr>
    </w:p>
    <w:p w14:paraId="6FB4BDA4" w14:textId="7528792F" w:rsidR="00776C70" w:rsidRPr="00776C70" w:rsidRDefault="00776C70" w:rsidP="00AC6B62">
      <w:pPr>
        <w:spacing w:line="240" w:lineRule="auto"/>
        <w:rPr>
          <w:u w:val="single"/>
        </w:rPr>
      </w:pPr>
      <w:r>
        <w:rPr>
          <w:u w:val="single"/>
        </w:rPr>
        <w:t>Dreptul european</w:t>
      </w:r>
    </w:p>
    <w:p w14:paraId="15B82FB7" w14:textId="459F957D" w:rsidR="00AC6B62" w:rsidRDefault="00CF7C1C" w:rsidP="00AC6B62">
      <w:pPr>
        <w:spacing w:line="240" w:lineRule="auto"/>
      </w:pPr>
      <w:r>
        <w:t xml:space="preserve">Articolele pirotehnice sunt reglementate în mare măsură de Directiva privind articolele pirotehnice. Articolul 5 din directiva menționată prevede că statele membre iau măsurile necesare pentru a se asigura că articolele pirotehnice sunt puse la dispoziție pe piață numai dacă respectă cerințele prezentei directive. Articolul 6 din această directivă definește artificii din categoria F4, articole pirotehnice destinate utilizării în teatru din categoria T2 și alte articole pirotehnice din categoria P2 ca fiind destinate exclusiv utilizării de către persoane cu cunoștințe de specialitate și prevede că statele membre trebuie să informeze Comisia Europeană cu privire la procedurile în temeiul cărora identifică și autorizează persoanele cu cunoștințe de specialitate. Articolul 7 alineatul (3) din Directiva privind articolele pirotehnice prevede că articolele menționate anterior pot fi puse la dispoziție pe piață numai de către producători, importatori sau distribuitori persoanelor cu cunoștințe de specialitate. Potrivit articolului 4 alineatul (2) din Directiva privind articolele pirotehnice, un stat membru poate lua măsuri de interzicere sau de restricționare a anumitor articole pirotehnice. Astfel, în Țările de Jos, de exemplu, punerea pe piață a articolelor pirotehnice din categoria T1, a focurilor de artificii din categoria F3 și a anumitor articole din categoria F2 este complet interzisă. </w:t>
      </w:r>
    </w:p>
    <w:p w14:paraId="10FDAB75" w14:textId="6EA752F6" w:rsidR="00776C70" w:rsidRDefault="00776C70" w:rsidP="00AC6B62">
      <w:pPr>
        <w:spacing w:line="240" w:lineRule="auto"/>
      </w:pPr>
    </w:p>
    <w:p w14:paraId="24268EB2" w14:textId="6DFD3872" w:rsidR="00776C70" w:rsidRDefault="00776C70" w:rsidP="00AC6B62">
      <w:pPr>
        <w:spacing w:line="240" w:lineRule="auto"/>
        <w:rPr>
          <w:u w:val="single"/>
        </w:rPr>
      </w:pPr>
      <w:r>
        <w:rPr>
          <w:u w:val="single"/>
        </w:rPr>
        <w:t>Benelux</w:t>
      </w:r>
    </w:p>
    <w:p w14:paraId="266B5C3C" w14:textId="71C2CD25" w:rsidR="00776C70" w:rsidRPr="00776C70" w:rsidRDefault="00776C70" w:rsidP="00AC6B62">
      <w:pPr>
        <w:spacing w:line="240" w:lineRule="auto"/>
      </w:pPr>
      <w:r>
        <w:t xml:space="preserve">Temeiul juridic al Deciziei Benelux este articolul 6 alineatul (2) litera (a) din Tratatul de instituire a Uniunii Benelux și articolul 1 litera (b) din Protocolul din 29 aprilie 1969 privind eliminarea controalelor și formalităților la frontierele interne ale Beneluxului și eliminarea obstacolelor din calea liberei circulații. Pe baza acestor dispoziții, Comitetul de Miniștri poate lua decizii în vederea coordonării legilor celor trei țări Benelux în vederea eliminării anumitor obstacole. Decizia Benelux se axează în principal pe buna funcționare a pieței interne a articolelor pirotehnice. Acest lucru face ca vânzarea articolelor pirotehnice să fie mai ușoară pentru persoanele cu cunoștințele de specialitate necesare. În plus, Decizia Benelux contribuie, de asemenea, la combaterea comerțului ilicit și la prevenirea vătămărilor și a daunelor materiale, în care Uniunea Benelux dorește să își asume un rol de lider. </w:t>
      </w:r>
    </w:p>
    <w:p w14:paraId="3C5992BB" w14:textId="77777777" w:rsidR="00975E08" w:rsidRDefault="00975E08" w:rsidP="000734E3">
      <w:pPr>
        <w:spacing w:line="240" w:lineRule="auto"/>
        <w:rPr>
          <w:u w:val="single"/>
        </w:rPr>
      </w:pPr>
    </w:p>
    <w:p w14:paraId="7DEE9076" w14:textId="44250DBA" w:rsidR="00975E08" w:rsidRDefault="00975E08" w:rsidP="00CF7C1C">
      <w:pPr>
        <w:pStyle w:val="ListParagraph"/>
        <w:numPr>
          <w:ilvl w:val="0"/>
          <w:numId w:val="23"/>
        </w:numPr>
        <w:spacing w:line="240" w:lineRule="auto"/>
        <w:rPr>
          <w:b/>
          <w:bCs/>
        </w:rPr>
      </w:pPr>
      <w:r>
        <w:rPr>
          <w:b/>
        </w:rPr>
        <w:t>Legătura cu reglementările naționale</w:t>
      </w:r>
    </w:p>
    <w:p w14:paraId="5C8C5EA0" w14:textId="01A65BBA" w:rsidR="00327EE7" w:rsidRDefault="00327EE7" w:rsidP="00327EE7">
      <w:pPr>
        <w:spacing w:line="240" w:lineRule="auto"/>
        <w:rPr>
          <w:b/>
          <w:bCs/>
        </w:rPr>
      </w:pPr>
    </w:p>
    <w:p w14:paraId="33046BD4" w14:textId="454430A9" w:rsidR="00327EE7" w:rsidRDefault="00327EE7" w:rsidP="00327EE7">
      <w:pPr>
        <w:spacing w:line="240" w:lineRule="auto"/>
      </w:pPr>
      <w:r>
        <w:t xml:space="preserve">Articolele pirotehnice sunt reglementate în principal de legislația neerlandeză în Decretul privind focurile de artificii. Articolul 9.2.2.1 alineatele (1) și (2) din Wm constituie temeiul principal al Decretului privind focurile de artificii. Cu toate acestea, pentru punerea în aplicare a registrului autorizațiilor privind articolele pirotehnice, este necesară o bază specifică în ceea ce privește prelucrarea datelor cu caracter personal, care a fost realizată în acest scop la articolul 9.5.8 din Wm. Prin urmare, prezentul decret se întemeiază atât pe articolul 9.2.2.1 alineatele (1) și (2), cât și pe articolul 9.5.8 alineatele (3) și (4) din Wm. </w:t>
      </w:r>
    </w:p>
    <w:p w14:paraId="3F0C1AB7" w14:textId="77777777" w:rsidR="00327EE7" w:rsidRDefault="00327EE7" w:rsidP="00327EE7">
      <w:pPr>
        <w:spacing w:line="240" w:lineRule="auto"/>
      </w:pPr>
    </w:p>
    <w:p w14:paraId="6B5DC0AB" w14:textId="28E31FAC" w:rsidR="00EF30A1" w:rsidRPr="00AF331A" w:rsidRDefault="00327EE7" w:rsidP="00EF30A1">
      <w:pPr>
        <w:spacing w:line="240" w:lineRule="auto"/>
      </w:pPr>
      <w:r>
        <w:t xml:space="preserve">Articolul 1.1.2a alineatul (1) din Decretul privind focurile de artificii desemnează persoane cu cunoștințe de specialitate. În conformitate cu articolul 1.1.2a alineatul (2), o persoană cu cunoștințe de specialitate este, de asemenea, desemnată ca atare în ceea ce privește focurile de artificii și articole pirotehnice destinate teatrului într-un alt stat membru al Uniunii Europene. </w:t>
      </w:r>
    </w:p>
    <w:p w14:paraId="7DB9825C" w14:textId="77777777" w:rsidR="00EF30A1" w:rsidRPr="00AF331A" w:rsidRDefault="00EF30A1" w:rsidP="00EF30A1">
      <w:pPr>
        <w:spacing w:line="240" w:lineRule="auto"/>
      </w:pPr>
    </w:p>
    <w:p w14:paraId="2FEF7A0B" w14:textId="13F4E42D" w:rsidR="00D156E5" w:rsidRPr="00AF331A" w:rsidRDefault="00EF30A1" w:rsidP="00EF30A1">
      <w:pPr>
        <w:spacing w:line="240" w:lineRule="auto"/>
      </w:pPr>
      <w:r>
        <w:t xml:space="preserve">În practică, cel mai mare grup de persoane cu cunoștințe de specialitate este format din titularii unei autorizații de utilizare [articolul 1.1.2a alineatul (1) litera (b)]. Cu toate acestea, având în vedere articolul 3B.1 alineatul (6), titularul unei autorizații de utilizare poate fi atât o persoană juridică, cât și o persoană fizică, în timp ce autorizația privind articolele pirotehnice poate fi acordată numai unei persoane fizice în temeiul Deciziei Benelux. Cu toate acestea, Decizia Benelux include și noțiunea de „persoană responsabilă”. Aceasta este o persoană desemnată de o persoană juridică care are dreptul să stocheze sau să pună la dispoziție pe piață articole pirotehnice pentru a utiliza articole pirotehnice în numele persoanei juridice respective. </w:t>
      </w:r>
    </w:p>
    <w:p w14:paraId="60717B8D" w14:textId="60EC65B3" w:rsidR="00D156E5" w:rsidRPr="00AF331A" w:rsidRDefault="00D156E5" w:rsidP="00EF30A1">
      <w:pPr>
        <w:spacing w:line="240" w:lineRule="auto"/>
      </w:pPr>
    </w:p>
    <w:p w14:paraId="6875DA1D" w14:textId="77777777" w:rsidR="002679C0" w:rsidRDefault="00143F76" w:rsidP="00EF30A1">
      <w:pPr>
        <w:spacing w:line="240" w:lineRule="auto"/>
      </w:pPr>
      <w:r>
        <w:t xml:space="preserve">Persoana care aprinde de fapt focurile artificii nu este, de obicei, aceeași persoană (juridică sau de altă natură) cu titularul unei autorizații de utilizare. Formarea și înregistrarea sunt necesare pentru declanșarea focurilor de artificii profesionale în temeiul Decretului privind condițiile de muncă. Pentru a obține o autorizație de utilizare, solicitanții trebuie, printre altele, să prezinte o copie a unei înscrieri valabile în Registrul operatorilor de focuri de artificii prevăzut la articolul 4.9 alineatul (1) din Decretul privind condițiile de muncă, eliberată persoanei care face obiectul cererii și care se referă la aceste acte. În plus, există, de asemenea, operatori de focuri de artificii [articolul 4.9 alineatul (2) din Decretul privind condițiile de muncă] care efectuează lucrări constând în vânzarea, prelucrarea sau punerea la dispoziție a focurilor de artificii pentru consumatori, a focurilor de artificii profesionale sau a articolelor pirotehnice pentru utilizare în teatru. Aceste persoane sunt desemnate drept „persoană responsabilă”. </w:t>
      </w:r>
    </w:p>
    <w:p w14:paraId="70DF5F92" w14:textId="77777777" w:rsidR="002679C0" w:rsidRDefault="002679C0" w:rsidP="00EF30A1">
      <w:pPr>
        <w:spacing w:line="240" w:lineRule="auto"/>
      </w:pPr>
    </w:p>
    <w:p w14:paraId="68066069" w14:textId="4FB3741F" w:rsidR="00143F76" w:rsidRPr="00AF331A" w:rsidRDefault="00776DC6" w:rsidP="00EF30A1">
      <w:pPr>
        <w:spacing w:line="240" w:lineRule="auto"/>
      </w:pPr>
      <w:r>
        <w:t xml:space="preserve">Pe baza Decretului privind condițiile de muncă și elaborat în continuare în Regulamentul privind condițiile de muncă, se reglementează persoanele care au acces la registrul procesatorilor de focuri de artificii și al operatorilor de focuri de artificii. În conformitate cu articolul 1.5o litera (c) din Decretul privind condițiile de muncă, registrele pot fi consultate de alte persoane direct vizate (pe lângă, printre altele, clientul sau </w:t>
      </w:r>
      <w:r>
        <w:lastRenderedPageBreak/>
        <w:t xml:space="preserve">reprezentantul autorizat al clientului) cu privire la înregistrarea sau suspendarea unei persoane. Expunerea de motive a acestei decizii prevede că aceasta ar putea include, de exemplu, autoritățile publice care iau decizii în temeiul Decretului privind focurile de artificii. Acest lucru este relevant pentru a verifica dacă înregistrarea unui procesator de focuri de artificii sau a unui operator de focuri artificii este valabilă în contextul autorizației privind articolele pirotehnice. </w:t>
      </w:r>
    </w:p>
    <w:p w14:paraId="639E72A4" w14:textId="77777777" w:rsidR="00327EE7" w:rsidRDefault="00327EE7" w:rsidP="00327EE7">
      <w:pPr>
        <w:spacing w:line="240" w:lineRule="auto"/>
      </w:pPr>
    </w:p>
    <w:p w14:paraId="6619A365" w14:textId="6BA4BF1D" w:rsidR="00327EE7" w:rsidRPr="00327EE7" w:rsidRDefault="00327EE7" w:rsidP="00327EE7">
      <w:pPr>
        <w:spacing w:line="240" w:lineRule="auto"/>
      </w:pPr>
      <w:r>
        <w:t xml:space="preserve">Modelul de autorizație privind articolele pirotehnice și detaliile mai tehnice, astfel cum sunt prevăzute în temeiul juridic, sunt elaborate într-un regulament ministerial. </w:t>
      </w:r>
    </w:p>
    <w:p w14:paraId="0044771B" w14:textId="3FAC2891" w:rsidR="00CF7C1C" w:rsidRDefault="00CF7C1C" w:rsidP="00CF7C1C">
      <w:pPr>
        <w:spacing w:line="240" w:lineRule="auto"/>
        <w:rPr>
          <w:b/>
          <w:bCs/>
        </w:rPr>
      </w:pPr>
    </w:p>
    <w:p w14:paraId="5E94832F" w14:textId="3176BDE2" w:rsidR="00975E08" w:rsidRDefault="00B635DB" w:rsidP="00AE0502">
      <w:pPr>
        <w:pStyle w:val="ListParagraph"/>
        <w:keepNext/>
        <w:keepLines/>
        <w:spacing w:line="240" w:lineRule="auto"/>
        <w:rPr>
          <w:b/>
          <w:bCs/>
        </w:rPr>
      </w:pPr>
      <w:r>
        <w:rPr>
          <w:b/>
        </w:rPr>
        <w:t>6. Consecințe (excluzând consecințele financiare)</w:t>
      </w:r>
    </w:p>
    <w:p w14:paraId="4C05B5CD" w14:textId="7F1C4B3F" w:rsidR="00C43025" w:rsidRDefault="00C43025" w:rsidP="00AE0502">
      <w:pPr>
        <w:keepNext/>
        <w:keepLines/>
        <w:spacing w:line="240" w:lineRule="auto"/>
        <w:rPr>
          <w:b/>
          <w:bCs/>
        </w:rPr>
      </w:pPr>
    </w:p>
    <w:p w14:paraId="70482F24" w14:textId="77777777" w:rsidR="004946A8" w:rsidRDefault="004946A8" w:rsidP="00AE0502">
      <w:pPr>
        <w:keepNext/>
        <w:keepLines/>
        <w:spacing w:line="240" w:lineRule="auto"/>
        <w:rPr>
          <w:i/>
          <w:iCs/>
        </w:rPr>
      </w:pPr>
      <w:r>
        <w:rPr>
          <w:i/>
        </w:rPr>
        <w:t>Impactul asupra sarcinii de reglementare</w:t>
      </w:r>
    </w:p>
    <w:p w14:paraId="6914D7FF" w14:textId="28F21F0E" w:rsidR="00936355" w:rsidRDefault="00C43025" w:rsidP="00AE0502">
      <w:pPr>
        <w:keepNext/>
        <w:keepLines/>
        <w:spacing w:line="240" w:lineRule="auto"/>
      </w:pPr>
      <w:r>
        <w:t xml:space="preserve">Această modificare a Decretului privind focurile artificii are consecințe de reglementare pentru diferite părți din sectorul focurilor de artificii. Acest lucru se aplică operatorilor și persoanelor care trebuie să solicite autorizația privind articolele pirotehnice. </w:t>
      </w:r>
      <w:r>
        <w:rPr>
          <w:color w:val="auto"/>
          <w:shd w:val="clear" w:color="auto" w:fill="FFFFFF"/>
        </w:rPr>
        <w:t>La calcularea sarcinii administrative, se prevede metodologia națională pentru efectele presiunii de reglementare, care presupune costuri de 50 EUR pe oră.</w:t>
      </w:r>
    </w:p>
    <w:p w14:paraId="6403155A" w14:textId="77777777" w:rsidR="00936355" w:rsidRDefault="00936355" w:rsidP="00AE0502">
      <w:pPr>
        <w:keepNext/>
        <w:keepLines/>
        <w:spacing w:line="240" w:lineRule="auto"/>
      </w:pPr>
    </w:p>
    <w:p w14:paraId="528F4983" w14:textId="2DF545CB" w:rsidR="00252E79" w:rsidRPr="00A6359B" w:rsidRDefault="00C43025" w:rsidP="00C43025">
      <w:pPr>
        <w:spacing w:line="240" w:lineRule="auto"/>
      </w:pPr>
      <w:r>
        <w:t>Operatorii economici vor fi obligați în curând să solicite autorizația privind articolele pirotehnice atunci când vând anumite articole pirotehnice, să verifice valabilitatea acestora în registrul autorizațiilor privind articolele pirotehnice și să păstreze dovada acestora în evidențele lor. În prezent, aceste părți sunt obligate să verifice dacă persoana care achiziționează articole pirotehnice este o persoană cu cunoștințe de specialitate. Drept urmare, efectele introducerii autorizației privind articolele pirotehnice asupra acestor loturi sunt mici și chiar facilitează controalele. Cu toate acestea, operatorii economici trebuie să ia act de noile obligații; în acest scop, se alocă aproximativ o oră pentru fiecare operator economic. În plus, operatorii economici sunt obligați să păstreze informații în evidențele lor, pentru care se calculează cinci minute per operațiune pentru fiecare operator economic. Există aproximativ 10 participanți la piață activi în Țările de Jos. Aceasta înseamnă că sarcina de reglementare a acestor modificări este practic zero pentru acest grup-țintă.</w:t>
      </w:r>
    </w:p>
    <w:p w14:paraId="5C09DCB1" w14:textId="77777777" w:rsidR="00252E79" w:rsidRPr="00A6359B" w:rsidRDefault="00252E79" w:rsidP="00C43025">
      <w:pPr>
        <w:spacing w:line="240" w:lineRule="auto"/>
      </w:pPr>
    </w:p>
    <w:p w14:paraId="72C1AC07" w14:textId="6D06525A" w:rsidR="00252E79" w:rsidRPr="00A6359B" w:rsidRDefault="00252E79" w:rsidP="00C43025">
      <w:pPr>
        <w:spacing w:line="240" w:lineRule="auto"/>
      </w:pPr>
      <w:r>
        <w:t>Pentru persoanele cu cunoștințe de specialitate sau persoanele responsabile, modificarea Decretului privind focurile de artificii înseamnă că acestea trebuie să fie în măsură să demonstreze, pe baza autorizației privind articolele pirotehnice, că sunt autorizate ca atare. Acestea trebuie să depună cerere pent4ru o autorizație privind articolele pirotehnice. Acest lucru constituie un act suplimentar pentru aceste părți, deși nu sunt impuse noi cerințe de formare sau alte cerințe. Drept urmare, consecințele pentru acest grup-țintă au fost menținute cât mai limitate posibil. Două ore sunt alocate pentru a lua notă de obligația și a depune cerere pentru autorizația privind articolele pirotehnice și pentru a colecta datele necesare. În prezent, este dificil să se estimeze câte persoane vor depune cerere pentru o autorizație privind articolele pirotehnice. Este de așteptat să fie între 50 și 150 de persoane. Aceasta înseamnă că sarcina de reglementare a acestor modificări pentru acest grup-țintă în ansamblu este estimată la un total de 5 000 EUR până la 15 000 EUR.</w:t>
      </w:r>
    </w:p>
    <w:p w14:paraId="4092354C" w14:textId="44138531" w:rsidR="004946A8" w:rsidRPr="00A6359B" w:rsidRDefault="004946A8" w:rsidP="00C43025">
      <w:pPr>
        <w:spacing w:line="240" w:lineRule="auto"/>
      </w:pPr>
    </w:p>
    <w:p w14:paraId="3BE987CF" w14:textId="331039CD" w:rsidR="004946A8" w:rsidRDefault="007F6D5D" w:rsidP="00C43025">
      <w:pPr>
        <w:spacing w:line="240" w:lineRule="auto"/>
      </w:pPr>
      <w:r>
        <w:t xml:space="preserve">Prezentul decret atribuie o perioadă de valabilitate autorizației de utilizare. Aceasta înseamnă că autorizația de utilizare trebuie să fie solicitată din nou după expirarea perioadei de valabilitate. În prezent, există aproximativ 75 de titulari ai unei autorizații de utilizare. Cererea pentru autorizația de utilizare, inclusiv declarația de conduită necesară (denumită în continuare „VOG”), este estimată la două ore. Nu se percep taxe pentru cererea pentru autorizația în sine. Aceasta înseamnă că, pentru acest grup-țintă specific, sarcina de reglementare globală este estimată la aproximativ 7 500 EUR. </w:t>
      </w:r>
    </w:p>
    <w:p w14:paraId="7B7FBC99" w14:textId="2629C7E0" w:rsidR="00C43025" w:rsidRDefault="00C43025" w:rsidP="00C43025">
      <w:pPr>
        <w:spacing w:line="240" w:lineRule="auto"/>
      </w:pPr>
    </w:p>
    <w:p w14:paraId="267FC2EE" w14:textId="77777777" w:rsidR="004946A8" w:rsidRDefault="004946A8" w:rsidP="00C43025">
      <w:pPr>
        <w:spacing w:line="240" w:lineRule="auto"/>
        <w:rPr>
          <w:i/>
          <w:iCs/>
        </w:rPr>
      </w:pPr>
      <w:r>
        <w:rPr>
          <w:i/>
        </w:rPr>
        <w:t>Eficacitate și eficiență</w:t>
      </w:r>
    </w:p>
    <w:p w14:paraId="2BE5AB6D" w14:textId="0BC0329B" w:rsidR="008D009E" w:rsidRDefault="008D009E" w:rsidP="00C43025">
      <w:pPr>
        <w:spacing w:line="240" w:lineRule="auto"/>
      </w:pPr>
      <w:r>
        <w:t xml:space="preserve">Odată cu introducerea sistemului autorizațiilor privind articolele pirotehnice numai în Benelux, eficacitatea și eficiența trebuie inițial limitate. Cu toate acestea, introducerea are, de asemenea, un rol important în cadrul procesului, iar rezultatele UE sunt </w:t>
      </w:r>
      <w:r>
        <w:lastRenderedPageBreak/>
        <w:t>monitorizate. Scopul Beneluxului este ca autorizația privind articolele pirotehnice să fie lansată în cadrul Uniunii Europene.</w:t>
      </w:r>
    </w:p>
    <w:p w14:paraId="401AC6D0" w14:textId="77777777" w:rsidR="00E07588" w:rsidRDefault="00E07588" w:rsidP="00C43025">
      <w:pPr>
        <w:spacing w:line="240" w:lineRule="auto"/>
      </w:pPr>
    </w:p>
    <w:p w14:paraId="6324A8CD" w14:textId="15DF4D44" w:rsidR="008D009E" w:rsidRPr="004946A8" w:rsidRDefault="004946A8" w:rsidP="00C43025">
      <w:pPr>
        <w:spacing w:line="240" w:lineRule="auto"/>
        <w:rPr>
          <w:i/>
          <w:iCs/>
        </w:rPr>
      </w:pPr>
      <w:r>
        <w:rPr>
          <w:i/>
        </w:rPr>
        <w:t>Consecințe asupra confidențialității</w:t>
      </w:r>
    </w:p>
    <w:p w14:paraId="57A10400" w14:textId="10864A2A" w:rsidR="00CA1DB1" w:rsidRDefault="00252E79" w:rsidP="00C43025">
      <w:pPr>
        <w:spacing w:line="240" w:lineRule="auto"/>
      </w:pPr>
      <w:r>
        <w:t xml:space="preserve">Acest decret conduce la prelucrarea datelor cu caracter personal. Proiectul de lege de stabilire a registrului autorizațiilor privind articolele pirotehnice este baza principală pentru acesta; în acest sens, a fost elaborată o evaluare a impactului asupra protecției datelor (EIPD) și s-a solicitat un aviz din partea Autorității neerlandeze pentru protecția datelor. Nu au fost formulate observații în această privință. </w:t>
      </w:r>
    </w:p>
    <w:p w14:paraId="7F572F52" w14:textId="77777777" w:rsidR="00CA1DB1" w:rsidRDefault="00CA1DB1" w:rsidP="00C43025">
      <w:pPr>
        <w:spacing w:line="240" w:lineRule="auto"/>
      </w:pPr>
    </w:p>
    <w:p w14:paraId="0BCC09DE" w14:textId="269241BB" w:rsidR="00447582" w:rsidRDefault="00252E79" w:rsidP="00447582">
      <w:pPr>
        <w:spacing w:line="240" w:lineRule="auto"/>
      </w:pPr>
      <w:r>
        <w:t xml:space="preserve">A fost elaborată o nouă EIPD pentru prezenta modificare. Ministrul infrastructurii și gospodăririi apelor (IenW) este operatorul de date. În sensul prezentului decret, sunt prevăzute diferite operațiuni de prelucrare a datelor, și anume cererea pentru autorizația privind articolele pirotehnice, evaluarea acesteia și eliberarea autorizației privind articolele pirotehnice. În plus, datele necesare – în conformitate cu Decizia Benelux – sunt păstrate în registrul autorizațiilor privind articolele pirotehnice. În cazul în care articolele pirotehnice din categoria F3, F4, T2 sau P2 sunt vândute de un operator economic, acest vânzător este obligat să verifice autorizația privind articolele pirotehnice și documentul de identitate și să consulte registrul autorizațiilor privind articolele pirotehnice. În plus, operatorul economic trebuie să stocheze anumite documente menționate la articolul 4.1 alineatul (8) în evidențele sale. În cele din urmă, datele cu caracter personal sunt prelucrate atunci când organismele responsabile de monitorizarea respectării normelor aplicabile articolelor pirotehnice și de asigurarea respectării acestor norme au acces la registru, de exemplu. Cerința privind proporționalitatea și subsidiaritatea a fost luată în considerare atât în contextul Deciziei Benelux, cât și în cadrul punerii în aplicare actuale. În toate operațiunile de prelucrare, nu sunt prelucrate mai multe date cu caracter personal decât este necesar și nici nu sunt prelucrate mai mult decât în scopul pentru care au fost obținute (scop obligatoriu), </w:t>
      </w:r>
      <w:bookmarkStart w:id="4" w:name="_Hlk125126125"/>
      <w:r>
        <w:t>cu excepția cazului în care se monitorizează respectarea normelor aplicabile articolelor pirotehnice și aplicarea acestor norme de către autoritățile relevante.</w:t>
      </w:r>
      <w:bookmarkEnd w:id="4"/>
      <w:r>
        <w:t xml:space="preserve"> Acesta din urmă este relevant, de exemplu, atunci când Parchetul General (denumit în continuare „OM”) primește acces la registru. </w:t>
      </w:r>
    </w:p>
    <w:p w14:paraId="402614B7" w14:textId="77777777" w:rsidR="00447582" w:rsidRDefault="00447582" w:rsidP="00447582">
      <w:pPr>
        <w:spacing w:line="240" w:lineRule="auto"/>
      </w:pPr>
    </w:p>
    <w:p w14:paraId="5D2C7B38" w14:textId="47AB3ABF" w:rsidR="00447582" w:rsidRDefault="00447582" w:rsidP="00447582">
      <w:pPr>
        <w:spacing w:line="240" w:lineRule="auto"/>
      </w:pPr>
      <w:r>
        <w:t>Datele nu sunt stocate mai mult decât este necesar. Evidențele și datele înscrise în registrul autorizațiilor privind articolele pirotehnice se păstrează pe o perioadă de 12 ani. În acest scop, acesta este aliniat la termenul maxim de prescripție a infracțiunilor privind focurile de artificii.</w:t>
      </w:r>
    </w:p>
    <w:p w14:paraId="7D003D62" w14:textId="413391F3" w:rsidR="00CA1DB1" w:rsidRDefault="00447582" w:rsidP="00447582">
      <w:pPr>
        <w:spacing w:line="240" w:lineRule="auto"/>
        <w:rPr>
          <w:color w:val="auto"/>
        </w:rPr>
      </w:pPr>
      <w:r>
        <w:t xml:space="preserve">Operatorii păstrează o copie a documentului de control în evidențe, împreună cu factura în cauză și, după caz, cu documentul de transport în cauză timp de șapte ani. </w:t>
      </w:r>
      <w:r>
        <w:rPr>
          <w:color w:val="auto"/>
        </w:rPr>
        <w:t>Acest lucru este aliniat cu perioada națională de păstrare a înregistrărilor.</w:t>
      </w:r>
    </w:p>
    <w:p w14:paraId="558FE160" w14:textId="0BC5F66C" w:rsidR="00447582" w:rsidRDefault="00447582" w:rsidP="00447582">
      <w:pPr>
        <w:spacing w:line="240" w:lineRule="auto"/>
        <w:rPr>
          <w:color w:val="auto"/>
        </w:rPr>
      </w:pPr>
    </w:p>
    <w:p w14:paraId="52054656" w14:textId="5942787D" w:rsidR="00252E79" w:rsidRPr="00252E79" w:rsidRDefault="00447582" w:rsidP="00C43025">
      <w:pPr>
        <w:spacing w:line="240" w:lineRule="auto"/>
        <w:rPr>
          <w:highlight w:val="yellow"/>
        </w:rPr>
      </w:pPr>
      <w:r>
        <w:rPr>
          <w:color w:val="auto"/>
        </w:rPr>
        <w:t>Eliberarea autorizației privind articolele pirotehnice, precum și punerea în aplicare și gestionarea registrului autorizațiilor privind articolele pirotehnice se efectuează în conformitate cu instrucțiunile unei organizații care urmează să fie stabilită. Acordurile necesare, cum ar fi un acord de prelucrare, se încheie în acest scop.</w:t>
      </w:r>
    </w:p>
    <w:p w14:paraId="4C2D6765" w14:textId="04E46AFB" w:rsidR="008D009E" w:rsidRDefault="008D009E" w:rsidP="00C43025">
      <w:pPr>
        <w:spacing w:line="240" w:lineRule="auto"/>
      </w:pPr>
    </w:p>
    <w:p w14:paraId="5B5DCDBE" w14:textId="6E3DD6C8" w:rsidR="00975E08" w:rsidRPr="0096601D" w:rsidRDefault="00B635DB" w:rsidP="0096601D">
      <w:pPr>
        <w:spacing w:line="240" w:lineRule="auto"/>
        <w:ind w:left="360"/>
        <w:rPr>
          <w:b/>
          <w:bCs/>
        </w:rPr>
      </w:pPr>
      <w:r>
        <w:rPr>
          <w:b/>
        </w:rPr>
        <w:t>7. Executare și punere în aplicare</w:t>
      </w:r>
    </w:p>
    <w:p w14:paraId="2C53EA96" w14:textId="01746B6B" w:rsidR="008D009E" w:rsidRDefault="008D009E" w:rsidP="008D009E">
      <w:pPr>
        <w:spacing w:line="240" w:lineRule="auto"/>
        <w:rPr>
          <w:b/>
          <w:bCs/>
        </w:rPr>
      </w:pPr>
    </w:p>
    <w:p w14:paraId="6A49A41C" w14:textId="46C8C417" w:rsidR="008D009E" w:rsidRDefault="00320BB5" w:rsidP="008D009E">
      <w:pPr>
        <w:spacing w:line="240" w:lineRule="auto"/>
      </w:pPr>
      <w:r>
        <w:t xml:space="preserve">Registrul autorizațiilor privind articolele pirotehnice ar trebui creat și gestionat. Această competență a fost conferită ministrului IenW în acest decret. </w:t>
      </w:r>
      <w:r>
        <w:rPr>
          <w:highlight w:val="yellow"/>
        </w:rPr>
        <w:t>Urmează a se specifica</w:t>
      </w:r>
      <w:r>
        <w:t xml:space="preserve"> </w:t>
      </w:r>
    </w:p>
    <w:p w14:paraId="2971A261" w14:textId="71FFEAFE" w:rsidR="00585934" w:rsidRDefault="00585934" w:rsidP="008D009E">
      <w:pPr>
        <w:spacing w:line="240" w:lineRule="auto"/>
      </w:pPr>
    </w:p>
    <w:p w14:paraId="276B61A9" w14:textId="15454E6B" w:rsidR="002C1D08" w:rsidRDefault="002C1D08" w:rsidP="008D009E">
      <w:pPr>
        <w:spacing w:line="240" w:lineRule="auto"/>
      </w:pPr>
      <w:r>
        <w:t xml:space="preserve">Reglementările privind focurile de artificii sunt aplicate atât în ceea ce privește atât dreptul administrativ, cât și dreptul penal. În ceea ce privește dreptul administrativ, o amendă poate fi aplicată în temeiul Wm sau ca sancțiune administrativă. Inspectoratul pentru Mediu și Transport (ILT) supraveghează siguranța și calitatea focurilor de artificiilor introduse pe piață de către întreprinderi. ILT este autoritatea de supraveghere pentru transportul substanțelor periculoase, inclusiv al focurilor de artificii în temeiul legislației privind transporturile și pentru importul și exportul de focuri de artificii de către întreprinderi în temeiul Decretului privind focurile de artificii. ILT emite, de </w:t>
      </w:r>
      <w:r>
        <w:lastRenderedPageBreak/>
        <w:t xml:space="preserve">asemenea, autorizațiile de utilizare. Proiectul de decret a fost prezentat ILT la xx pentru un test de forță executorie, practicabilitate și rezistență la fraudă. Decretul a fost evaluat de ILT ca </w:t>
      </w:r>
      <w:r>
        <w:rPr>
          <w:highlight w:val="yellow"/>
        </w:rPr>
        <w:t>… test PM HUF.</w:t>
      </w:r>
    </w:p>
    <w:p w14:paraId="0E7FB361" w14:textId="54113D45" w:rsidR="002C1D08" w:rsidRDefault="002C1D08" w:rsidP="008D009E">
      <w:pPr>
        <w:spacing w:line="240" w:lineRule="auto"/>
      </w:pPr>
    </w:p>
    <w:p w14:paraId="34686046" w14:textId="1EDE2621" w:rsidR="002C1D08" w:rsidRDefault="002C1D08" w:rsidP="008D009E">
      <w:pPr>
        <w:spacing w:line="240" w:lineRule="auto"/>
      </w:pPr>
      <w:r>
        <w:t xml:space="preserve">Diferite dispoziții din Decretul privind focurile artificii sunt pasibile de pedeapsă în Legea privind infracțiunile economice, iar acestea sunt puse în aplicare de poliție și de Ministerul Public. Acest lucru se aplică, de exemplu, vânzării de focuri de artificii profesionale către persoane fizice. Legea colectivă IenW din 2021 modifică Legea privind infracțiunile economice pentru a pune în aplicare, de asemenea, articolul 9.5.8 alineatul (6). În cazul unei infracțiuni, pedeapsa este o pedeapsă maximă cu închisoarea de până la șase ani, în folosul comunității sau cu amendă din a cincea categorie (în prezent 90 000 EUR). Proiectul de decret a fost înaintat Ministerului Public la </w:t>
      </w:r>
      <w:r>
        <w:rPr>
          <w:highlight w:val="yellow"/>
        </w:rPr>
        <w:t>xx</w:t>
      </w:r>
      <w:r>
        <w:t xml:space="preserve">. </w:t>
      </w:r>
      <w:r>
        <w:rPr>
          <w:highlight w:val="yellow"/>
        </w:rPr>
        <w:t>test HUF care urmează a se specifica</w:t>
      </w:r>
    </w:p>
    <w:p w14:paraId="50AD1D6B" w14:textId="0EFF2653" w:rsidR="00975E08" w:rsidRDefault="00975E08" w:rsidP="00585934">
      <w:pPr>
        <w:pStyle w:val="ListParagraph"/>
        <w:spacing w:line="240" w:lineRule="auto"/>
        <w:rPr>
          <w:b/>
          <w:bCs/>
        </w:rPr>
      </w:pPr>
    </w:p>
    <w:p w14:paraId="534484EE" w14:textId="78633A2D" w:rsidR="00975E08" w:rsidRDefault="00E136B9" w:rsidP="0096601D">
      <w:pPr>
        <w:pStyle w:val="ListParagraph"/>
        <w:spacing w:line="240" w:lineRule="auto"/>
        <w:rPr>
          <w:b/>
          <w:bCs/>
        </w:rPr>
      </w:pPr>
      <w:r>
        <w:rPr>
          <w:b/>
        </w:rPr>
        <w:t>8. Impactul financiar</w:t>
      </w:r>
    </w:p>
    <w:p w14:paraId="7CC3594D" w14:textId="3405B1C8" w:rsidR="006B5035" w:rsidRDefault="006B5035" w:rsidP="006B5035">
      <w:pPr>
        <w:spacing w:line="240" w:lineRule="auto"/>
        <w:rPr>
          <w:b/>
          <w:bCs/>
        </w:rPr>
      </w:pPr>
    </w:p>
    <w:p w14:paraId="3E288867" w14:textId="4B698FDD" w:rsidR="006B5035" w:rsidRDefault="003134C0" w:rsidP="006B5035">
      <w:pPr>
        <w:spacing w:line="240" w:lineRule="auto"/>
      </w:pPr>
      <w:r>
        <w:t xml:space="preserve">În temeiul articolului 9.5.8 alineatul (5) din Wm, este posibilă perceperea unui tarif pentru cererea pentru o autorizație privind articolele pirotehnice. Acest lucru nu este prevăzut în prezentul decret, ceea ce face ca impactul financiar asupra sectorului să fie foarte limitat. Nu se solicită nicio taxă pentru autorizația de utilizare, ceea ce înseamnă că introducerea unei perioade de valabilitate nu conduce la costuri mai mari. </w:t>
      </w:r>
    </w:p>
    <w:p w14:paraId="06498172" w14:textId="2B2A61FD" w:rsidR="006B5035" w:rsidRDefault="006B5035" w:rsidP="006B5035">
      <w:pPr>
        <w:spacing w:line="240" w:lineRule="auto"/>
      </w:pPr>
    </w:p>
    <w:p w14:paraId="56840DF9" w14:textId="77777777" w:rsidR="00E07588" w:rsidRPr="006B5035" w:rsidRDefault="00E07588" w:rsidP="006B5035">
      <w:pPr>
        <w:spacing w:line="240" w:lineRule="auto"/>
        <w:rPr>
          <w:b/>
          <w:bCs/>
        </w:rPr>
      </w:pPr>
    </w:p>
    <w:p w14:paraId="20868362" w14:textId="368FAD50" w:rsidR="00975E08" w:rsidRDefault="00975E08" w:rsidP="00FF6FF4">
      <w:pPr>
        <w:pStyle w:val="ListParagraph"/>
        <w:keepNext/>
        <w:keepLines/>
        <w:numPr>
          <w:ilvl w:val="0"/>
          <w:numId w:val="26"/>
        </w:numPr>
        <w:spacing w:line="240" w:lineRule="auto"/>
        <w:rPr>
          <w:b/>
          <w:bCs/>
        </w:rPr>
      </w:pPr>
      <w:r>
        <w:rPr>
          <w:b/>
        </w:rPr>
        <w:t>Consiliere și consultare</w:t>
      </w:r>
    </w:p>
    <w:p w14:paraId="1D22CCE9" w14:textId="3285AF09" w:rsidR="00D4395F" w:rsidRDefault="006B5035" w:rsidP="00FF6FF4">
      <w:pPr>
        <w:keepNext/>
        <w:keepLines/>
        <w:spacing w:line="240" w:lineRule="auto"/>
      </w:pPr>
      <w:r>
        <w:t>Mai multe părți au fost consultate cu privire la elaborarea acestui decret. Testele de performanță ale OM și ILT au fost deja discutate mai sus. Un proiect inițial a fost discutat, de asemenea, cu reprezentanți ai VEN (Asociația Neerlandeză de Focuri de Artificii pentru Evenimente), BPN (Asociația Neerlandeză de Pirotehnică) și Stichting VuurwerkCheck. Prin urmare, decretul prevede că titularii de autorizații privind articolele pirotehnice autorizați pentru focuri de artificii din categoria F3 sau F4 sunt, de asemenea, considerați a fi autorizați pentru focurile de artificii din categoria F2 care nu sunt concepute pentru uz personal. De asemenea, se prevede că titularii unei autorizații privind articolele pirotehnice autorizați pentru articolele pirotehnice pentru utilizarea articolelor pirotehnice din categoria T2 sunt, de asemenea, considerați a fi autorizați pentru articolele pirotehnice din categoria T1. Deși industria a indicat că abordarea comerțului ilicit cu focuri de artificii este importantă, aceasta are îndoieli cu privire la eficacitatea autorizației privind articolele pirotehnice asupra fluxurilor comerciale ilegale, deoarece acestea sunt importate numai în Benelux. Autorizația privind articolele pirotehnice este un instrument care face parte dintr-un pachet mai larg de măsuri de reducere a ilegalității cu focuri de artificii profesionale. Este dorința Beneluxului ca autorizația privind articolele pirotehnice să fie lansată în cadrul Uniunii Europene. Industria a indicat că introducerea autorizației privind articolele pirotehnice este percepută ca o creștere a sarcinii administrative, deoarece consideră că autorizația privind articolele pirotehnice este o duplicare a notificării în temeiul articolului 1.4.1 din Decretul privind focurile de artificii. Sarcina administrativă, astfel cum se explică la punctul 6 din expunerea de motive, a fost menținută cât mai limitată posibil. Autorizația privind articolele pirotehnice face mai ușor pentru operatorii economici să verifice dacă un cumpărător deține autorizațiile necesare. În plus, nu există nicio suprapunere cu sistemul de raportare menționat la articolul 1.4.1 din Decretul privind focurile de artificii, întrucât scopul sistemului de notificare nu este exact comparabil cu scopul autorizației privind articolele pirotehnice. Sistemul de raportare se referă la cartografierea fluxurilor transfrontaliere de produse, în timp ce autorizația privind articolele pirotehnice se referă la tranzacțiile de vânzare.</w:t>
      </w:r>
    </w:p>
    <w:p w14:paraId="5B1BCC8D" w14:textId="77777777" w:rsidR="00D4395F" w:rsidRDefault="00D4395F" w:rsidP="00D4395F">
      <w:pPr>
        <w:spacing w:line="240" w:lineRule="auto"/>
      </w:pPr>
    </w:p>
    <w:p w14:paraId="5483291E" w14:textId="77777777" w:rsidR="00D4395F" w:rsidRDefault="00D4395F" w:rsidP="00D4395F">
      <w:pPr>
        <w:spacing w:line="240" w:lineRule="auto"/>
      </w:pPr>
      <w:r>
        <w:t>Ca urmare a impactului foarte limitat asupra sarcinii de reglementare, nu a avut loc niciun test pentru IMM-uri.</w:t>
      </w:r>
    </w:p>
    <w:p w14:paraId="40F89A2C" w14:textId="46CD5351" w:rsidR="006B5035" w:rsidRDefault="006B5035" w:rsidP="006B5035">
      <w:pPr>
        <w:spacing w:line="240" w:lineRule="auto"/>
      </w:pPr>
    </w:p>
    <w:p w14:paraId="1BAF2357" w14:textId="28EB889D" w:rsidR="006B5035" w:rsidRDefault="006B5035" w:rsidP="006B5035">
      <w:pPr>
        <w:spacing w:line="240" w:lineRule="auto"/>
      </w:pPr>
    </w:p>
    <w:p w14:paraId="6EE4B7DD" w14:textId="72C8CA32" w:rsidR="006B5035" w:rsidRDefault="006B5035" w:rsidP="006B5035">
      <w:pPr>
        <w:spacing w:line="240" w:lineRule="auto"/>
      </w:pPr>
      <w:r>
        <w:t xml:space="preserve">A fost solicitat un aviz din partea Autorității neerlandeze pentru protecția datelor la </w:t>
      </w:r>
      <w:r>
        <w:rPr>
          <w:highlight w:val="yellow"/>
        </w:rPr>
        <w:t>xx</w:t>
      </w:r>
      <w:r>
        <w:t xml:space="preserve">... </w:t>
      </w:r>
    </w:p>
    <w:p w14:paraId="1C01C52B" w14:textId="0AF5D6C5" w:rsidR="006B5035" w:rsidRDefault="006B5035" w:rsidP="006B5035">
      <w:pPr>
        <w:spacing w:line="240" w:lineRule="auto"/>
      </w:pPr>
    </w:p>
    <w:p w14:paraId="645CDAAB" w14:textId="2BC0DCE4" w:rsidR="00027B61" w:rsidRDefault="006B5035" w:rsidP="006B5035">
      <w:pPr>
        <w:spacing w:line="240" w:lineRule="auto"/>
      </w:pPr>
      <w:r>
        <w:t xml:space="preserve">A avut loc o consultare pe internet cu privire la prezentul decret. În temeiul articolului 21.6 alineatul (4), proiectul de decret a fost, de asemenea, publicat în Monitorul Oficial pentru a oferi tuturor posibilitatea de a informa în scris ministrul nostru în termen de patru săptămâni. În acest caz, consultarea pe internet poate fi omisă. </w:t>
      </w:r>
    </w:p>
    <w:p w14:paraId="62852144" w14:textId="72BDE637" w:rsidR="00027B61" w:rsidRDefault="00027B61" w:rsidP="006B5035">
      <w:pPr>
        <w:spacing w:line="240" w:lineRule="auto"/>
      </w:pPr>
      <w:r>
        <w:rPr>
          <w:highlight w:val="yellow"/>
        </w:rPr>
        <w:t>PM comentarii consultare pe internet și pre-publicare</w:t>
      </w:r>
      <w:r>
        <w:t>.</w:t>
      </w:r>
    </w:p>
    <w:p w14:paraId="25555DD4" w14:textId="77777777" w:rsidR="00027B61" w:rsidRDefault="00027B61" w:rsidP="006B5035">
      <w:pPr>
        <w:spacing w:line="240" w:lineRule="auto"/>
      </w:pPr>
    </w:p>
    <w:p w14:paraId="143CF65F" w14:textId="1636B820" w:rsidR="006B5035" w:rsidRDefault="00027B61" w:rsidP="006B5035">
      <w:pPr>
        <w:spacing w:line="240" w:lineRule="auto"/>
      </w:pPr>
      <w:r>
        <w:t xml:space="preserve">În plus, proiectul de decret a fost prezentat la </w:t>
      </w:r>
      <w:r>
        <w:rPr>
          <w:highlight w:val="yellow"/>
        </w:rPr>
        <w:t>data x</w:t>
      </w:r>
      <w:r>
        <w:t xml:space="preserve"> Camerelor I și II în contextul suspendării impuse din punct de vedere juridic [articolul 21.6 alineatul (4) din Wm]. </w:t>
      </w:r>
      <w:r>
        <w:rPr>
          <w:highlight w:val="yellow"/>
        </w:rPr>
        <w:t>Atașare de intrare PM.</w:t>
      </w:r>
    </w:p>
    <w:p w14:paraId="4C4263B0" w14:textId="29F73C64" w:rsidR="0000248B" w:rsidRDefault="0000248B" w:rsidP="006B5035">
      <w:pPr>
        <w:spacing w:line="240" w:lineRule="auto"/>
      </w:pPr>
    </w:p>
    <w:p w14:paraId="0CD49FEC" w14:textId="542340C5" w:rsidR="0000248B" w:rsidRPr="00311A82" w:rsidRDefault="0000248B" w:rsidP="0000248B">
      <w:pPr>
        <w:pStyle w:val="ListParagraph"/>
        <w:numPr>
          <w:ilvl w:val="0"/>
          <w:numId w:val="26"/>
        </w:numPr>
        <w:spacing w:line="240" w:lineRule="auto"/>
      </w:pPr>
      <w:r>
        <w:rPr>
          <w:b/>
        </w:rPr>
        <w:t>Evaluare</w:t>
      </w:r>
    </w:p>
    <w:p w14:paraId="6778AA58" w14:textId="078983BD" w:rsidR="0000248B" w:rsidRDefault="0000248B" w:rsidP="0000248B">
      <w:pPr>
        <w:spacing w:line="240" w:lineRule="auto"/>
      </w:pPr>
    </w:p>
    <w:p w14:paraId="418F981E" w14:textId="0853DC73" w:rsidR="0000248B" w:rsidRPr="0000248B" w:rsidRDefault="0000248B" w:rsidP="0000248B">
      <w:pPr>
        <w:spacing w:line="240" w:lineRule="auto"/>
      </w:pPr>
      <w:r>
        <w:t xml:space="preserve">Prezentul decret și funcționarea autorizației privind articolele pirotehnice se evaluează după trei ani. Acest lucru este, de asemenea, important pentru a putea determina dacă acest sistem funcționează în Benelux și pentru a oferi informații pentru o posibilă introducere la nivel european. </w:t>
      </w:r>
    </w:p>
    <w:p w14:paraId="6E396653" w14:textId="77777777" w:rsidR="00E07588" w:rsidRDefault="00E07588" w:rsidP="006B5035">
      <w:pPr>
        <w:spacing w:line="240" w:lineRule="auto"/>
      </w:pPr>
    </w:p>
    <w:p w14:paraId="772ECAB6" w14:textId="3AD54460" w:rsidR="00975E08" w:rsidRDefault="00F050C0" w:rsidP="00975E08">
      <w:pPr>
        <w:pStyle w:val="ListParagraph"/>
        <w:numPr>
          <w:ilvl w:val="0"/>
          <w:numId w:val="26"/>
        </w:numPr>
        <w:spacing w:line="240" w:lineRule="auto"/>
        <w:rPr>
          <w:b/>
          <w:bCs/>
        </w:rPr>
      </w:pPr>
      <w:r>
        <w:rPr>
          <w:b/>
        </w:rPr>
        <w:t>Legislația tranzitorie și intrarea în vigoare</w:t>
      </w:r>
    </w:p>
    <w:p w14:paraId="5C56A0A2" w14:textId="499A4ACA" w:rsidR="00F050C0" w:rsidRDefault="00F050C0" w:rsidP="00F050C0">
      <w:pPr>
        <w:spacing w:line="240" w:lineRule="auto"/>
        <w:rPr>
          <w:b/>
          <w:bCs/>
        </w:rPr>
      </w:pPr>
    </w:p>
    <w:p w14:paraId="188EBF71" w14:textId="5A81FCD8" w:rsidR="00E27732" w:rsidRPr="00E27732" w:rsidRDefault="00027B61" w:rsidP="00E27732">
      <w:pPr>
        <w:pStyle w:val="CommentText"/>
        <w:rPr>
          <w:sz w:val="18"/>
          <w:szCs w:val="18"/>
        </w:rPr>
      </w:pPr>
      <w:r>
        <w:rPr>
          <w:sz w:val="18"/>
        </w:rPr>
        <w:t xml:space="preserve">Dreptul tranzitoriu este de dorit în ceea ce privește perioada de valabilitate a autorizației privind articolele pirotehnice, pentru a evita ca licențele acordate (o lungă perioadă de timp) în trecut să nu mai fie brusc valabile. În acest scop, a fost stabilită o perioadă de tranziție de un an. Această perioadă oferă sectorului, precum și furnizorului de licențe suficient timp pentru procesarea unei cereri. </w:t>
      </w:r>
    </w:p>
    <w:p w14:paraId="095E7495" w14:textId="37530D8B" w:rsidR="00027B61" w:rsidRPr="00E27732" w:rsidRDefault="00027B61" w:rsidP="00F050C0">
      <w:pPr>
        <w:spacing w:line="240" w:lineRule="auto"/>
      </w:pPr>
    </w:p>
    <w:p w14:paraId="5CDF9308" w14:textId="30209FCC" w:rsidR="00F050C0" w:rsidRDefault="00F050C0" w:rsidP="00F050C0">
      <w:pPr>
        <w:spacing w:line="240" w:lineRule="auto"/>
      </w:pPr>
      <w:r>
        <w:t xml:space="preserve">În temeiul articolului 7 alineatul (2) din Decizia Benelux, țările Benelux trebuie să pună în aplicare actele cu putere de lege, dreptul penal, dispozițiile de reglementare și dispozițiile administrative necesare pentru a se conforma dispozițiilor prezentei decizii Benelux în termen de cel mult trei ani de la intrarea în vigoare a Deciziei Benelux. Decizia Benelux a intrat în vigoare la 7 decembrie 2020, ceea ce înseamnă că punerea în aplicare a prezentei decizii Benelux trebuie finalizată la 7 decembrie 2023. Intrarea în vigoare a prezentului decret are loc prin decret regal, cu scopul de a intra în vigoare la 1 ianuarie 2024. Intrarea în vigoare la 1 ianuarie 2024 este de dorit având în vedere modificarea aferentă a Decretului privind condițiile de muncă (Buletinul de legi și decrete 2019, 471), care intră, de asemenea, în vigoare la această dată. </w:t>
      </w:r>
      <w:r>
        <w:rPr>
          <w:highlight w:val="yellow"/>
        </w:rPr>
        <w:t>PM și alte legi tranzitorii, dacă este necesar.</w:t>
      </w:r>
    </w:p>
    <w:p w14:paraId="18B8F887" w14:textId="0B230A45" w:rsidR="000D21CD" w:rsidRDefault="000D21CD" w:rsidP="00F050C0">
      <w:pPr>
        <w:spacing w:line="240" w:lineRule="auto"/>
      </w:pPr>
    </w:p>
    <w:p w14:paraId="2041535C" w14:textId="3C94762F" w:rsidR="00865EEC" w:rsidRDefault="00BE5238" w:rsidP="00975E08">
      <w:pPr>
        <w:spacing w:line="240" w:lineRule="auto"/>
        <w:rPr>
          <w:b/>
          <w:bCs/>
        </w:rPr>
      </w:pPr>
      <w:r>
        <w:rPr>
          <w:b/>
        </w:rPr>
        <w:t>Note explicative pentru fiecare articol</w:t>
      </w:r>
    </w:p>
    <w:p w14:paraId="2686C65D" w14:textId="1B7496BC" w:rsidR="00BE5238" w:rsidRDefault="00BE5238" w:rsidP="00975E08">
      <w:pPr>
        <w:spacing w:line="240" w:lineRule="auto"/>
        <w:rPr>
          <w:b/>
          <w:bCs/>
        </w:rPr>
      </w:pPr>
    </w:p>
    <w:p w14:paraId="62C75F92" w14:textId="1287A2D1" w:rsidR="00BE5238" w:rsidRDefault="0026407F" w:rsidP="00975E08">
      <w:pPr>
        <w:spacing w:line="240" w:lineRule="auto"/>
        <w:rPr>
          <w:b/>
          <w:bCs/>
        </w:rPr>
      </w:pPr>
      <w:r>
        <w:rPr>
          <w:b/>
        </w:rPr>
        <w:t>Articolul I, partea A</w:t>
      </w:r>
    </w:p>
    <w:p w14:paraId="787DE073" w14:textId="10188248" w:rsidR="0026407F" w:rsidRDefault="0026407F" w:rsidP="00975E08">
      <w:pPr>
        <w:spacing w:line="240" w:lineRule="auto"/>
        <w:rPr>
          <w:b/>
          <w:bCs/>
        </w:rPr>
      </w:pPr>
    </w:p>
    <w:p w14:paraId="2648B888" w14:textId="20E6D4DF" w:rsidR="003135CF" w:rsidRDefault="0026407F" w:rsidP="00975E08">
      <w:pPr>
        <w:spacing w:line="240" w:lineRule="auto"/>
      </w:pPr>
      <w:r>
        <w:t xml:space="preserve">În această dispoziție, la articolul 1.1.1 alineatul (1) din Decretul privind focurile de artificii se adaugă o serie de definiții. Noțiunea de persoană responsabilă rezultă din Decizia Benelux. Pentru situația din Țările de Jos, pe lângă o persoană cu cunoștințe de specialitate, se precizează mai precis că acesta poate fi un procesator de focuri de artificii sau un operator de focuri de artificii desemnat de o entitate juridică abilitată să stocheze sau să pună la dispoziție pe piață (adesea titularul autorizației de utilizare). Conceptele de procesator de focuri de artificii și operator de focuri de artificii sunt legate de sistemul Decretului privind condițiile de muncă care reglementează înregistrarea acestor profesii. Acest lucru asigură faptul că aceasta este o persoană care are cunoștințe profesionale despre articolele de artificii în cauză și a beneficiat de formare în acest scop. </w:t>
      </w:r>
    </w:p>
    <w:p w14:paraId="3EDEAF01" w14:textId="77777777" w:rsidR="00831069" w:rsidRDefault="00831069" w:rsidP="00975E08">
      <w:pPr>
        <w:spacing w:line="240" w:lineRule="auto"/>
        <w:rPr>
          <w:b/>
          <w:bCs/>
        </w:rPr>
      </w:pPr>
    </w:p>
    <w:p w14:paraId="156DC29A" w14:textId="5EDFC2F5" w:rsidR="003135CF" w:rsidRDefault="003135CF" w:rsidP="00975E08">
      <w:pPr>
        <w:spacing w:line="240" w:lineRule="auto"/>
        <w:rPr>
          <w:b/>
          <w:bCs/>
        </w:rPr>
      </w:pPr>
      <w:r>
        <w:rPr>
          <w:b/>
        </w:rPr>
        <w:t>Articolul I, partea B</w:t>
      </w:r>
    </w:p>
    <w:p w14:paraId="0DAADC56" w14:textId="6ED38497" w:rsidR="003135CF" w:rsidRDefault="003135CF" w:rsidP="00975E08">
      <w:pPr>
        <w:spacing w:line="240" w:lineRule="auto"/>
        <w:rPr>
          <w:b/>
          <w:bCs/>
        </w:rPr>
      </w:pPr>
    </w:p>
    <w:p w14:paraId="43927B48" w14:textId="528131C6" w:rsidR="003135CF" w:rsidRDefault="00625AA3" w:rsidP="00975E08">
      <w:pPr>
        <w:spacing w:line="240" w:lineRule="auto"/>
      </w:pPr>
      <w:r>
        <w:t xml:space="preserve">Articolul 1.1.3 cuprinde domeniul de aplicare al Decretului privind focurile de artificii. Prin modificarea Decretului privind focurile de artificii din 20 iunie 2022 (Buletinul de legi și decrete 2022, 291), acesta a fost extins la articolele pirotehnice din categoriile P1 și </w:t>
      </w:r>
      <w:r>
        <w:lastRenderedPageBreak/>
        <w:t xml:space="preserve">P2 utilizate ca focuri de artificii sau aparent destinate a fi utilizate ca articole de artificii. Cu această modificare actuală, este necesar să se completeze acest lucru, deoarece vânzarea P2 nu este permisă fără verificarea documentelor de control, chiar dacă acest articol nu este utilizat sau destinat a fi utilizat ca focuri de artificii. Cu toate acestea, extinderea domeniului de aplicare la acest punct se aplică numai noului capitol 4 din Decretul privind focurile de artificii. </w:t>
      </w:r>
    </w:p>
    <w:p w14:paraId="58B116EA" w14:textId="63D2F068" w:rsidR="00611325" w:rsidRDefault="00611325" w:rsidP="00975E08">
      <w:pPr>
        <w:spacing w:line="240" w:lineRule="auto"/>
      </w:pPr>
    </w:p>
    <w:p w14:paraId="0401D4D5" w14:textId="77777777" w:rsidR="00BB4790" w:rsidRDefault="00611325" w:rsidP="00975E08">
      <w:pPr>
        <w:spacing w:line="240" w:lineRule="auto"/>
        <w:rPr>
          <w:b/>
          <w:bCs/>
        </w:rPr>
      </w:pPr>
      <w:r>
        <w:rPr>
          <w:b/>
        </w:rPr>
        <w:t>Articolul I, partea C</w:t>
      </w:r>
    </w:p>
    <w:p w14:paraId="76D5D1A8" w14:textId="77777777" w:rsidR="00C9198C" w:rsidRDefault="00C9198C" w:rsidP="00975E08">
      <w:pPr>
        <w:spacing w:line="240" w:lineRule="auto"/>
      </w:pPr>
    </w:p>
    <w:p w14:paraId="5EFF0456" w14:textId="05968ABB" w:rsidR="00611325" w:rsidRDefault="00611325" w:rsidP="00975E08">
      <w:pPr>
        <w:spacing w:line="240" w:lineRule="auto"/>
      </w:pPr>
      <w:r>
        <w:t xml:space="preserve">S-a profitat de oportunitate pentru a corecta o trimitere la o lege care a expirat. La articolul 1.2.5 alineatul (2), s-a făcut trimitere la dispozițiile Legii privind transportul rutier de mărfuri. Cu toate acestea, această lege a expirat la 1 mai 2009 și a fost înlocuită cu Legea privind transportul rutier de mărfuri. Fostul articol 20 din Legea privind transportul rutier de mărfuri, care includea, pe scurt, obligația de înregistrare și certificatul de înmatriculare însoțitor, a fost abrogat. Articolul 29, interdicția de a efectua transporturi fără a fi întocmită o scrisoare de trăsură, a fost înlocuit în esență de articolul 2.13 din Legea privind transportul rutier de mărfuri. Articolul 1.2.5 alineatul (2) a fost modificat în consecință. </w:t>
      </w:r>
    </w:p>
    <w:p w14:paraId="099130EB" w14:textId="220E6F61" w:rsidR="00BB4790" w:rsidRDefault="00BB4790" w:rsidP="00975E08">
      <w:pPr>
        <w:spacing w:line="240" w:lineRule="auto"/>
      </w:pPr>
    </w:p>
    <w:p w14:paraId="6C604BF6" w14:textId="260807E0" w:rsidR="00BB4790" w:rsidRDefault="00BB4790" w:rsidP="00975E08">
      <w:pPr>
        <w:spacing w:line="240" w:lineRule="auto"/>
        <w:rPr>
          <w:b/>
          <w:bCs/>
        </w:rPr>
      </w:pPr>
      <w:r>
        <w:rPr>
          <w:b/>
        </w:rPr>
        <w:t>Articolul I, partea D</w:t>
      </w:r>
    </w:p>
    <w:p w14:paraId="03FCE1C3" w14:textId="77777777" w:rsidR="00BB4790" w:rsidRPr="00C9198C" w:rsidRDefault="00BB4790" w:rsidP="00975E08">
      <w:pPr>
        <w:spacing w:line="240" w:lineRule="auto"/>
        <w:rPr>
          <w:b/>
          <w:bCs/>
        </w:rPr>
      </w:pPr>
    </w:p>
    <w:p w14:paraId="1ED3A512" w14:textId="415F4CB3" w:rsidR="00BB4790" w:rsidRPr="00611325" w:rsidRDefault="00BB4790" w:rsidP="00975E08">
      <w:pPr>
        <w:spacing w:line="240" w:lineRule="auto"/>
      </w:pPr>
      <w:r>
        <w:t>Licența de utilizare se acordă în prezent pentru o perioadă de timp nedefinită. Punerea în aplicare a prezentei decizii Benelux a demonstrat că acest lucru nu mai este de dorit. Atașarea unei perioade de valabilitate de cinci ani la autorizația de utilizare înseamnă că este necesar să se verifice din nou, în termen de cinci ani, dacă solicitantul (încă) îndeplinește toate cerințele, cum ar fi un VOG. Acest lucru ajută la supravegherea și punerea în aplicare a autorizației de utilizare.</w:t>
      </w:r>
    </w:p>
    <w:p w14:paraId="4C7B747C" w14:textId="3730A0D3" w:rsidR="0026407F" w:rsidRDefault="0026407F" w:rsidP="00975E08">
      <w:pPr>
        <w:spacing w:line="240" w:lineRule="auto"/>
      </w:pPr>
    </w:p>
    <w:p w14:paraId="5F968815" w14:textId="0503BDDF" w:rsidR="0026407F" w:rsidRDefault="0026407F" w:rsidP="00975E08">
      <w:pPr>
        <w:spacing w:line="240" w:lineRule="auto"/>
        <w:rPr>
          <w:b/>
          <w:bCs/>
        </w:rPr>
      </w:pPr>
      <w:r>
        <w:rPr>
          <w:b/>
        </w:rPr>
        <w:t>Articolul I, partea F</w:t>
      </w:r>
    </w:p>
    <w:p w14:paraId="5779043E" w14:textId="58A491EB" w:rsidR="0026407F" w:rsidRDefault="0026407F" w:rsidP="00975E08">
      <w:pPr>
        <w:spacing w:line="240" w:lineRule="auto"/>
        <w:rPr>
          <w:b/>
          <w:bCs/>
        </w:rPr>
      </w:pPr>
    </w:p>
    <w:p w14:paraId="3C7EC494" w14:textId="2AC94E81" w:rsidR="0026407F" w:rsidRDefault="0026407F" w:rsidP="00975E08">
      <w:pPr>
        <w:spacing w:line="240" w:lineRule="auto"/>
      </w:pPr>
      <w:r>
        <w:t xml:space="preserve">După capitolul 3B, un nou capitol este introdus în Decretul privind focurile de artificii, cu principalele dispoziții pentru autorizația privind articolele pirotehnice. </w:t>
      </w:r>
    </w:p>
    <w:p w14:paraId="07D570ED" w14:textId="2259E135" w:rsidR="0026407F" w:rsidRDefault="0026407F" w:rsidP="00975E08">
      <w:pPr>
        <w:spacing w:line="240" w:lineRule="auto"/>
      </w:pPr>
    </w:p>
    <w:p w14:paraId="062119C3" w14:textId="31843816" w:rsidR="00453DDC" w:rsidRPr="00453DDC" w:rsidRDefault="00453DDC" w:rsidP="00975E08">
      <w:pPr>
        <w:spacing w:line="240" w:lineRule="auto"/>
        <w:rPr>
          <w:b/>
          <w:bCs/>
        </w:rPr>
      </w:pPr>
      <w:r>
        <w:rPr>
          <w:b/>
          <w:i/>
        </w:rPr>
        <w:t>Articolul 4.1</w:t>
      </w:r>
    </w:p>
    <w:p w14:paraId="6D216F10" w14:textId="000E4BB8" w:rsidR="0026407F" w:rsidRPr="0026407F" w:rsidRDefault="0026407F" w:rsidP="00975E08">
      <w:pPr>
        <w:spacing w:line="240" w:lineRule="auto"/>
      </w:pPr>
      <w:r>
        <w:t xml:space="preserve">Articolul 4.1 alineatul (1) interzice operatorilor să pună la dispoziție pe piață articolele pirotehnice menționate la alineatul respectiv, fără a verifica documentele persoanelor cu cunoștințe de specialitate. Alineatul (2) prevede că, atunci când se furnizează articole pirotehnice și când o persoană fizică acționează în numele unei persoane juridice, trebuie verificate documentul de inspecție și actul de identitate al persoanei responsabile respective. Alineatul (3) reglementează persoanele cu cunoștințe de specialitate sau persoanele responsabile care trebuie să demonstreze acest lucru cu o autorizație privind articolele pirotehnice. Cerințele Directivei privind articolele pirotehnice și, prin urmare, ale Deciziei Benelux nu se aplică articolelor pirotehnice destinate utilizării necomerciale, în conformitate cu dreptul intern, de către forțele armate, poliția sau brigăzile de pompieri. Prin urmare, aceste grupuri nu trebuie, de asemenea, să solicite o autorizație privind articolele pirotehnice [articolul 1.1.2a alineatul (1) literele (c)-(f)]. Modelul autorizației privind articolele pirotehnice este prevăzut în Decizia Benelux și sunt incluse numai anumite categorii de articole pirotehnice. Cu toate acestea, în Țările de Jos, focurile de artificii de categoria F2 care nu sunt destinate uzului personal și articolele pirotehnice destinate utilizării teatrale din categoria T1 sunt, de asemenea, rezervate persoanelor cu cunoștințe de specialitate. Prin urmare, alineatul (4) prevede că persoanele autorizate pentru focuri de artificii din categoria F3 sau F4 sunt, de asemenea, autorizate pentru focurile de artificii din categoria F2 și la alineatul (5) că persoanele autorizate pentru articolele pirotehnice de utilizare în teatru din categoria T2 sunt autorizate și pentru articolele pirotehnice de categoria T1 destinate utilizării în teatru. În caz contrar, acest lucru ar conduce la situația în care, de exemplu, o persoană cu cunoștințe de specialitate trebuie să își prezinte autorizația privind articolele pirotehnice pentru o tranzacție de vânzare pentru articole pirotehnice din categoria T2 și un alt document care dovedește că este o persoană cu cunoștințe de specialitate pentru </w:t>
      </w:r>
      <w:r>
        <w:lastRenderedPageBreak/>
        <w:t xml:space="preserve">articolele din categoria T1. Acest lucru este considerat indezirabil. Alineatul (8) stabilește documentele care trebuie păstrate de operatorii economici și pentru ce perioadă. În cazurile în care are loc transportul, se păstrează documentul de transport relevant. În temeiul Deciziei Benelux, este necesar să se respecte termenele prevăzute de legislația națională. În Țările de Jos, administrarea financiară a companiilor trebuie să fie menținută timp de șapte ani. Aceasta se anexează la prezentul decret. </w:t>
      </w:r>
    </w:p>
    <w:p w14:paraId="02994D7F" w14:textId="386868C7" w:rsidR="00F050C0" w:rsidRDefault="00F050C0" w:rsidP="00975E08">
      <w:pPr>
        <w:spacing w:line="240" w:lineRule="auto"/>
        <w:rPr>
          <w:u w:val="single"/>
        </w:rPr>
      </w:pPr>
    </w:p>
    <w:p w14:paraId="18886A65" w14:textId="79BA3165" w:rsidR="00453DDC" w:rsidRDefault="00453DDC" w:rsidP="00975E08">
      <w:pPr>
        <w:spacing w:line="240" w:lineRule="auto"/>
        <w:rPr>
          <w:b/>
          <w:bCs/>
          <w:i/>
          <w:iCs/>
        </w:rPr>
      </w:pPr>
      <w:r>
        <w:rPr>
          <w:b/>
          <w:i/>
        </w:rPr>
        <w:t>Articolul 4.2</w:t>
      </w:r>
    </w:p>
    <w:p w14:paraId="2012168C" w14:textId="7E3C8FCA" w:rsidR="000C0E6D" w:rsidRPr="000C0E6D" w:rsidRDefault="00453DDC" w:rsidP="000C0E6D">
      <w:pPr>
        <w:pStyle w:val="CommentText"/>
        <w:rPr>
          <w:sz w:val="18"/>
          <w:szCs w:val="18"/>
        </w:rPr>
      </w:pPr>
      <w:r>
        <w:rPr>
          <w:sz w:val="18"/>
        </w:rPr>
        <w:t>Acest articol enumeră persoanele eligibile pentru o autorizație privind articolele pirotehnice în Țările de Jos. Deși acest lucru nu este reglementat în mod direct de Decizia Benelux, este important să se definească cine poate solicita autorizația privind articolele pirotehnice. Se convine în contextul Benelux ca persoanele cu cunoștințe de specialitate să solicite autorizația privind articolele pirotehnice în țara în care sunt desemnate în conformitate cu legea aplicabilă ca persoană cu cunoștințe de specialitate. Cu toate acestea, expunerea de motive a Deciziei Benelux prevede că autorizația privind articolele pirotehnice este întotdeauna un document personal. Prin urmare, acest articol prevede că numai persoanele fizice sunt eligibile pentru o autorizație privind articolele pirotehnice. Decizia Benelux reglementează, de asemenea, articolele P2. În temeiul articolului 3 din Regulamentul privind alte articole pirotehnice, sunt desemnate persoane cu cunoștințe de specialitate care pot utiliza articole pirotehnice din categoria P2 în scopul îndeplinirii funcției lor. Aceste persoane sunt, de asemenea, eligibile pentru o autorizație privind articolele pirotehnice.</w:t>
      </w:r>
    </w:p>
    <w:p w14:paraId="52A43ABF" w14:textId="6AEA4487" w:rsidR="008B1DFC" w:rsidRDefault="008B1DFC" w:rsidP="00975E08">
      <w:pPr>
        <w:spacing w:line="240" w:lineRule="auto"/>
      </w:pPr>
    </w:p>
    <w:p w14:paraId="3853EF05" w14:textId="52FA30F1" w:rsidR="00EF3A42" w:rsidRDefault="00EF3A42" w:rsidP="00975E08">
      <w:pPr>
        <w:spacing w:line="240" w:lineRule="auto"/>
      </w:pPr>
      <w:r>
        <w:t xml:space="preserve">Alineatul (2) prevede în mod expres că depunerea cererii pentru o autorizație privind articolele pirotehnice pentru o persoană responsabilă se efectuează împreună cu titularul unei autorizații de utilizare. În acest fel, se poate garanta că atât titularul autorizației, cât și persoana responsabilă sunt de acord cu cererea. </w:t>
      </w:r>
    </w:p>
    <w:p w14:paraId="21040AA5" w14:textId="77777777" w:rsidR="00EF3A42" w:rsidRDefault="00EF3A42" w:rsidP="00975E08">
      <w:pPr>
        <w:spacing w:line="240" w:lineRule="auto"/>
      </w:pPr>
    </w:p>
    <w:p w14:paraId="09FC94F1" w14:textId="7EED6106" w:rsidR="008B1DFC" w:rsidRPr="008B1DFC" w:rsidRDefault="008B1DFC" w:rsidP="00975E08">
      <w:pPr>
        <w:spacing w:line="240" w:lineRule="auto"/>
      </w:pPr>
      <w:r>
        <w:t>Autorizația privind articolele pirotehnice trebuie să aibă, de asemenea, o perioadă de valabilitate indicată pe autorizația privind articolele pirotehnice. Decizia Benelux în sine nu reglementează această perioadă de valabilitate. Datorită legăturii cu înregistrarea ca procesator de artificii sau operator de artificii, s-a decis alinierea la perioada de valabilitate a înregistrării. Odată ce a expirat, trebuie solicitată o nouă autorizație privind articolele pirotehnice după maximum cinci ani. Cu toate acestea, perioada de valabilitate a autorizației privind articolele pirotehnice poate fi mai scurtă, în funcție de faptul dacă autorizația de solicitare sau autorizația de mediu este mai scurtă decât înregistrarea. Acest lucru asigură actualizarea registrului.</w:t>
      </w:r>
    </w:p>
    <w:p w14:paraId="1DD733F7" w14:textId="63F139DC" w:rsidR="005D21FE" w:rsidRPr="008B1DFC" w:rsidRDefault="005D21FE" w:rsidP="00975E08">
      <w:pPr>
        <w:spacing w:line="240" w:lineRule="auto"/>
      </w:pPr>
    </w:p>
    <w:p w14:paraId="3845906D" w14:textId="03B02F7B" w:rsidR="005D21FE" w:rsidRDefault="005D21FE" w:rsidP="00975E08">
      <w:pPr>
        <w:spacing w:line="240" w:lineRule="auto"/>
      </w:pPr>
      <w:r>
        <w:t>O serie de aspecte mai tehnice și procedurale sunt dezvoltate prin reglementări ministeriale. De exemplu, modelul autorizației privind articolele pirotehnice, astfel cum este anexat și la Decizia Benelux, este stabilit printr-un regulament ministerial.</w:t>
      </w:r>
    </w:p>
    <w:p w14:paraId="1F8D1663" w14:textId="02A08F89" w:rsidR="005D21FE" w:rsidRDefault="005D21FE" w:rsidP="00975E08">
      <w:pPr>
        <w:spacing w:line="240" w:lineRule="auto"/>
      </w:pPr>
    </w:p>
    <w:p w14:paraId="64AF3DC1" w14:textId="373B7846" w:rsidR="005D21FE" w:rsidRDefault="005D21FE" w:rsidP="00975E08">
      <w:pPr>
        <w:spacing w:line="240" w:lineRule="auto"/>
      </w:pPr>
      <w:r>
        <w:t>Sistemul de autorizații privind articolele pirotehnice poate funcționa corect numai dacă există, de asemenea, posibilitatea de a retrage autorizația privind articolele pirotehnice. Alineatele (6) și (7) precizează circumstanțele în care se întâmplă acest lucru. Aceste circumstanțe figurează în punerea în aplicare a Deciziei Benelux.</w:t>
      </w:r>
    </w:p>
    <w:p w14:paraId="0FB59199" w14:textId="439F5759" w:rsidR="005D21FE" w:rsidRDefault="005D21FE" w:rsidP="00975E08">
      <w:pPr>
        <w:spacing w:line="240" w:lineRule="auto"/>
      </w:pPr>
    </w:p>
    <w:p w14:paraId="561776FE" w14:textId="7DC5EF94" w:rsidR="004A650F" w:rsidRDefault="004A650F" w:rsidP="00E910E4">
      <w:pPr>
        <w:keepNext/>
        <w:keepLines/>
        <w:spacing w:line="240" w:lineRule="auto"/>
        <w:rPr>
          <w:b/>
          <w:bCs/>
          <w:i/>
          <w:iCs/>
        </w:rPr>
      </w:pPr>
      <w:r>
        <w:rPr>
          <w:b/>
          <w:i/>
        </w:rPr>
        <w:t>Articolul 4.3</w:t>
      </w:r>
    </w:p>
    <w:p w14:paraId="2D850221" w14:textId="7AF0A3A5" w:rsidR="004A650F" w:rsidRPr="0045450C" w:rsidRDefault="004A650F" w:rsidP="00E910E4">
      <w:pPr>
        <w:keepNext/>
        <w:keepLines/>
        <w:spacing w:line="240" w:lineRule="auto"/>
      </w:pPr>
      <w:r>
        <w:t xml:space="preserve">Acest articol precizează ce documente sunt stocate în registrul autorizațiilor privind articolele pirotehnice. În acest sens, nu sunt stocate mai multe informații decât este necesar pentru efectuarea controalelor. </w:t>
      </w:r>
    </w:p>
    <w:p w14:paraId="38FE77F8" w14:textId="77777777" w:rsidR="004A650F" w:rsidRDefault="004A650F" w:rsidP="00975E08">
      <w:pPr>
        <w:spacing w:line="240" w:lineRule="auto"/>
        <w:rPr>
          <w:b/>
          <w:bCs/>
          <w:i/>
          <w:iCs/>
        </w:rPr>
      </w:pPr>
    </w:p>
    <w:p w14:paraId="3E68551C" w14:textId="07498FC6" w:rsidR="005D21FE" w:rsidRDefault="005D21FE" w:rsidP="00975E08">
      <w:pPr>
        <w:spacing w:line="240" w:lineRule="auto"/>
      </w:pPr>
      <w:r>
        <w:rPr>
          <w:b/>
          <w:i/>
        </w:rPr>
        <w:t>Articolul 4.4</w:t>
      </w:r>
      <w:r>
        <w:br/>
        <w:t xml:space="preserve">Părțile care au acces la registrul autorizațiilor privind articolele pirotehnice, în practică operatorii economici și organismele de reglementare, ar trebui să aibă la dispoziție fără întârziere informațiile necesare din registru pentru a-și îndeplini datoria. Prin urmare, acest articol prevede că ministrul nostru trebuie să se asigure că datele și documentele din registrul autorizațiilor privind articolele pirotehnice sunt puse la dispoziție fără întârziere. </w:t>
      </w:r>
    </w:p>
    <w:p w14:paraId="4F305F79" w14:textId="77777777" w:rsidR="00A6450F" w:rsidRDefault="00A6450F" w:rsidP="00975E08">
      <w:pPr>
        <w:spacing w:line="240" w:lineRule="auto"/>
      </w:pPr>
    </w:p>
    <w:p w14:paraId="663FE576" w14:textId="745807B5" w:rsidR="005D21FE" w:rsidRDefault="005D21FE" w:rsidP="00975E08">
      <w:pPr>
        <w:spacing w:line="240" w:lineRule="auto"/>
        <w:rPr>
          <w:b/>
          <w:bCs/>
          <w:i/>
          <w:iCs/>
        </w:rPr>
      </w:pPr>
      <w:r>
        <w:rPr>
          <w:b/>
          <w:i/>
        </w:rPr>
        <w:t>Articolul 4.5</w:t>
      </w:r>
    </w:p>
    <w:p w14:paraId="2E43070D" w14:textId="2C1D619E" w:rsidR="005D21FE" w:rsidRDefault="008B1DFC" w:rsidP="00975E08">
      <w:pPr>
        <w:spacing w:line="240" w:lineRule="auto"/>
      </w:pPr>
      <w:r>
        <w:t xml:space="preserve">Acest articol stabilește cui sunt accesibile informațiile și documentele din registrul autorizațiilor privind articolele pirotehnice. În primul rând, este important ca autoritățile de aplicare a legii în domeniul articolelor pirotehnice să aibă acces la registru. În practică, acestea sunt ILT și Ministerul Public. Acestea sunt desemnate la alineatul (1). În plus, operatorii economici ar trebui să aibă acces atunci când pun la dispoziție articole pe piață, dar numai în scopul verificării valabilității autorizației privind articolele pirotehnice. Prin urmare, aceștia nu au mai mult acces la datele cu caracter personal decât este necesar. </w:t>
      </w:r>
    </w:p>
    <w:p w14:paraId="319B3781" w14:textId="77777777" w:rsidR="008B1DFC" w:rsidRDefault="008B1DFC" w:rsidP="00975E08">
      <w:pPr>
        <w:spacing w:line="240" w:lineRule="auto"/>
      </w:pPr>
    </w:p>
    <w:p w14:paraId="26FB2A7E" w14:textId="3D858C08" w:rsidR="005D21FE" w:rsidRDefault="005D21FE" w:rsidP="00975E08">
      <w:pPr>
        <w:spacing w:line="240" w:lineRule="auto"/>
        <w:rPr>
          <w:b/>
          <w:bCs/>
          <w:i/>
          <w:iCs/>
        </w:rPr>
      </w:pPr>
      <w:r>
        <w:rPr>
          <w:b/>
          <w:i/>
        </w:rPr>
        <w:t>Articolul 4.6</w:t>
      </w:r>
    </w:p>
    <w:p w14:paraId="4759D869" w14:textId="43FA3E6D" w:rsidR="008B1DFC" w:rsidRPr="00414847" w:rsidRDefault="008B1DFC" w:rsidP="00975E08">
      <w:pPr>
        <w:spacing w:line="240" w:lineRule="auto"/>
      </w:pPr>
      <w:r>
        <w:t>Prezentul articol stabilește perioada de păstrare a datelor în registrul autorizațiilor privind articolele pirotehnice la 12 ani. Datele cu caracter personal nu pot fi stocate mai mult decât este necesar. Având în vedere termenul maxim de prescripție pentru infracțiunile privind focurile de artificii, perioada de păstrare este legată de aceasta.</w:t>
      </w:r>
    </w:p>
    <w:p w14:paraId="7D37A679" w14:textId="1F4EE085" w:rsidR="005D21FE" w:rsidRPr="00414847" w:rsidRDefault="005D21FE" w:rsidP="00975E08">
      <w:pPr>
        <w:spacing w:line="240" w:lineRule="auto"/>
        <w:rPr>
          <w:b/>
          <w:bCs/>
          <w:i/>
          <w:iCs/>
        </w:rPr>
      </w:pPr>
    </w:p>
    <w:p w14:paraId="518E9AA0" w14:textId="776DA33C" w:rsidR="00EA587B" w:rsidRPr="00414847" w:rsidRDefault="00EA587B" w:rsidP="00975E08">
      <w:pPr>
        <w:spacing w:line="240" w:lineRule="auto"/>
        <w:rPr>
          <w:b/>
          <w:bCs/>
        </w:rPr>
      </w:pPr>
      <w:r>
        <w:rPr>
          <w:b/>
        </w:rPr>
        <w:t>Articolul II</w:t>
      </w:r>
    </w:p>
    <w:p w14:paraId="734639FA" w14:textId="682B26DA" w:rsidR="001A647B" w:rsidRPr="00414847" w:rsidRDefault="001A647B" w:rsidP="00975E08">
      <w:pPr>
        <w:spacing w:line="240" w:lineRule="auto"/>
        <w:rPr>
          <w:b/>
          <w:bCs/>
        </w:rPr>
      </w:pPr>
    </w:p>
    <w:p w14:paraId="3CBFC0DF" w14:textId="72F73582" w:rsidR="001A647B" w:rsidRPr="00414847" w:rsidRDefault="001A647B" w:rsidP="001A647B">
      <w:pPr>
        <w:pStyle w:val="CommentText"/>
        <w:rPr>
          <w:sz w:val="18"/>
          <w:szCs w:val="18"/>
        </w:rPr>
      </w:pPr>
      <w:r>
        <w:rPr>
          <w:sz w:val="18"/>
        </w:rPr>
        <w:t xml:space="preserve">Autorizațiile de utilizare deja acordate înainte de intrarea în vigoare a prezentului decret se acordă pe o perioadă nedeterminată. Termenul-limită de 1 ianuarie 2025 a fost ales pentru perioada de valabilitate a autorizațiilor de utilizare actuale. Această perioadă de un an oferă atât solicitanților, cât și ministrului IenW, în calitate de furnizor de autorizații, suficient timp pentru a depune și a evalua o cerere. </w:t>
      </w:r>
    </w:p>
    <w:p w14:paraId="1B5AF875" w14:textId="77777777" w:rsidR="001A647B" w:rsidRDefault="001A647B" w:rsidP="00975E08">
      <w:pPr>
        <w:spacing w:line="240" w:lineRule="auto"/>
        <w:rPr>
          <w:b/>
          <w:bCs/>
        </w:rPr>
      </w:pPr>
    </w:p>
    <w:p w14:paraId="0667A53D" w14:textId="06FC6BD7" w:rsidR="005D21FE" w:rsidRDefault="005D21FE" w:rsidP="00975E08">
      <w:pPr>
        <w:spacing w:line="240" w:lineRule="auto"/>
        <w:rPr>
          <w:b/>
          <w:bCs/>
        </w:rPr>
      </w:pPr>
      <w:r>
        <w:rPr>
          <w:b/>
        </w:rPr>
        <w:t>Articolul III</w:t>
      </w:r>
    </w:p>
    <w:p w14:paraId="387DB410" w14:textId="497199C3" w:rsidR="005D21FE" w:rsidRDefault="005D21FE" w:rsidP="00975E08">
      <w:pPr>
        <w:spacing w:line="240" w:lineRule="auto"/>
        <w:rPr>
          <w:b/>
          <w:bCs/>
        </w:rPr>
      </w:pPr>
    </w:p>
    <w:p w14:paraId="37247A84" w14:textId="12F1CEE6" w:rsidR="005D21FE" w:rsidRDefault="005D21FE" w:rsidP="005D21FE">
      <w:pPr>
        <w:spacing w:line="240" w:lineRule="auto"/>
      </w:pPr>
      <w:r>
        <w:t>Prezentul decret intră în vigoare la o dată stabilită prin decret regal, care poate fi diferită pentru fiecare dintre articolele sau părțile acestuia. Astfel cum s-a explicat în secțiunea generală a expunerii de motive, Decizia Benelux urmează să fie pusă în aplicare la 7 decembrie 2023. Obiectivul este de a se alinia cât mai aproape posibil la aceasta, prin intrarea în vigoare la 1 ianuarie 2024. Intrarea în vigoare înainte de 1 ianuarie 2024 nu este de dorit din cauza intrării în vigoare a modificării Decretului privind condițiile de muncă (Monitorul Oficial din 2019, 471) care are consecințe asupra acestui decret. Data de 1 ianuarie este, de asemenea, un termen fix pentru o ordonanță administrativă generală (sau o modificare a acesteia), astfel cum se menționează în nota 4.17 din regulamente. În conformitate cu articolul 21.6 alineatul (5) din Wm, prezentul decret se transmite, după adoptare, celor două camere ale statelor generale și intră în vigoare nu mai devreme de patru săptămâni de la data emiterii Monitorului Oficial în care a fost publicat.</w:t>
      </w:r>
    </w:p>
    <w:p w14:paraId="0EE9ECA0" w14:textId="3F277537" w:rsidR="007F3C60" w:rsidRDefault="007F3C60" w:rsidP="005D21FE">
      <w:pPr>
        <w:spacing w:line="240" w:lineRule="auto"/>
      </w:pPr>
    </w:p>
    <w:p w14:paraId="154545D8" w14:textId="04317764" w:rsidR="007F3C60" w:rsidRDefault="007F3C60" w:rsidP="007F3C60">
      <w:r>
        <w:t>SECRETARUL DE STAT PENTRU INFRASTRUCTURĂ ȘI GOSPODĂRIREA APELOR,</w:t>
      </w:r>
    </w:p>
    <w:p w14:paraId="67C89692" w14:textId="77777777" w:rsidR="007F3C60" w:rsidRDefault="007F3C60" w:rsidP="005D21FE">
      <w:pPr>
        <w:spacing w:line="240" w:lineRule="auto"/>
      </w:pPr>
    </w:p>
    <w:sectPr w:rsidR="007F3C60">
      <w:headerReference w:type="default" r:id="rId8"/>
      <w:headerReference w:type="first" r:id="rId9"/>
      <w:footerReference w:type="first" r:id="rId10"/>
      <w:pgSz w:w="11905" w:h="16837"/>
      <w:pgMar w:top="2545"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D0BC0" w14:textId="77777777" w:rsidR="006804D5" w:rsidRDefault="006804D5">
      <w:pPr>
        <w:spacing w:line="240" w:lineRule="auto"/>
      </w:pPr>
      <w:r>
        <w:separator/>
      </w:r>
    </w:p>
  </w:endnote>
  <w:endnote w:type="continuationSeparator" w:id="0">
    <w:p w14:paraId="3AC9F6B8" w14:textId="77777777" w:rsidR="006804D5" w:rsidRDefault="006804D5">
      <w:pPr>
        <w:spacing w:line="240" w:lineRule="auto"/>
      </w:pPr>
      <w:r>
        <w:continuationSeparator/>
      </w:r>
    </w:p>
  </w:endnote>
  <w:endnote w:type="continuationNotice" w:id="1">
    <w:p w14:paraId="4633CB91" w14:textId="77777777" w:rsidR="006804D5" w:rsidRDefault="006804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charset w:val="00"/>
    <w:family w:val="auto"/>
    <w:pitch w:val="default"/>
  </w:font>
  <w:font w:name="ALKKP A+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LKKO J+ Univers">
    <w:altName w:val="Univers"/>
    <w:panose1 w:val="00000000000000000000"/>
    <w:charset w:val="00"/>
    <w:family w:val="swiss"/>
    <w:notTrueType/>
    <w:pitch w:val="default"/>
    <w:sig w:usb0="00000003" w:usb1="00000000" w:usb2="00000000" w:usb3="00000000" w:csb0="00000001" w:csb1="00000000"/>
  </w:font>
  <w:font w:name="ALKKO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2671"/>
      <w:docPartObj>
        <w:docPartGallery w:val="Page Numbers (Bottom of Page)"/>
        <w:docPartUnique/>
      </w:docPartObj>
    </w:sdtPr>
    <w:sdtContent>
      <w:p w14:paraId="617D5325" w14:textId="7197C59F" w:rsidR="00A61365" w:rsidRDefault="00A61365">
        <w:pPr>
          <w:pStyle w:val="Footer"/>
          <w:jc w:val="right"/>
        </w:pPr>
        <w:r>
          <w:fldChar w:fldCharType="begin"/>
        </w:r>
        <w:r>
          <w:instrText>PAGE   \* MERGEFORMAT</w:instrText>
        </w:r>
        <w:r>
          <w:fldChar w:fldCharType="separate"/>
        </w:r>
        <w:r>
          <w:t>2</w:t>
        </w:r>
        <w:r>
          <w:fldChar w:fldCharType="end"/>
        </w:r>
      </w:p>
    </w:sdtContent>
  </w:sdt>
  <w:p w14:paraId="14017713" w14:textId="77777777" w:rsidR="00812A71" w:rsidRDefault="00812A7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BE295" w14:textId="77777777" w:rsidR="006804D5" w:rsidRDefault="006804D5">
      <w:pPr>
        <w:spacing w:line="240" w:lineRule="auto"/>
      </w:pPr>
      <w:r>
        <w:separator/>
      </w:r>
    </w:p>
  </w:footnote>
  <w:footnote w:type="continuationSeparator" w:id="0">
    <w:p w14:paraId="178F96F3" w14:textId="77777777" w:rsidR="006804D5" w:rsidRDefault="006804D5">
      <w:pPr>
        <w:spacing w:line="240" w:lineRule="auto"/>
      </w:pPr>
      <w:r>
        <w:continuationSeparator/>
      </w:r>
    </w:p>
  </w:footnote>
  <w:footnote w:type="continuationNotice" w:id="1">
    <w:p w14:paraId="3533E579" w14:textId="77777777" w:rsidR="006804D5" w:rsidRDefault="006804D5">
      <w:pPr>
        <w:spacing w:line="240" w:lineRule="auto"/>
      </w:pPr>
    </w:p>
  </w:footnote>
  <w:footnote w:id="2">
    <w:p w14:paraId="7EE77AA5" w14:textId="04657F2A" w:rsidR="002701E5" w:rsidRPr="00FA2E81" w:rsidRDefault="002701E5">
      <w:pPr>
        <w:pStyle w:val="FootnoteText"/>
        <w:rPr>
          <w:sz w:val="16"/>
          <w:szCs w:val="16"/>
        </w:rPr>
      </w:pPr>
      <w:r>
        <w:rPr>
          <w:rStyle w:val="FootnoteReference"/>
          <w:sz w:val="16"/>
          <w:szCs w:val="16"/>
        </w:rPr>
        <w:footnoteRef/>
      </w:r>
      <w:r>
        <w:rPr>
          <w:sz w:val="16"/>
        </w:rPr>
        <w:t xml:space="preserve"> Decizia Comitetului de Miniștri din Benelux privind introducerea unei autorizații privind articolele pirotehnice – M (2020) 14 (Jurnalul Oficial Benelux 2021, nr. 1), modificată prin M (2022) 9. </w:t>
      </w:r>
    </w:p>
  </w:footnote>
  <w:footnote w:id="3">
    <w:p w14:paraId="06846656" w14:textId="1CC1CAF5" w:rsidR="0022132D" w:rsidRPr="00183C54" w:rsidRDefault="0022132D">
      <w:pPr>
        <w:pStyle w:val="FootnoteText"/>
        <w:rPr>
          <w:sz w:val="16"/>
          <w:szCs w:val="16"/>
        </w:rPr>
      </w:pPr>
      <w:r>
        <w:rPr>
          <w:rStyle w:val="FootnoteReference"/>
          <w:sz w:val="16"/>
          <w:szCs w:val="16"/>
        </w:rPr>
        <w:footnoteRef/>
      </w:r>
      <w:r>
        <w:rPr>
          <w:sz w:val="16"/>
        </w:rPr>
        <w:t xml:space="preserve"> </w:t>
      </w:r>
      <w:r>
        <w:rPr>
          <w:i/>
          <w:sz w:val="16"/>
        </w:rPr>
        <w:t xml:space="preserve">Documente parlamentare II </w:t>
      </w:r>
      <w:r>
        <w:rPr>
          <w:sz w:val="16"/>
        </w:rPr>
        <w:t>2022-2023, 36268, nr. 3, p. 8</w:t>
      </w:r>
    </w:p>
  </w:footnote>
  <w:footnote w:id="4">
    <w:p w14:paraId="587CBD38" w14:textId="6DC3BE99" w:rsidR="007F40A5" w:rsidRPr="00FA2E81" w:rsidRDefault="007F40A5">
      <w:pPr>
        <w:pStyle w:val="FootnoteText"/>
        <w:rPr>
          <w:sz w:val="16"/>
          <w:szCs w:val="16"/>
        </w:rPr>
      </w:pPr>
      <w:r>
        <w:rPr>
          <w:rStyle w:val="FootnoteReference"/>
          <w:sz w:val="16"/>
          <w:szCs w:val="16"/>
        </w:rPr>
        <w:footnoteRef/>
      </w:r>
      <w:r>
        <w:rPr>
          <w:sz w:val="16"/>
        </w:rPr>
        <w:t xml:space="preserve"> Directiva 2013/29/UE a Parlamentului European și a Consiliului din 12 iunie 2013 privind armonizarea legislației statelor membre referitoare la punerea la dispoziție pe piață a articolelor pirotehnice (JO 2013, L 178). </w:t>
      </w:r>
    </w:p>
  </w:footnote>
  <w:footnote w:id="5">
    <w:p w14:paraId="6A3268F0" w14:textId="65C45BA5" w:rsidR="00FA2E81" w:rsidRDefault="00FA2E81">
      <w:pPr>
        <w:pStyle w:val="FootnoteText"/>
      </w:pPr>
      <w:r>
        <w:rPr>
          <w:rStyle w:val="FootnoteReference"/>
          <w:sz w:val="16"/>
          <w:szCs w:val="16"/>
        </w:rPr>
        <w:footnoteRef/>
      </w:r>
      <w:r>
        <w:rPr>
          <w:sz w:val="16"/>
        </w:rPr>
        <w:t xml:space="preserve"> Cu toate acestea, se urmărește o mai mare convergență prin Recomandarea M (2020) 15 a Comitetului de Miniștri din Benelux privind cerințele referitoare la cunoștințele de specialitate pentru manipularea și/sau utilizarea articolelor pirotehnice.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A7C1" w14:textId="77777777" w:rsidR="00812A71" w:rsidRDefault="00DE2DBE">
    <w:pPr>
      <w:pStyle w:val="MarginlessContainer"/>
    </w:pPr>
    <w:r>
      <w:rPr>
        <w:noProof/>
      </w:rPr>
      <mc:AlternateContent>
        <mc:Choice Requires="wps">
          <w:drawing>
            <wp:anchor distT="0" distB="0" distL="0" distR="0" simplePos="0" relativeHeight="251655168" behindDoc="0" locked="1" layoutInCell="1" allowOverlap="1" wp14:anchorId="318B6F39" wp14:editId="4D36A47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0738BE2" w14:textId="618101E5" w:rsidR="00812A71" w:rsidRDefault="00DE2DBE">
                          <w:r>
                            <w:fldChar w:fldCharType="begin"/>
                          </w:r>
                          <w:r>
                            <w:instrText>PAGE</w:instrText>
                          </w:r>
                          <w:r>
                            <w:fldChar w:fldCharType="separate"/>
                          </w:r>
                          <w:r w:rsidR="006722D9">
                            <w:t>2</w:t>
                          </w:r>
                          <w:r>
                            <w:fldChar w:fldCharType="end"/>
                          </w:r>
                        </w:p>
                      </w:txbxContent>
                    </wps:txbx>
                    <wps:bodyPr vert="horz" wrap="square" lIns="0" tIns="0" rIns="0" bIns="0" anchor="t" anchorCtr="0"/>
                  </wps:wsp>
                </a:graphicData>
              </a:graphic>
            </wp:anchor>
          </w:drawing>
        </mc:Choice>
        <mc:Fallback>
          <w:pict>
            <v:shapetype w14:anchorId="318B6F3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70738BE2" w14:textId="618101E5" w:rsidR="00812A71" w:rsidRDefault="00DE2DBE">
                    <w:r>
                      <w:fldChar w:fldCharType="begin"/>
                    </w:r>
                    <w:r>
                      <w:instrText>PAGE</w:instrText>
                    </w:r>
                    <w:r>
                      <w:fldChar w:fldCharType="separate"/>
                    </w:r>
                    <w:r w:rsidR="006722D9">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4F4882" wp14:editId="309D8BAE">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9C9D4C8" w14:textId="77777777" w:rsidR="00194BA3" w:rsidRDefault="00194BA3"/>
                      </w:txbxContent>
                    </wps:txbx>
                    <wps:bodyPr vert="horz" wrap="square" lIns="0" tIns="0" rIns="0" bIns="0" anchor="t" anchorCtr="0"/>
                  </wps:wsp>
                </a:graphicData>
              </a:graphic>
            </wp:anchor>
          </w:drawing>
        </mc:Choice>
        <mc:Fallback>
          <w:pict>
            <v:shape w14:anchorId="444F4882"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39C9D4C8"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044DA2" wp14:editId="6B22F4E6">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006CCA1" w14:textId="77777777" w:rsidR="00194BA3" w:rsidRDefault="00194BA3"/>
                      </w:txbxContent>
                    </wps:txbx>
                    <wps:bodyPr vert="horz" wrap="square" lIns="0" tIns="0" rIns="0" bIns="0" anchor="t" anchorCtr="0"/>
                  </wps:wsp>
                </a:graphicData>
              </a:graphic>
            </wp:anchor>
          </w:drawing>
        </mc:Choice>
        <mc:Fallback>
          <w:pict>
            <v:shape w14:anchorId="27044DA2"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006CCA1" w14:textId="77777777" w:rsidR="00194BA3" w:rsidRDefault="00194B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2FC" w14:textId="72ABA708" w:rsidR="00812A71" w:rsidRDefault="006114BE">
    <w:pPr>
      <w:pStyle w:val="MarginlessContainer"/>
      <w:spacing w:after="5096" w:line="14" w:lineRule="exact"/>
    </w:pPr>
    <w:r>
      <w:rPr>
        <w:noProof/>
      </w:rPr>
      <mc:AlternateContent>
        <mc:Choice Requires="wps">
          <w:drawing>
            <wp:anchor distT="0" distB="0" distL="114300" distR="114300" simplePos="0" relativeHeight="251661312" behindDoc="0" locked="0" layoutInCell="1" allowOverlap="1" wp14:anchorId="3E33DA83" wp14:editId="1A46C7A0">
              <wp:simplePos x="0" y="0"/>
              <wp:positionH relativeFrom="column">
                <wp:posOffset>-428625</wp:posOffset>
              </wp:positionH>
              <wp:positionV relativeFrom="paragraph">
                <wp:posOffset>323850</wp:posOffset>
              </wp:positionV>
              <wp:extent cx="6267450" cy="2895600"/>
              <wp:effectExtent l="0" t="0" r="0" b="0"/>
              <wp:wrapNone/>
              <wp:docPr id="669897404" name="Text Box 1"/>
              <wp:cNvGraphicFramePr/>
              <a:graphic xmlns:a="http://schemas.openxmlformats.org/drawingml/2006/main">
                <a:graphicData uri="http://schemas.microsoft.com/office/word/2010/wordprocessingShape">
                  <wps:wsp>
                    <wps:cNvSpPr txBox="1"/>
                    <wps:spPr>
                      <a:xfrm>
                        <a:off x="0" y="0"/>
                        <a:ext cx="6267450" cy="2895600"/>
                      </a:xfrm>
                      <a:prstGeom prst="rect">
                        <a:avLst/>
                      </a:prstGeom>
                      <a:solidFill>
                        <a:schemeClr val="lt1"/>
                      </a:solidFill>
                      <a:ln w="6350">
                        <a:noFill/>
                      </a:ln>
                    </wps:spPr>
                    <wps:txb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Noi, </w:t>
                          </w:r>
                          <w:r>
                            <w:rPr>
                              <w:rFonts w:ascii="Arial" w:hAnsi="Arial"/>
                              <w:smallCaps/>
                              <w:color w:val="D78632"/>
                              <w:sz w:val="128"/>
                            </w:rPr>
                            <w:t>W</w:t>
                          </w:r>
                          <w:r>
                            <w:rPr>
                              <w:rFonts w:ascii="Arial" w:hAnsi="Arial"/>
                              <w:smallCaps/>
                              <w:color w:val="auto"/>
                              <w:sz w:val="52"/>
                            </w:rPr>
                            <w:t xml:space="preserve">illem </w:t>
                          </w:r>
                          <w:r>
                            <w:rPr>
                              <w:rFonts w:ascii="Arial" w:hAnsi="Arial"/>
                              <w:smallCaps/>
                              <w:color w:val="D78632"/>
                              <w:sz w:val="128"/>
                            </w:rPr>
                            <w:t>A</w:t>
                          </w:r>
                          <w:r>
                            <w:rPr>
                              <w:rFonts w:ascii="Arial" w:hAnsi="Arial"/>
                              <w:smallCaps/>
                              <w:color w:val="auto"/>
                              <w:sz w:val="52"/>
                            </w:rPr>
                            <w:t>lexander,</w:t>
                          </w:r>
                          <w:r>
                            <w:rPr>
                              <w:rFonts w:ascii="Arial" w:hAnsi="Arial"/>
                              <w:smallCaps/>
                              <w:color w:val="auto"/>
                              <w:sz w:val="52"/>
                            </w:rPr>
                            <w:br/>
                            <w:t>prin grația lui Dumnezeu,</w:t>
                          </w:r>
                          <w:r>
                            <w:rPr>
                              <w:rFonts w:ascii="Arial" w:hAnsi="Arial"/>
                              <w:smallCaps/>
                              <w:color w:val="auto"/>
                              <w:sz w:val="52"/>
                            </w:rPr>
                            <w:br/>
                            <w:t>Rege al Țărilor de Jos, Prinț de Orania-Nassau, etc. etc.</w:t>
                          </w:r>
                        </w:p>
                        <w:p w14:paraId="7DADD60B" w14:textId="77777777" w:rsidR="006114BE" w:rsidRDefault="00611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3DA83" id="_x0000_t202" coordsize="21600,21600" o:spt="202" path="m,l,21600r21600,l21600,xe">
              <v:stroke joinstyle="miter"/>
              <v:path gradientshapeok="t" o:connecttype="rect"/>
            </v:shapetype>
            <v:shape id="Text Box 1" o:spid="_x0000_s1029" type="#_x0000_t202" style="position:absolute;margin-left:-33.75pt;margin-top:25.5pt;width:493.5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hqMQ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" fillcolor="white [3201]" stroked="f" strokeweight=".5pt">
              <v:textbo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Noi, </w:t>
                    </w:r>
                    <w:r>
                      <w:rPr>
                        <w:rFonts w:ascii="Arial" w:hAnsi="Arial"/>
                        <w:smallCaps/>
                        <w:color w:val="D78632"/>
                        <w:sz w:val="128"/>
                      </w:rPr>
                      <w:t>W</w:t>
                    </w:r>
                    <w:r>
                      <w:rPr>
                        <w:rFonts w:ascii="Arial" w:hAnsi="Arial"/>
                        <w:smallCaps/>
                        <w:color w:val="auto"/>
                        <w:sz w:val="52"/>
                      </w:rPr>
                      <w:t xml:space="preserve">illem </w:t>
                    </w:r>
                    <w:r>
                      <w:rPr>
                        <w:rFonts w:ascii="Arial" w:hAnsi="Arial"/>
                        <w:smallCaps/>
                        <w:color w:val="D78632"/>
                        <w:sz w:val="128"/>
                      </w:rPr>
                      <w:t>A</w:t>
                    </w:r>
                    <w:r>
                      <w:rPr>
                        <w:rFonts w:ascii="Arial" w:hAnsi="Arial"/>
                        <w:smallCaps/>
                        <w:color w:val="auto"/>
                        <w:sz w:val="52"/>
                      </w:rPr>
                      <w:t>lexander,</w:t>
                    </w:r>
                    <w:r>
                      <w:rPr>
                        <w:rFonts w:ascii="Arial" w:hAnsi="Arial"/>
                        <w:smallCaps/>
                        <w:color w:val="auto"/>
                        <w:sz w:val="52"/>
                      </w:rPr>
                      <w:br/>
                      <w:t>prin grația lui Dumnezeu,</w:t>
                    </w:r>
                    <w:r>
                      <w:rPr>
                        <w:rFonts w:ascii="Arial" w:hAnsi="Arial"/>
                        <w:smallCaps/>
                        <w:color w:val="auto"/>
                        <w:sz w:val="52"/>
                      </w:rPr>
                      <w:br/>
                      <w:t>Rege al Țărilor de Jos, Prinț de Orania-Nassau, etc. etc.</w:t>
                    </w:r>
                  </w:p>
                  <w:p w14:paraId="7DADD60B" w14:textId="77777777" w:rsidR="006114BE" w:rsidRDefault="006114BE"/>
                </w:txbxContent>
              </v:textbox>
            </v:shape>
          </w:pict>
        </mc:Fallback>
      </mc:AlternateContent>
    </w:r>
    <w:r>
      <w:rPr>
        <w:noProof/>
      </w:rPr>
      <mc:AlternateContent>
        <mc:Choice Requires="wps">
          <w:drawing>
            <wp:anchor distT="0" distB="0" distL="0" distR="0" simplePos="0" relativeHeight="251658240" behindDoc="0" locked="1" layoutInCell="1" allowOverlap="1" wp14:anchorId="371A0C79" wp14:editId="7D5D4D9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A0C79" id="Woordmerk_Koninkrijk" o:spid="_x0000_s1030"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DQ9g2/lQEAABUD&#10;AAAOAAAAAAAAAAAAAAAAAC4CAABkcnMvZTJvRG9jLnhtbFBLAQItABQABgAIAAAAIQCHflpu4QAA&#10;AAsBAAAPAAAAAAAAAAAAAAAAAO8DAABkcnMvZG93bnJldi54bWxQSwUGAAAAAAQABADzAAAA/QQA&#10;AAAA&#10;" filled="f" stroked="f">
              <v:textbox inset="0,0,0,0">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77105E" wp14:editId="15BBD71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4909884" w14:textId="77777777" w:rsidR="00194BA3" w:rsidRDefault="00194BA3"/>
                      </w:txbxContent>
                    </wps:txbx>
                    <wps:bodyPr vert="horz" wrap="square" lIns="0" tIns="0" rIns="0" bIns="0" anchor="t" anchorCtr="0"/>
                  </wps:wsp>
                </a:graphicData>
              </a:graphic>
            </wp:anchor>
          </w:drawing>
        </mc:Choice>
        <mc:Fallback>
          <w:pict>
            <v:shape w14:anchorId="7F77105E" id="Merking eerste pagina" o:spid="_x0000_s1031"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CiPkwslAEAABQDAAAO&#10;AAAAAAAAAAAAAAAAAC4CAABkcnMvZTJvRG9jLnhtbFBLAQItABQABgAIAAAAIQBASeFf3wAAAAsB&#10;AAAPAAAAAAAAAAAAAAAAAO4DAABkcnMvZG93bnJldi54bWxQSwUGAAAAAAQABADzAAAA+gQAAAAA&#10;" filled="f" stroked="f">
              <v:textbox inset="0,0,0,0">
                <w:txbxContent>
                  <w:p w14:paraId="04909884"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3676D3" wp14:editId="5E7959B6">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278669" w14:textId="77777777" w:rsidR="00194BA3" w:rsidRDefault="00194BA3"/>
                      </w:txbxContent>
                    </wps:txbx>
                    <wps:bodyPr vert="horz" wrap="square" lIns="0" tIns="0" rIns="0" bIns="0" anchor="t" anchorCtr="0"/>
                  </wps:wsp>
                </a:graphicData>
              </a:graphic>
            </wp:anchor>
          </w:drawing>
        </mc:Choice>
        <mc:Fallback>
          <w:pict>
            <v:shape w14:anchorId="623676D3" id="Rubricering eerste pagina" o:spid="_x0000_s1032"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07278669" w14:textId="77777777" w:rsidR="00194BA3" w:rsidRDefault="00194B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F1B38"/>
    <w:multiLevelType w:val="multilevel"/>
    <w:tmpl w:val="582086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1FBFA"/>
    <w:multiLevelType w:val="multilevel"/>
    <w:tmpl w:val="FA05F9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68CB6"/>
    <w:multiLevelType w:val="multilevel"/>
    <w:tmpl w:val="3D417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507E2F"/>
    <w:multiLevelType w:val="multilevel"/>
    <w:tmpl w:val="05E8BE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85BDA9"/>
    <w:multiLevelType w:val="multilevel"/>
    <w:tmpl w:val="9DBDC3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5D7737"/>
    <w:multiLevelType w:val="multilevel"/>
    <w:tmpl w:val="0E832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30B892"/>
    <w:multiLevelType w:val="multilevel"/>
    <w:tmpl w:val="6B40B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D254BDE"/>
    <w:multiLevelType w:val="multilevel"/>
    <w:tmpl w:val="A252C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EAD61C"/>
    <w:multiLevelType w:val="multilevel"/>
    <w:tmpl w:val="2AEBB1E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7FB99"/>
    <w:multiLevelType w:val="multilevel"/>
    <w:tmpl w:val="32A01C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CBB2C"/>
    <w:multiLevelType w:val="multilevel"/>
    <w:tmpl w:val="5E457FB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1038A"/>
    <w:multiLevelType w:val="multilevel"/>
    <w:tmpl w:val="682535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34E32"/>
    <w:multiLevelType w:val="hybridMultilevel"/>
    <w:tmpl w:val="DD6880FA"/>
    <w:lvl w:ilvl="0" w:tplc="A80C42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3AB6E4A"/>
    <w:multiLevelType w:val="hybridMultilevel"/>
    <w:tmpl w:val="9326B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299698"/>
    <w:multiLevelType w:val="multilevel"/>
    <w:tmpl w:val="E6D8D9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974AB5"/>
    <w:multiLevelType w:val="hybridMultilevel"/>
    <w:tmpl w:val="DDC67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8159EB7"/>
    <w:multiLevelType w:val="multilevel"/>
    <w:tmpl w:val="F14321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3D1CD3"/>
    <w:multiLevelType w:val="multilevel"/>
    <w:tmpl w:val="F54172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E779DA"/>
    <w:multiLevelType w:val="hybridMultilevel"/>
    <w:tmpl w:val="4E64E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A95195"/>
    <w:multiLevelType w:val="hybridMultilevel"/>
    <w:tmpl w:val="BA303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2B57A1"/>
    <w:multiLevelType w:val="multilevel"/>
    <w:tmpl w:val="BC4D0D1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2C1882"/>
    <w:multiLevelType w:val="hybridMultilevel"/>
    <w:tmpl w:val="170CA10A"/>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1CAA52C0"/>
    <w:multiLevelType w:val="hybridMultilevel"/>
    <w:tmpl w:val="0A6ACC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0075F3"/>
    <w:multiLevelType w:val="hybridMultilevel"/>
    <w:tmpl w:val="C2582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6D2168"/>
    <w:multiLevelType w:val="multilevel"/>
    <w:tmpl w:val="393D436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331B72"/>
    <w:multiLevelType w:val="hybridMultilevel"/>
    <w:tmpl w:val="34923630"/>
    <w:lvl w:ilvl="0" w:tplc="1DF4623A">
      <w:start w:val="1"/>
      <w:numFmt w:val="decimal"/>
      <w:lvlText w:val="%1."/>
      <w:lvlJc w:val="left"/>
      <w:pPr>
        <w:ind w:left="720" w:hanging="360"/>
      </w:pPr>
      <w:rPr>
        <w:rFonts w:ascii="Verdana" w:eastAsia="DejaVu Sans"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2F12E0"/>
    <w:multiLevelType w:val="hybridMultilevel"/>
    <w:tmpl w:val="FA448C52"/>
    <w:lvl w:ilvl="0" w:tplc="9096636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ABE060E"/>
    <w:multiLevelType w:val="hybridMultilevel"/>
    <w:tmpl w:val="46802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FDEED95"/>
    <w:multiLevelType w:val="multilevel"/>
    <w:tmpl w:val="7E7B5A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D54E40"/>
    <w:multiLevelType w:val="hybridMultilevel"/>
    <w:tmpl w:val="399EB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945628"/>
    <w:multiLevelType w:val="multilevel"/>
    <w:tmpl w:val="E950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9B205"/>
    <w:multiLevelType w:val="multilevel"/>
    <w:tmpl w:val="0CB31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086A1A"/>
    <w:multiLevelType w:val="hybridMultilevel"/>
    <w:tmpl w:val="45E26F12"/>
    <w:lvl w:ilvl="0" w:tplc="F4A276A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2D79B2"/>
    <w:multiLevelType w:val="hybridMultilevel"/>
    <w:tmpl w:val="C00C1BE2"/>
    <w:lvl w:ilvl="0" w:tplc="4A02AB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A266A6"/>
    <w:multiLevelType w:val="hybridMultilevel"/>
    <w:tmpl w:val="5AB43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8A36956"/>
    <w:multiLevelType w:val="hybridMultilevel"/>
    <w:tmpl w:val="C428CA64"/>
    <w:lvl w:ilvl="0" w:tplc="404AD8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946706"/>
    <w:multiLevelType w:val="hybridMultilevel"/>
    <w:tmpl w:val="C38ED9B6"/>
    <w:lvl w:ilvl="0" w:tplc="0413000F">
      <w:start w:val="1"/>
      <w:numFmt w:val="decimal"/>
      <w:lvlText w:val="%1."/>
      <w:lvlJc w:val="left"/>
      <w:pPr>
        <w:ind w:left="720" w:hanging="360"/>
      </w:pPr>
      <w:rPr>
        <w:rFonts w:hint="default"/>
      </w:rPr>
    </w:lvl>
    <w:lvl w:ilvl="1" w:tplc="04130019">
      <w:start w:val="1"/>
      <w:numFmt w:val="lowerLetter"/>
      <w:lvlText w:val="%2."/>
      <w:lvlJc w:val="left"/>
      <w:pPr>
        <w:ind w:left="1636"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36667E"/>
    <w:multiLevelType w:val="hybridMultilevel"/>
    <w:tmpl w:val="A24CB01E"/>
    <w:lvl w:ilvl="0" w:tplc="13B444A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02072F"/>
    <w:multiLevelType w:val="hybridMultilevel"/>
    <w:tmpl w:val="8F66BD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589380"/>
    <w:multiLevelType w:val="multilevel"/>
    <w:tmpl w:val="62ABBE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3D3F7D"/>
    <w:multiLevelType w:val="hybridMultilevel"/>
    <w:tmpl w:val="A9A80E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4A720B"/>
    <w:multiLevelType w:val="hybridMultilevel"/>
    <w:tmpl w:val="E7BEF100"/>
    <w:lvl w:ilvl="0" w:tplc="3D08D92A">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FE4D16"/>
    <w:multiLevelType w:val="hybridMultilevel"/>
    <w:tmpl w:val="340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B84F15"/>
    <w:multiLevelType w:val="multilevel"/>
    <w:tmpl w:val="316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67789"/>
    <w:multiLevelType w:val="hybridMultilevel"/>
    <w:tmpl w:val="D1C04D60"/>
    <w:lvl w:ilvl="0" w:tplc="19F2C352">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F00D69"/>
    <w:multiLevelType w:val="hybridMultilevel"/>
    <w:tmpl w:val="7114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A61917"/>
    <w:multiLevelType w:val="hybridMultilevel"/>
    <w:tmpl w:val="191830F6"/>
    <w:lvl w:ilvl="0" w:tplc="4BBCD90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C6612B"/>
    <w:multiLevelType w:val="hybridMultilevel"/>
    <w:tmpl w:val="2C7011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8B77BF0"/>
    <w:multiLevelType w:val="multilevel"/>
    <w:tmpl w:val="1459FA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95F9B"/>
    <w:multiLevelType w:val="hybridMultilevel"/>
    <w:tmpl w:val="4FA4D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0A3597"/>
    <w:multiLevelType w:val="hybridMultilevel"/>
    <w:tmpl w:val="B0BE0CA8"/>
    <w:lvl w:ilvl="0" w:tplc="D7708BD6">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41847640">
    <w:abstractNumId w:val="0"/>
  </w:num>
  <w:num w:numId="2" w16cid:durableId="214240553">
    <w:abstractNumId w:val="8"/>
  </w:num>
  <w:num w:numId="3" w16cid:durableId="955059168">
    <w:abstractNumId w:val="17"/>
  </w:num>
  <w:num w:numId="4" w16cid:durableId="174729042">
    <w:abstractNumId w:val="7"/>
  </w:num>
  <w:num w:numId="5" w16cid:durableId="752161197">
    <w:abstractNumId w:val="14"/>
  </w:num>
  <w:num w:numId="6" w16cid:durableId="1863856590">
    <w:abstractNumId w:val="11"/>
  </w:num>
  <w:num w:numId="7" w16cid:durableId="732846682">
    <w:abstractNumId w:val="9"/>
  </w:num>
  <w:num w:numId="8" w16cid:durableId="1154760603">
    <w:abstractNumId w:val="20"/>
  </w:num>
  <w:num w:numId="9" w16cid:durableId="1680615877">
    <w:abstractNumId w:val="31"/>
  </w:num>
  <w:num w:numId="10" w16cid:durableId="865606172">
    <w:abstractNumId w:val="39"/>
  </w:num>
  <w:num w:numId="11" w16cid:durableId="1405836431">
    <w:abstractNumId w:val="3"/>
  </w:num>
  <w:num w:numId="12" w16cid:durableId="2086685412">
    <w:abstractNumId w:val="10"/>
  </w:num>
  <w:num w:numId="13" w16cid:durableId="760878091">
    <w:abstractNumId w:val="5"/>
  </w:num>
  <w:num w:numId="14" w16cid:durableId="1615749022">
    <w:abstractNumId w:val="2"/>
  </w:num>
  <w:num w:numId="15" w16cid:durableId="812526055">
    <w:abstractNumId w:val="6"/>
  </w:num>
  <w:num w:numId="16" w16cid:durableId="1270702684">
    <w:abstractNumId w:val="16"/>
  </w:num>
  <w:num w:numId="17" w16cid:durableId="127556896">
    <w:abstractNumId w:val="1"/>
  </w:num>
  <w:num w:numId="18" w16cid:durableId="301273688">
    <w:abstractNumId w:val="4"/>
  </w:num>
  <w:num w:numId="19" w16cid:durableId="91127342">
    <w:abstractNumId w:val="48"/>
  </w:num>
  <w:num w:numId="20" w16cid:durableId="981809049">
    <w:abstractNumId w:val="28"/>
  </w:num>
  <w:num w:numId="21" w16cid:durableId="1928805837">
    <w:abstractNumId w:val="24"/>
  </w:num>
  <w:num w:numId="22" w16cid:durableId="332076168">
    <w:abstractNumId w:val="27"/>
  </w:num>
  <w:num w:numId="23" w16cid:durableId="39283098">
    <w:abstractNumId w:val="26"/>
  </w:num>
  <w:num w:numId="24" w16cid:durableId="1803957025">
    <w:abstractNumId w:val="32"/>
  </w:num>
  <w:num w:numId="25" w16cid:durableId="2140564676">
    <w:abstractNumId w:val="45"/>
  </w:num>
  <w:num w:numId="26" w16cid:durableId="609777658">
    <w:abstractNumId w:val="37"/>
  </w:num>
  <w:num w:numId="27" w16cid:durableId="1325863084">
    <w:abstractNumId w:val="42"/>
  </w:num>
  <w:num w:numId="28" w16cid:durableId="372735736">
    <w:abstractNumId w:val="36"/>
  </w:num>
  <w:num w:numId="29" w16cid:durableId="365260184">
    <w:abstractNumId w:val="46"/>
  </w:num>
  <w:num w:numId="30" w16cid:durableId="1206869847">
    <w:abstractNumId w:val="13"/>
  </w:num>
  <w:num w:numId="31" w16cid:durableId="805126404">
    <w:abstractNumId w:val="38"/>
  </w:num>
  <w:num w:numId="32" w16cid:durableId="1771659667">
    <w:abstractNumId w:val="29"/>
  </w:num>
  <w:num w:numId="33" w16cid:durableId="469985191">
    <w:abstractNumId w:val="41"/>
  </w:num>
  <w:num w:numId="34" w16cid:durableId="1302157014">
    <w:abstractNumId w:val="50"/>
  </w:num>
  <w:num w:numId="35" w16cid:durableId="34158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56662">
    <w:abstractNumId w:val="30"/>
  </w:num>
  <w:num w:numId="37" w16cid:durableId="1002313028">
    <w:abstractNumId w:val="49"/>
  </w:num>
  <w:num w:numId="38" w16cid:durableId="626735759">
    <w:abstractNumId w:val="18"/>
  </w:num>
  <w:num w:numId="39" w16cid:durableId="1340691481">
    <w:abstractNumId w:val="44"/>
  </w:num>
  <w:num w:numId="40" w16cid:durableId="1204100178">
    <w:abstractNumId w:val="15"/>
  </w:num>
  <w:num w:numId="41" w16cid:durableId="976032453">
    <w:abstractNumId w:val="12"/>
  </w:num>
  <w:num w:numId="42" w16cid:durableId="1261841280">
    <w:abstractNumId w:val="19"/>
  </w:num>
  <w:num w:numId="43" w16cid:durableId="1503080942">
    <w:abstractNumId w:val="35"/>
  </w:num>
  <w:num w:numId="44" w16cid:durableId="646974262">
    <w:abstractNumId w:val="34"/>
  </w:num>
  <w:num w:numId="45" w16cid:durableId="1682119089">
    <w:abstractNumId w:val="47"/>
  </w:num>
  <w:num w:numId="46" w16cid:durableId="1764495656">
    <w:abstractNumId w:val="33"/>
  </w:num>
  <w:num w:numId="47" w16cid:durableId="996113579">
    <w:abstractNumId w:val="43"/>
  </w:num>
  <w:num w:numId="48" w16cid:durableId="1020204867">
    <w:abstractNumId w:val="25"/>
  </w:num>
  <w:num w:numId="49" w16cid:durableId="1864778045">
    <w:abstractNumId w:val="23"/>
  </w:num>
  <w:num w:numId="50" w16cid:durableId="549658075">
    <w:abstractNumId w:val="40"/>
  </w:num>
  <w:num w:numId="51" w16cid:durableId="116046692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82"/>
    <w:rsid w:val="0000248B"/>
    <w:rsid w:val="00014EE0"/>
    <w:rsid w:val="00022934"/>
    <w:rsid w:val="00022B2E"/>
    <w:rsid w:val="00024E77"/>
    <w:rsid w:val="00027B61"/>
    <w:rsid w:val="00031518"/>
    <w:rsid w:val="00033FF3"/>
    <w:rsid w:val="00037050"/>
    <w:rsid w:val="00042333"/>
    <w:rsid w:val="00050A6D"/>
    <w:rsid w:val="00050EDC"/>
    <w:rsid w:val="000562C8"/>
    <w:rsid w:val="000610B1"/>
    <w:rsid w:val="0007311B"/>
    <w:rsid w:val="000734E3"/>
    <w:rsid w:val="00073A78"/>
    <w:rsid w:val="000801FE"/>
    <w:rsid w:val="000850FB"/>
    <w:rsid w:val="00094324"/>
    <w:rsid w:val="00097D15"/>
    <w:rsid w:val="000A4C3D"/>
    <w:rsid w:val="000A6369"/>
    <w:rsid w:val="000B039A"/>
    <w:rsid w:val="000B2749"/>
    <w:rsid w:val="000B5783"/>
    <w:rsid w:val="000B6567"/>
    <w:rsid w:val="000C0E6D"/>
    <w:rsid w:val="000D0B56"/>
    <w:rsid w:val="000D187A"/>
    <w:rsid w:val="000D21CD"/>
    <w:rsid w:val="000D5B82"/>
    <w:rsid w:val="000D7C0E"/>
    <w:rsid w:val="000E223D"/>
    <w:rsid w:val="000E2A10"/>
    <w:rsid w:val="000F227C"/>
    <w:rsid w:val="000F43E6"/>
    <w:rsid w:val="000F702A"/>
    <w:rsid w:val="0010437E"/>
    <w:rsid w:val="00107F8A"/>
    <w:rsid w:val="001149C1"/>
    <w:rsid w:val="001321AA"/>
    <w:rsid w:val="00132A27"/>
    <w:rsid w:val="00143F76"/>
    <w:rsid w:val="001555F5"/>
    <w:rsid w:val="00164C4F"/>
    <w:rsid w:val="0017317A"/>
    <w:rsid w:val="00180FD4"/>
    <w:rsid w:val="00181356"/>
    <w:rsid w:val="00183C54"/>
    <w:rsid w:val="00184369"/>
    <w:rsid w:val="001916A4"/>
    <w:rsid w:val="00194BA3"/>
    <w:rsid w:val="001A647B"/>
    <w:rsid w:val="001A6CD5"/>
    <w:rsid w:val="001B02F2"/>
    <w:rsid w:val="001C4BC1"/>
    <w:rsid w:val="001C4E79"/>
    <w:rsid w:val="001C5182"/>
    <w:rsid w:val="001C6B9D"/>
    <w:rsid w:val="001C7599"/>
    <w:rsid w:val="001D132C"/>
    <w:rsid w:val="001D30A8"/>
    <w:rsid w:val="001E72B5"/>
    <w:rsid w:val="001E7CFF"/>
    <w:rsid w:val="001F2B3F"/>
    <w:rsid w:val="001F3A5B"/>
    <w:rsid w:val="001F625F"/>
    <w:rsid w:val="001F6F5C"/>
    <w:rsid w:val="002045C3"/>
    <w:rsid w:val="002174D9"/>
    <w:rsid w:val="00220090"/>
    <w:rsid w:val="002204B3"/>
    <w:rsid w:val="0022132D"/>
    <w:rsid w:val="00226271"/>
    <w:rsid w:val="00226FCD"/>
    <w:rsid w:val="0023041D"/>
    <w:rsid w:val="002304E9"/>
    <w:rsid w:val="00237C71"/>
    <w:rsid w:val="0024295E"/>
    <w:rsid w:val="00243C8E"/>
    <w:rsid w:val="00245B36"/>
    <w:rsid w:val="00252E79"/>
    <w:rsid w:val="0026186E"/>
    <w:rsid w:val="0026205E"/>
    <w:rsid w:val="0026407F"/>
    <w:rsid w:val="002679C0"/>
    <w:rsid w:val="002701E5"/>
    <w:rsid w:val="00270D55"/>
    <w:rsid w:val="00274DE6"/>
    <w:rsid w:val="002770EC"/>
    <w:rsid w:val="00281517"/>
    <w:rsid w:val="0028670C"/>
    <w:rsid w:val="0028742F"/>
    <w:rsid w:val="00290F26"/>
    <w:rsid w:val="00295DD2"/>
    <w:rsid w:val="002A2AF1"/>
    <w:rsid w:val="002A5AF5"/>
    <w:rsid w:val="002B2B0C"/>
    <w:rsid w:val="002B6FA7"/>
    <w:rsid w:val="002B7C37"/>
    <w:rsid w:val="002C1D08"/>
    <w:rsid w:val="002C571C"/>
    <w:rsid w:val="002C6724"/>
    <w:rsid w:val="002D0868"/>
    <w:rsid w:val="002D0D2E"/>
    <w:rsid w:val="002D1271"/>
    <w:rsid w:val="002D6054"/>
    <w:rsid w:val="002D7C12"/>
    <w:rsid w:val="002E68CD"/>
    <w:rsid w:val="002F28BC"/>
    <w:rsid w:val="002F342A"/>
    <w:rsid w:val="00300221"/>
    <w:rsid w:val="00311A82"/>
    <w:rsid w:val="003134C0"/>
    <w:rsid w:val="003135CF"/>
    <w:rsid w:val="00313F33"/>
    <w:rsid w:val="00313F80"/>
    <w:rsid w:val="003146EB"/>
    <w:rsid w:val="00314DE4"/>
    <w:rsid w:val="003164AB"/>
    <w:rsid w:val="00316B05"/>
    <w:rsid w:val="00317EB5"/>
    <w:rsid w:val="00320BB5"/>
    <w:rsid w:val="0032327C"/>
    <w:rsid w:val="00327EE7"/>
    <w:rsid w:val="00332E4A"/>
    <w:rsid w:val="00336A32"/>
    <w:rsid w:val="00340473"/>
    <w:rsid w:val="0034427E"/>
    <w:rsid w:val="00353586"/>
    <w:rsid w:val="003557A3"/>
    <w:rsid w:val="003621C5"/>
    <w:rsid w:val="00373F74"/>
    <w:rsid w:val="00377BDB"/>
    <w:rsid w:val="003830C4"/>
    <w:rsid w:val="00383B3D"/>
    <w:rsid w:val="0038615D"/>
    <w:rsid w:val="00393561"/>
    <w:rsid w:val="003A36BF"/>
    <w:rsid w:val="003C5416"/>
    <w:rsid w:val="003D17D6"/>
    <w:rsid w:val="003D410C"/>
    <w:rsid w:val="003D67DA"/>
    <w:rsid w:val="003E0712"/>
    <w:rsid w:val="003E59E0"/>
    <w:rsid w:val="003E68B1"/>
    <w:rsid w:val="003E6E9D"/>
    <w:rsid w:val="003E7D4B"/>
    <w:rsid w:val="003F0C01"/>
    <w:rsid w:val="003F1E3A"/>
    <w:rsid w:val="00400AC3"/>
    <w:rsid w:val="00400FC8"/>
    <w:rsid w:val="00403A98"/>
    <w:rsid w:val="00410F7F"/>
    <w:rsid w:val="00414847"/>
    <w:rsid w:val="004150DD"/>
    <w:rsid w:val="0041580C"/>
    <w:rsid w:val="00415A4C"/>
    <w:rsid w:val="00421027"/>
    <w:rsid w:val="00422E43"/>
    <w:rsid w:val="00424030"/>
    <w:rsid w:val="00433590"/>
    <w:rsid w:val="00436041"/>
    <w:rsid w:val="00437BF7"/>
    <w:rsid w:val="004461E0"/>
    <w:rsid w:val="00447582"/>
    <w:rsid w:val="00450BE5"/>
    <w:rsid w:val="00450E58"/>
    <w:rsid w:val="00451648"/>
    <w:rsid w:val="00453DDC"/>
    <w:rsid w:val="0045450C"/>
    <w:rsid w:val="00454943"/>
    <w:rsid w:val="00454EE7"/>
    <w:rsid w:val="004550E6"/>
    <w:rsid w:val="004571EB"/>
    <w:rsid w:val="00461328"/>
    <w:rsid w:val="00473735"/>
    <w:rsid w:val="0048491F"/>
    <w:rsid w:val="0048555B"/>
    <w:rsid w:val="00490123"/>
    <w:rsid w:val="00490723"/>
    <w:rsid w:val="004946A8"/>
    <w:rsid w:val="004A177E"/>
    <w:rsid w:val="004A4A47"/>
    <w:rsid w:val="004A4F4A"/>
    <w:rsid w:val="004A650F"/>
    <w:rsid w:val="004B4934"/>
    <w:rsid w:val="004B719B"/>
    <w:rsid w:val="004B789F"/>
    <w:rsid w:val="004C142C"/>
    <w:rsid w:val="004C523F"/>
    <w:rsid w:val="004D0D31"/>
    <w:rsid w:val="004D7CBE"/>
    <w:rsid w:val="004E2A7C"/>
    <w:rsid w:val="004E59D1"/>
    <w:rsid w:val="004F1E43"/>
    <w:rsid w:val="004F4192"/>
    <w:rsid w:val="004F4C69"/>
    <w:rsid w:val="00510B4B"/>
    <w:rsid w:val="005303CA"/>
    <w:rsid w:val="00530A3E"/>
    <w:rsid w:val="0053418B"/>
    <w:rsid w:val="005367B5"/>
    <w:rsid w:val="00536E10"/>
    <w:rsid w:val="0054451D"/>
    <w:rsid w:val="005468CE"/>
    <w:rsid w:val="00550AE2"/>
    <w:rsid w:val="00557CC7"/>
    <w:rsid w:val="00570A64"/>
    <w:rsid w:val="005778F6"/>
    <w:rsid w:val="005824F5"/>
    <w:rsid w:val="00584259"/>
    <w:rsid w:val="00585934"/>
    <w:rsid w:val="00585B19"/>
    <w:rsid w:val="00590629"/>
    <w:rsid w:val="0059230E"/>
    <w:rsid w:val="005A4491"/>
    <w:rsid w:val="005A6723"/>
    <w:rsid w:val="005A7D3E"/>
    <w:rsid w:val="005B1DF9"/>
    <w:rsid w:val="005B3A77"/>
    <w:rsid w:val="005B4A29"/>
    <w:rsid w:val="005C19CC"/>
    <w:rsid w:val="005C1D28"/>
    <w:rsid w:val="005D1FA7"/>
    <w:rsid w:val="005D21FE"/>
    <w:rsid w:val="005D3D31"/>
    <w:rsid w:val="005E6B0E"/>
    <w:rsid w:val="005F70E6"/>
    <w:rsid w:val="005F73B5"/>
    <w:rsid w:val="005F73EC"/>
    <w:rsid w:val="00603A66"/>
    <w:rsid w:val="00611325"/>
    <w:rsid w:val="006114BE"/>
    <w:rsid w:val="00611DFB"/>
    <w:rsid w:val="00613CD6"/>
    <w:rsid w:val="00625AA3"/>
    <w:rsid w:val="006302C7"/>
    <w:rsid w:val="0063115A"/>
    <w:rsid w:val="00632091"/>
    <w:rsid w:val="00635FD9"/>
    <w:rsid w:val="00641316"/>
    <w:rsid w:val="0064710C"/>
    <w:rsid w:val="00655E44"/>
    <w:rsid w:val="00661684"/>
    <w:rsid w:val="00665465"/>
    <w:rsid w:val="006722D9"/>
    <w:rsid w:val="00673783"/>
    <w:rsid w:val="006804D5"/>
    <w:rsid w:val="00684984"/>
    <w:rsid w:val="006937BE"/>
    <w:rsid w:val="006946B7"/>
    <w:rsid w:val="006A127D"/>
    <w:rsid w:val="006A6253"/>
    <w:rsid w:val="006A7277"/>
    <w:rsid w:val="006B5035"/>
    <w:rsid w:val="006B5B39"/>
    <w:rsid w:val="006C06BC"/>
    <w:rsid w:val="006C369B"/>
    <w:rsid w:val="006C5394"/>
    <w:rsid w:val="006C5D98"/>
    <w:rsid w:val="006D07E7"/>
    <w:rsid w:val="006D3CF4"/>
    <w:rsid w:val="006D6DD1"/>
    <w:rsid w:val="006E02CA"/>
    <w:rsid w:val="006E44FC"/>
    <w:rsid w:val="006F008A"/>
    <w:rsid w:val="006F7252"/>
    <w:rsid w:val="0070396D"/>
    <w:rsid w:val="007120EB"/>
    <w:rsid w:val="007126CF"/>
    <w:rsid w:val="007162FC"/>
    <w:rsid w:val="0072507E"/>
    <w:rsid w:val="00734FD2"/>
    <w:rsid w:val="00741320"/>
    <w:rsid w:val="007424A9"/>
    <w:rsid w:val="007435F2"/>
    <w:rsid w:val="007460A2"/>
    <w:rsid w:val="0074717F"/>
    <w:rsid w:val="007542A2"/>
    <w:rsid w:val="00763598"/>
    <w:rsid w:val="0076622F"/>
    <w:rsid w:val="00766509"/>
    <w:rsid w:val="007678F7"/>
    <w:rsid w:val="00776C70"/>
    <w:rsid w:val="00776DC6"/>
    <w:rsid w:val="00777E26"/>
    <w:rsid w:val="00780867"/>
    <w:rsid w:val="007840C5"/>
    <w:rsid w:val="007845C0"/>
    <w:rsid w:val="00785EB5"/>
    <w:rsid w:val="00790C20"/>
    <w:rsid w:val="00792AC7"/>
    <w:rsid w:val="00796AD1"/>
    <w:rsid w:val="007B2AD6"/>
    <w:rsid w:val="007B475B"/>
    <w:rsid w:val="007C698A"/>
    <w:rsid w:val="007D3159"/>
    <w:rsid w:val="007D4ED4"/>
    <w:rsid w:val="007D5FFC"/>
    <w:rsid w:val="007D7591"/>
    <w:rsid w:val="007E3BEA"/>
    <w:rsid w:val="007F13F8"/>
    <w:rsid w:val="007F3160"/>
    <w:rsid w:val="007F3C60"/>
    <w:rsid w:val="007F40A5"/>
    <w:rsid w:val="007F4B86"/>
    <w:rsid w:val="007F52CA"/>
    <w:rsid w:val="007F6D5D"/>
    <w:rsid w:val="008008A8"/>
    <w:rsid w:val="00803985"/>
    <w:rsid w:val="0080642C"/>
    <w:rsid w:val="00812A71"/>
    <w:rsid w:val="00815CD2"/>
    <w:rsid w:val="00816FC9"/>
    <w:rsid w:val="008246B8"/>
    <w:rsid w:val="0083099A"/>
    <w:rsid w:val="00831069"/>
    <w:rsid w:val="0084382E"/>
    <w:rsid w:val="008472C7"/>
    <w:rsid w:val="00847E57"/>
    <w:rsid w:val="00854192"/>
    <w:rsid w:val="00854D4B"/>
    <w:rsid w:val="008554F6"/>
    <w:rsid w:val="00864C9A"/>
    <w:rsid w:val="00865EEC"/>
    <w:rsid w:val="008662D5"/>
    <w:rsid w:val="00866364"/>
    <w:rsid w:val="008709B6"/>
    <w:rsid w:val="00882FF9"/>
    <w:rsid w:val="00883254"/>
    <w:rsid w:val="00891DAC"/>
    <w:rsid w:val="00895E5E"/>
    <w:rsid w:val="0089728C"/>
    <w:rsid w:val="008A135A"/>
    <w:rsid w:val="008A1DE0"/>
    <w:rsid w:val="008A631E"/>
    <w:rsid w:val="008A6AD6"/>
    <w:rsid w:val="008B1664"/>
    <w:rsid w:val="008B1DFC"/>
    <w:rsid w:val="008C1529"/>
    <w:rsid w:val="008C3572"/>
    <w:rsid w:val="008C3BB7"/>
    <w:rsid w:val="008C6657"/>
    <w:rsid w:val="008D009E"/>
    <w:rsid w:val="008D29A8"/>
    <w:rsid w:val="008D62BA"/>
    <w:rsid w:val="008E1C92"/>
    <w:rsid w:val="008E2473"/>
    <w:rsid w:val="008E77AA"/>
    <w:rsid w:val="008F06E0"/>
    <w:rsid w:val="008F2256"/>
    <w:rsid w:val="00901D11"/>
    <w:rsid w:val="00904ACD"/>
    <w:rsid w:val="00904F4E"/>
    <w:rsid w:val="009052A1"/>
    <w:rsid w:val="0090723F"/>
    <w:rsid w:val="009072A0"/>
    <w:rsid w:val="009078C7"/>
    <w:rsid w:val="00910C6A"/>
    <w:rsid w:val="009152AF"/>
    <w:rsid w:val="0091783F"/>
    <w:rsid w:val="00936355"/>
    <w:rsid w:val="00940DD6"/>
    <w:rsid w:val="00943602"/>
    <w:rsid w:val="0096098E"/>
    <w:rsid w:val="00961793"/>
    <w:rsid w:val="009632C8"/>
    <w:rsid w:val="00964D6D"/>
    <w:rsid w:val="0096601D"/>
    <w:rsid w:val="0097034B"/>
    <w:rsid w:val="00972741"/>
    <w:rsid w:val="0097298D"/>
    <w:rsid w:val="00975E08"/>
    <w:rsid w:val="009767BC"/>
    <w:rsid w:val="00981859"/>
    <w:rsid w:val="009850D5"/>
    <w:rsid w:val="009876AC"/>
    <w:rsid w:val="00994F43"/>
    <w:rsid w:val="009975DC"/>
    <w:rsid w:val="009A02BC"/>
    <w:rsid w:val="009A41F9"/>
    <w:rsid w:val="009A55B4"/>
    <w:rsid w:val="009A77DD"/>
    <w:rsid w:val="009C6A41"/>
    <w:rsid w:val="009D0C4F"/>
    <w:rsid w:val="009D43B9"/>
    <w:rsid w:val="009E5D8C"/>
    <w:rsid w:val="009F0C40"/>
    <w:rsid w:val="009F242D"/>
    <w:rsid w:val="00A00841"/>
    <w:rsid w:val="00A04549"/>
    <w:rsid w:val="00A047A5"/>
    <w:rsid w:val="00A07105"/>
    <w:rsid w:val="00A12AF7"/>
    <w:rsid w:val="00A14288"/>
    <w:rsid w:val="00A14417"/>
    <w:rsid w:val="00A15A8B"/>
    <w:rsid w:val="00A17BD7"/>
    <w:rsid w:val="00A216CD"/>
    <w:rsid w:val="00A22D23"/>
    <w:rsid w:val="00A25988"/>
    <w:rsid w:val="00A35FF3"/>
    <w:rsid w:val="00A42410"/>
    <w:rsid w:val="00A61365"/>
    <w:rsid w:val="00A6357D"/>
    <w:rsid w:val="00A6359B"/>
    <w:rsid w:val="00A6450F"/>
    <w:rsid w:val="00A649E6"/>
    <w:rsid w:val="00A70B46"/>
    <w:rsid w:val="00A77291"/>
    <w:rsid w:val="00A773CA"/>
    <w:rsid w:val="00A81B02"/>
    <w:rsid w:val="00A83423"/>
    <w:rsid w:val="00A932FA"/>
    <w:rsid w:val="00A93A63"/>
    <w:rsid w:val="00A9671A"/>
    <w:rsid w:val="00AA0F21"/>
    <w:rsid w:val="00AB2AC7"/>
    <w:rsid w:val="00AC1049"/>
    <w:rsid w:val="00AC6B62"/>
    <w:rsid w:val="00AC7C3F"/>
    <w:rsid w:val="00AD13F4"/>
    <w:rsid w:val="00AD2166"/>
    <w:rsid w:val="00AD627F"/>
    <w:rsid w:val="00AE0502"/>
    <w:rsid w:val="00AE41D1"/>
    <w:rsid w:val="00AE4BCA"/>
    <w:rsid w:val="00AF331A"/>
    <w:rsid w:val="00B027DF"/>
    <w:rsid w:val="00B11816"/>
    <w:rsid w:val="00B150E6"/>
    <w:rsid w:val="00B20980"/>
    <w:rsid w:val="00B233F3"/>
    <w:rsid w:val="00B25A13"/>
    <w:rsid w:val="00B27DB3"/>
    <w:rsid w:val="00B33414"/>
    <w:rsid w:val="00B33B30"/>
    <w:rsid w:val="00B35E9F"/>
    <w:rsid w:val="00B40B99"/>
    <w:rsid w:val="00B43DDC"/>
    <w:rsid w:val="00B635DB"/>
    <w:rsid w:val="00B7163B"/>
    <w:rsid w:val="00B75F3A"/>
    <w:rsid w:val="00B8205D"/>
    <w:rsid w:val="00BA12A9"/>
    <w:rsid w:val="00BB2069"/>
    <w:rsid w:val="00BB2A5A"/>
    <w:rsid w:val="00BB2B43"/>
    <w:rsid w:val="00BB309A"/>
    <w:rsid w:val="00BB4790"/>
    <w:rsid w:val="00BB755B"/>
    <w:rsid w:val="00BC356D"/>
    <w:rsid w:val="00BD17E1"/>
    <w:rsid w:val="00BD1CA4"/>
    <w:rsid w:val="00BD3794"/>
    <w:rsid w:val="00BD6F28"/>
    <w:rsid w:val="00BE1182"/>
    <w:rsid w:val="00BE3793"/>
    <w:rsid w:val="00BE5238"/>
    <w:rsid w:val="00BE6D39"/>
    <w:rsid w:val="00C01BAF"/>
    <w:rsid w:val="00C03B50"/>
    <w:rsid w:val="00C03BFC"/>
    <w:rsid w:val="00C07B29"/>
    <w:rsid w:val="00C15C66"/>
    <w:rsid w:val="00C20F8F"/>
    <w:rsid w:val="00C22B4B"/>
    <w:rsid w:val="00C22BC4"/>
    <w:rsid w:val="00C25829"/>
    <w:rsid w:val="00C36051"/>
    <w:rsid w:val="00C41727"/>
    <w:rsid w:val="00C4226F"/>
    <w:rsid w:val="00C43025"/>
    <w:rsid w:val="00C4511E"/>
    <w:rsid w:val="00C45899"/>
    <w:rsid w:val="00C52A40"/>
    <w:rsid w:val="00C532E8"/>
    <w:rsid w:val="00C57360"/>
    <w:rsid w:val="00C57973"/>
    <w:rsid w:val="00C601DD"/>
    <w:rsid w:val="00C72CE5"/>
    <w:rsid w:val="00C75931"/>
    <w:rsid w:val="00C845C4"/>
    <w:rsid w:val="00C871EF"/>
    <w:rsid w:val="00C90CDA"/>
    <w:rsid w:val="00C9198C"/>
    <w:rsid w:val="00C968C6"/>
    <w:rsid w:val="00CA10EA"/>
    <w:rsid w:val="00CA1DB1"/>
    <w:rsid w:val="00CA2495"/>
    <w:rsid w:val="00CB3858"/>
    <w:rsid w:val="00CB6CE8"/>
    <w:rsid w:val="00CC5DDB"/>
    <w:rsid w:val="00CC6025"/>
    <w:rsid w:val="00CD0125"/>
    <w:rsid w:val="00CD11AB"/>
    <w:rsid w:val="00CD3989"/>
    <w:rsid w:val="00CE05F3"/>
    <w:rsid w:val="00CE26C1"/>
    <w:rsid w:val="00CE7FF9"/>
    <w:rsid w:val="00CF1006"/>
    <w:rsid w:val="00CF58E6"/>
    <w:rsid w:val="00CF5E1D"/>
    <w:rsid w:val="00CF6495"/>
    <w:rsid w:val="00CF7C1C"/>
    <w:rsid w:val="00D04961"/>
    <w:rsid w:val="00D050D2"/>
    <w:rsid w:val="00D12C2E"/>
    <w:rsid w:val="00D156E5"/>
    <w:rsid w:val="00D20B98"/>
    <w:rsid w:val="00D2672E"/>
    <w:rsid w:val="00D30264"/>
    <w:rsid w:val="00D4395F"/>
    <w:rsid w:val="00D5578E"/>
    <w:rsid w:val="00D57553"/>
    <w:rsid w:val="00D602CD"/>
    <w:rsid w:val="00D6303F"/>
    <w:rsid w:val="00D63C3A"/>
    <w:rsid w:val="00D71AFD"/>
    <w:rsid w:val="00D73733"/>
    <w:rsid w:val="00D73B55"/>
    <w:rsid w:val="00D86158"/>
    <w:rsid w:val="00D87E88"/>
    <w:rsid w:val="00D92063"/>
    <w:rsid w:val="00D92091"/>
    <w:rsid w:val="00D94B83"/>
    <w:rsid w:val="00DB135D"/>
    <w:rsid w:val="00DB459C"/>
    <w:rsid w:val="00DB4645"/>
    <w:rsid w:val="00DB5812"/>
    <w:rsid w:val="00DC58A4"/>
    <w:rsid w:val="00DD14F6"/>
    <w:rsid w:val="00DD60E1"/>
    <w:rsid w:val="00DD6BA3"/>
    <w:rsid w:val="00DE0CA2"/>
    <w:rsid w:val="00DE2DBE"/>
    <w:rsid w:val="00DE306B"/>
    <w:rsid w:val="00DE5646"/>
    <w:rsid w:val="00DF19B6"/>
    <w:rsid w:val="00DF3AEC"/>
    <w:rsid w:val="00DF50FD"/>
    <w:rsid w:val="00DF53BD"/>
    <w:rsid w:val="00E021AD"/>
    <w:rsid w:val="00E02510"/>
    <w:rsid w:val="00E04D9F"/>
    <w:rsid w:val="00E05605"/>
    <w:rsid w:val="00E07588"/>
    <w:rsid w:val="00E10C7C"/>
    <w:rsid w:val="00E136B9"/>
    <w:rsid w:val="00E14717"/>
    <w:rsid w:val="00E1507A"/>
    <w:rsid w:val="00E22B15"/>
    <w:rsid w:val="00E23CE2"/>
    <w:rsid w:val="00E25052"/>
    <w:rsid w:val="00E27732"/>
    <w:rsid w:val="00E32087"/>
    <w:rsid w:val="00E376BF"/>
    <w:rsid w:val="00E40802"/>
    <w:rsid w:val="00E4400F"/>
    <w:rsid w:val="00E45689"/>
    <w:rsid w:val="00E45F06"/>
    <w:rsid w:val="00E47B34"/>
    <w:rsid w:val="00E64659"/>
    <w:rsid w:val="00E75D6E"/>
    <w:rsid w:val="00E7797E"/>
    <w:rsid w:val="00E90B92"/>
    <w:rsid w:val="00E910E4"/>
    <w:rsid w:val="00EA280F"/>
    <w:rsid w:val="00EA3DFD"/>
    <w:rsid w:val="00EA587B"/>
    <w:rsid w:val="00EA5F33"/>
    <w:rsid w:val="00EA732F"/>
    <w:rsid w:val="00EB2669"/>
    <w:rsid w:val="00EB329B"/>
    <w:rsid w:val="00EC3284"/>
    <w:rsid w:val="00ED2891"/>
    <w:rsid w:val="00ED535A"/>
    <w:rsid w:val="00ED6825"/>
    <w:rsid w:val="00EE3A49"/>
    <w:rsid w:val="00EF30A1"/>
    <w:rsid w:val="00EF3770"/>
    <w:rsid w:val="00EF3A42"/>
    <w:rsid w:val="00EF3D13"/>
    <w:rsid w:val="00EF4365"/>
    <w:rsid w:val="00F00AB3"/>
    <w:rsid w:val="00F0139C"/>
    <w:rsid w:val="00F050C0"/>
    <w:rsid w:val="00F06897"/>
    <w:rsid w:val="00F121F6"/>
    <w:rsid w:val="00F20F61"/>
    <w:rsid w:val="00F24DB0"/>
    <w:rsid w:val="00F30BFD"/>
    <w:rsid w:val="00F42D20"/>
    <w:rsid w:val="00F468B6"/>
    <w:rsid w:val="00F5342D"/>
    <w:rsid w:val="00F568E0"/>
    <w:rsid w:val="00F57FFC"/>
    <w:rsid w:val="00F65CCA"/>
    <w:rsid w:val="00F669CA"/>
    <w:rsid w:val="00F72AC7"/>
    <w:rsid w:val="00F74318"/>
    <w:rsid w:val="00F803F4"/>
    <w:rsid w:val="00F90681"/>
    <w:rsid w:val="00F91174"/>
    <w:rsid w:val="00F930BC"/>
    <w:rsid w:val="00FA2E81"/>
    <w:rsid w:val="00FA3D12"/>
    <w:rsid w:val="00FA679F"/>
    <w:rsid w:val="00FC2BF3"/>
    <w:rsid w:val="00FC72F3"/>
    <w:rsid w:val="00FF6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8EDC"/>
  <w15:docId w15:val="{1E531196-E874-4AEE-B610-1ECC066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ro-RO"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3">
    <w:name w:val="heading 3"/>
    <w:basedOn w:val="Normal"/>
    <w:link w:val="Heading3Char"/>
    <w:uiPriority w:val="9"/>
    <w:qFormat/>
    <w:rsid w:val="00393561"/>
    <w:pPr>
      <w:autoSpaceDN/>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722D9"/>
    <w:pPr>
      <w:ind w:left="720"/>
      <w:contextualSpacing/>
    </w:pPr>
  </w:style>
  <w:style w:type="paragraph" w:styleId="FootnoteText">
    <w:name w:val="footnote text"/>
    <w:basedOn w:val="Normal"/>
    <w:link w:val="FootnoteTextChar"/>
    <w:uiPriority w:val="99"/>
    <w:semiHidden/>
    <w:unhideWhenUsed/>
    <w:rsid w:val="0022132D"/>
    <w:pPr>
      <w:spacing w:line="240" w:lineRule="auto"/>
    </w:pPr>
    <w:rPr>
      <w:sz w:val="20"/>
      <w:szCs w:val="20"/>
    </w:rPr>
  </w:style>
  <w:style w:type="character" w:customStyle="1" w:styleId="FootnoteTextChar">
    <w:name w:val="Footnote Text Char"/>
    <w:basedOn w:val="DefaultParagraphFont"/>
    <w:link w:val="FootnoteText"/>
    <w:uiPriority w:val="99"/>
    <w:semiHidden/>
    <w:rsid w:val="0022132D"/>
    <w:rPr>
      <w:rFonts w:ascii="Verdana" w:hAnsi="Verdana"/>
      <w:color w:val="000000"/>
    </w:rPr>
  </w:style>
  <w:style w:type="character" w:styleId="FootnoteReference">
    <w:name w:val="footnote reference"/>
    <w:basedOn w:val="DefaultParagraphFont"/>
    <w:uiPriority w:val="99"/>
    <w:semiHidden/>
    <w:unhideWhenUsed/>
    <w:rsid w:val="0022132D"/>
    <w:rPr>
      <w:vertAlign w:val="superscript"/>
    </w:rPr>
  </w:style>
  <w:style w:type="character" w:styleId="CommentReference">
    <w:name w:val="annotation reference"/>
    <w:basedOn w:val="DefaultParagraphFont"/>
    <w:uiPriority w:val="99"/>
    <w:semiHidden/>
    <w:unhideWhenUsed/>
    <w:rsid w:val="005C1D28"/>
    <w:rPr>
      <w:sz w:val="16"/>
      <w:szCs w:val="16"/>
    </w:rPr>
  </w:style>
  <w:style w:type="paragraph" w:styleId="CommentText">
    <w:name w:val="annotation text"/>
    <w:basedOn w:val="Normal"/>
    <w:link w:val="CommentTextChar"/>
    <w:uiPriority w:val="99"/>
    <w:unhideWhenUsed/>
    <w:rsid w:val="005C1D28"/>
    <w:pPr>
      <w:spacing w:line="240" w:lineRule="auto"/>
    </w:pPr>
    <w:rPr>
      <w:sz w:val="20"/>
      <w:szCs w:val="20"/>
    </w:rPr>
  </w:style>
  <w:style w:type="character" w:customStyle="1" w:styleId="CommentTextChar">
    <w:name w:val="Comment Text Char"/>
    <w:basedOn w:val="DefaultParagraphFont"/>
    <w:link w:val="CommentText"/>
    <w:uiPriority w:val="99"/>
    <w:rsid w:val="005C1D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1D28"/>
    <w:rPr>
      <w:b/>
      <w:bCs/>
    </w:rPr>
  </w:style>
  <w:style w:type="character" w:customStyle="1" w:styleId="CommentSubjectChar">
    <w:name w:val="Comment Subject Char"/>
    <w:basedOn w:val="CommentTextChar"/>
    <w:link w:val="CommentSubject"/>
    <w:uiPriority w:val="99"/>
    <w:semiHidden/>
    <w:rsid w:val="005C1D28"/>
    <w:rPr>
      <w:rFonts w:ascii="Verdana" w:hAnsi="Verdana"/>
      <w:b/>
      <w:bCs/>
      <w:color w:val="000000"/>
    </w:rPr>
  </w:style>
  <w:style w:type="paragraph" w:customStyle="1" w:styleId="Default">
    <w:name w:val="Default"/>
    <w:rsid w:val="000F702A"/>
    <w:pPr>
      <w:autoSpaceDE w:val="0"/>
      <w:adjustRightInd w:val="0"/>
      <w:textAlignment w:val="auto"/>
    </w:pPr>
    <w:rPr>
      <w:rFonts w:ascii="ALKKP A+ Univers" w:eastAsiaTheme="minorHAnsi" w:hAnsi="ALKKP A+ Univers" w:cs="ALKKP A+ Univers"/>
      <w:color w:val="000000"/>
      <w:sz w:val="24"/>
      <w:szCs w:val="24"/>
      <w:lang w:eastAsia="en-US"/>
    </w:rPr>
  </w:style>
  <w:style w:type="character" w:styleId="Hyperlink">
    <w:name w:val="Hyperlink"/>
    <w:basedOn w:val="DefaultParagraphFont"/>
    <w:uiPriority w:val="99"/>
    <w:semiHidden/>
    <w:unhideWhenUsed/>
    <w:rsid w:val="00164C4F"/>
    <w:rPr>
      <w:color w:val="0000FF"/>
      <w:u w:val="single"/>
    </w:rPr>
  </w:style>
  <w:style w:type="table" w:styleId="TableGrid">
    <w:name w:val="Table Grid"/>
    <w:basedOn w:val="TableNormal"/>
    <w:uiPriority w:val="39"/>
    <w:rsid w:val="003146EB"/>
    <w:pPr>
      <w:autoSpaceDN/>
      <w:textAlignment w:val="auto"/>
    </w:pPr>
    <w:rPr>
      <w:rFonts w:ascii="Verdana" w:eastAsiaTheme="minorHAnsi" w:hAnsi="Verdana"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
    <w:name w:val="wat"/>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r">
    <w:name w:val="nr"/>
    <w:basedOn w:val="DefaultParagraphFont"/>
    <w:rsid w:val="00854D4B"/>
  </w:style>
  <w:style w:type="paragraph" w:customStyle="1" w:styleId="lid">
    <w:name w:val="li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DefaultParagraphFont"/>
    <w:rsid w:val="00854D4B"/>
  </w:style>
  <w:style w:type="paragraph" w:customStyle="1" w:styleId="labeled">
    <w:name w:val="labele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854D4B"/>
  </w:style>
  <w:style w:type="paragraph" w:styleId="Revision">
    <w:name w:val="Revision"/>
    <w:hidden/>
    <w:uiPriority w:val="99"/>
    <w:semiHidden/>
    <w:rsid w:val="00AE4BCA"/>
    <w:pPr>
      <w:autoSpaceDN/>
      <w:textAlignment w:val="auto"/>
    </w:pPr>
    <w:rPr>
      <w:rFonts w:ascii="Verdana" w:hAnsi="Verdana"/>
      <w:color w:val="000000"/>
      <w:sz w:val="18"/>
      <w:szCs w:val="18"/>
    </w:rPr>
  </w:style>
  <w:style w:type="character" w:customStyle="1" w:styleId="Heading3Char">
    <w:name w:val="Heading 3 Char"/>
    <w:basedOn w:val="DefaultParagraphFont"/>
    <w:link w:val="Heading3"/>
    <w:uiPriority w:val="9"/>
    <w:rsid w:val="00393561"/>
    <w:rPr>
      <w:rFonts w:eastAsia="Times New Roman" w:cs="Times New Roman"/>
      <w:b/>
      <w:bCs/>
      <w:sz w:val="27"/>
      <w:szCs w:val="27"/>
    </w:rPr>
  </w:style>
  <w:style w:type="character" w:styleId="FollowedHyperlink">
    <w:name w:val="FollowedHyperlink"/>
    <w:basedOn w:val="DefaultParagraphFont"/>
    <w:uiPriority w:val="99"/>
    <w:semiHidden/>
    <w:unhideWhenUsed/>
    <w:rsid w:val="00936355"/>
    <w:rPr>
      <w:color w:val="954F72" w:themeColor="followedHyperlink"/>
      <w:u w:val="single"/>
    </w:rPr>
  </w:style>
  <w:style w:type="character" w:styleId="Emphasis">
    <w:name w:val="Emphasis"/>
    <w:basedOn w:val="DefaultParagraphFont"/>
    <w:uiPriority w:val="20"/>
    <w:qFormat/>
    <w:rsid w:val="007F6D5D"/>
    <w:rPr>
      <w:i/>
      <w:iCs/>
    </w:rPr>
  </w:style>
  <w:style w:type="paragraph" w:styleId="BalloonText">
    <w:name w:val="Balloon Text"/>
    <w:basedOn w:val="Normal"/>
    <w:link w:val="BalloonTextChar"/>
    <w:uiPriority w:val="99"/>
    <w:semiHidden/>
    <w:unhideWhenUsed/>
    <w:rsid w:val="000B578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B5783"/>
    <w:rPr>
      <w:rFonts w:ascii="Segoe UI" w:hAnsi="Segoe UI" w:cs="Segoe UI"/>
      <w:color w:val="000000"/>
      <w:sz w:val="18"/>
      <w:szCs w:val="18"/>
    </w:rPr>
  </w:style>
  <w:style w:type="paragraph" w:styleId="Header">
    <w:name w:val="header"/>
    <w:basedOn w:val="Normal"/>
    <w:link w:val="HeaderChar"/>
    <w:uiPriority w:val="99"/>
    <w:unhideWhenUsed/>
    <w:rsid w:val="00A61365"/>
    <w:pPr>
      <w:tabs>
        <w:tab w:val="center" w:pos="4536"/>
        <w:tab w:val="right" w:pos="9072"/>
      </w:tabs>
      <w:spacing w:line="240" w:lineRule="auto"/>
    </w:pPr>
  </w:style>
  <w:style w:type="character" w:customStyle="1" w:styleId="HeaderChar">
    <w:name w:val="Header Char"/>
    <w:basedOn w:val="DefaultParagraphFont"/>
    <w:link w:val="Header"/>
    <w:uiPriority w:val="99"/>
    <w:rsid w:val="00A61365"/>
    <w:rPr>
      <w:rFonts w:ascii="Verdana" w:hAnsi="Verdana"/>
      <w:color w:val="000000"/>
      <w:sz w:val="18"/>
      <w:szCs w:val="18"/>
    </w:rPr>
  </w:style>
  <w:style w:type="paragraph" w:styleId="Footer">
    <w:name w:val="footer"/>
    <w:basedOn w:val="Normal"/>
    <w:link w:val="FooterChar"/>
    <w:uiPriority w:val="99"/>
    <w:unhideWhenUsed/>
    <w:rsid w:val="00A61365"/>
    <w:pPr>
      <w:tabs>
        <w:tab w:val="center" w:pos="4536"/>
        <w:tab w:val="right" w:pos="9072"/>
      </w:tabs>
      <w:spacing w:line="240" w:lineRule="auto"/>
    </w:pPr>
  </w:style>
  <w:style w:type="character" w:customStyle="1" w:styleId="FooterChar">
    <w:name w:val="Footer Char"/>
    <w:basedOn w:val="DefaultParagraphFont"/>
    <w:link w:val="Footer"/>
    <w:uiPriority w:val="99"/>
    <w:rsid w:val="00A613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617">
      <w:bodyDiv w:val="1"/>
      <w:marLeft w:val="0"/>
      <w:marRight w:val="0"/>
      <w:marTop w:val="0"/>
      <w:marBottom w:val="0"/>
      <w:divBdr>
        <w:top w:val="none" w:sz="0" w:space="0" w:color="auto"/>
        <w:left w:val="none" w:sz="0" w:space="0" w:color="auto"/>
        <w:bottom w:val="none" w:sz="0" w:space="0" w:color="auto"/>
        <w:right w:val="none" w:sz="0" w:space="0" w:color="auto"/>
      </w:divBdr>
    </w:div>
    <w:div w:id="654604982">
      <w:bodyDiv w:val="1"/>
      <w:marLeft w:val="0"/>
      <w:marRight w:val="0"/>
      <w:marTop w:val="0"/>
      <w:marBottom w:val="0"/>
      <w:divBdr>
        <w:top w:val="none" w:sz="0" w:space="0" w:color="auto"/>
        <w:left w:val="none" w:sz="0" w:space="0" w:color="auto"/>
        <w:bottom w:val="none" w:sz="0" w:space="0" w:color="auto"/>
        <w:right w:val="none" w:sz="0" w:space="0" w:color="auto"/>
      </w:divBdr>
      <w:divsChild>
        <w:div w:id="708647215">
          <w:marLeft w:val="480"/>
          <w:marRight w:val="0"/>
          <w:marTop w:val="0"/>
          <w:marBottom w:val="0"/>
          <w:divBdr>
            <w:top w:val="none" w:sz="0" w:space="0" w:color="auto"/>
            <w:left w:val="none" w:sz="0" w:space="0" w:color="auto"/>
            <w:bottom w:val="none" w:sz="0" w:space="0" w:color="auto"/>
            <w:right w:val="none" w:sz="0" w:space="0" w:color="auto"/>
          </w:divBdr>
        </w:div>
      </w:divsChild>
    </w:div>
    <w:div w:id="104013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440-05FB-454F-A029-654B4594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7482</Words>
  <Characters>42650</Characters>
  <Application>Microsoft Office Word</Application>
  <DocSecurity>0</DocSecurity>
  <Lines>355</Lines>
  <Paragraphs>100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 E.M. van den (Eva) - HBJZ</dc:creator>
  <cp:lastModifiedBy>Anastasia Stavroulaki</cp:lastModifiedBy>
  <cp:revision>9</cp:revision>
  <dcterms:created xsi:type="dcterms:W3CDTF">2023-04-24T08:10:00Z</dcterms:created>
  <dcterms:modified xsi:type="dcterms:W3CDTF">2023-05-12T12:48:00Z</dcterms:modified>
</cp:coreProperties>
</file>