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3A19" w14:textId="0C1D172B" w:rsidR="00415CDB" w:rsidRDefault="00415CDB" w:rsidP="00415CDB">
      <w:pPr>
        <w:jc w:val="right"/>
      </w:pPr>
    </w:p>
    <w:tbl>
      <w:tblPr>
        <w:tblW w:w="9639"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E0" w:firstRow="1" w:lastRow="1" w:firstColumn="1" w:lastColumn="0" w:noHBand="0" w:noVBand="0"/>
      </w:tblPr>
      <w:tblGrid>
        <w:gridCol w:w="2406"/>
        <w:gridCol w:w="2413"/>
        <w:gridCol w:w="4820"/>
      </w:tblGrid>
      <w:tr w:rsidR="0040546B" w14:paraId="70E450D2" w14:textId="77777777" w:rsidTr="0079432B">
        <w:trPr>
          <w:trHeight w:hRule="exact" w:val="561"/>
        </w:trPr>
        <w:tc>
          <w:tcPr>
            <w:tcW w:w="2406" w:type="dxa"/>
            <w:tcBorders>
              <w:top w:val="single" w:sz="8" w:space="0" w:color="auto"/>
              <w:left w:val="single" w:sz="2" w:space="0" w:color="FFFFFF" w:themeColor="background1"/>
              <w:bottom w:val="single" w:sz="4" w:space="0" w:color="auto"/>
              <w:right w:val="single" w:sz="2" w:space="0" w:color="FFFFFF" w:themeColor="background1"/>
            </w:tcBorders>
            <w:tcMar>
              <w:right w:w="0" w:type="dxa"/>
            </w:tcMar>
          </w:tcPr>
          <w:p w14:paraId="70E450CC" w14:textId="77777777" w:rsidR="0040546B" w:rsidRPr="00AB1593" w:rsidRDefault="0040546B" w:rsidP="00FF1FD4">
            <w:pPr>
              <w:pStyle w:val="Header"/>
              <w:tabs>
                <w:tab w:val="clear" w:pos="4819"/>
                <w:tab w:val="clear" w:pos="9638"/>
              </w:tabs>
              <w:rPr>
                <w:sz w:val="16"/>
              </w:rPr>
            </w:pPr>
            <w:r>
              <w:rPr>
                <w:sz w:val="16"/>
              </w:rPr>
              <w:t>Data emiterii:</w:t>
            </w:r>
          </w:p>
          <w:p w14:paraId="70E450CD" w14:textId="1964FF2A" w:rsidR="0040546B" w:rsidRDefault="001F4EA9" w:rsidP="001F4EA9">
            <w:pPr>
              <w:pStyle w:val="Header"/>
            </w:pPr>
            <w:r>
              <w:t>XX.XX.202X</w:t>
            </w:r>
          </w:p>
        </w:tc>
        <w:tc>
          <w:tcPr>
            <w:tcW w:w="2413" w:type="dxa"/>
            <w:tcBorders>
              <w:top w:val="single" w:sz="8" w:space="0" w:color="auto"/>
              <w:left w:val="single" w:sz="2" w:space="0" w:color="FFFFFF" w:themeColor="background1"/>
              <w:bottom w:val="single" w:sz="4" w:space="0" w:color="auto"/>
              <w:right w:val="single" w:sz="2" w:space="0" w:color="FFFFFF" w:themeColor="background1"/>
            </w:tcBorders>
          </w:tcPr>
          <w:p w14:paraId="70E450CE" w14:textId="77777777" w:rsidR="0040546B" w:rsidRPr="00AB1593" w:rsidRDefault="0040546B" w:rsidP="00FF1FD4">
            <w:pPr>
              <w:pStyle w:val="Header"/>
              <w:tabs>
                <w:tab w:val="clear" w:pos="4819"/>
                <w:tab w:val="clear" w:pos="9638"/>
              </w:tabs>
              <w:rPr>
                <w:sz w:val="16"/>
              </w:rPr>
            </w:pPr>
            <w:r>
              <w:rPr>
                <w:sz w:val="16"/>
              </w:rPr>
              <w:t>Data intrării în vigoare</w:t>
            </w:r>
          </w:p>
          <w:p w14:paraId="70E450CF" w14:textId="1EFEB590" w:rsidR="0040546B" w:rsidRDefault="001F4EA9" w:rsidP="001F4EA9">
            <w:pPr>
              <w:pStyle w:val="Header"/>
            </w:pPr>
            <w:r>
              <w:t>XX.XX.202X</w:t>
            </w:r>
          </w:p>
        </w:tc>
        <w:tc>
          <w:tcPr>
            <w:tcW w:w="4820" w:type="dxa"/>
            <w:tcBorders>
              <w:top w:val="single" w:sz="8" w:space="0" w:color="auto"/>
              <w:left w:val="single" w:sz="2" w:space="0" w:color="FFFFFF" w:themeColor="background1"/>
              <w:bottom w:val="single" w:sz="4" w:space="0" w:color="auto"/>
              <w:right w:val="single" w:sz="2" w:space="0" w:color="FFFFFF" w:themeColor="background1"/>
            </w:tcBorders>
            <w:shd w:val="clear" w:color="auto" w:fill="auto"/>
            <w:tcMar>
              <w:right w:w="0" w:type="dxa"/>
            </w:tcMar>
          </w:tcPr>
          <w:p w14:paraId="70E450D0" w14:textId="77777777" w:rsidR="0040546B" w:rsidRPr="00AB1593" w:rsidRDefault="0040546B" w:rsidP="00FF1FD4">
            <w:pPr>
              <w:pStyle w:val="Header"/>
              <w:tabs>
                <w:tab w:val="clear" w:pos="4819"/>
                <w:tab w:val="clear" w:pos="9638"/>
              </w:tabs>
              <w:rPr>
                <w:sz w:val="16"/>
              </w:rPr>
            </w:pPr>
            <w:r>
              <w:rPr>
                <w:sz w:val="16"/>
              </w:rPr>
              <w:t>În vigoare:</w:t>
            </w:r>
          </w:p>
          <w:p w14:paraId="70E450D1" w14:textId="6F0F9D33" w:rsidR="0040546B" w:rsidRDefault="00E54DF3" w:rsidP="00AB1593">
            <w:pPr>
              <w:pStyle w:val="Header"/>
            </w:pPr>
            <w:r>
              <w:t>până la emiterea unor dispoziții noi</w:t>
            </w:r>
          </w:p>
        </w:tc>
      </w:tr>
      <w:tr w:rsidR="0040546B" w14:paraId="70E450D5" w14:textId="77777777" w:rsidTr="0079432B">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3" w14:textId="77777777" w:rsidR="0040546B" w:rsidRPr="00AB1593" w:rsidRDefault="0040546B" w:rsidP="00FF1FD4">
            <w:pPr>
              <w:pStyle w:val="Header"/>
              <w:tabs>
                <w:tab w:val="clear" w:pos="4819"/>
                <w:tab w:val="clear" w:pos="9638"/>
              </w:tabs>
              <w:rPr>
                <w:sz w:val="16"/>
              </w:rPr>
            </w:pPr>
            <w:r>
              <w:rPr>
                <w:sz w:val="16"/>
              </w:rPr>
              <w:t>Temei juridic:</w:t>
            </w:r>
          </w:p>
          <w:p w14:paraId="6E266EAE" w14:textId="45D0A7B9" w:rsidR="0040546B" w:rsidRPr="001C6E1F" w:rsidRDefault="00E808E0" w:rsidP="00AB1593">
            <w:pPr>
              <w:pStyle w:val="Header"/>
              <w:rPr>
                <w:rFonts w:eastAsia="Times New Roman" w:cs="Times New Roman"/>
                <w:szCs w:val="20"/>
              </w:rPr>
            </w:pPr>
            <w:r>
              <w:t xml:space="preserve">Legea privind vehiculele (82/2021) articolul 13 alineatul (3); articolul 16; articolul 29a; articolul 49; articolul 139 alineatul (5); articolul 144 alineatul (2); </w:t>
            </w:r>
          </w:p>
          <w:p w14:paraId="268AA13F" w14:textId="36B5E4E2" w:rsidR="003A0EA8" w:rsidRDefault="00E92434" w:rsidP="00AB1593">
            <w:pPr>
              <w:pStyle w:val="Header"/>
            </w:pPr>
            <w:r>
              <w:t>Legea privind serviciile de transport (320/2017), articolul 221</w:t>
            </w:r>
          </w:p>
          <w:p w14:paraId="70E450D4" w14:textId="581664D0" w:rsidR="003A0EA8" w:rsidRDefault="003A0EA8" w:rsidP="00AB1593">
            <w:pPr>
              <w:pStyle w:val="Header"/>
            </w:pPr>
          </w:p>
        </w:tc>
      </w:tr>
      <w:tr w:rsidR="00745BD3" w14:paraId="300E631D" w14:textId="77777777" w:rsidTr="0079432B">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060C3CE0" w14:textId="77777777" w:rsidR="00745BD3" w:rsidRDefault="00745BD3" w:rsidP="00745BD3">
            <w:pPr>
              <w:pStyle w:val="Header"/>
              <w:tabs>
                <w:tab w:val="clear" w:pos="4819"/>
                <w:tab w:val="clear" w:pos="9638"/>
              </w:tabs>
              <w:rPr>
                <w:sz w:val="16"/>
              </w:rPr>
            </w:pPr>
            <w:r>
              <w:rPr>
                <w:sz w:val="16"/>
              </w:rPr>
              <w:t>Sancțiunile pentru nerespectarea prezentului regulament sunt stabilite în următoarele acte legislative:</w:t>
            </w:r>
          </w:p>
          <w:p w14:paraId="3C8E097A" w14:textId="553CD439" w:rsidR="00745BD3" w:rsidRPr="00AB1593" w:rsidRDefault="00745BD3" w:rsidP="00CF70E7">
            <w:pPr>
              <w:pStyle w:val="Header"/>
              <w:tabs>
                <w:tab w:val="clear" w:pos="4819"/>
                <w:tab w:val="clear" w:pos="9638"/>
                <w:tab w:val="left" w:pos="8305"/>
              </w:tabs>
              <w:rPr>
                <w:sz w:val="16"/>
              </w:rPr>
            </w:pPr>
            <w:r>
              <w:t>Legea privind vehiculele nr. 82/2021, capitolul 10</w:t>
            </w:r>
          </w:p>
        </w:tc>
      </w:tr>
      <w:tr w:rsidR="0040546B" w14:paraId="70E450D8" w14:textId="77777777" w:rsidTr="0079432B">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6" w14:textId="77777777" w:rsidR="0040546B" w:rsidRPr="00AB1593" w:rsidRDefault="00AC21C3" w:rsidP="00FF1FD4">
            <w:pPr>
              <w:pStyle w:val="Header"/>
              <w:tabs>
                <w:tab w:val="clear" w:pos="4819"/>
                <w:tab w:val="clear" w:pos="9638"/>
              </w:tabs>
              <w:rPr>
                <w:sz w:val="16"/>
              </w:rPr>
            </w:pPr>
            <w:r>
              <w:rPr>
                <w:sz w:val="16"/>
              </w:rPr>
              <w:t>Legislația UE care urmează să fie pusă în aplicare:</w:t>
            </w:r>
          </w:p>
          <w:p w14:paraId="70E450D7" w14:textId="77777777" w:rsidR="0040546B" w:rsidRPr="00CB783E" w:rsidRDefault="0040546B" w:rsidP="00FF1FD4">
            <w:pPr>
              <w:pStyle w:val="Header"/>
              <w:tabs>
                <w:tab w:val="clear" w:pos="4819"/>
                <w:tab w:val="clear" w:pos="9638"/>
              </w:tabs>
            </w:pPr>
          </w:p>
        </w:tc>
      </w:tr>
      <w:tr w:rsidR="0040546B" w14:paraId="70E450DB" w14:textId="77777777" w:rsidTr="0079432B">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9" w14:textId="77777777" w:rsidR="0040546B" w:rsidRPr="00AB1593" w:rsidRDefault="0040546B" w:rsidP="00FF1FD4">
            <w:pPr>
              <w:pStyle w:val="Header"/>
              <w:tabs>
                <w:tab w:val="clear" w:pos="4819"/>
                <w:tab w:val="clear" w:pos="9638"/>
              </w:tabs>
              <w:rPr>
                <w:sz w:val="18"/>
              </w:rPr>
            </w:pPr>
            <w:r>
              <w:rPr>
                <w:sz w:val="16"/>
              </w:rPr>
              <w:t>Informații privind modificarea:</w:t>
            </w:r>
          </w:p>
          <w:p w14:paraId="15B2BE75" w14:textId="19A67AD5" w:rsidR="00E54DF3" w:rsidRPr="00D5088F" w:rsidRDefault="00E54DF3" w:rsidP="00AB1593">
            <w:pPr>
              <w:pStyle w:val="Header"/>
            </w:pPr>
            <w:r>
              <w:t>abrogă Regulamentul Agenției Finlandeze de Transport și Comunicații din 1 martie 2021 privind construcția și echiparea vehiculelor cu două sau trei roți, a cvadriciclurilor, a remorcilor acestora și a vehiculelor electrice ușoare (</w:t>
            </w:r>
            <w:r>
              <w:rPr>
                <w:color w:val="232323"/>
              </w:rPr>
              <w:t>TRAFICOM/46396/03.04.03.00/2020;</w:t>
            </w:r>
            <w:r>
              <w:t>)</w:t>
            </w:r>
          </w:p>
          <w:p w14:paraId="70E450DA" w14:textId="77314A38" w:rsidR="0040546B" w:rsidRDefault="0040546B" w:rsidP="00AB1593">
            <w:pPr>
              <w:pStyle w:val="Header"/>
            </w:pPr>
          </w:p>
        </w:tc>
      </w:tr>
    </w:tbl>
    <w:p w14:paraId="70E450DC" w14:textId="77777777" w:rsidR="00FA160F" w:rsidRDefault="00FA160F"/>
    <w:p w14:paraId="59B82F89" w14:textId="649720A8" w:rsidR="0021377D" w:rsidRDefault="00E54DF3" w:rsidP="0021377D">
      <w:pPr>
        <w:pStyle w:val="TrafiAsiaotsikko"/>
      </w:pPr>
      <w:r>
        <w:rPr>
          <w:sz w:val="28"/>
        </w:rPr>
        <w:t>Construcții și echipamente pentru vehicule cu două sau trei roți, cvadricicluri, vehicule electrice ușoare, remorci și vehicule ușoare autonome de transport de mărfuri</w:t>
      </w:r>
    </w:p>
    <w:p w14:paraId="25BA2C21" w14:textId="56734F35" w:rsidR="0021377D" w:rsidRPr="0021377D" w:rsidRDefault="0021377D" w:rsidP="0021377D">
      <w:pPr>
        <w:rPr>
          <w:sz w:val="24"/>
        </w:rPr>
      </w:pPr>
      <w:r>
        <w:rPr>
          <w:sz w:val="24"/>
        </w:rPr>
        <w:t>Cuprins</w:t>
      </w:r>
    </w:p>
    <w:sdt>
      <w:sdtPr>
        <w:rPr>
          <w:rFonts w:eastAsiaTheme="majorEastAsia" w:cstheme="majorBidi"/>
          <w:noProof w:val="0"/>
          <w:sz w:val="24"/>
          <w:szCs w:val="32"/>
        </w:rPr>
        <w:id w:val="1216927917"/>
        <w:docPartObj>
          <w:docPartGallery w:val="Table of Contents"/>
          <w:docPartUnique/>
        </w:docPartObj>
      </w:sdtPr>
      <w:sdtEndPr>
        <w:rPr>
          <w:rFonts w:eastAsiaTheme="minorHAnsi" w:cstheme="minorHAnsi"/>
          <w:bCs/>
          <w:noProof/>
          <w:sz w:val="20"/>
          <w:szCs w:val="22"/>
        </w:rPr>
      </w:sdtEndPr>
      <w:sdtContent>
        <w:p w14:paraId="2B395632" w14:textId="18CBA336" w:rsidR="002A5D75" w:rsidRDefault="00DC3497">
          <w:pPr>
            <w:pStyle w:val="TOC1"/>
            <w:rPr>
              <w:rFonts w:asciiTheme="minorHAnsi" w:eastAsiaTheme="minorEastAsia" w:hAnsiTheme="minorHAnsi" w:cstheme="minorBidi"/>
              <w:kern w:val="2"/>
              <w:sz w:val="22"/>
              <w:lang w:val="en-US"/>
              <w14:ligatures w14:val="standardContextual"/>
            </w:rPr>
          </w:pPr>
          <w:r>
            <w:fldChar w:fldCharType="begin"/>
          </w:r>
          <w:r>
            <w:instrText xml:space="preserve"> TOC \o "1-3" \t "Liiteotsikko;1" </w:instrText>
          </w:r>
          <w:r>
            <w:fldChar w:fldCharType="separate"/>
          </w:r>
          <w:r w:rsidR="002A5D75">
            <w:t>1</w:t>
          </w:r>
          <w:r w:rsidR="002A5D75">
            <w:rPr>
              <w:rFonts w:asciiTheme="minorHAnsi" w:eastAsiaTheme="minorEastAsia" w:hAnsiTheme="minorHAnsi" w:cstheme="minorBidi"/>
              <w:kern w:val="2"/>
              <w:sz w:val="22"/>
              <w:lang w:val="en-US"/>
              <w14:ligatures w14:val="standardContextual"/>
            </w:rPr>
            <w:tab/>
          </w:r>
          <w:r w:rsidR="002A5D75">
            <w:t>Informații generale</w:t>
          </w:r>
          <w:r w:rsidR="002A5D75">
            <w:tab/>
          </w:r>
          <w:r w:rsidR="002A5D75">
            <w:fldChar w:fldCharType="begin"/>
          </w:r>
          <w:r w:rsidR="002A5D75">
            <w:instrText xml:space="preserve"> PAGEREF _Toc135051661 \h </w:instrText>
          </w:r>
          <w:r w:rsidR="002A5D75">
            <w:fldChar w:fldCharType="separate"/>
          </w:r>
          <w:r w:rsidR="002A5D75">
            <w:t>2</w:t>
          </w:r>
          <w:r w:rsidR="002A5D75">
            <w:fldChar w:fldCharType="end"/>
          </w:r>
        </w:p>
        <w:p w14:paraId="51AC8392" w14:textId="754A7542"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2"/>
              <w:lang w:val="en-US"/>
              <w14:ligatures w14:val="standardContextual"/>
            </w:rPr>
            <w:tab/>
          </w:r>
          <w:r>
            <w:rPr>
              <w:noProof/>
            </w:rPr>
            <w:t>Scopul regulamentului</w:t>
          </w:r>
          <w:r>
            <w:rPr>
              <w:noProof/>
            </w:rPr>
            <w:tab/>
          </w:r>
          <w:r>
            <w:rPr>
              <w:noProof/>
            </w:rPr>
            <w:fldChar w:fldCharType="begin"/>
          </w:r>
          <w:r>
            <w:rPr>
              <w:noProof/>
            </w:rPr>
            <w:instrText xml:space="preserve"> PAGEREF _Toc135051662 \h </w:instrText>
          </w:r>
          <w:r>
            <w:rPr>
              <w:noProof/>
            </w:rPr>
          </w:r>
          <w:r>
            <w:rPr>
              <w:noProof/>
            </w:rPr>
            <w:fldChar w:fldCharType="separate"/>
          </w:r>
          <w:r>
            <w:rPr>
              <w:noProof/>
            </w:rPr>
            <w:t>2</w:t>
          </w:r>
          <w:r>
            <w:rPr>
              <w:noProof/>
            </w:rPr>
            <w:fldChar w:fldCharType="end"/>
          </w:r>
        </w:p>
        <w:p w14:paraId="624055D9" w14:textId="2FBDADF2"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2"/>
              <w:lang w:val="en-US"/>
              <w14:ligatures w14:val="standardContextual"/>
            </w:rPr>
            <w:tab/>
          </w:r>
          <w:r>
            <w:rPr>
              <w:noProof/>
            </w:rPr>
            <w:t>Domeniul de aplicare</w:t>
          </w:r>
          <w:r>
            <w:rPr>
              <w:noProof/>
            </w:rPr>
            <w:tab/>
          </w:r>
          <w:r>
            <w:rPr>
              <w:noProof/>
            </w:rPr>
            <w:fldChar w:fldCharType="begin"/>
          </w:r>
          <w:r>
            <w:rPr>
              <w:noProof/>
            </w:rPr>
            <w:instrText xml:space="preserve"> PAGEREF _Toc135051663 \h </w:instrText>
          </w:r>
          <w:r>
            <w:rPr>
              <w:noProof/>
            </w:rPr>
          </w:r>
          <w:r>
            <w:rPr>
              <w:noProof/>
            </w:rPr>
            <w:fldChar w:fldCharType="separate"/>
          </w:r>
          <w:r>
            <w:rPr>
              <w:noProof/>
            </w:rPr>
            <w:t>3</w:t>
          </w:r>
          <w:r>
            <w:rPr>
              <w:noProof/>
            </w:rPr>
            <w:fldChar w:fldCharType="end"/>
          </w:r>
        </w:p>
        <w:p w14:paraId="592A4F8E" w14:textId="59ADED0F"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1.3</w:t>
          </w:r>
          <w:r>
            <w:rPr>
              <w:rFonts w:asciiTheme="minorHAnsi" w:eastAsiaTheme="minorEastAsia" w:hAnsiTheme="minorHAnsi" w:cstheme="minorBidi"/>
              <w:noProof/>
              <w:kern w:val="2"/>
              <w:sz w:val="22"/>
              <w:lang w:val="en-US"/>
              <w14:ligatures w14:val="standardContextual"/>
            </w:rPr>
            <w:tab/>
          </w:r>
          <w:r>
            <w:rPr>
              <w:noProof/>
            </w:rPr>
            <w:t>Definiții</w:t>
          </w:r>
          <w:r>
            <w:rPr>
              <w:noProof/>
            </w:rPr>
            <w:tab/>
          </w:r>
          <w:r>
            <w:rPr>
              <w:noProof/>
            </w:rPr>
            <w:fldChar w:fldCharType="begin"/>
          </w:r>
          <w:r>
            <w:rPr>
              <w:noProof/>
            </w:rPr>
            <w:instrText xml:space="preserve"> PAGEREF _Toc135051664 \h </w:instrText>
          </w:r>
          <w:r>
            <w:rPr>
              <w:noProof/>
            </w:rPr>
          </w:r>
          <w:r>
            <w:rPr>
              <w:noProof/>
            </w:rPr>
            <w:fldChar w:fldCharType="separate"/>
          </w:r>
          <w:r>
            <w:rPr>
              <w:noProof/>
            </w:rPr>
            <w:t>3</w:t>
          </w:r>
          <w:r>
            <w:rPr>
              <w:noProof/>
            </w:rPr>
            <w:fldChar w:fldCharType="end"/>
          </w:r>
        </w:p>
        <w:p w14:paraId="473ADFBD" w14:textId="5156781D" w:rsidR="002A5D75" w:rsidRDefault="002A5D75">
          <w:pPr>
            <w:pStyle w:val="TOC1"/>
            <w:rPr>
              <w:rFonts w:asciiTheme="minorHAnsi" w:eastAsiaTheme="minorEastAsia" w:hAnsiTheme="minorHAnsi" w:cstheme="minorBidi"/>
              <w:kern w:val="2"/>
              <w:sz w:val="22"/>
              <w:lang w:val="en-US"/>
              <w14:ligatures w14:val="standardContextual"/>
            </w:rPr>
          </w:pPr>
          <w:r>
            <w:t>2</w:t>
          </w:r>
          <w:r>
            <w:rPr>
              <w:rFonts w:asciiTheme="minorHAnsi" w:eastAsiaTheme="minorEastAsia" w:hAnsiTheme="minorHAnsi" w:cstheme="minorBidi"/>
              <w:kern w:val="2"/>
              <w:sz w:val="22"/>
              <w:lang w:val="en-US"/>
              <w14:ligatures w14:val="standardContextual"/>
            </w:rPr>
            <w:tab/>
          </w:r>
          <w:r>
            <w:t>CERINȚE ÎN CONFORMITATE CU DIRECTIVELE, REGULAMENTELE CE ȘI UE ȘI REGULAMENTELE CEE</w:t>
          </w:r>
          <w:r>
            <w:tab/>
          </w:r>
          <w:r>
            <w:fldChar w:fldCharType="begin"/>
          </w:r>
          <w:r>
            <w:instrText xml:space="preserve"> PAGEREF _Toc135051665 \h </w:instrText>
          </w:r>
          <w:r>
            <w:fldChar w:fldCharType="separate"/>
          </w:r>
          <w:r>
            <w:t>3</w:t>
          </w:r>
          <w:r>
            <w:fldChar w:fldCharType="end"/>
          </w:r>
        </w:p>
        <w:p w14:paraId="38A637BE" w14:textId="3CC099CB" w:rsidR="002A5D75" w:rsidRDefault="002A5D75">
          <w:pPr>
            <w:pStyle w:val="TOC1"/>
            <w:rPr>
              <w:rFonts w:asciiTheme="minorHAnsi" w:eastAsiaTheme="minorEastAsia" w:hAnsiTheme="minorHAnsi" w:cstheme="minorBidi"/>
              <w:kern w:val="2"/>
              <w:sz w:val="22"/>
              <w:lang w:val="en-US"/>
              <w14:ligatures w14:val="standardContextual"/>
            </w:rPr>
          </w:pPr>
          <w:r>
            <w:t>3</w:t>
          </w:r>
          <w:r>
            <w:rPr>
              <w:rFonts w:asciiTheme="minorHAnsi" w:eastAsiaTheme="minorEastAsia" w:hAnsiTheme="minorHAnsi" w:cstheme="minorBidi"/>
              <w:kern w:val="2"/>
              <w:sz w:val="22"/>
              <w:lang w:val="en-US"/>
              <w14:ligatures w14:val="standardContextual"/>
            </w:rPr>
            <w:tab/>
          </w:r>
          <w:r>
            <w:t>CERINȚE NAȚIONALE PENTRU VEHICULELE DIN CATEGORIA L</w:t>
          </w:r>
          <w:r>
            <w:tab/>
          </w:r>
          <w:r>
            <w:fldChar w:fldCharType="begin"/>
          </w:r>
          <w:r>
            <w:instrText xml:space="preserve"> PAGEREF _Toc135051666 \h </w:instrText>
          </w:r>
          <w:r>
            <w:fldChar w:fldCharType="separate"/>
          </w:r>
          <w:r>
            <w:t>4</w:t>
          </w:r>
          <w:r>
            <w:fldChar w:fldCharType="end"/>
          </w:r>
        </w:p>
        <w:p w14:paraId="5BB544F2" w14:textId="6DAEA78C"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sz w:val="22"/>
              <w:lang w:val="en-US"/>
              <w14:ligatures w14:val="standardContextual"/>
            </w:rPr>
            <w:tab/>
          </w:r>
          <w:r>
            <w:rPr>
              <w:noProof/>
            </w:rPr>
            <w:t>Triunghiul reflectorizant de avertizare</w:t>
          </w:r>
          <w:r>
            <w:rPr>
              <w:noProof/>
            </w:rPr>
            <w:tab/>
          </w:r>
          <w:r>
            <w:rPr>
              <w:noProof/>
            </w:rPr>
            <w:fldChar w:fldCharType="begin"/>
          </w:r>
          <w:r>
            <w:rPr>
              <w:noProof/>
            </w:rPr>
            <w:instrText xml:space="preserve"> PAGEREF _Toc135051667 \h </w:instrText>
          </w:r>
          <w:r>
            <w:rPr>
              <w:noProof/>
            </w:rPr>
          </w:r>
          <w:r>
            <w:rPr>
              <w:noProof/>
            </w:rPr>
            <w:fldChar w:fldCharType="separate"/>
          </w:r>
          <w:r>
            <w:rPr>
              <w:noProof/>
            </w:rPr>
            <w:t>4</w:t>
          </w:r>
          <w:r>
            <w:rPr>
              <w:noProof/>
            </w:rPr>
            <w:fldChar w:fldCharType="end"/>
          </w:r>
        </w:p>
        <w:p w14:paraId="5422D859" w14:textId="266C6FB9"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3.2</w:t>
          </w:r>
          <w:r>
            <w:rPr>
              <w:rFonts w:asciiTheme="minorHAnsi" w:eastAsiaTheme="minorEastAsia" w:hAnsiTheme="minorHAnsi" w:cstheme="minorBidi"/>
              <w:noProof/>
              <w:kern w:val="2"/>
              <w:sz w:val="22"/>
              <w:lang w:val="en-US"/>
              <w14:ligatures w14:val="standardContextual"/>
            </w:rPr>
            <w:tab/>
          </w:r>
          <w:r>
            <w:rPr>
              <w:noProof/>
            </w:rPr>
            <w:t>Indicatorul pentru vehiculele care se deplasează cu viteză mică</w:t>
          </w:r>
          <w:r>
            <w:rPr>
              <w:noProof/>
            </w:rPr>
            <w:tab/>
          </w:r>
          <w:r>
            <w:rPr>
              <w:noProof/>
            </w:rPr>
            <w:fldChar w:fldCharType="begin"/>
          </w:r>
          <w:r>
            <w:rPr>
              <w:noProof/>
            </w:rPr>
            <w:instrText xml:space="preserve"> PAGEREF _Toc135051668 \h </w:instrText>
          </w:r>
          <w:r>
            <w:rPr>
              <w:noProof/>
            </w:rPr>
          </w:r>
          <w:r>
            <w:rPr>
              <w:noProof/>
            </w:rPr>
            <w:fldChar w:fldCharType="separate"/>
          </w:r>
          <w:r>
            <w:rPr>
              <w:noProof/>
            </w:rPr>
            <w:t>4</w:t>
          </w:r>
          <w:r>
            <w:rPr>
              <w:noProof/>
            </w:rPr>
            <w:fldChar w:fldCharType="end"/>
          </w:r>
        </w:p>
        <w:p w14:paraId="57D29F67" w14:textId="040B41B5"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3.3</w:t>
          </w:r>
          <w:r>
            <w:rPr>
              <w:rFonts w:asciiTheme="minorHAnsi" w:eastAsiaTheme="minorEastAsia" w:hAnsiTheme="minorHAnsi" w:cstheme="minorBidi"/>
              <w:noProof/>
              <w:kern w:val="2"/>
              <w:sz w:val="22"/>
              <w:lang w:val="en-US"/>
              <w14:ligatures w14:val="standardContextual"/>
            </w:rPr>
            <w:tab/>
          </w:r>
          <w:r>
            <w:rPr>
              <w:noProof/>
            </w:rPr>
            <w:t>Casca de protecție</w:t>
          </w:r>
          <w:r>
            <w:rPr>
              <w:noProof/>
            </w:rPr>
            <w:tab/>
          </w:r>
          <w:r>
            <w:rPr>
              <w:noProof/>
            </w:rPr>
            <w:fldChar w:fldCharType="begin"/>
          </w:r>
          <w:r>
            <w:rPr>
              <w:noProof/>
            </w:rPr>
            <w:instrText xml:space="preserve"> PAGEREF _Toc135051669 \h </w:instrText>
          </w:r>
          <w:r>
            <w:rPr>
              <w:noProof/>
            </w:rPr>
          </w:r>
          <w:r>
            <w:rPr>
              <w:noProof/>
            </w:rPr>
            <w:fldChar w:fldCharType="separate"/>
          </w:r>
          <w:r>
            <w:rPr>
              <w:noProof/>
            </w:rPr>
            <w:t>4</w:t>
          </w:r>
          <w:r>
            <w:rPr>
              <w:noProof/>
            </w:rPr>
            <w:fldChar w:fldCharType="end"/>
          </w:r>
        </w:p>
        <w:p w14:paraId="463A20CA" w14:textId="5A3715AF"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3.4</w:t>
          </w:r>
          <w:r>
            <w:rPr>
              <w:rFonts w:asciiTheme="minorHAnsi" w:eastAsiaTheme="minorEastAsia" w:hAnsiTheme="minorHAnsi" w:cstheme="minorBidi"/>
              <w:noProof/>
              <w:kern w:val="2"/>
              <w:sz w:val="22"/>
              <w:lang w:val="en-US"/>
              <w14:ligatures w14:val="standardContextual"/>
            </w:rPr>
            <w:tab/>
          </w:r>
          <w:r>
            <w:rPr>
              <w:noProof/>
            </w:rPr>
            <w:t>Plafonierele pentru taxi</w:t>
          </w:r>
          <w:r>
            <w:rPr>
              <w:noProof/>
            </w:rPr>
            <w:tab/>
          </w:r>
          <w:r>
            <w:rPr>
              <w:noProof/>
            </w:rPr>
            <w:fldChar w:fldCharType="begin"/>
          </w:r>
          <w:r>
            <w:rPr>
              <w:noProof/>
            </w:rPr>
            <w:instrText xml:space="preserve"> PAGEREF _Toc135051670 \h </w:instrText>
          </w:r>
          <w:r>
            <w:rPr>
              <w:noProof/>
            </w:rPr>
          </w:r>
          <w:r>
            <w:rPr>
              <w:noProof/>
            </w:rPr>
            <w:fldChar w:fldCharType="separate"/>
          </w:r>
          <w:r>
            <w:rPr>
              <w:noProof/>
            </w:rPr>
            <w:t>4</w:t>
          </w:r>
          <w:r>
            <w:rPr>
              <w:noProof/>
            </w:rPr>
            <w:fldChar w:fldCharType="end"/>
          </w:r>
        </w:p>
        <w:p w14:paraId="3F08AE37" w14:textId="741147F0"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3.5</w:t>
          </w:r>
          <w:r>
            <w:rPr>
              <w:rFonts w:asciiTheme="minorHAnsi" w:eastAsiaTheme="minorEastAsia" w:hAnsiTheme="minorHAnsi" w:cstheme="minorBidi"/>
              <w:noProof/>
              <w:kern w:val="2"/>
              <w:sz w:val="22"/>
              <w:lang w:val="en-US"/>
              <w14:ligatures w14:val="standardContextual"/>
            </w:rPr>
            <w:tab/>
          </w:r>
          <w:r>
            <w:rPr>
              <w:noProof/>
            </w:rPr>
            <w:t>Taximetrele</w:t>
          </w:r>
          <w:r>
            <w:rPr>
              <w:noProof/>
            </w:rPr>
            <w:tab/>
          </w:r>
          <w:r>
            <w:rPr>
              <w:noProof/>
            </w:rPr>
            <w:fldChar w:fldCharType="begin"/>
          </w:r>
          <w:r>
            <w:rPr>
              <w:noProof/>
            </w:rPr>
            <w:instrText xml:space="preserve"> PAGEREF _Toc135051671 \h </w:instrText>
          </w:r>
          <w:r>
            <w:rPr>
              <w:noProof/>
            </w:rPr>
          </w:r>
          <w:r>
            <w:rPr>
              <w:noProof/>
            </w:rPr>
            <w:fldChar w:fldCharType="separate"/>
          </w:r>
          <w:r>
            <w:rPr>
              <w:noProof/>
            </w:rPr>
            <w:t>4</w:t>
          </w:r>
          <w:r>
            <w:rPr>
              <w:noProof/>
            </w:rPr>
            <w:fldChar w:fldCharType="end"/>
          </w:r>
        </w:p>
        <w:p w14:paraId="4B103CBC" w14:textId="4C272D70" w:rsidR="002A5D75" w:rsidRDefault="002A5D75">
          <w:pPr>
            <w:pStyle w:val="TOC1"/>
            <w:rPr>
              <w:rFonts w:asciiTheme="minorHAnsi" w:eastAsiaTheme="minorEastAsia" w:hAnsiTheme="minorHAnsi" w:cstheme="minorBidi"/>
              <w:kern w:val="2"/>
              <w:sz w:val="22"/>
              <w:lang w:val="en-US"/>
              <w14:ligatures w14:val="standardContextual"/>
            </w:rPr>
          </w:pPr>
          <w:r>
            <w:t>4</w:t>
          </w:r>
          <w:r>
            <w:rPr>
              <w:rFonts w:asciiTheme="minorHAnsi" w:eastAsiaTheme="minorEastAsia" w:hAnsiTheme="minorHAnsi" w:cstheme="minorBidi"/>
              <w:kern w:val="2"/>
              <w:sz w:val="22"/>
              <w:lang w:val="en-US"/>
              <w14:ligatures w14:val="standardContextual"/>
            </w:rPr>
            <w:tab/>
          </w:r>
          <w:r>
            <w:t>BICICLETĂ</w:t>
          </w:r>
          <w:r>
            <w:tab/>
          </w:r>
          <w:r>
            <w:tab/>
          </w:r>
          <w:r>
            <w:fldChar w:fldCharType="begin"/>
          </w:r>
          <w:r>
            <w:instrText xml:space="preserve"> PAGEREF _Toc135051672 \h </w:instrText>
          </w:r>
          <w:r>
            <w:fldChar w:fldCharType="separate"/>
          </w:r>
          <w:r>
            <w:t>4</w:t>
          </w:r>
          <w:r>
            <w:fldChar w:fldCharType="end"/>
          </w:r>
        </w:p>
        <w:p w14:paraId="48F6E072" w14:textId="21D42306"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sz w:val="22"/>
              <w:lang w:val="en-US"/>
              <w14:ligatures w14:val="standardContextual"/>
            </w:rPr>
            <w:tab/>
          </w:r>
          <w:r>
            <w:rPr>
              <w:noProof/>
            </w:rPr>
            <w:t>Cerințe generale de securitate</w:t>
          </w:r>
          <w:r>
            <w:rPr>
              <w:noProof/>
            </w:rPr>
            <w:tab/>
          </w:r>
          <w:r>
            <w:rPr>
              <w:noProof/>
            </w:rPr>
            <w:fldChar w:fldCharType="begin"/>
          </w:r>
          <w:r>
            <w:rPr>
              <w:noProof/>
            </w:rPr>
            <w:instrText xml:space="preserve"> PAGEREF _Toc135051673 \h </w:instrText>
          </w:r>
          <w:r>
            <w:rPr>
              <w:noProof/>
            </w:rPr>
          </w:r>
          <w:r>
            <w:rPr>
              <w:noProof/>
            </w:rPr>
            <w:fldChar w:fldCharType="separate"/>
          </w:r>
          <w:r>
            <w:rPr>
              <w:noProof/>
            </w:rPr>
            <w:t>4</w:t>
          </w:r>
          <w:r>
            <w:rPr>
              <w:noProof/>
            </w:rPr>
            <w:fldChar w:fldCharType="end"/>
          </w:r>
        </w:p>
        <w:p w14:paraId="420D61B0" w14:textId="409A3307"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4.2</w:t>
          </w:r>
          <w:r>
            <w:rPr>
              <w:rFonts w:asciiTheme="minorHAnsi" w:eastAsiaTheme="minorEastAsia" w:hAnsiTheme="minorHAnsi" w:cstheme="minorBidi"/>
              <w:noProof/>
              <w:kern w:val="2"/>
              <w:sz w:val="22"/>
              <w:lang w:val="en-US"/>
              <w14:ligatures w14:val="standardContextual"/>
            </w:rPr>
            <w:tab/>
          </w:r>
          <w:r>
            <w:rPr>
              <w:noProof/>
            </w:rPr>
            <w:t>Catadioptri</w:t>
          </w:r>
          <w:r>
            <w:rPr>
              <w:noProof/>
            </w:rPr>
            <w:tab/>
          </w:r>
          <w:r>
            <w:rPr>
              <w:noProof/>
            </w:rPr>
            <w:fldChar w:fldCharType="begin"/>
          </w:r>
          <w:r>
            <w:rPr>
              <w:noProof/>
            </w:rPr>
            <w:instrText xml:space="preserve"> PAGEREF _Toc135051674 \h </w:instrText>
          </w:r>
          <w:r>
            <w:rPr>
              <w:noProof/>
            </w:rPr>
          </w:r>
          <w:r>
            <w:rPr>
              <w:noProof/>
            </w:rPr>
            <w:fldChar w:fldCharType="separate"/>
          </w:r>
          <w:r>
            <w:rPr>
              <w:noProof/>
            </w:rPr>
            <w:t>5</w:t>
          </w:r>
          <w:r>
            <w:rPr>
              <w:noProof/>
            </w:rPr>
            <w:fldChar w:fldCharType="end"/>
          </w:r>
        </w:p>
        <w:p w14:paraId="16696279" w14:textId="1D051A47"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4.3</w:t>
          </w:r>
          <w:r>
            <w:rPr>
              <w:rFonts w:asciiTheme="minorHAnsi" w:eastAsiaTheme="minorEastAsia" w:hAnsiTheme="minorHAnsi" w:cstheme="minorBidi"/>
              <w:noProof/>
              <w:kern w:val="2"/>
              <w:sz w:val="22"/>
              <w:lang w:val="en-US"/>
              <w14:ligatures w14:val="standardContextual"/>
            </w:rPr>
            <w:tab/>
          </w:r>
          <w:r>
            <w:rPr>
              <w:noProof/>
            </w:rPr>
            <w:t>Lumini</w:t>
          </w:r>
          <w:r>
            <w:rPr>
              <w:noProof/>
            </w:rPr>
            <w:tab/>
          </w:r>
          <w:r>
            <w:rPr>
              <w:noProof/>
            </w:rPr>
            <w:fldChar w:fldCharType="begin"/>
          </w:r>
          <w:r>
            <w:rPr>
              <w:noProof/>
            </w:rPr>
            <w:instrText xml:space="preserve"> PAGEREF _Toc135051675 \h </w:instrText>
          </w:r>
          <w:r>
            <w:rPr>
              <w:noProof/>
            </w:rPr>
          </w:r>
          <w:r>
            <w:rPr>
              <w:noProof/>
            </w:rPr>
            <w:fldChar w:fldCharType="separate"/>
          </w:r>
          <w:r>
            <w:rPr>
              <w:noProof/>
            </w:rPr>
            <w:t>5</w:t>
          </w:r>
          <w:r>
            <w:rPr>
              <w:noProof/>
            </w:rPr>
            <w:fldChar w:fldCharType="end"/>
          </w:r>
        </w:p>
        <w:p w14:paraId="63F38503" w14:textId="5CA3AE41"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4.4</w:t>
          </w:r>
          <w:r>
            <w:rPr>
              <w:rFonts w:asciiTheme="minorHAnsi" w:eastAsiaTheme="minorEastAsia" w:hAnsiTheme="minorHAnsi" w:cstheme="minorBidi"/>
              <w:noProof/>
              <w:kern w:val="2"/>
              <w:sz w:val="22"/>
              <w:lang w:val="en-US"/>
              <w14:ligatures w14:val="standardContextual"/>
            </w:rPr>
            <w:tab/>
          </w:r>
          <w:r>
            <w:rPr>
              <w:noProof/>
            </w:rPr>
            <w:t>Vehicul individual personalizat din categoria L1e-A</w:t>
          </w:r>
          <w:r>
            <w:rPr>
              <w:noProof/>
            </w:rPr>
            <w:tab/>
          </w:r>
          <w:r>
            <w:rPr>
              <w:noProof/>
            </w:rPr>
            <w:fldChar w:fldCharType="begin"/>
          </w:r>
          <w:r>
            <w:rPr>
              <w:noProof/>
            </w:rPr>
            <w:instrText xml:space="preserve"> PAGEREF _Toc135051676 \h </w:instrText>
          </w:r>
          <w:r>
            <w:rPr>
              <w:noProof/>
            </w:rPr>
          </w:r>
          <w:r>
            <w:rPr>
              <w:noProof/>
            </w:rPr>
            <w:fldChar w:fldCharType="separate"/>
          </w:r>
          <w:r>
            <w:rPr>
              <w:noProof/>
            </w:rPr>
            <w:t>6</w:t>
          </w:r>
          <w:r>
            <w:rPr>
              <w:noProof/>
            </w:rPr>
            <w:fldChar w:fldCharType="end"/>
          </w:r>
        </w:p>
        <w:p w14:paraId="1042A1C1" w14:textId="351DD123" w:rsidR="002A5D75" w:rsidRDefault="002A5D75">
          <w:pPr>
            <w:pStyle w:val="TOC1"/>
            <w:rPr>
              <w:rFonts w:asciiTheme="minorHAnsi" w:eastAsiaTheme="minorEastAsia" w:hAnsiTheme="minorHAnsi" w:cstheme="minorBidi"/>
              <w:kern w:val="2"/>
              <w:sz w:val="22"/>
              <w:lang w:val="en-US"/>
              <w14:ligatures w14:val="standardContextual"/>
            </w:rPr>
          </w:pPr>
          <w:r>
            <w:t>5</w:t>
          </w:r>
          <w:r>
            <w:rPr>
              <w:rFonts w:asciiTheme="minorHAnsi" w:eastAsiaTheme="minorEastAsia" w:hAnsiTheme="minorHAnsi" w:cstheme="minorBidi"/>
              <w:kern w:val="2"/>
              <w:sz w:val="22"/>
              <w:lang w:val="en-US"/>
              <w14:ligatures w14:val="standardContextual"/>
            </w:rPr>
            <w:tab/>
          </w:r>
          <w:r>
            <w:t>REMORCILE VEHICULELOR DIN CATEGORIA L ȘI ALE BICICLETELOR</w:t>
          </w:r>
          <w:r>
            <w:tab/>
          </w:r>
          <w:r>
            <w:fldChar w:fldCharType="begin"/>
          </w:r>
          <w:r>
            <w:instrText xml:space="preserve"> PAGEREF _Toc135051677 \h </w:instrText>
          </w:r>
          <w:r>
            <w:fldChar w:fldCharType="separate"/>
          </w:r>
          <w:r>
            <w:t>6</w:t>
          </w:r>
          <w:r>
            <w:fldChar w:fldCharType="end"/>
          </w:r>
        </w:p>
        <w:p w14:paraId="67441E89" w14:textId="46FAEA42"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5.1</w:t>
          </w:r>
          <w:r>
            <w:rPr>
              <w:rFonts w:asciiTheme="minorHAnsi" w:eastAsiaTheme="minorEastAsia" w:hAnsiTheme="minorHAnsi" w:cstheme="minorBidi"/>
              <w:noProof/>
              <w:kern w:val="2"/>
              <w:sz w:val="22"/>
              <w:lang w:val="en-US"/>
              <w14:ligatures w14:val="standardContextual"/>
            </w:rPr>
            <w:tab/>
          </w:r>
          <w:r>
            <w:rPr>
              <w:noProof/>
            </w:rPr>
            <w:t>Anvelopele</w:t>
          </w:r>
          <w:r>
            <w:rPr>
              <w:noProof/>
            </w:rPr>
            <w:tab/>
          </w:r>
          <w:r>
            <w:rPr>
              <w:noProof/>
            </w:rPr>
            <w:fldChar w:fldCharType="begin"/>
          </w:r>
          <w:r>
            <w:rPr>
              <w:noProof/>
            </w:rPr>
            <w:instrText xml:space="preserve"> PAGEREF _Toc135051678 \h </w:instrText>
          </w:r>
          <w:r>
            <w:rPr>
              <w:noProof/>
            </w:rPr>
          </w:r>
          <w:r>
            <w:rPr>
              <w:noProof/>
            </w:rPr>
            <w:fldChar w:fldCharType="separate"/>
          </w:r>
          <w:r>
            <w:rPr>
              <w:noProof/>
            </w:rPr>
            <w:t>6</w:t>
          </w:r>
          <w:r>
            <w:rPr>
              <w:noProof/>
            </w:rPr>
            <w:fldChar w:fldCharType="end"/>
          </w:r>
        </w:p>
        <w:p w14:paraId="3B545B2A" w14:textId="622F475F"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lastRenderedPageBreak/>
            <w:t>5.2</w:t>
          </w:r>
          <w:r>
            <w:rPr>
              <w:rFonts w:asciiTheme="minorHAnsi" w:eastAsiaTheme="minorEastAsia" w:hAnsiTheme="minorHAnsi" w:cstheme="minorBidi"/>
              <w:noProof/>
              <w:kern w:val="2"/>
              <w:sz w:val="22"/>
              <w:lang w:val="en-US"/>
              <w14:ligatures w14:val="standardContextual"/>
            </w:rPr>
            <w:tab/>
          </w:r>
          <w:r>
            <w:rPr>
              <w:noProof/>
            </w:rPr>
            <w:t>Dispozitivele de cuplare</w:t>
          </w:r>
          <w:r>
            <w:rPr>
              <w:noProof/>
            </w:rPr>
            <w:tab/>
          </w:r>
          <w:r>
            <w:rPr>
              <w:noProof/>
            </w:rPr>
            <w:fldChar w:fldCharType="begin"/>
          </w:r>
          <w:r>
            <w:rPr>
              <w:noProof/>
            </w:rPr>
            <w:instrText xml:space="preserve"> PAGEREF _Toc135051679 \h </w:instrText>
          </w:r>
          <w:r>
            <w:rPr>
              <w:noProof/>
            </w:rPr>
          </w:r>
          <w:r>
            <w:rPr>
              <w:noProof/>
            </w:rPr>
            <w:fldChar w:fldCharType="separate"/>
          </w:r>
          <w:r>
            <w:rPr>
              <w:noProof/>
            </w:rPr>
            <w:t>6</w:t>
          </w:r>
          <w:r>
            <w:rPr>
              <w:noProof/>
            </w:rPr>
            <w:fldChar w:fldCharType="end"/>
          </w:r>
        </w:p>
        <w:p w14:paraId="2E3A3B97" w14:textId="74626176"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5.3</w:t>
          </w:r>
          <w:r>
            <w:rPr>
              <w:rFonts w:asciiTheme="minorHAnsi" w:eastAsiaTheme="minorEastAsia" w:hAnsiTheme="minorHAnsi" w:cstheme="minorBidi"/>
              <w:noProof/>
              <w:kern w:val="2"/>
              <w:sz w:val="22"/>
              <w:lang w:val="en-US"/>
              <w14:ligatures w14:val="standardContextual"/>
            </w:rPr>
            <w:tab/>
          </w:r>
          <w:r>
            <w:rPr>
              <w:noProof/>
            </w:rPr>
            <w:t>Lămpile și catadioptrii</w:t>
          </w:r>
          <w:r>
            <w:rPr>
              <w:noProof/>
            </w:rPr>
            <w:tab/>
          </w:r>
          <w:r>
            <w:rPr>
              <w:noProof/>
            </w:rPr>
            <w:fldChar w:fldCharType="begin"/>
          </w:r>
          <w:r>
            <w:rPr>
              <w:noProof/>
            </w:rPr>
            <w:instrText xml:space="preserve"> PAGEREF _Toc135051680 \h </w:instrText>
          </w:r>
          <w:r>
            <w:rPr>
              <w:noProof/>
            </w:rPr>
          </w:r>
          <w:r>
            <w:rPr>
              <w:noProof/>
            </w:rPr>
            <w:fldChar w:fldCharType="separate"/>
          </w:r>
          <w:r>
            <w:rPr>
              <w:noProof/>
            </w:rPr>
            <w:t>6</w:t>
          </w:r>
          <w:r>
            <w:rPr>
              <w:noProof/>
            </w:rPr>
            <w:fldChar w:fldCharType="end"/>
          </w:r>
        </w:p>
        <w:p w14:paraId="0B0CE7D3" w14:textId="66187421" w:rsidR="002A5D75" w:rsidRDefault="002A5D75">
          <w:pPr>
            <w:pStyle w:val="TOC3"/>
            <w:rPr>
              <w:rFonts w:asciiTheme="minorHAnsi" w:eastAsiaTheme="minorEastAsia" w:hAnsiTheme="minorHAnsi" w:cstheme="minorBidi"/>
              <w:noProof/>
              <w:kern w:val="2"/>
              <w:sz w:val="22"/>
              <w:lang w:val="en-US"/>
              <w14:ligatures w14:val="standardContextual"/>
            </w:rPr>
          </w:pPr>
          <w:r>
            <w:rPr>
              <w:noProof/>
            </w:rPr>
            <w:t>5.3.1</w:t>
          </w:r>
          <w:r>
            <w:rPr>
              <w:rFonts w:asciiTheme="minorHAnsi" w:eastAsiaTheme="minorEastAsia" w:hAnsiTheme="minorHAnsi" w:cstheme="minorBidi"/>
              <w:noProof/>
              <w:kern w:val="2"/>
              <w:sz w:val="22"/>
              <w:lang w:val="en-US"/>
              <w14:ligatures w14:val="standardContextual"/>
            </w:rPr>
            <w:tab/>
          </w:r>
          <w:r>
            <w:rPr>
              <w:noProof/>
            </w:rPr>
            <w:t>Lămpi de indicare a direcției</w:t>
          </w:r>
          <w:r>
            <w:rPr>
              <w:noProof/>
            </w:rPr>
            <w:tab/>
          </w:r>
          <w:r>
            <w:rPr>
              <w:noProof/>
            </w:rPr>
            <w:fldChar w:fldCharType="begin"/>
          </w:r>
          <w:r>
            <w:rPr>
              <w:noProof/>
            </w:rPr>
            <w:instrText xml:space="preserve"> PAGEREF _Toc135051681 \h </w:instrText>
          </w:r>
          <w:r>
            <w:rPr>
              <w:noProof/>
            </w:rPr>
          </w:r>
          <w:r>
            <w:rPr>
              <w:noProof/>
            </w:rPr>
            <w:fldChar w:fldCharType="separate"/>
          </w:r>
          <w:r>
            <w:rPr>
              <w:noProof/>
            </w:rPr>
            <w:t>7</w:t>
          </w:r>
          <w:r>
            <w:rPr>
              <w:noProof/>
            </w:rPr>
            <w:fldChar w:fldCharType="end"/>
          </w:r>
        </w:p>
        <w:p w14:paraId="09264693" w14:textId="5809A4C6" w:rsidR="002A5D75" w:rsidRPr="002A5D75" w:rsidRDefault="002A5D75">
          <w:pPr>
            <w:pStyle w:val="TOC3"/>
            <w:rPr>
              <w:rFonts w:asciiTheme="minorHAnsi" w:eastAsiaTheme="minorEastAsia" w:hAnsiTheme="minorHAnsi" w:cstheme="minorBidi"/>
              <w:noProof/>
              <w:kern w:val="2"/>
              <w:sz w:val="22"/>
              <w:lang w:val="de-DE"/>
              <w14:ligatures w14:val="standardContextual"/>
            </w:rPr>
          </w:pPr>
          <w:r>
            <w:rPr>
              <w:noProof/>
            </w:rPr>
            <w:t>5.3.2</w:t>
          </w:r>
          <w:r w:rsidRPr="002A5D75">
            <w:rPr>
              <w:rFonts w:asciiTheme="minorHAnsi" w:eastAsiaTheme="minorEastAsia" w:hAnsiTheme="minorHAnsi" w:cstheme="minorBidi"/>
              <w:noProof/>
              <w:kern w:val="2"/>
              <w:sz w:val="22"/>
              <w:lang w:val="de-DE"/>
              <w14:ligatures w14:val="standardContextual"/>
            </w:rPr>
            <w:tab/>
          </w:r>
          <w:r>
            <w:rPr>
              <w:noProof/>
            </w:rPr>
            <w:t>Lămpile de frână</w:t>
          </w:r>
          <w:r>
            <w:rPr>
              <w:noProof/>
            </w:rPr>
            <w:tab/>
          </w:r>
          <w:r>
            <w:rPr>
              <w:noProof/>
            </w:rPr>
            <w:fldChar w:fldCharType="begin"/>
          </w:r>
          <w:r>
            <w:rPr>
              <w:noProof/>
            </w:rPr>
            <w:instrText xml:space="preserve"> PAGEREF _Toc135051682 \h </w:instrText>
          </w:r>
          <w:r>
            <w:rPr>
              <w:noProof/>
            </w:rPr>
          </w:r>
          <w:r>
            <w:rPr>
              <w:noProof/>
            </w:rPr>
            <w:fldChar w:fldCharType="separate"/>
          </w:r>
          <w:r>
            <w:rPr>
              <w:noProof/>
            </w:rPr>
            <w:t>7</w:t>
          </w:r>
          <w:r>
            <w:rPr>
              <w:noProof/>
            </w:rPr>
            <w:fldChar w:fldCharType="end"/>
          </w:r>
        </w:p>
        <w:p w14:paraId="1C6E1C5E" w14:textId="62767272" w:rsidR="002A5D75" w:rsidRPr="002A5D75" w:rsidRDefault="002A5D75">
          <w:pPr>
            <w:pStyle w:val="TOC3"/>
            <w:rPr>
              <w:rFonts w:asciiTheme="minorHAnsi" w:eastAsiaTheme="minorEastAsia" w:hAnsiTheme="minorHAnsi" w:cstheme="minorBidi"/>
              <w:noProof/>
              <w:kern w:val="2"/>
              <w:sz w:val="22"/>
              <w:lang w:val="de-DE"/>
              <w14:ligatures w14:val="standardContextual"/>
            </w:rPr>
          </w:pPr>
          <w:r>
            <w:rPr>
              <w:noProof/>
            </w:rPr>
            <w:t>5.3.3</w:t>
          </w:r>
          <w:r w:rsidRPr="002A5D75">
            <w:rPr>
              <w:rFonts w:asciiTheme="minorHAnsi" w:eastAsiaTheme="minorEastAsia" w:hAnsiTheme="minorHAnsi" w:cstheme="minorBidi"/>
              <w:noProof/>
              <w:kern w:val="2"/>
              <w:sz w:val="22"/>
              <w:lang w:val="de-DE"/>
              <w14:ligatures w14:val="standardContextual"/>
            </w:rPr>
            <w:tab/>
          </w:r>
          <w:r>
            <w:rPr>
              <w:noProof/>
            </w:rPr>
            <w:t>Lămpile de poziție spate</w:t>
          </w:r>
          <w:r>
            <w:rPr>
              <w:noProof/>
            </w:rPr>
            <w:tab/>
          </w:r>
          <w:r>
            <w:rPr>
              <w:noProof/>
            </w:rPr>
            <w:fldChar w:fldCharType="begin"/>
          </w:r>
          <w:r>
            <w:rPr>
              <w:noProof/>
            </w:rPr>
            <w:instrText xml:space="preserve"> PAGEREF _Toc135051683 \h </w:instrText>
          </w:r>
          <w:r>
            <w:rPr>
              <w:noProof/>
            </w:rPr>
          </w:r>
          <w:r>
            <w:rPr>
              <w:noProof/>
            </w:rPr>
            <w:fldChar w:fldCharType="separate"/>
          </w:r>
          <w:r>
            <w:rPr>
              <w:noProof/>
            </w:rPr>
            <w:t>7</w:t>
          </w:r>
          <w:r>
            <w:rPr>
              <w:noProof/>
            </w:rPr>
            <w:fldChar w:fldCharType="end"/>
          </w:r>
        </w:p>
        <w:p w14:paraId="47430702" w14:textId="366E9AB7" w:rsidR="002A5D75" w:rsidRDefault="002A5D75">
          <w:pPr>
            <w:pStyle w:val="TOC3"/>
            <w:rPr>
              <w:rFonts w:asciiTheme="minorHAnsi" w:eastAsiaTheme="minorEastAsia" w:hAnsiTheme="minorHAnsi" w:cstheme="minorBidi"/>
              <w:noProof/>
              <w:kern w:val="2"/>
              <w:sz w:val="22"/>
              <w:lang w:val="en-US"/>
              <w14:ligatures w14:val="standardContextual"/>
            </w:rPr>
          </w:pPr>
          <w:r>
            <w:rPr>
              <w:noProof/>
            </w:rPr>
            <w:t>5.3.4</w:t>
          </w:r>
          <w:r>
            <w:rPr>
              <w:rFonts w:asciiTheme="minorHAnsi" w:eastAsiaTheme="minorEastAsia" w:hAnsiTheme="minorHAnsi" w:cstheme="minorBidi"/>
              <w:noProof/>
              <w:kern w:val="2"/>
              <w:sz w:val="22"/>
              <w:lang w:val="en-US"/>
              <w14:ligatures w14:val="standardContextual"/>
            </w:rPr>
            <w:tab/>
          </w:r>
          <w:r>
            <w:rPr>
              <w:noProof/>
            </w:rPr>
            <w:t>Catadioptri</w:t>
          </w:r>
          <w:r>
            <w:rPr>
              <w:noProof/>
            </w:rPr>
            <w:tab/>
          </w:r>
          <w:r>
            <w:rPr>
              <w:noProof/>
            </w:rPr>
            <w:fldChar w:fldCharType="begin"/>
          </w:r>
          <w:r>
            <w:rPr>
              <w:noProof/>
            </w:rPr>
            <w:instrText xml:space="preserve"> PAGEREF _Toc135051684 \h </w:instrText>
          </w:r>
          <w:r>
            <w:rPr>
              <w:noProof/>
            </w:rPr>
          </w:r>
          <w:r>
            <w:rPr>
              <w:noProof/>
            </w:rPr>
            <w:fldChar w:fldCharType="separate"/>
          </w:r>
          <w:r>
            <w:rPr>
              <w:noProof/>
            </w:rPr>
            <w:t>7</w:t>
          </w:r>
          <w:r>
            <w:rPr>
              <w:noProof/>
            </w:rPr>
            <w:fldChar w:fldCharType="end"/>
          </w:r>
        </w:p>
        <w:p w14:paraId="7170AECA" w14:textId="3DE0F0E0"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5.4</w:t>
          </w:r>
          <w:r>
            <w:rPr>
              <w:rFonts w:asciiTheme="minorHAnsi" w:eastAsiaTheme="minorEastAsia" w:hAnsiTheme="minorHAnsi" w:cstheme="minorBidi"/>
              <w:noProof/>
              <w:kern w:val="2"/>
              <w:sz w:val="22"/>
              <w:lang w:val="en-US"/>
              <w14:ligatures w14:val="standardContextual"/>
            </w:rPr>
            <w:tab/>
          </w:r>
          <w:r>
            <w:rPr>
              <w:noProof/>
            </w:rPr>
            <w:t>Indicatorul pentru vehiculele care se deplasează cu viteză mică</w:t>
          </w:r>
          <w:r>
            <w:rPr>
              <w:noProof/>
            </w:rPr>
            <w:tab/>
          </w:r>
          <w:r>
            <w:rPr>
              <w:noProof/>
            </w:rPr>
            <w:fldChar w:fldCharType="begin"/>
          </w:r>
          <w:r>
            <w:rPr>
              <w:noProof/>
            </w:rPr>
            <w:instrText xml:space="preserve"> PAGEREF _Toc135051685 \h </w:instrText>
          </w:r>
          <w:r>
            <w:rPr>
              <w:noProof/>
            </w:rPr>
          </w:r>
          <w:r>
            <w:rPr>
              <w:noProof/>
            </w:rPr>
            <w:fldChar w:fldCharType="separate"/>
          </w:r>
          <w:r>
            <w:rPr>
              <w:noProof/>
            </w:rPr>
            <w:t>8</w:t>
          </w:r>
          <w:r>
            <w:rPr>
              <w:noProof/>
            </w:rPr>
            <w:fldChar w:fldCharType="end"/>
          </w:r>
        </w:p>
        <w:p w14:paraId="0AEE7E23" w14:textId="14B4A943"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5.5</w:t>
          </w:r>
          <w:r>
            <w:rPr>
              <w:rFonts w:asciiTheme="minorHAnsi" w:eastAsiaTheme="minorEastAsia" w:hAnsiTheme="minorHAnsi" w:cstheme="minorBidi"/>
              <w:noProof/>
              <w:kern w:val="2"/>
              <w:sz w:val="22"/>
              <w:lang w:val="en-US"/>
              <w14:ligatures w14:val="standardContextual"/>
            </w:rPr>
            <w:tab/>
          </w:r>
          <w:r>
            <w:rPr>
              <w:noProof/>
            </w:rPr>
            <w:t>Apărătorile</w:t>
          </w:r>
          <w:r>
            <w:rPr>
              <w:noProof/>
            </w:rPr>
            <w:tab/>
          </w:r>
          <w:r>
            <w:rPr>
              <w:noProof/>
            </w:rPr>
            <w:fldChar w:fldCharType="begin"/>
          </w:r>
          <w:r>
            <w:rPr>
              <w:noProof/>
            </w:rPr>
            <w:instrText xml:space="preserve"> PAGEREF _Toc135051686 \h </w:instrText>
          </w:r>
          <w:r>
            <w:rPr>
              <w:noProof/>
            </w:rPr>
          </w:r>
          <w:r>
            <w:rPr>
              <w:noProof/>
            </w:rPr>
            <w:fldChar w:fldCharType="separate"/>
          </w:r>
          <w:r>
            <w:rPr>
              <w:noProof/>
            </w:rPr>
            <w:t>8</w:t>
          </w:r>
          <w:r>
            <w:rPr>
              <w:noProof/>
            </w:rPr>
            <w:fldChar w:fldCharType="end"/>
          </w:r>
        </w:p>
        <w:p w14:paraId="7A69B6D7" w14:textId="0AEF8B0D" w:rsidR="002A5D75" w:rsidRDefault="002A5D75">
          <w:pPr>
            <w:pStyle w:val="TOC1"/>
            <w:rPr>
              <w:rFonts w:asciiTheme="minorHAnsi" w:eastAsiaTheme="minorEastAsia" w:hAnsiTheme="minorHAnsi" w:cstheme="minorBidi"/>
              <w:kern w:val="2"/>
              <w:sz w:val="22"/>
              <w:lang w:val="en-US"/>
              <w14:ligatures w14:val="standardContextual"/>
            </w:rPr>
          </w:pPr>
          <w:r>
            <w:t>6</w:t>
          </w:r>
          <w:r>
            <w:rPr>
              <w:rFonts w:asciiTheme="minorHAnsi" w:eastAsiaTheme="minorEastAsia" w:hAnsiTheme="minorHAnsi" w:cstheme="minorBidi"/>
              <w:kern w:val="2"/>
              <w:sz w:val="22"/>
              <w:lang w:val="en-US"/>
              <w14:ligatures w14:val="standardContextual"/>
            </w:rPr>
            <w:tab/>
          </w:r>
          <w:r>
            <w:t>VEHICUL ELECTRIC UȘOR</w:t>
          </w:r>
          <w:r>
            <w:tab/>
          </w:r>
          <w:r>
            <w:fldChar w:fldCharType="begin"/>
          </w:r>
          <w:r>
            <w:instrText xml:space="preserve"> PAGEREF _Toc135051687 \h </w:instrText>
          </w:r>
          <w:r>
            <w:fldChar w:fldCharType="separate"/>
          </w:r>
          <w:r>
            <w:t>8</w:t>
          </w:r>
          <w:r>
            <w:fldChar w:fldCharType="end"/>
          </w:r>
        </w:p>
        <w:p w14:paraId="449843CD" w14:textId="41AF5C56" w:rsidR="002A5D75" w:rsidRDefault="002A5D75">
          <w:pPr>
            <w:pStyle w:val="TOC1"/>
            <w:rPr>
              <w:rFonts w:asciiTheme="minorHAnsi" w:eastAsiaTheme="minorEastAsia" w:hAnsiTheme="minorHAnsi" w:cstheme="minorBidi"/>
              <w:kern w:val="2"/>
              <w:sz w:val="22"/>
              <w:lang w:val="en-US"/>
              <w14:ligatures w14:val="standardContextual"/>
            </w:rPr>
          </w:pPr>
          <w:r>
            <w:t>7</w:t>
          </w:r>
          <w:r>
            <w:rPr>
              <w:rFonts w:asciiTheme="minorHAnsi" w:eastAsiaTheme="minorEastAsia" w:hAnsiTheme="minorHAnsi" w:cstheme="minorBidi"/>
              <w:kern w:val="2"/>
              <w:sz w:val="22"/>
              <w:lang w:val="en-US"/>
              <w14:ligatures w14:val="standardContextual"/>
            </w:rPr>
            <w:tab/>
          </w:r>
          <w:r>
            <w:t>VEHICUL UȘOR AUTONOM DE TRANSPORT DE MĂRFURI</w:t>
          </w:r>
          <w:r>
            <w:tab/>
          </w:r>
          <w:r>
            <w:fldChar w:fldCharType="begin"/>
          </w:r>
          <w:r>
            <w:instrText xml:space="preserve"> PAGEREF _Toc135051688 \h </w:instrText>
          </w:r>
          <w:r>
            <w:fldChar w:fldCharType="separate"/>
          </w:r>
          <w:r>
            <w:t>8</w:t>
          </w:r>
          <w:r>
            <w:fldChar w:fldCharType="end"/>
          </w:r>
        </w:p>
        <w:p w14:paraId="206DE651" w14:textId="72DF1EA0" w:rsidR="002A5D75" w:rsidRPr="002A5D75" w:rsidRDefault="002A5D75">
          <w:pPr>
            <w:pStyle w:val="TOC2"/>
            <w:rPr>
              <w:rFonts w:asciiTheme="minorHAnsi" w:eastAsiaTheme="minorEastAsia" w:hAnsiTheme="minorHAnsi" w:cstheme="minorBidi"/>
              <w:noProof/>
              <w:kern w:val="2"/>
              <w:sz w:val="22"/>
              <w:lang w:val="de-DE"/>
              <w14:ligatures w14:val="standardContextual"/>
            </w:rPr>
          </w:pPr>
          <w:r w:rsidRPr="00DD60A1">
            <w:rPr>
              <w:rFonts w:cs="Times New Roman"/>
              <w:noProof/>
              <w14:scene3d>
                <w14:camera w14:prst="orthographicFront"/>
                <w14:lightRig w14:rig="threePt" w14:dir="t">
                  <w14:rot w14:lat="0" w14:lon="0" w14:rev="0"/>
                </w14:lightRig>
              </w14:scene3d>
            </w:rPr>
            <w:t>7.1</w:t>
          </w:r>
          <w:r w:rsidRPr="002A5D75">
            <w:rPr>
              <w:rFonts w:asciiTheme="minorHAnsi" w:eastAsiaTheme="minorEastAsia" w:hAnsiTheme="minorHAnsi" w:cstheme="minorBidi"/>
              <w:noProof/>
              <w:kern w:val="2"/>
              <w:sz w:val="22"/>
              <w:lang w:val="de-DE"/>
              <w14:ligatures w14:val="standardContextual"/>
            </w:rPr>
            <w:tab/>
          </w:r>
          <w:r>
            <w:rPr>
              <w:noProof/>
            </w:rPr>
            <w:t>Dimensiuni și mase</w:t>
          </w:r>
          <w:r>
            <w:rPr>
              <w:noProof/>
            </w:rPr>
            <w:tab/>
          </w:r>
          <w:r>
            <w:rPr>
              <w:noProof/>
            </w:rPr>
            <w:fldChar w:fldCharType="begin"/>
          </w:r>
          <w:r>
            <w:rPr>
              <w:noProof/>
            </w:rPr>
            <w:instrText xml:space="preserve"> PAGEREF _Toc135051689 \h </w:instrText>
          </w:r>
          <w:r>
            <w:rPr>
              <w:noProof/>
            </w:rPr>
          </w:r>
          <w:r>
            <w:rPr>
              <w:noProof/>
            </w:rPr>
            <w:fldChar w:fldCharType="separate"/>
          </w:r>
          <w:r>
            <w:rPr>
              <w:noProof/>
            </w:rPr>
            <w:t>8</w:t>
          </w:r>
          <w:r>
            <w:rPr>
              <w:noProof/>
            </w:rPr>
            <w:fldChar w:fldCharType="end"/>
          </w:r>
        </w:p>
        <w:p w14:paraId="332978E9" w14:textId="4085CD70" w:rsidR="002A5D75" w:rsidRPr="002A5D75" w:rsidRDefault="002A5D75">
          <w:pPr>
            <w:pStyle w:val="TOC2"/>
            <w:rPr>
              <w:rFonts w:asciiTheme="minorHAnsi" w:eastAsiaTheme="minorEastAsia" w:hAnsiTheme="minorHAnsi" w:cstheme="minorBidi"/>
              <w:noProof/>
              <w:kern w:val="2"/>
              <w:sz w:val="22"/>
              <w:lang w:val="de-DE"/>
              <w14:ligatures w14:val="standardContextual"/>
            </w:rPr>
          </w:pPr>
          <w:r w:rsidRPr="00DD60A1">
            <w:rPr>
              <w:rFonts w:cs="Times New Roman"/>
              <w:noProof/>
              <w14:scene3d>
                <w14:camera w14:prst="orthographicFront"/>
                <w14:lightRig w14:rig="threePt" w14:dir="t">
                  <w14:rot w14:lat="0" w14:lon="0" w14:rev="0"/>
                </w14:lightRig>
              </w14:scene3d>
            </w:rPr>
            <w:t>7.2</w:t>
          </w:r>
          <w:r w:rsidRPr="002A5D75">
            <w:rPr>
              <w:rFonts w:asciiTheme="minorHAnsi" w:eastAsiaTheme="minorEastAsia" w:hAnsiTheme="minorHAnsi" w:cstheme="minorBidi"/>
              <w:noProof/>
              <w:kern w:val="2"/>
              <w:sz w:val="22"/>
              <w:lang w:val="de-DE"/>
              <w14:ligatures w14:val="standardContextual"/>
            </w:rPr>
            <w:tab/>
          </w:r>
          <w:r>
            <w:rPr>
              <w:noProof/>
            </w:rPr>
            <w:t>Frânele de serviciu</w:t>
          </w:r>
          <w:r>
            <w:rPr>
              <w:noProof/>
            </w:rPr>
            <w:tab/>
          </w:r>
          <w:r>
            <w:rPr>
              <w:noProof/>
            </w:rPr>
            <w:fldChar w:fldCharType="begin"/>
          </w:r>
          <w:r>
            <w:rPr>
              <w:noProof/>
            </w:rPr>
            <w:instrText xml:space="preserve"> PAGEREF _Toc135051690 \h </w:instrText>
          </w:r>
          <w:r>
            <w:rPr>
              <w:noProof/>
            </w:rPr>
          </w:r>
          <w:r>
            <w:rPr>
              <w:noProof/>
            </w:rPr>
            <w:fldChar w:fldCharType="separate"/>
          </w:r>
          <w:r>
            <w:rPr>
              <w:noProof/>
            </w:rPr>
            <w:t>9</w:t>
          </w:r>
          <w:r>
            <w:rPr>
              <w:noProof/>
            </w:rPr>
            <w:fldChar w:fldCharType="end"/>
          </w:r>
        </w:p>
        <w:p w14:paraId="5910410F" w14:textId="3C49FEE4"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7.3</w:t>
          </w:r>
          <w:r>
            <w:rPr>
              <w:rFonts w:asciiTheme="minorHAnsi" w:eastAsiaTheme="minorEastAsia" w:hAnsiTheme="minorHAnsi" w:cstheme="minorBidi"/>
              <w:noProof/>
              <w:kern w:val="2"/>
              <w:sz w:val="22"/>
              <w:lang w:val="en-US"/>
              <w14:ligatures w14:val="standardContextual"/>
            </w:rPr>
            <w:tab/>
          </w:r>
          <w:r>
            <w:rPr>
              <w:noProof/>
            </w:rPr>
            <w:t>Lumini</w:t>
          </w:r>
          <w:r>
            <w:rPr>
              <w:noProof/>
            </w:rPr>
            <w:tab/>
          </w:r>
          <w:r>
            <w:rPr>
              <w:noProof/>
            </w:rPr>
            <w:fldChar w:fldCharType="begin"/>
          </w:r>
          <w:r>
            <w:rPr>
              <w:noProof/>
            </w:rPr>
            <w:instrText xml:space="preserve"> PAGEREF _Toc135051691 \h </w:instrText>
          </w:r>
          <w:r>
            <w:rPr>
              <w:noProof/>
            </w:rPr>
          </w:r>
          <w:r>
            <w:rPr>
              <w:noProof/>
            </w:rPr>
            <w:fldChar w:fldCharType="separate"/>
          </w:r>
          <w:r>
            <w:rPr>
              <w:noProof/>
            </w:rPr>
            <w:t>9</w:t>
          </w:r>
          <w:r>
            <w:rPr>
              <w:noProof/>
            </w:rPr>
            <w:fldChar w:fldCharType="end"/>
          </w:r>
        </w:p>
        <w:p w14:paraId="5F9CC20D" w14:textId="6FA20615"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7.4</w:t>
          </w:r>
          <w:r>
            <w:rPr>
              <w:rFonts w:asciiTheme="minorHAnsi" w:eastAsiaTheme="minorEastAsia" w:hAnsiTheme="minorHAnsi" w:cstheme="minorBidi"/>
              <w:noProof/>
              <w:kern w:val="2"/>
              <w:sz w:val="22"/>
              <w:lang w:val="en-US"/>
              <w14:ligatures w14:val="standardContextual"/>
            </w:rPr>
            <w:tab/>
          </w:r>
          <w:r>
            <w:rPr>
              <w:noProof/>
            </w:rPr>
            <w:t>Catadioptri</w:t>
          </w:r>
          <w:r>
            <w:rPr>
              <w:noProof/>
            </w:rPr>
            <w:tab/>
          </w:r>
          <w:r>
            <w:rPr>
              <w:noProof/>
            </w:rPr>
            <w:fldChar w:fldCharType="begin"/>
          </w:r>
          <w:r>
            <w:rPr>
              <w:noProof/>
            </w:rPr>
            <w:instrText xml:space="preserve"> PAGEREF _Toc135051692 \h </w:instrText>
          </w:r>
          <w:r>
            <w:rPr>
              <w:noProof/>
            </w:rPr>
          </w:r>
          <w:r>
            <w:rPr>
              <w:noProof/>
            </w:rPr>
            <w:fldChar w:fldCharType="separate"/>
          </w:r>
          <w:r>
            <w:rPr>
              <w:noProof/>
            </w:rPr>
            <w:t>10</w:t>
          </w:r>
          <w:r>
            <w:rPr>
              <w:noProof/>
            </w:rPr>
            <w:fldChar w:fldCharType="end"/>
          </w:r>
        </w:p>
        <w:p w14:paraId="1BCD5241" w14:textId="11E27E83" w:rsidR="002A5D75" w:rsidRDefault="002A5D75">
          <w:pPr>
            <w:pStyle w:val="TOC2"/>
            <w:rPr>
              <w:rFonts w:asciiTheme="minorHAnsi" w:eastAsiaTheme="minorEastAsia" w:hAnsiTheme="minorHAnsi" w:cstheme="minorBidi"/>
              <w:noProof/>
              <w:kern w:val="2"/>
              <w:sz w:val="22"/>
              <w:lang w:val="en-US"/>
              <w14:ligatures w14:val="standardContextual"/>
            </w:rPr>
          </w:pPr>
          <w:r w:rsidRPr="00DD60A1">
            <w:rPr>
              <w:rFonts w:cs="Times New Roman"/>
              <w:noProof/>
              <w14:scene3d>
                <w14:camera w14:prst="orthographicFront"/>
                <w14:lightRig w14:rig="threePt" w14:dir="t">
                  <w14:rot w14:lat="0" w14:lon="0" w14:rev="0"/>
                </w14:lightRig>
              </w14:scene3d>
            </w:rPr>
            <w:t>7.5</w:t>
          </w:r>
          <w:r>
            <w:rPr>
              <w:rFonts w:asciiTheme="minorHAnsi" w:eastAsiaTheme="minorEastAsia" w:hAnsiTheme="minorHAnsi" w:cstheme="minorBidi"/>
              <w:noProof/>
              <w:kern w:val="2"/>
              <w:sz w:val="22"/>
              <w:lang w:val="en-US"/>
              <w14:ligatures w14:val="standardContextual"/>
            </w:rPr>
            <w:tab/>
          </w:r>
          <w:r>
            <w:rPr>
              <w:noProof/>
            </w:rPr>
            <w:t>Dispozitiv de avertizare sonoră</w:t>
          </w:r>
          <w:r>
            <w:rPr>
              <w:noProof/>
            </w:rPr>
            <w:tab/>
          </w:r>
          <w:r>
            <w:rPr>
              <w:noProof/>
            </w:rPr>
            <w:fldChar w:fldCharType="begin"/>
          </w:r>
          <w:r>
            <w:rPr>
              <w:noProof/>
            </w:rPr>
            <w:instrText xml:space="preserve"> PAGEREF _Toc135051693 \h </w:instrText>
          </w:r>
          <w:r>
            <w:rPr>
              <w:noProof/>
            </w:rPr>
          </w:r>
          <w:r>
            <w:rPr>
              <w:noProof/>
            </w:rPr>
            <w:fldChar w:fldCharType="separate"/>
          </w:r>
          <w:r>
            <w:rPr>
              <w:noProof/>
            </w:rPr>
            <w:t>10</w:t>
          </w:r>
          <w:r>
            <w:rPr>
              <w:noProof/>
            </w:rPr>
            <w:fldChar w:fldCharType="end"/>
          </w:r>
        </w:p>
        <w:p w14:paraId="2ED93FD0" w14:textId="06C2C74A" w:rsidR="002A5D75" w:rsidRDefault="002A5D75">
          <w:pPr>
            <w:pStyle w:val="TOC1"/>
            <w:rPr>
              <w:rFonts w:asciiTheme="minorHAnsi" w:eastAsiaTheme="minorEastAsia" w:hAnsiTheme="minorHAnsi" w:cstheme="minorBidi"/>
              <w:kern w:val="2"/>
              <w:sz w:val="22"/>
              <w:lang w:val="en-US"/>
              <w14:ligatures w14:val="standardContextual"/>
            </w:rPr>
          </w:pPr>
          <w:r>
            <w:t>8</w:t>
          </w:r>
          <w:r>
            <w:rPr>
              <w:rFonts w:asciiTheme="minorHAnsi" w:eastAsiaTheme="minorEastAsia" w:hAnsiTheme="minorHAnsi" w:cstheme="minorBidi"/>
              <w:kern w:val="2"/>
              <w:sz w:val="22"/>
              <w:lang w:val="en-US"/>
              <w14:ligatures w14:val="standardContextual"/>
            </w:rPr>
            <w:tab/>
          </w:r>
          <w:r>
            <w:t>VALORILE-LIMITĂ DE ZGOMOT ȘI DE EMISIE APLICABILE PENTRU OMOLOGAREA BICICLETELOR, A VEHICULELOR UȘOARE AUTONOME DE TRANSPORT DE MĂRFURI, A VEHICULELOR ELECTRICE ȘI A BICICLETELOR CU MOTOR PERSONALIZAT</w:t>
          </w:r>
          <w:r>
            <w:tab/>
          </w:r>
          <w:r>
            <w:fldChar w:fldCharType="begin"/>
          </w:r>
          <w:r>
            <w:instrText xml:space="preserve"> PAGEREF _Toc135051694 \h </w:instrText>
          </w:r>
          <w:r>
            <w:fldChar w:fldCharType="separate"/>
          </w:r>
          <w:r>
            <w:t>10</w:t>
          </w:r>
          <w:r>
            <w:fldChar w:fldCharType="end"/>
          </w:r>
        </w:p>
        <w:p w14:paraId="5F71CAE1" w14:textId="11B383A7" w:rsidR="002A5D75" w:rsidRDefault="002A5D75">
          <w:pPr>
            <w:pStyle w:val="TOC1"/>
            <w:rPr>
              <w:rFonts w:asciiTheme="minorHAnsi" w:eastAsiaTheme="minorEastAsia" w:hAnsiTheme="minorHAnsi" w:cstheme="minorBidi"/>
              <w:kern w:val="2"/>
              <w:sz w:val="22"/>
              <w:lang w:val="en-US"/>
              <w14:ligatures w14:val="standardContextual"/>
            </w:rPr>
          </w:pPr>
          <w:r>
            <w:t>9</w:t>
          </w:r>
          <w:r>
            <w:rPr>
              <w:rFonts w:asciiTheme="minorHAnsi" w:eastAsiaTheme="minorEastAsia" w:hAnsiTheme="minorHAnsi" w:cstheme="minorBidi"/>
              <w:kern w:val="2"/>
              <w:sz w:val="22"/>
              <w:lang w:val="en-US"/>
              <w14:ligatures w14:val="standardContextual"/>
            </w:rPr>
            <w:tab/>
          </w:r>
          <w:r>
            <w:t>CONFORMITATEA ELIMINĂRII VEHICULELOR ȘI A ANUMITOR ALTOR VEHICULE</w:t>
          </w:r>
          <w:r>
            <w:tab/>
          </w:r>
          <w:r>
            <w:fldChar w:fldCharType="begin"/>
          </w:r>
          <w:r>
            <w:instrText xml:space="preserve"> PAGEREF _Toc135051695 \h </w:instrText>
          </w:r>
          <w:r>
            <w:fldChar w:fldCharType="separate"/>
          </w:r>
          <w:r>
            <w:t>10</w:t>
          </w:r>
          <w:r>
            <w:fldChar w:fldCharType="end"/>
          </w:r>
        </w:p>
        <w:p w14:paraId="2B80FC0C" w14:textId="3FFF9C97" w:rsidR="002A5D75" w:rsidRDefault="002A5D75">
          <w:pPr>
            <w:pStyle w:val="TOC1"/>
            <w:rPr>
              <w:rFonts w:asciiTheme="minorHAnsi" w:eastAsiaTheme="minorEastAsia" w:hAnsiTheme="minorHAnsi" w:cstheme="minorBidi"/>
              <w:kern w:val="2"/>
              <w:sz w:val="22"/>
              <w:lang w:val="en-US"/>
              <w14:ligatures w14:val="standardContextual"/>
            </w:rPr>
          </w:pPr>
          <w:r w:rsidRPr="002A5D75">
            <w:rPr>
              <w:color w:val="000000"/>
            </w:rPr>
            <w:t>Anexă</w:t>
          </w:r>
          <w:r>
            <w:rPr>
              <w:color w:val="000000"/>
            </w:rPr>
            <w:t xml:space="preserve"> </w:t>
          </w:r>
          <w:r w:rsidRPr="00DD60A1">
            <w:rPr>
              <w:color w:val="000000"/>
            </w:rPr>
            <w:t>1</w:t>
          </w:r>
          <w:r>
            <w:rPr>
              <w:rFonts w:asciiTheme="minorHAnsi" w:eastAsiaTheme="minorEastAsia" w:hAnsiTheme="minorHAnsi" w:cstheme="minorBidi"/>
              <w:kern w:val="2"/>
              <w:sz w:val="22"/>
              <w:lang w:val="en-US"/>
              <w14:ligatures w14:val="standardContextual"/>
            </w:rPr>
            <w:tab/>
          </w:r>
          <w:r>
            <w:t>Derogări naționale pentru vehiculele din categoria L</w:t>
          </w:r>
          <w:r>
            <w:tab/>
          </w:r>
          <w:r>
            <w:fldChar w:fldCharType="begin"/>
          </w:r>
          <w:r>
            <w:instrText xml:space="preserve"> PAGEREF _Toc135051696 \h </w:instrText>
          </w:r>
          <w:r>
            <w:fldChar w:fldCharType="separate"/>
          </w:r>
          <w:r>
            <w:t>12</w:t>
          </w:r>
          <w:r>
            <w:fldChar w:fldCharType="end"/>
          </w:r>
        </w:p>
        <w:p w14:paraId="70E450DF" w14:textId="0E5217D4" w:rsidR="00D32EE1" w:rsidRDefault="00DC3497" w:rsidP="009A7A61">
          <w:pPr>
            <w:pStyle w:val="TOC1"/>
          </w:pPr>
          <w:r>
            <w:fldChar w:fldCharType="end"/>
          </w:r>
        </w:p>
      </w:sdtContent>
    </w:sdt>
    <w:p w14:paraId="70E450E0" w14:textId="4936EEFE" w:rsidR="006728BE" w:rsidRPr="00F21BCF" w:rsidRDefault="00767E10" w:rsidP="00767E10">
      <w:pPr>
        <w:pStyle w:val="TrafiAsiaotsikko"/>
        <w:tabs>
          <w:tab w:val="left" w:pos="3023"/>
        </w:tabs>
        <w:rPr>
          <w:b w:val="0"/>
          <w:bCs/>
          <w:noProof/>
          <w:szCs w:val="20"/>
        </w:rPr>
      </w:pPr>
      <w:r>
        <w:tab/>
      </w:r>
      <w:r>
        <w:br/>
      </w:r>
    </w:p>
    <w:p w14:paraId="70E450E1" w14:textId="78481C25" w:rsidR="007E1100" w:rsidRDefault="00B357E0" w:rsidP="004F1FFD">
      <w:pPr>
        <w:pStyle w:val="Heading1"/>
      </w:pPr>
      <w:bookmarkStart w:id="0" w:name="_Toc135051661"/>
      <w:r>
        <w:t>Informații generale</w:t>
      </w:r>
      <w:bookmarkEnd w:id="0"/>
    </w:p>
    <w:p w14:paraId="14369FCD" w14:textId="7FAFA37C" w:rsidR="00B357E0" w:rsidRDefault="00B357E0" w:rsidP="00B357E0">
      <w:pPr>
        <w:pStyle w:val="Heading2"/>
      </w:pPr>
      <w:bookmarkStart w:id="1" w:name="_Toc135051662"/>
      <w:r>
        <w:t>Scopul regulamentului</w:t>
      </w:r>
      <w:bookmarkEnd w:id="1"/>
    </w:p>
    <w:p w14:paraId="0E9D2F07" w14:textId="3835BB31" w:rsidR="00B357E0" w:rsidRPr="00B357E0" w:rsidRDefault="00B357E0" w:rsidP="00B357E0">
      <w:pPr>
        <w:pStyle w:val="BodyText"/>
      </w:pPr>
      <w:r>
        <w:t>Prin prezentul regulament, Agenția finlandeză pentru siguranța transporturilor emite următoarele, în temeiul Legii privind vehiculele (82/2021):</w:t>
      </w:r>
    </w:p>
    <w:p w14:paraId="3F21D1D2" w14:textId="7D9F07F0" w:rsidR="00B357E0" w:rsidRPr="00B357E0" w:rsidRDefault="003A0EA8" w:rsidP="003A0EA8">
      <w:pPr>
        <w:pStyle w:val="BodyText"/>
        <w:numPr>
          <w:ilvl w:val="0"/>
          <w:numId w:val="22"/>
        </w:numPr>
      </w:pPr>
      <w:r>
        <w:t>dispozițiile menționate la articolul 13 alineatul (3) privind cerințele pentru construcția, caracteristicile, dispozitivele de comandă și echipamentele autovehiculelor cu două și trei roți, ale cvadriciclurilor, ale remorcilor acestora și ale vehiculelor electrice ușoare, cerințele privind numărul de identificare al vehiculului și plăcuța producătorului, precum și sistemele, componentele, unitățile tehnice separate, piesele și echipamentele;</w:t>
      </w:r>
    </w:p>
    <w:p w14:paraId="0F7B3A90" w14:textId="6E3AF6A0" w:rsidR="00B357E0" w:rsidRPr="00B357E0" w:rsidRDefault="00F21BCF" w:rsidP="003A0EA8">
      <w:pPr>
        <w:pStyle w:val="BodyText"/>
        <w:numPr>
          <w:ilvl w:val="0"/>
          <w:numId w:val="22"/>
        </w:numPr>
      </w:pPr>
      <w:r>
        <w:t>dispozițiile suplimentare menționate la articolul 16 privind cerințele tehnice pentru componente și caracteristici în legătură cu limitarea impactului vehiculelor din categoria L asupra energiei și mediului;</w:t>
      </w:r>
    </w:p>
    <w:p w14:paraId="05824E8E" w14:textId="12591CD2" w:rsidR="00B357E0" w:rsidRPr="00B357E0" w:rsidRDefault="008522A5" w:rsidP="003A0EA8">
      <w:pPr>
        <w:pStyle w:val="BodyText"/>
        <w:numPr>
          <w:ilvl w:val="0"/>
          <w:numId w:val="22"/>
        </w:numPr>
      </w:pPr>
      <w:r>
        <w:t>regulamentele suplimentare menționate la articolul 49 privind punerea în practică a procedurilor care trebuie urmate la demonstrarea conformității în contextul omologărilor naționale de tip în serii mici ale vehiculelor din categoria L;</w:t>
      </w:r>
    </w:p>
    <w:p w14:paraId="730C3F73" w14:textId="04893C0A" w:rsidR="00B357E0" w:rsidRPr="00B357E0" w:rsidRDefault="005D7469" w:rsidP="003A0EA8">
      <w:pPr>
        <w:pStyle w:val="BodyText"/>
        <w:numPr>
          <w:ilvl w:val="0"/>
          <w:numId w:val="22"/>
        </w:numPr>
      </w:pPr>
      <w:r>
        <w:lastRenderedPageBreak/>
        <w:t>dispozițiile suplimentare menționate la articolul 139 alineatul (5), referitoare la punerea în practică a demonstrării conformității unui vehicul din categoria L în cadrul inspecției de înmatriculare;</w:t>
      </w:r>
    </w:p>
    <w:p w14:paraId="274EFE2E" w14:textId="77777777" w:rsidR="004E01F1" w:rsidRDefault="005D7469" w:rsidP="5803D006">
      <w:pPr>
        <w:pStyle w:val="BodyText"/>
        <w:numPr>
          <w:ilvl w:val="0"/>
          <w:numId w:val="22"/>
        </w:numPr>
      </w:pPr>
      <w:r>
        <w:t>dispozițiile suplimentare menționate la articolul 144 alineatul (2), referitoare la punerea în practică a demonstrării conformității unui vehicul din categoria L în cadrul inspecțiilor de modificare;</w:t>
      </w:r>
    </w:p>
    <w:p w14:paraId="016CBC12" w14:textId="4C606F95" w:rsidR="00B357E0" w:rsidRPr="00B357E0" w:rsidRDefault="004E01F1" w:rsidP="004E01F1">
      <w:pPr>
        <w:pStyle w:val="BodyText"/>
        <w:numPr>
          <w:ilvl w:val="0"/>
          <w:numId w:val="22"/>
        </w:numPr>
      </w:pPr>
      <w:r>
        <w:t>dispozițiile suplimentare menționate la articolul 29 alineatul (2) privind dimensiunile, masele, luminile, reflectoarele, dispozitivele de avertizare sonoră și frânele unui vehicul ușor autonom de transport de mărfuri.</w:t>
      </w:r>
    </w:p>
    <w:p w14:paraId="1BCBF1F0" w14:textId="72D69104" w:rsidR="00B357E0" w:rsidRDefault="00B357E0" w:rsidP="00B357E0">
      <w:pPr>
        <w:pStyle w:val="Heading2"/>
      </w:pPr>
      <w:bookmarkStart w:id="2" w:name="_Toc135051663"/>
      <w:r>
        <w:t>Domeniul de aplicare</w:t>
      </w:r>
      <w:bookmarkEnd w:id="2"/>
    </w:p>
    <w:p w14:paraId="7A0D3F14" w14:textId="40A71406" w:rsidR="00B357E0" w:rsidRDefault="00B357E0" w:rsidP="00B357E0">
      <w:pPr>
        <w:pStyle w:val="BodyText"/>
      </w:pPr>
      <w:r>
        <w:t>Prezentul regulament se aplică vehiculelor și bicicletelor din categoria L, remorcilor acestora, vehiculelor electrice ușoare și vehiculelor ușoare autonome de transport de mărfuri.</w:t>
      </w:r>
    </w:p>
    <w:p w14:paraId="7DC83550" w14:textId="62CEBF06" w:rsidR="000A7446" w:rsidRDefault="008522A5" w:rsidP="000A7446">
      <w:pPr>
        <w:pStyle w:val="BodyText"/>
      </w:pPr>
      <w:r>
        <w:t>Prezentul regulament nu se aplică cerințelor tehnice și de montaj privind luminile de semnalizare și de avertizare, luminilor de lucru sau celor auxiliare, dispozitivelor de avertizare sonoră ale vehiculelor de urgență sau reflectoarelor sau marcajelor reflectoare ale anumitor tipuri de vehicule. De asemenea, prezentul regulament nu se aplică anvelopelor cu nituri sau anvelopelor combinate fără nituri și cu nituri pentru remorcile vehiculelor din categoria L.</w:t>
      </w:r>
    </w:p>
    <w:p w14:paraId="12DD8555" w14:textId="7D327682" w:rsidR="00B357E0" w:rsidRDefault="00B357E0" w:rsidP="00B357E0">
      <w:pPr>
        <w:pStyle w:val="Heading2"/>
      </w:pPr>
      <w:bookmarkStart w:id="3" w:name="_Toc135051664"/>
      <w:r>
        <w:t>Definiții</w:t>
      </w:r>
      <w:bookmarkEnd w:id="3"/>
    </w:p>
    <w:p w14:paraId="13F955E9" w14:textId="4218C5C5" w:rsidR="009B3AE8" w:rsidRPr="009B3AE8" w:rsidRDefault="009B3AE8" w:rsidP="009B3AE8">
      <w:pPr>
        <w:pStyle w:val="BodyText"/>
      </w:pPr>
      <w:r>
        <w:t>În plus față de definițiile de la articolul 2 din Legea privind vehiculele, în prezentul regulament se aplică următoarele definiții:</w:t>
      </w:r>
    </w:p>
    <w:p w14:paraId="0FECE471" w14:textId="2F5806B9" w:rsidR="00E2317F" w:rsidRDefault="00E2317F" w:rsidP="009B3AE8">
      <w:pPr>
        <w:pStyle w:val="BodyText"/>
        <w:numPr>
          <w:ilvl w:val="0"/>
          <w:numId w:val="36"/>
        </w:numPr>
      </w:pPr>
      <w:r>
        <w:t>„zonă de operare planificată” înseamnă condiții de operare în care un vehicul ușor autonom de transport de mărfuri este special conceput pentru a funcționa, inclusiv, dar fără a se limita la, constrângeri de mediu, geografice și de timp și/sau care necesită sau exclud anumite condiții de trafic sau rutiere;</w:t>
      </w:r>
    </w:p>
    <w:p w14:paraId="327470EB" w14:textId="53997B37" w:rsidR="002F6451" w:rsidRDefault="00FA7034" w:rsidP="009B3AE8">
      <w:pPr>
        <w:pStyle w:val="BodyText"/>
        <w:numPr>
          <w:ilvl w:val="0"/>
          <w:numId w:val="36"/>
        </w:numPr>
      </w:pPr>
      <w:r>
        <w:t>„vehicul individual personalizat” în sensul articolului 45 din Legea privind vehiculele înseamnă un vehicul individual personalizat sau unul importat ca atare pentru transportul rutier.</w:t>
      </w:r>
    </w:p>
    <w:p w14:paraId="24952B8D" w14:textId="0BD15972" w:rsidR="00B357E0" w:rsidRDefault="00B357E0" w:rsidP="00B357E0">
      <w:pPr>
        <w:pStyle w:val="Heading1"/>
      </w:pPr>
      <w:bookmarkStart w:id="4" w:name="_Toc135051665"/>
      <w:r>
        <w:t>CERINȚE ÎN CONFORMITATE CU DIRECTIVELE, REGULAMENTELE CE ȘI UE ȘI REGULAMENTELE CEE</w:t>
      </w:r>
      <w:bookmarkEnd w:id="4"/>
    </w:p>
    <w:p w14:paraId="6B544EFE" w14:textId="77777777" w:rsidR="008522A5" w:rsidRDefault="00B357E0" w:rsidP="00B357E0">
      <w:pPr>
        <w:pStyle w:val="BodyText"/>
      </w:pPr>
      <w:r>
        <w:t xml:space="preserve">În momentul omologării de tip și atunci când sunt puse în funcțiune pentru prima dată, vehiculele din categoria L și sistemele acestora, componentele și unitățile tehnice separate trebuie să îndeplinească cerințele prevăzute în Regulamentul (UE) nr. 168/2013 al Parlamentului European și al Consiliului privind omologarea și supravegherea pieței pentru vehiculele cu două sau trei roți și pentru cvadricicluri, precum și cerințele prevăzute în regulamentele Comisiei emise în temeiul acestuia. </w:t>
      </w:r>
    </w:p>
    <w:p w14:paraId="65ABDABF" w14:textId="2B619369" w:rsidR="00B357E0" w:rsidRDefault="00B357E0" w:rsidP="00B357E0">
      <w:pPr>
        <w:pStyle w:val="BodyText"/>
      </w:pPr>
      <w:r>
        <w:t>Dacă directivele, regulamentele CE, regulamentele UE sau regulamentele CEE-ONU privind vehiculele din categoria L permit autorității de omologare să acorde derogări de la cerințe, aceleași derogări se pot aplica, de asemenea, inspecțiilor pentru înmatriculare sau inspecțiilor pentru modificare.</w:t>
      </w:r>
    </w:p>
    <w:p w14:paraId="0CF3BDBD" w14:textId="1B28AEA9" w:rsidR="00B357E0" w:rsidRDefault="00B357E0" w:rsidP="00B357E0">
      <w:pPr>
        <w:pStyle w:val="Heading1"/>
      </w:pPr>
      <w:bookmarkStart w:id="5" w:name="_Toc135051666"/>
      <w:r>
        <w:lastRenderedPageBreak/>
        <w:t>CERINȚE NAȚIONALE PENTRU VEHICULELE DIN CATEGORIA L</w:t>
      </w:r>
      <w:bookmarkEnd w:id="5"/>
    </w:p>
    <w:p w14:paraId="7DC2A1CC" w14:textId="671366D7" w:rsidR="00B357E0" w:rsidRDefault="00B357E0" w:rsidP="00B357E0">
      <w:pPr>
        <w:pStyle w:val="Heading2"/>
      </w:pPr>
      <w:bookmarkStart w:id="6" w:name="_Toc135051667"/>
      <w:r>
        <w:t>Triunghiul reflectorizant de avertizare</w:t>
      </w:r>
      <w:bookmarkEnd w:id="6"/>
    </w:p>
    <w:p w14:paraId="2EC5FA68" w14:textId="565AD0F7" w:rsidR="00B357E0" w:rsidRDefault="00B357E0" w:rsidP="00B357E0">
      <w:pPr>
        <w:pStyle w:val="BodyText"/>
      </w:pPr>
      <w:r>
        <w:t>Triunghiul reflectorizant de avertizare trebuie să respecte cerințele versiunii inițiale sau ale unei serii mai recente de modificări ale Regulamentului CEE-ONU nr. 27.</w:t>
      </w:r>
    </w:p>
    <w:p w14:paraId="63782F4C" w14:textId="6E0D040F" w:rsidR="00B357E0" w:rsidRDefault="003D1B81" w:rsidP="00B357E0">
      <w:pPr>
        <w:pStyle w:val="BodyText"/>
      </w:pPr>
      <w:r>
        <w:t>Conformitatea unui triunghi reflectorizant de avertizare poate fi demonstrată în conformitate cu metoda indicativă E specificată în anexa 1.</w:t>
      </w:r>
    </w:p>
    <w:p w14:paraId="36349928" w14:textId="572E1A69" w:rsidR="00B357E0" w:rsidRDefault="00B357E0" w:rsidP="00B357E0">
      <w:pPr>
        <w:pStyle w:val="Heading2"/>
      </w:pPr>
      <w:bookmarkStart w:id="7" w:name="_Toc135051668"/>
      <w:r>
        <w:t>Indicatorul pentru vehiculele care se deplasează cu viteză mică</w:t>
      </w:r>
      <w:bookmarkEnd w:id="7"/>
    </w:p>
    <w:p w14:paraId="1AE452C6" w14:textId="0EF39AD4" w:rsidR="00B357E0" w:rsidRDefault="00623B6F" w:rsidP="00B357E0">
      <w:pPr>
        <w:pStyle w:val="BodyText"/>
      </w:pPr>
      <w:r>
        <w:t>Un indicator pentru vehiculele care se deplasează cu viteză mică în sensul articolului 103 din Legea nr. 729/2018 privind traficul rutier trebuie să fie amplasat în centrul sau la stânga liniei mediane pe lungime a vehiculului și să fie orientat spre spate cu o abatere de cel mult 10°. Indicatorul trebuie să aibă un punct care să fie orientat în sus și la o înălțime de cel puțin 0,25 metri, măsurată de la marginea de jos, și de cel mult 1,50 metri de la sol. Indicatorul nu trebuie să se extindă pe orizontală sau pe verticală dincolo de dimensiunile exterioare ale vehiculului și nu trebuie să acopere nici măcar parțial o lampă obligatorie, un catadioptru sau o plăcuță de înmatriculare. Indicatorul trebuie să respecte cerințele seriei 01 de modificări sau ale unei serii mai recente de modificări ale Regulamentului CEE-ONU nr. 69.</w:t>
      </w:r>
    </w:p>
    <w:p w14:paraId="44483518" w14:textId="3CAAF1D4" w:rsidR="00B357E0" w:rsidRDefault="003D1B81" w:rsidP="00B357E0">
      <w:pPr>
        <w:pStyle w:val="BodyText"/>
      </w:pPr>
      <w:r>
        <w:t>Conformitatea indicatorului poate fi demonstrată în conformitate cu metoda indicativă E specificată în anexa 1.</w:t>
      </w:r>
    </w:p>
    <w:p w14:paraId="2129B848" w14:textId="6AC078AF" w:rsidR="00B357E0" w:rsidRDefault="00B357E0" w:rsidP="00B357E0">
      <w:pPr>
        <w:pStyle w:val="Heading2"/>
      </w:pPr>
      <w:bookmarkStart w:id="8" w:name="_Toc135051669"/>
      <w:r>
        <w:t>Casca de protecție</w:t>
      </w:r>
      <w:bookmarkEnd w:id="8"/>
    </w:p>
    <w:p w14:paraId="588F5E79" w14:textId="6817DE53" w:rsidR="00B357E0" w:rsidRDefault="00B357E0" w:rsidP="00B357E0">
      <w:pPr>
        <w:pStyle w:val="BodyText"/>
      </w:pPr>
      <w:r>
        <w:t>Tipurile de căști de protecție aprobate menționate la articolul 92 din Legea privind traficul rutier (729/2018) sunt căști omologate de tip în conformitate cu seria de amendamente 04 sau cu o serie de modificări mai recentă a Regulamentului CEE nr. 22, precum și căști care îndeplinesc cerințele standardului FMVSS 218.</w:t>
      </w:r>
    </w:p>
    <w:p w14:paraId="2E3DE228" w14:textId="568FCB13" w:rsidR="00BE2AE8" w:rsidRPr="00BE2AE8" w:rsidRDefault="00BE2AE8" w:rsidP="00BE2AE8">
      <w:pPr>
        <w:pStyle w:val="Heading2"/>
        <w:ind w:left="993" w:hanging="993"/>
      </w:pPr>
      <w:bookmarkStart w:id="9" w:name="_Toc135051670"/>
      <w:r>
        <w:t>Plafonierele pentru taxi</w:t>
      </w:r>
      <w:bookmarkEnd w:id="9"/>
    </w:p>
    <w:p w14:paraId="76B914A1" w14:textId="1719F4C5" w:rsidR="00BE2AE8" w:rsidRDefault="00BE2AE8" w:rsidP="00BE2AE8">
      <w:pPr>
        <w:pStyle w:val="BodyText"/>
      </w:pPr>
      <w:r>
        <w:t>Dispozițiile privind plafonierele pentru taxiuri ale vehiculelor din categoriile M și N prevăzute în Legea privind vehiculele se aplică plafonierelor pentru taxiuri.</w:t>
      </w:r>
    </w:p>
    <w:p w14:paraId="6D7A80B9" w14:textId="77777777" w:rsidR="00A20326" w:rsidRDefault="00A20326" w:rsidP="008B1443">
      <w:pPr>
        <w:pStyle w:val="Heading2"/>
        <w:ind w:left="993" w:hanging="993"/>
      </w:pPr>
      <w:bookmarkStart w:id="10" w:name="_Toc135051671"/>
      <w:r>
        <w:t>Taximetrele</w:t>
      </w:r>
      <w:bookmarkEnd w:id="10"/>
    </w:p>
    <w:p w14:paraId="0FA92CE6" w14:textId="77777777" w:rsidR="00A20326" w:rsidRDefault="00A20326" w:rsidP="00A20326">
      <w:pPr>
        <w:pStyle w:val="BodyText"/>
      </w:pPr>
      <w:r>
        <w:t>Dispozițiile privind taximetrele vehiculelor din categoriile M și N prevăzute în Legea privind vehiculele se aplică taximetrelor.</w:t>
      </w:r>
    </w:p>
    <w:p w14:paraId="1CC856F7" w14:textId="77777777" w:rsidR="00A20326" w:rsidRDefault="00A20326" w:rsidP="00B357E0">
      <w:pPr>
        <w:pStyle w:val="BodyText"/>
      </w:pPr>
    </w:p>
    <w:p w14:paraId="563DE97F" w14:textId="5407200D" w:rsidR="00B357E0" w:rsidRDefault="00B357E0" w:rsidP="00B357E0">
      <w:pPr>
        <w:pStyle w:val="Heading1"/>
      </w:pPr>
      <w:bookmarkStart w:id="11" w:name="_Toc135051672"/>
      <w:r>
        <w:t>BICICLETĂ</w:t>
      </w:r>
      <w:bookmarkEnd w:id="11"/>
    </w:p>
    <w:p w14:paraId="2033998F" w14:textId="03CF6D05" w:rsidR="00B357E0" w:rsidRDefault="00B357E0" w:rsidP="00B357E0">
      <w:pPr>
        <w:pStyle w:val="Heading2"/>
      </w:pPr>
      <w:bookmarkStart w:id="12" w:name="_Toc135051673"/>
      <w:r>
        <w:t>Cerințe generale de securitate</w:t>
      </w:r>
      <w:bookmarkEnd w:id="12"/>
    </w:p>
    <w:p w14:paraId="239C6C2B" w14:textId="77777777" w:rsidR="00D05872" w:rsidRDefault="00B357E0" w:rsidP="00E22EFD">
      <w:pPr>
        <w:pStyle w:val="BodyText"/>
      </w:pPr>
      <w:r>
        <w:t>În ceea ce privește cerințele menționate la articolul 13 alineatul (1) din Legea nr. 82/2021 privind vehiculele, o bicicletă cu înălțimea șeii de 0,635 metri, alta decât o bicicletă personalizată sau importată în mod individual, trebuie să respecte cerințele prevăzute de standardele europene pentru produse elaborate în sprijinul Directivei 2001/95/CE a Parlamentului European și a Consiliului privind siguranța generală a produselor.</w:t>
      </w:r>
    </w:p>
    <w:p w14:paraId="5FB42BFE" w14:textId="506AA7EC" w:rsidR="00E22EFD" w:rsidRDefault="00E22EFD" w:rsidP="00E22EFD">
      <w:pPr>
        <w:pStyle w:val="BodyText"/>
      </w:pPr>
      <w:r>
        <w:lastRenderedPageBreak/>
        <w:t>Cu toate acestea, prin derogare de la standardele menționate mai sus, o bicicletă cu o singură viteză care nu este destinată să transporte un pasager sau să tracteze o remorcă nu trebuie să fie echipată cu mai mult de un dispozitiv de frânare.</w:t>
      </w:r>
    </w:p>
    <w:p w14:paraId="629DE0D8" w14:textId="1BC8685E" w:rsidR="00B357E0" w:rsidRDefault="00B357E0" w:rsidP="00B357E0">
      <w:pPr>
        <w:pStyle w:val="Heading2"/>
      </w:pPr>
      <w:bookmarkStart w:id="13" w:name="_Toc135051674"/>
      <w:r>
        <w:t>Catadioptri</w:t>
      </w:r>
      <w:bookmarkEnd w:id="13"/>
    </w:p>
    <w:p w14:paraId="52E5E14D" w14:textId="6FEB214A" w:rsidR="00E808E0" w:rsidRDefault="00B357E0" w:rsidP="00B357E0">
      <w:pPr>
        <w:pStyle w:val="BodyText"/>
      </w:pPr>
      <w:r>
        <w:t>O bicicletă trebuie prevăzută cu catadioptri în față și în spate, precum și cu catadioptri laterali. Catadioptrii laterali trebuie montați în partea din față și în partea din spate a bicicletei.</w:t>
      </w:r>
    </w:p>
    <w:p w14:paraId="4D72BD23" w14:textId="4D716288" w:rsidR="00B357E0" w:rsidRDefault="00B357E0" w:rsidP="00B357E0">
      <w:pPr>
        <w:pStyle w:val="BodyText"/>
      </w:pPr>
      <w:r>
        <w:t>Catadioptrii frontali trebuie să fie albi, catadioptrul din spate, roșu, iar catadioptrii laterali, albi sau de culoarea chihlimbarului.</w:t>
      </w:r>
    </w:p>
    <w:p w14:paraId="7CC08C53" w14:textId="1C053F24" w:rsidR="009D0431" w:rsidRDefault="00B357E0" w:rsidP="009D0431">
      <w:pPr>
        <w:pStyle w:val="BodyText"/>
      </w:pPr>
      <w:r>
        <w:t>Catadioptrii din față și din spate trebuie să fie montați la o înălțime de cel puțin 0,30 metri și de cel mult 1,20 metri de la sol.</w:t>
      </w:r>
    </w:p>
    <w:p w14:paraId="781FB8E9" w14:textId="6B745346" w:rsidR="00A7590C" w:rsidRDefault="00B357E0" w:rsidP="00B357E0">
      <w:pPr>
        <w:pStyle w:val="BodyText"/>
      </w:pPr>
      <w:r>
        <w:t>Catadioptrii frontali, laterali și din spate trebuie să respecte cerințele Directivei 76/757/CEE, astfel cum a fost modificată prin Directiva 97/29/CE pentru clasa IA, IB sau IV A, cerințele prevăzute în seria 02 de modificări sau într-o serie mai recentă de modificări ale Regulamentului CEE-ONU nr. 3 sau cerințele din standardul SFS ISO 6742-2 sau dintr-o versiune ulterioară a acestuia, în vigoare la momentul intrării în vigoare a prezentului regulament.</w:t>
      </w:r>
    </w:p>
    <w:p w14:paraId="3DA4786B" w14:textId="0617B832" w:rsidR="00B357E0" w:rsidRDefault="00B357E0" w:rsidP="00B357E0">
      <w:pPr>
        <w:pStyle w:val="BodyText"/>
      </w:pPr>
      <w:r>
        <w:t>Reflectorul lateral poate fi, de asemenea, un pneu retroreflectorizant de culoare și de reflexie care respectă cerințele Regulamentului CEE nr. 88 sau un reflector montat de tip 3 în conformitate cu standardul SFS-EN 13356:2001. O bicicletă poate fi echipată cu catadioptri pe pedale de culoarea chihlimbarului.</w:t>
      </w:r>
    </w:p>
    <w:p w14:paraId="69AC82CD" w14:textId="68B256FA" w:rsidR="00B357E0" w:rsidRDefault="00B357E0" w:rsidP="00B357E0">
      <w:pPr>
        <w:pStyle w:val="BodyText"/>
      </w:pPr>
      <w:r>
        <w:t>O bicicletă poate fi echipată cu alți catadioptri și materiale reflectorizante, cu condiția ca acestea să nu reducă eficiența farurilor obligatorii și a indicatoarelor luminoase.</w:t>
      </w:r>
    </w:p>
    <w:p w14:paraId="1A22DBD3" w14:textId="78395933" w:rsidR="00B357E0" w:rsidRDefault="00B357E0" w:rsidP="00B357E0">
      <w:pPr>
        <w:pStyle w:val="BodyText"/>
      </w:pPr>
      <w:r>
        <w:t>În ceea ce privește catadioptrii de bicicletă și montarea acestora, pot fi utilizate ca alternativă cerințele pentru un moped sau ciclu cu motor din categoria L1e-A.</w:t>
      </w:r>
    </w:p>
    <w:p w14:paraId="4657EFF7" w14:textId="7FE2CA40" w:rsidR="00B357E0" w:rsidRDefault="00B357E0" w:rsidP="00B357E0">
      <w:pPr>
        <w:pStyle w:val="Heading2"/>
      </w:pPr>
      <w:bookmarkStart w:id="14" w:name="_Toc135051675"/>
      <w:r>
        <w:t>Lumini</w:t>
      </w:r>
      <w:bookmarkEnd w:id="14"/>
    </w:p>
    <w:p w14:paraId="004DEC31" w14:textId="23459541" w:rsidR="006C5F64" w:rsidRDefault="00F92942" w:rsidP="006C5F64">
      <w:pPr>
        <w:pStyle w:val="BodyText"/>
      </w:pPr>
      <w:r>
        <w:t>O bicicletă poate fi prevăzută cu un far orientat spre față, care să emită o lumină de culoare albă sau galben deschis. Se pot utiliza mai multe astfel de faruri.</w:t>
      </w:r>
    </w:p>
    <w:p w14:paraId="591E9322" w14:textId="191827A5" w:rsidR="00B357E0" w:rsidRDefault="00B357E0" w:rsidP="00B357E0">
      <w:pPr>
        <w:pStyle w:val="BodyText"/>
      </w:pPr>
      <w:r>
        <w:t>O bicicletă poate fi echipată cu unul sau mai multe faruri orientate spre spate, care trebuie să emită o lumină de culoare roșie. Locurile în care sunt montate farurile se pot abate lateral de linia centrală a bicicletei.</w:t>
      </w:r>
    </w:p>
    <w:p w14:paraId="7E02F8FC" w14:textId="5CD37392" w:rsidR="00B357E0" w:rsidRDefault="00B357E0" w:rsidP="00B357E0">
      <w:pPr>
        <w:pStyle w:val="BodyText"/>
      </w:pPr>
      <w:r>
        <w:t>O bicicletă poate fi echipată cu perechi de indicatoare luminoase care emit o lumină de culoare galbenă sau galben chihlimbar deschis. Aceste lămpi indicatoare trebuie să fie de tipul blițului și să fie instalate simetric în raport cu linia mediană longitudinală a bicicletei. O bicicletă poate fi echipată, de asemenea, cu alte perechi de indicatoare luminoase orientate lateral, care să emită lumini de culoare galbenă sau galben chihlimbar deschis.</w:t>
      </w:r>
    </w:p>
    <w:p w14:paraId="5316C81E" w14:textId="61B1F130" w:rsidR="00B357E0" w:rsidRDefault="00B357E0" w:rsidP="00B357E0">
      <w:pPr>
        <w:pStyle w:val="BodyText"/>
      </w:pPr>
      <w:r>
        <w:t>Farurile pot fi înlocuite cu alte indicatoare luminoase cu caracteristici corespunzătoare care sunt montate de ciclist.</w:t>
      </w:r>
    </w:p>
    <w:p w14:paraId="2C080862" w14:textId="1F0F41FE" w:rsidR="00B357E0" w:rsidRDefault="00B357E0" w:rsidP="00B357E0">
      <w:pPr>
        <w:pStyle w:val="BodyText"/>
      </w:pPr>
      <w:r>
        <w:t>În ceea ce privește farurile bicicletei și instalarea acestora, pot fi utilizate ca alternativă cerințele pentru mopeduri sau ciclurile cu motor din categoria L1e-A.</w:t>
      </w:r>
    </w:p>
    <w:p w14:paraId="27637090" w14:textId="2DFDBB36" w:rsidR="003B6173" w:rsidRDefault="003B6173" w:rsidP="00FF25B6">
      <w:pPr>
        <w:pStyle w:val="Heading2"/>
      </w:pPr>
      <w:bookmarkStart w:id="15" w:name="_Toc135051676"/>
      <w:r>
        <w:lastRenderedPageBreak/>
        <w:t>Vehicul individual personalizat din categoria L1e-A</w:t>
      </w:r>
      <w:bookmarkEnd w:id="15"/>
    </w:p>
    <w:p w14:paraId="5C886238" w14:textId="19EBBCCB" w:rsidR="002F6DB4" w:rsidRPr="00CA13C1" w:rsidRDefault="002F6DB4">
      <w:pPr>
        <w:pStyle w:val="BodyText"/>
        <w:rPr>
          <w:rFonts w:cs="Verdana"/>
        </w:rPr>
      </w:pPr>
      <w:r>
        <w:t>La instalarea unei biciclete individuale motorizate electronic din clasa L1e-A sau la transformarea unui alt vehicul într-un vehicul din clasa L1e-A, este permisă opțiunea ca vehiculul să îndeplinească cerințele pentru biciclete. Cu toate acestea, prin derogare de la cerințele pentru o bicicletă, vehiculele din categoria L1e-A trebuie să aibă întotdeauna cel puțin două dispozitive de frânare, puterea nominală continuă combinată a motoarelor electrice nu trebuie să depășească 1 kW în total, iar motoarele electrice sunt, de asemenea, autorizate să funcționeze fără pedale. Motoarele electrice trebuie oprite atunci când viteza atinge 25 km/h.</w:t>
      </w:r>
    </w:p>
    <w:p w14:paraId="4B365724" w14:textId="7ECCC0D8" w:rsidR="00B357E0" w:rsidRDefault="00B357E0" w:rsidP="00327422">
      <w:pPr>
        <w:pStyle w:val="Heading1"/>
      </w:pPr>
      <w:bookmarkStart w:id="16" w:name="_Toc135051677"/>
      <w:r>
        <w:t>REMORCILE VEHICULELOR DIN CATEGORIA L ȘI ALE BICICLETELOR</w:t>
      </w:r>
      <w:bookmarkEnd w:id="16"/>
    </w:p>
    <w:p w14:paraId="7EB9DB1D" w14:textId="71B54AFB" w:rsidR="00B357E0" w:rsidRDefault="00B357E0" w:rsidP="00327422">
      <w:pPr>
        <w:pStyle w:val="Heading2"/>
      </w:pPr>
      <w:bookmarkStart w:id="17" w:name="_Toc135051678"/>
      <w:r>
        <w:t>Anvelopele</w:t>
      </w:r>
      <w:bookmarkEnd w:id="17"/>
    </w:p>
    <w:p w14:paraId="3B17DBF9" w14:textId="52159851" w:rsidR="00B357E0" w:rsidRDefault="00B357E0" w:rsidP="00B357E0">
      <w:pPr>
        <w:pStyle w:val="BodyText"/>
      </w:pPr>
      <w:r>
        <w:t>Anvelopele remorcilor motocicletelor, triciclurilor și cvadriciclurilor, cu excepția anvelopelor reșapate și a anvelopelor cu nituri, trebuie să fie certificate de tip în conformitate cu Directiva 92/23/CEE, cu seria 02 de modificări sau o serie mai recentă de modificări ale Regulamentul CEE-ONU nr. 30 sau cu versiunea inițială sau cu o serie mai recentă de modificări ale Regulamentului CEE-ONU nr. 75 ori să îndeplinească cerințele standardului FMVSS nr. 109.</w:t>
      </w:r>
    </w:p>
    <w:p w14:paraId="1D5EC3CA" w14:textId="7520747D" w:rsidR="00B357E0" w:rsidRDefault="00B357E0" w:rsidP="00327422">
      <w:pPr>
        <w:pStyle w:val="Heading2"/>
      </w:pPr>
      <w:bookmarkStart w:id="18" w:name="_Toc135051679"/>
      <w:r>
        <w:t>Dispozitivele de cuplare</w:t>
      </w:r>
      <w:bookmarkEnd w:id="18"/>
    </w:p>
    <w:p w14:paraId="5789D82D" w14:textId="1AB42642" w:rsidR="00B357E0" w:rsidRDefault="00B357E0" w:rsidP="00B357E0">
      <w:pPr>
        <w:pStyle w:val="BodyText"/>
      </w:pPr>
      <w:r>
        <w:t>Dispozitivele de cuplare ale remorcilor vehiculelor din categoria L și ale bicicletelor trebuie să fie rezistente și adecvate. Cuplajul trebuie fixat cu un dispozitiv care să împiedice decuplarea accidentală.</w:t>
      </w:r>
    </w:p>
    <w:p w14:paraId="5E370E3D" w14:textId="6BC744A6" w:rsidR="00B357E0" w:rsidRDefault="00B357E0" w:rsidP="00327422">
      <w:pPr>
        <w:pStyle w:val="Heading2"/>
      </w:pPr>
      <w:bookmarkStart w:id="19" w:name="_Toc135051680"/>
      <w:r>
        <w:t>Lămpile și catadioptrii</w:t>
      </w:r>
      <w:bookmarkEnd w:id="19"/>
    </w:p>
    <w:p w14:paraId="012A167A" w14:textId="43C9FCB7" w:rsidR="00B357E0" w:rsidRDefault="00B357E0" w:rsidP="00B357E0">
      <w:pPr>
        <w:pStyle w:val="BodyText"/>
      </w:pPr>
      <w:r>
        <w:t>Remorca unui vehicul din categoria L sau a unei biciclete trebuie să fie echipată cu catadioptri în față, lateral și în spate. În plus, remorca unei motociclete, a unui triciclu, a unui cvadriciclu sau a unui cvadriciclu ușor trebuie să fie echipată cu indicatoare luminoase, lămpi spate și lămpi de frână. În cazul în care lățimea remorcii unei biciclete nu depășește 0,50 m, aceasta nu trebuie să aibă un catadioptru frontal.</w:t>
      </w:r>
    </w:p>
    <w:p w14:paraId="27E1919D" w14:textId="77777777" w:rsidR="00F779A8" w:rsidRDefault="00F779A8" w:rsidP="00F779A8">
      <w:pPr>
        <w:pStyle w:val="BodyText"/>
      </w:pPr>
      <w:r>
        <w:t>Catadioptrii frontali trebuie să fie albi, catadioptrul din spate, roșu, iar catadioptrii laterali, albi sau de culoarea chihlimbarului.</w:t>
      </w:r>
    </w:p>
    <w:p w14:paraId="46ACF167" w14:textId="0B259920" w:rsidR="00B357E0" w:rsidRDefault="00B357E0" w:rsidP="00B357E0">
      <w:pPr>
        <w:pStyle w:val="BodyText"/>
      </w:pPr>
      <w:r>
        <w:t>Remorca unui vehicul din categoria L sau a unei biciclete poate fi echipată cu lămpi frontale, lămpi de frână, lămpi indicatoare de direcție, lămpi pe spate și laterale.</w:t>
      </w:r>
    </w:p>
    <w:p w14:paraId="73B5E744" w14:textId="79A270A3" w:rsidR="00B357E0" w:rsidRDefault="00B357E0" w:rsidP="00B357E0">
      <w:pPr>
        <w:pStyle w:val="BodyText"/>
      </w:pPr>
      <w:r>
        <w:t>Lămpile și catadioptrii trebuie să fie montați în pereche și simetric în raport cu linia centrală longitudinală a remorcii. Cu toate acestea, pentru remorcile cu o lățime de maximum 0,8 metri, este necesară o singură lumină de frână, o lumină spate și un reflector spate.</w:t>
      </w:r>
    </w:p>
    <w:p w14:paraId="247601C2" w14:textId="0426953F" w:rsidR="00B357E0" w:rsidRDefault="00B357E0" w:rsidP="00B357E0">
      <w:pPr>
        <w:pStyle w:val="BodyText"/>
      </w:pPr>
      <w:r>
        <w:t>Lămpile și catadioptrii orientați spre față și spre spate, dacă sunt dispuși în perechi, se montează la o distanță de cel mult 0,15 metri față de partea laterală a remorcii vehiculului din categoria L sau a bicicletei și la o înălțime de cel puțin 0,25 metri. Lămpile pot fi poziționate la o înălțime de cel mult 1,20 metri și catadioptrii din față și din spate pot fi poziționați la o înălțime de cel mult 0,90 metri.</w:t>
      </w:r>
    </w:p>
    <w:p w14:paraId="57383F38" w14:textId="766ED984" w:rsidR="009A1022" w:rsidRDefault="009A1022" w:rsidP="00B357E0">
      <w:pPr>
        <w:pStyle w:val="BodyText"/>
      </w:pPr>
      <w:r>
        <w:t>O bicicletă poate fi echipată cu alți catadioptri și materiale reflectorizante, cu condiția ca acestea să nu reducă eficiența farurilor obligatorii și a indicatoarelor luminoase.</w:t>
      </w:r>
    </w:p>
    <w:p w14:paraId="5E2E323C" w14:textId="0814A574" w:rsidR="00B357E0" w:rsidRDefault="00B357E0" w:rsidP="00B357E0">
      <w:pPr>
        <w:pStyle w:val="BodyText"/>
      </w:pPr>
      <w:r>
        <w:lastRenderedPageBreak/>
        <w:t>Cerințele pentru catadioptri și lămpile remorcilor din categoria O pot fi utilizate ca alternativă pentru lămpile și catadioptrii remorcilor vehiculelor din categoria L și ale bicicletelor și pentru montarea acestora.</w:t>
      </w:r>
    </w:p>
    <w:p w14:paraId="2D4A21EE" w14:textId="6509A52A" w:rsidR="00B357E0" w:rsidRDefault="00B357E0" w:rsidP="00327422">
      <w:pPr>
        <w:pStyle w:val="Heading3"/>
      </w:pPr>
      <w:bookmarkStart w:id="20" w:name="_Toc135051681"/>
      <w:r>
        <w:t>Lămpi de indicare a direcției</w:t>
      </w:r>
      <w:bookmarkEnd w:id="20"/>
    </w:p>
    <w:p w14:paraId="10048427" w14:textId="533F3F43" w:rsidR="00B357E0" w:rsidRDefault="00B357E0" w:rsidP="00B357E0">
      <w:pPr>
        <w:pStyle w:val="BodyText"/>
      </w:pPr>
      <w:r>
        <w:t>Lămpile indicatoare de direcție trebuie să emită o lumină intermitentă de culoare galbenă.</w:t>
      </w:r>
    </w:p>
    <w:p w14:paraId="184E73BC" w14:textId="74F44E27" w:rsidR="00B357E0" w:rsidRDefault="00146FBD" w:rsidP="00B357E0">
      <w:pPr>
        <w:pStyle w:val="BodyText"/>
      </w:pPr>
      <w:r>
        <w:t>Lămpile indicatoare de direcție obligatorii trebuie să fie situate la o distanță de cel puțin 150 mm pe părțile laterale ale vehiculului.  Lămpile indicatoare de direcție obligatorii nu trebuie poziționate la o distanță longitudinală mai mare de 0,30 metri față de partea din spate a remorcii.</w:t>
      </w:r>
    </w:p>
    <w:p w14:paraId="14BAA32E" w14:textId="59AE3EF9" w:rsidR="00B357E0" w:rsidRDefault="00B357E0" w:rsidP="00327422">
      <w:pPr>
        <w:pStyle w:val="Heading3"/>
      </w:pPr>
      <w:bookmarkStart w:id="21" w:name="_Toc135051682"/>
      <w:r>
        <w:t>Lămpile de frână</w:t>
      </w:r>
      <w:bookmarkEnd w:id="21"/>
    </w:p>
    <w:p w14:paraId="05F4958A" w14:textId="7AFB98EE" w:rsidR="00B357E0" w:rsidRDefault="00B357E0" w:rsidP="00B357E0">
      <w:pPr>
        <w:pStyle w:val="BodyText"/>
      </w:pPr>
      <w:r>
        <w:t>Lămpile de frână de pe remorca unei motociclete, a unui triciclu, a unui cvadriciclu și a unui cvadriciclu ușor trebuie să emită o lumină de culoare roșie orientată spre spate. Lumina trebuie să funcționeze atunci când se utilizează oricare dintre frânele de serviciu ale vehiculului. Intensitatea luminii lămpii de frână trebuie să fie semnificativ mai mare decât cea a lămpii de poziție spate.</w:t>
      </w:r>
    </w:p>
    <w:p w14:paraId="1E1D4C3A" w14:textId="13EB8DC7" w:rsidR="00327422" w:rsidRDefault="00327422" w:rsidP="00327422">
      <w:pPr>
        <w:pStyle w:val="BodyText"/>
      </w:pPr>
      <w:r>
        <w:t>Lămpile de frână nu trebuie poziționate la o distanță longitudinală mai mare de 1 metru față de partea din spate a remorcii.</w:t>
      </w:r>
    </w:p>
    <w:p w14:paraId="65021680" w14:textId="6C8AD4E9" w:rsidR="00327422" w:rsidRDefault="00327422" w:rsidP="00327422">
      <w:pPr>
        <w:pStyle w:val="Heading3"/>
      </w:pPr>
      <w:bookmarkStart w:id="22" w:name="_Toc135051683"/>
      <w:r>
        <w:t>Lămpile de poziție spate</w:t>
      </w:r>
      <w:bookmarkEnd w:id="22"/>
    </w:p>
    <w:p w14:paraId="1C2606A4" w14:textId="75A7E07A" w:rsidR="00327422" w:rsidRDefault="00327422" w:rsidP="00327422">
      <w:pPr>
        <w:pStyle w:val="BodyText"/>
      </w:pPr>
      <w:r>
        <w:t>Lămpile de poziție spate de pe remorca unei motociclete, a unui triciclu, a unui cvadriciclu sau a unui cvadriciclu ușor trebuie să emită o lumină roșie orientată spre spate. Semnalele luminoase de poziție spate trebuie conectate astfel încât să funcționeze simultan cu semnalele luminoase de poziție față, cu proiectoarele pentru faza de întâlnire și cu proiectoarele pentru faza lungă ale vehiculului tractor.</w:t>
      </w:r>
    </w:p>
    <w:p w14:paraId="79D988C2" w14:textId="5E6BD98E" w:rsidR="00327422" w:rsidRDefault="00327422" w:rsidP="00327422">
      <w:pPr>
        <w:pStyle w:val="BodyText"/>
      </w:pPr>
      <w:r>
        <w:t>Lămpile de poziție spate nu trebuie poziționate la o distanță longitudinală mai mare de 1 metru față de partea din spate a remorcii.</w:t>
      </w:r>
    </w:p>
    <w:p w14:paraId="296069BF" w14:textId="5AFAA6F3" w:rsidR="00327422" w:rsidRDefault="00327422" w:rsidP="00327422">
      <w:pPr>
        <w:pStyle w:val="Heading3"/>
      </w:pPr>
      <w:bookmarkStart w:id="23" w:name="_Toc135051684"/>
      <w:r>
        <w:t>Catadioptri</w:t>
      </w:r>
      <w:bookmarkEnd w:id="23"/>
    </w:p>
    <w:p w14:paraId="72C5942F" w14:textId="586577A7" w:rsidR="00327422" w:rsidRDefault="00327422" w:rsidP="00327422">
      <w:pPr>
        <w:pStyle w:val="BodyText"/>
      </w:pPr>
      <w:r>
        <w:t>Catadioptrii frontali de pe remorca unui vehicul din categoria L sau a unei biciclete trebuie să fie de culoare albă, catadioptrii din spate trebuie să fie de culoare roșie, iar catadioptrii laterali trebuie să fie de culoarea chihlimbarului sau de culoare albă. Reflectoarele spate ale remorcii unui vehicul din categoria L trebuie să fie triunghiulare și montate astfel încât un vârf al triunghiului să fie orientat în sus. Nu sunt prevăzute cerințe privind forma catadioptrilor din spate pentru remorcile bicicletelor. Celelalte tipuri de catadioptri nu trebuie să aibă formă triunghiulară.</w:t>
      </w:r>
    </w:p>
    <w:p w14:paraId="20D2BA13" w14:textId="1670EBC0" w:rsidR="00327422" w:rsidRDefault="00327422" w:rsidP="00F62D16">
      <w:pPr>
        <w:pStyle w:val="BodyText"/>
      </w:pPr>
      <w:r>
        <w:t>Catadioptrii din față și din spate trebuie montați cu o abatere de cel mult 10° și trebuie orientați spre față sau spre spate. În cazul în care structura unei remorci cu o lățime mai mică de 0,80 m nu permite montarea catadioptrului frontal astfel cum este descris mai sus, abaterea orizontală nu poate depăși 30° spre exteriorul vehiculului, iar abaterea verticală nu poate fi mai mare de 30° în sus. Catadioptrii din spate nu trebuie poziționați la o distanță longitudinală mai mare de 1 metru față de partea din spate a remorcii. Catadioptrii laterali trebuie orientați spre lateral.</w:t>
      </w:r>
    </w:p>
    <w:p w14:paraId="3332B564" w14:textId="77777777" w:rsidR="007328A5" w:rsidRDefault="00327422" w:rsidP="00327422">
      <w:pPr>
        <w:pStyle w:val="BodyText"/>
      </w:pPr>
      <w:r>
        <w:t xml:space="preserve">Catadioptrii trebuie să îndeplinească cerințele prevăzute în Directiva 76/757/CEE, astfel cum a fost modificată prin Directiva 97/29/CE, sau cerințele prevăzute în seria 02 de modificări sau într-o serie mai recentă de modificări ale Regulamentului CEE-ONU nr. 3. Catadioptrul din spate al unei remorci de bicicletă poate fi, de asemenea, fabricat dintr-un material reflectorizant din clasa C care respectă </w:t>
      </w:r>
      <w:r>
        <w:lastRenderedPageBreak/>
        <w:t>cerințele prevăzute în Regulamentul CEE-ONU nr. 104. Suprafața materialului reflectorizant trebuie să fie de cel puțin 0,25 cm</w:t>
      </w:r>
      <w:r>
        <w:rPr>
          <w:vertAlign w:val="superscript"/>
        </w:rPr>
        <w:t>2</w:t>
      </w:r>
      <w:r>
        <w:t xml:space="preserve">. </w:t>
      </w:r>
    </w:p>
    <w:p w14:paraId="4F392D10" w14:textId="6654FEE3" w:rsidR="00327422" w:rsidRDefault="00327422" w:rsidP="007328A5">
      <w:pPr>
        <w:pStyle w:val="BodyText"/>
      </w:pPr>
      <w:r>
        <w:t xml:space="preserve">Anvelopele retroreflectorizante care îndeplinesc cerințele Regulamentului CEE nr. 88 și reflectoarele montate de tip 3 în conformitate cu standardul SFS-EN 13356:2001 sunt acceptate și ca reflectoare laterale pentru o remorcă pentru biciclete. </w:t>
      </w:r>
    </w:p>
    <w:p w14:paraId="5F82A790" w14:textId="3DB477DA" w:rsidR="00327422" w:rsidRDefault="00327422" w:rsidP="00327422">
      <w:pPr>
        <w:pStyle w:val="Heading2"/>
      </w:pPr>
      <w:bookmarkStart w:id="24" w:name="_Toc135051685"/>
      <w:r>
        <w:t>Indicatorul pentru vehiculele care se deplasează cu viteză mică</w:t>
      </w:r>
      <w:bookmarkEnd w:id="24"/>
    </w:p>
    <w:p w14:paraId="3263169B" w14:textId="0B34E7BA" w:rsidR="00327422" w:rsidRDefault="00256CE9" w:rsidP="00327422">
      <w:pPr>
        <w:pStyle w:val="BodyText"/>
      </w:pPr>
      <w:r>
        <w:t>Un indicator pentru vehiculele care se deplasează cu viteză mică în sensul articolului 103 din Legea nr. 729/2018 privind traficul rutier trebuie să fie amplasat în centrul sau la stânga liniei mediane a remorcii unui triciclu, moped sau cvadriciclu ușor și să fie orientat spre înapoi cu o abatere de cel mult 10°. Indicatorul trebuie să aibă un punct care să fie orientat în sus și la o înălțime de cel puțin 0,25 metri, măsurată de la marginea de jos, și de cel mult 1,50 metri de la sol. Indicatorul nu trebuie să se extindă pe orizontală sau pe verticală dincolo de dimensiunile exterioare ale remorcii și nicio parte a acestuia nu trebuie să acopere, nici măcar parțial, un far sau un catadioptru obligatoriu. Indicatorul trebuie să respecte cerințele seriei 01 de modificări sau ale unei serii mai recente de modificări ale Regulamentului CEE-ONU nr. 69.</w:t>
      </w:r>
    </w:p>
    <w:p w14:paraId="1E67033D" w14:textId="396C20A9" w:rsidR="00327422" w:rsidRDefault="00327422" w:rsidP="00327422">
      <w:pPr>
        <w:pStyle w:val="Heading2"/>
      </w:pPr>
      <w:bookmarkStart w:id="25" w:name="_Toc135051686"/>
      <w:r>
        <w:t>Apărătorile</w:t>
      </w:r>
      <w:bookmarkEnd w:id="25"/>
    </w:p>
    <w:p w14:paraId="70F40736" w14:textId="462B9638" w:rsidR="00327422" w:rsidRDefault="00327422" w:rsidP="00327422">
      <w:pPr>
        <w:pStyle w:val="BodyText"/>
      </w:pPr>
      <w:r>
        <w:t>În ceea ce privește lungimea impusă, apărătorile de noroi ale unei remorci pentru o motocicletă, un triciclu, un cvadriciclu sau un cvadriciclu ușor trebuie să se extindă în lățime cel puțin cât lățimea anvelopei, în față cel puțin în fața planului vertical care secționează axa roții la 60° și în partea din spate la un unghi cel puțin egal cu 90° atunci când remorca nu este încărcată. Alte structuri ale vehiculului pot funcționa ca apărătoare de noroi parțial sau integral dacă roata este acoperită în conformitate cu cerințele descrise mai sus.</w:t>
      </w:r>
    </w:p>
    <w:p w14:paraId="5CC58A77" w14:textId="675154A1" w:rsidR="00327422" w:rsidRDefault="00327422" w:rsidP="00327422">
      <w:pPr>
        <w:pStyle w:val="Heading1"/>
      </w:pPr>
      <w:bookmarkStart w:id="26" w:name="_Toc135051687"/>
      <w:r>
        <w:t>VEHICUL ELECTRIC UȘOR</w:t>
      </w:r>
      <w:bookmarkEnd w:id="26"/>
    </w:p>
    <w:p w14:paraId="215DEE25" w14:textId="1FB2B413" w:rsidR="00327422" w:rsidRDefault="00A93B23" w:rsidP="00327422">
      <w:pPr>
        <w:pStyle w:val="BodyText"/>
      </w:pPr>
      <w:r>
        <w:t>Un vehicul electric ușor destinat a fi condus în condițiile menționate la articolul 49 alineatul (2) din Legea privind traficul rutier (729/2018) trebuie să fie echipat cu o lumină orientată spre înainte care emite o lumină albă sau galbenă deschisă și o lumină roșie care emite lumină roșie în direcția spate și un reflector vizibil. Cerințele pentru o bicicletă specificate la punctul 4.3 de mai sus se aplică accesoriului luminos. Reflectorul poate fi, de asemenea, atașat la conducătorul unui vehicul electric ușor.</w:t>
      </w:r>
    </w:p>
    <w:p w14:paraId="787F41DF" w14:textId="43F8C6FE" w:rsidR="00327422" w:rsidRDefault="00327422" w:rsidP="00327422">
      <w:pPr>
        <w:pStyle w:val="BodyText"/>
      </w:pPr>
      <w:r>
        <w:t xml:space="preserve">Un vehicul electric ușor poate fi, de asemenea, echipat cu alte lămpi sau alți catadioptri autorizați pentru o bicicletă sau un vehicul din categoria L. </w:t>
      </w:r>
    </w:p>
    <w:p w14:paraId="4FD1933C" w14:textId="28AD7503" w:rsidR="004D36AA" w:rsidRDefault="004D36AA" w:rsidP="00327422">
      <w:pPr>
        <w:pStyle w:val="BodyText"/>
      </w:pPr>
      <w:r>
        <w:t>Dispozițiile capitolului 5 privind lămpile și catadioptrii pentru remorcile bicicletelor se aplică remorcii unui vehicul electric ușor.</w:t>
      </w:r>
    </w:p>
    <w:p w14:paraId="2413F29D" w14:textId="774B9E9C" w:rsidR="00F10304" w:rsidRDefault="007B196E" w:rsidP="00F10304">
      <w:pPr>
        <w:pStyle w:val="Heading1"/>
      </w:pPr>
      <w:bookmarkStart w:id="27" w:name="_Toc62646006"/>
      <w:bookmarkStart w:id="28" w:name="_Toc62647533"/>
      <w:bookmarkStart w:id="29" w:name="_Toc135051688"/>
      <w:bookmarkEnd w:id="27"/>
      <w:bookmarkEnd w:id="28"/>
      <w:r>
        <w:t>VEHICUL UȘOR AUTONOM DE TRANSPORT DE MĂRFURI</w:t>
      </w:r>
      <w:bookmarkEnd w:id="29"/>
    </w:p>
    <w:p w14:paraId="5FEB48D7" w14:textId="22D63578" w:rsidR="0070300E" w:rsidRDefault="0070300E" w:rsidP="5803D006">
      <w:pPr>
        <w:pStyle w:val="Heading2"/>
      </w:pPr>
      <w:bookmarkStart w:id="30" w:name="_Toc135051689"/>
      <w:r>
        <w:t>Dimensiuni și mase</w:t>
      </w:r>
      <w:bookmarkEnd w:id="30"/>
    </w:p>
    <w:p w14:paraId="1B363885" w14:textId="67E93E67" w:rsidR="00594A1C" w:rsidRDefault="0070300E" w:rsidP="650F2FCD">
      <w:pPr>
        <w:pStyle w:val="BodyText"/>
      </w:pPr>
      <w:r>
        <w:t xml:space="preserve">Lățimea maximă admisibilă a unui vehicul ușor autonom de transport de mărfuri este de 80,0 cm, înălțimea maximă autorizată atunci când este încărcată este de 80,0 cm, iar lungimea maximă autorizată este de 100,0 cm. </w:t>
      </w:r>
    </w:p>
    <w:p w14:paraId="202B9771" w14:textId="4FE552B1" w:rsidR="0070300E" w:rsidRDefault="00C73C57" w:rsidP="650F2FCD">
      <w:pPr>
        <w:pStyle w:val="BodyText"/>
      </w:pPr>
      <w:r>
        <w:t xml:space="preserve">Vehiculul ușor autonom de transport de mărfuri poate avea o bară verticală flexibilă sau articulată pentru instalarea de lumini, reflectoare și un indicator de siguranță, cu o lățime de maximum 3,0 cm. Bara și luminile, reflectoarele și/sau indicatorul de siguranță atașat la aceasta nu sunt incluse la determinarea înălțimii maxime. Cu </w:t>
      </w:r>
      <w:r>
        <w:lastRenderedPageBreak/>
        <w:t xml:space="preserve">toate acestea, înălțimea maximă a extremității superioare a barei, măsurată deasupra solului, este mai mică de 150,0 cm, iar suprafața maximă a pavilionului de siguranță este de 375,0 cm². </w:t>
      </w:r>
    </w:p>
    <w:p w14:paraId="03E19CA2" w14:textId="6E0F8301" w:rsidR="00F448C0" w:rsidRDefault="005B4609" w:rsidP="45722854">
      <w:pPr>
        <w:pStyle w:val="BodyText"/>
      </w:pPr>
      <w:r>
        <w:t>Masa maximă încărcată a unui vehicul ușor autonom de transport de mărfuri cu o viteză proiectată de maximum 6 km/h este de 200,0 kg.</w:t>
      </w:r>
    </w:p>
    <w:p w14:paraId="712A4B01" w14:textId="006C60C2" w:rsidR="00954A4A" w:rsidRDefault="00954A4A" w:rsidP="45722854">
      <w:pPr>
        <w:pStyle w:val="BodyText"/>
      </w:pPr>
      <w:r>
        <w:t>Masa maximă autorizată a unui vehicul ușor autonom de transport de mărfuri cu o viteză prin construcție mai mare de 6 km/h este de 50,0 kg.</w:t>
      </w:r>
    </w:p>
    <w:p w14:paraId="5B3DE996" w14:textId="24DD0F51" w:rsidR="00F448C0" w:rsidRDefault="00F448C0" w:rsidP="00F448C0">
      <w:pPr>
        <w:pStyle w:val="Heading2"/>
      </w:pPr>
      <w:r>
        <w:t xml:space="preserve"> </w:t>
      </w:r>
      <w:bookmarkStart w:id="31" w:name="_Toc135051690"/>
      <w:r>
        <w:t>Frânele de serviciu</w:t>
      </w:r>
      <w:bookmarkEnd w:id="31"/>
    </w:p>
    <w:p w14:paraId="71370099" w14:textId="48245D4D" w:rsidR="00F448C0" w:rsidRDefault="00F448C0" w:rsidP="00F448C0">
      <w:pPr>
        <w:pStyle w:val="BodyText"/>
      </w:pPr>
      <w:r>
        <w:t>Un motor electric conceput pentru a asigura o decelerare și o stabilitate suficientă a vehiculului este, de asemenea, acceptat ca frână de serviciu pe un vehicul ușor autonom de transport de mărfuri.</w:t>
      </w:r>
    </w:p>
    <w:p w14:paraId="3DE37034" w14:textId="39A5EFFC" w:rsidR="00D93A51" w:rsidRDefault="005F5A46" w:rsidP="00C418CB">
      <w:pPr>
        <w:pStyle w:val="BodyText"/>
      </w:pPr>
      <w:r>
        <w:t>Un vehicul ușor autonom de transport de mărfuri care se deplasează fără conducător auto trebuie să fie echipat cu dispozitive care să permită oprirea și menținerea automată și imediată a acestuia:</w:t>
      </w:r>
    </w:p>
    <w:p w14:paraId="7B49A1EF" w14:textId="1BA8C742" w:rsidR="00D93A51" w:rsidRDefault="0092590C" w:rsidP="0092590C">
      <w:pPr>
        <w:pStyle w:val="BodyText"/>
        <w:numPr>
          <w:ilvl w:val="0"/>
          <w:numId w:val="35"/>
        </w:numPr>
      </w:pPr>
      <w:r>
        <w:t>dacă vehiculul ușor autonom de transport de mărfuri nu se află în zona de exploatare prevăzută;</w:t>
      </w:r>
    </w:p>
    <w:p w14:paraId="2446A80C" w14:textId="13396A73" w:rsidR="00D93A51" w:rsidRDefault="00D93A51" w:rsidP="00D93A51">
      <w:pPr>
        <w:pStyle w:val="BodyText"/>
        <w:numPr>
          <w:ilvl w:val="0"/>
          <w:numId w:val="35"/>
        </w:numPr>
      </w:pPr>
      <w:r>
        <w:t>dacă se detectează o defecțiune sau o deficiență legată de siguranța sistemului de control;</w:t>
      </w:r>
    </w:p>
    <w:p w14:paraId="39387EE7" w14:textId="753F71B2" w:rsidR="00100203" w:rsidRDefault="00D93A51" w:rsidP="00D93A51">
      <w:pPr>
        <w:pStyle w:val="BodyText"/>
        <w:numPr>
          <w:ilvl w:val="0"/>
          <w:numId w:val="35"/>
        </w:numPr>
      </w:pPr>
      <w:r>
        <w:t>dacă i se dă un semnal de oprire.</w:t>
      </w:r>
    </w:p>
    <w:p w14:paraId="67138BA1" w14:textId="0CBBD519" w:rsidR="00ED7BEC" w:rsidRDefault="00250C67" w:rsidP="00ED7BEC">
      <w:pPr>
        <w:pStyle w:val="BodyText"/>
      </w:pPr>
      <w:r>
        <w:t>Un vehicul ușor autonom de transport de mărfuri cu o viteză proiectată mai mare de 6 km/h trebuie să fie echipat cu un sistem de frânare de siguranță pentru decelerare, oprire și staționare pentru a asigura funcționarea în condiții de siguranță în cazul defectării frânei de serviciu sau al defectării alimentării sale cu energie.</w:t>
      </w:r>
    </w:p>
    <w:p w14:paraId="243BC27B" w14:textId="19CD1616" w:rsidR="002535A9" w:rsidRDefault="002535A9" w:rsidP="002535A9">
      <w:pPr>
        <w:pStyle w:val="BodyText"/>
      </w:pPr>
      <w:r>
        <w:t>Frâna de serviciu sau sistemul de frânare de siguranță nu afectează numai roțile sau rolele din spatele liniei mediane transversale a vehiculului.</w:t>
      </w:r>
    </w:p>
    <w:p w14:paraId="3040FA50" w14:textId="58246AAF" w:rsidR="00802F1C" w:rsidRDefault="00802F1C" w:rsidP="5803D006">
      <w:pPr>
        <w:pStyle w:val="Heading2"/>
      </w:pPr>
      <w:bookmarkStart w:id="32" w:name="_Toc135051691"/>
      <w:r>
        <w:t>Lumini</w:t>
      </w:r>
      <w:bookmarkEnd w:id="32"/>
    </w:p>
    <w:p w14:paraId="70D35D36" w14:textId="1CEAC77F" w:rsidR="00802F1C" w:rsidRDefault="00802F1C" w:rsidP="5803D006">
      <w:pPr>
        <w:pStyle w:val="BodyText"/>
      </w:pPr>
      <w:r>
        <w:t xml:space="preserve">Vehiculul ușor autonom de transport de mărfuri trebuie să fie echipat cu o lumină care emite o lumină albă sau galbenă în față și o lumină care emite o lumină roșie în spate. Se pot utiliza mai multe astfel de faruri. Luminile trebuie să emită lumină continuă. </w:t>
      </w:r>
    </w:p>
    <w:p w14:paraId="653808C2" w14:textId="76B5487C" w:rsidR="00F21AC9" w:rsidRDefault="00F21AC9" w:rsidP="5803D006">
      <w:pPr>
        <w:pStyle w:val="BodyText"/>
      </w:pPr>
      <w:r>
        <w:t>Un vehicul ușor autonom de transport de mărfuri poate fi echipat cu un far.</w:t>
      </w:r>
    </w:p>
    <w:p w14:paraId="28817816" w14:textId="683738E3" w:rsidR="00802F1C" w:rsidRDefault="001D47A5" w:rsidP="5803D006">
      <w:pPr>
        <w:pStyle w:val="BodyText"/>
      </w:pPr>
      <w:r>
        <w:t xml:space="preserve">Luminile de poziție față și spate trebuie instalate la o înălțime de cel puțin 0,15 m deasupra solului. </w:t>
      </w:r>
    </w:p>
    <w:p w14:paraId="09001271" w14:textId="1C6B3741" w:rsidR="001D47A5" w:rsidRDefault="001D47A5" w:rsidP="5803D006">
      <w:pPr>
        <w:pStyle w:val="BodyText"/>
      </w:pPr>
      <w:r>
        <w:t xml:space="preserve">Un vehicul ușor autonom de transport de mărfuri trebuie să aibă un număr par de lumini indicatoare de direcție galbene sau chihlimbarii. Aceste lămpi indicatoare de direcție trebuie să fie de tipul blițului și să fie montate simetric în raport cu axa mediană longitudinală a vehiculului ușor autonom de transport de mărfuri. </w:t>
      </w:r>
    </w:p>
    <w:p w14:paraId="0AF14321" w14:textId="7E1D0FAA" w:rsidR="001D47A5" w:rsidRDefault="001D47A5" w:rsidP="5803D006">
      <w:pPr>
        <w:pStyle w:val="BodyText"/>
      </w:pPr>
      <w:r>
        <w:t>Vehiculul ușor autonom de transport de mărfuri poate fi echipat cu un număr par de alte lămpi de culoare galbenă sau chihlimbarie orientate lateral.</w:t>
      </w:r>
    </w:p>
    <w:p w14:paraId="5A8B86BE" w14:textId="7B93BF22" w:rsidR="001D47A5" w:rsidRDefault="001D47A5" w:rsidP="5803D006">
      <w:pPr>
        <w:pStyle w:val="Heading2"/>
      </w:pPr>
      <w:bookmarkStart w:id="33" w:name="_Toc135051692"/>
      <w:r>
        <w:lastRenderedPageBreak/>
        <w:t>Catadioptri</w:t>
      </w:r>
      <w:bookmarkEnd w:id="33"/>
    </w:p>
    <w:p w14:paraId="1401E675" w14:textId="4C1FE1B0" w:rsidR="001D47A5" w:rsidRDefault="001D47A5" w:rsidP="5803D006">
      <w:pPr>
        <w:pStyle w:val="BodyText"/>
      </w:pPr>
      <w:r>
        <w:t>Un vehicul ușor autonom de transport de mărfuri trebuie să aibă un reflector frontal, lateral și posterior. Reflectoarele frontale și laterale pot fi albe sau chihlimbarii. Reflectorul din spate poate fi galben maro sau roșu. Catadioptrul din spate nu trebuie să aibă forma unui triunghi.</w:t>
      </w:r>
    </w:p>
    <w:p w14:paraId="27F2DE10" w14:textId="78B6D8F9" w:rsidR="001D47A5" w:rsidRDefault="001D47A5" w:rsidP="5803D006">
      <w:pPr>
        <w:pStyle w:val="BodyText"/>
      </w:pPr>
      <w:r>
        <w:t xml:space="preserve">Reflectoarele trebuie instalate la o înălțime de cel puțin 0,15 m deasupra solului. </w:t>
      </w:r>
    </w:p>
    <w:p w14:paraId="262D7633" w14:textId="1ECB307F" w:rsidR="006C5F64" w:rsidRDefault="006C5F64" w:rsidP="006C5F64">
      <w:pPr>
        <w:pStyle w:val="BodyText"/>
      </w:pPr>
      <w:r>
        <w:t>Un vehicul ușor autonom de transport de mărfuri poate avea alți reflectori și materiale reflectorizante, cu condiția ca acestea să nu afecteze eficacitatea dispozitivelor obligatorii de iluminare și semnalizare.</w:t>
      </w:r>
    </w:p>
    <w:p w14:paraId="351E7840" w14:textId="0F03DDC0" w:rsidR="00C32C28" w:rsidRDefault="00C32C28" w:rsidP="0079432B">
      <w:pPr>
        <w:pStyle w:val="Heading2"/>
      </w:pPr>
      <w:bookmarkStart w:id="34" w:name="_Toc135051693"/>
      <w:r>
        <w:t>Dispozitiv de avertizare sonoră</w:t>
      </w:r>
      <w:bookmarkEnd w:id="34"/>
    </w:p>
    <w:p w14:paraId="128B0BF5" w14:textId="4B1967C9" w:rsidR="007B196E" w:rsidRDefault="00C32C28" w:rsidP="0084615D">
      <w:pPr>
        <w:pStyle w:val="BodyText"/>
      </w:pPr>
      <w:r>
        <w:t>Un vehicul ușor autonom de transport de mărfuri poate fi echipat cu un dispozitiv de avertizare sonoră. Nivelul sonor maxim al dispozitivului de avertizare sonoră la o distanță de 2,0 m și 1,0 m deasupra vehiculului, utilizând o constantă rapidă, nu trebuie să depășească 75 dB(A).</w:t>
      </w:r>
    </w:p>
    <w:p w14:paraId="2D197D16" w14:textId="2D64AB51" w:rsidR="00AD70E0" w:rsidRDefault="00AD70E0" w:rsidP="00AD70E0">
      <w:pPr>
        <w:pStyle w:val="Heading1"/>
      </w:pPr>
      <w:bookmarkStart w:id="35" w:name="_Toc135051694"/>
      <w:r>
        <w:t>VALORILE-LIMITĂ DE ZGOMOT ȘI DE EMISIE APLICABILE PENTRU OMOLOGAREA BICICLETELOR, A VEHICULELOR UȘOARE AUTONOME DE TRANSPORT DE MĂRFURI, A VEHICULELOR ELECTRICE ȘI A BICICLETELOR CU MOTOR PERSONALIZAT</w:t>
      </w:r>
      <w:bookmarkEnd w:id="35"/>
    </w:p>
    <w:p w14:paraId="45E08B62" w14:textId="15B279E3" w:rsidR="00AD70E0" w:rsidRDefault="00AD70E0" w:rsidP="00AD70E0">
      <w:pPr>
        <w:pStyle w:val="BodyText"/>
      </w:pPr>
      <w:r>
        <w:t>Bicicletele, bicicletele acționate la comandă, vehiculele ușoare autonome de transport de mărfuri și vehiculele electrice ușoare sau stocarea energiei acestora nu trebuie să cauzeze emisii de ardere sau de evaporare sau zgomot semnificativ mai mari decât zgomotul de rulare.</w:t>
      </w:r>
    </w:p>
    <w:p w14:paraId="63621E11" w14:textId="2217CA6B" w:rsidR="00327422" w:rsidRDefault="00327422" w:rsidP="00327422">
      <w:pPr>
        <w:pStyle w:val="Heading1"/>
      </w:pPr>
      <w:bookmarkStart w:id="36" w:name="_Toc135051695"/>
      <w:r>
        <w:t>CONFORMITATEA ELIMINĂRII VEHICULELOR ȘI A ANUMITOR ALTOR VEHICULE</w:t>
      </w:r>
      <w:bookmarkEnd w:id="36"/>
    </w:p>
    <w:p w14:paraId="462869B0" w14:textId="0F454EA7" w:rsidR="00327422" w:rsidRDefault="00327422" w:rsidP="00327422">
      <w:pPr>
        <w:pStyle w:val="BodyText"/>
      </w:pPr>
      <w:r>
        <w:t>Luminile vehiculelor din categoria L importate ca mărfuri de ridicare, aflate în prezent sau anterior în posesia unui membru al unei reprezentanțe străine sau al unui corp diplomatic, achiziționate din afara Finlandei ca moștenire sau dobândite printr-un testament sau achiziționate printr-o licitație vamală finlandeză sau printr-o altă licitație organizată de stat, nu trebuie să îndeplinească cerințele de la capitolul 2. Numărul de lămpi, culoarea luminii emise de acestea și direcția proiectoarelor pentru faza de întâlnire trebuie să respecte cerințele în vigoare în Finlanda la data sau ulterior datei la care vehiculul a fost pus în funcțiune. Cu toate acestea, lămpile indicatoare de direcție din spate pot să emită o lumină roșie intermitentă.</w:t>
      </w:r>
    </w:p>
    <w:p w14:paraId="1BFCA9C8" w14:textId="1A7E2BA0" w:rsidR="00064E7C" w:rsidRDefault="00327422" w:rsidP="00064E7C">
      <w:pPr>
        <w:pStyle w:val="BodyText"/>
      </w:pPr>
      <w:r>
        <w:t>Un vehicul din categoria L fabricat în serii mari pentru piețele din țările SEE și nemodificat din punct de vedere structural, care a fost importat ca vehicul de ocazie și care nu a făcut obiectul cerinței pentru omologarea CE sau UE de tip la momentul primei utilizări nu trebuie să respecte cerințele specificate în capitolul 2 de mai sus, în cazul în care vehiculul îndeplinește cerințele obligatorii privind echipamentele și cerințele operaționale menționate la articolul 12 din Legea privind vehiculele (82/2021).</w:t>
      </w:r>
    </w:p>
    <w:p w14:paraId="755C5BA9" w14:textId="6D279297" w:rsidR="00064E7C" w:rsidRDefault="00064E7C" w:rsidP="00064E7C">
      <w:pPr>
        <w:pStyle w:val="BodyText"/>
      </w:pPr>
    </w:p>
    <w:p w14:paraId="743A8F7E" w14:textId="77777777" w:rsidR="00064E7C" w:rsidRDefault="00064E7C" w:rsidP="00064E7C">
      <w:pPr>
        <w:pStyle w:val="BodyText"/>
      </w:pPr>
    </w:p>
    <w:p w14:paraId="25B292CB" w14:textId="77777777" w:rsidR="002A5D75" w:rsidRDefault="002A5D75" w:rsidP="00064E7C">
      <w:pPr>
        <w:pStyle w:val="BodyText"/>
      </w:pPr>
    </w:p>
    <w:p w14:paraId="5715D45D" w14:textId="77777777" w:rsidR="00064E7C" w:rsidRDefault="00064E7C" w:rsidP="00064E7C">
      <w:pPr>
        <w:pStyle w:val="BodyText"/>
      </w:pPr>
    </w:p>
    <w:p w14:paraId="0A6B1239" w14:textId="66013331" w:rsidR="00064E7C" w:rsidRPr="00FA6C1E" w:rsidRDefault="00064E7C" w:rsidP="00064E7C">
      <w:pPr>
        <w:pStyle w:val="BodyText"/>
      </w:pPr>
      <w:r>
        <w:lastRenderedPageBreak/>
        <w:t xml:space="preserve">Kirsi Karlamaa </w:t>
      </w:r>
    </w:p>
    <w:p w14:paraId="48A6BBF8" w14:textId="77777777" w:rsidR="00064E7C" w:rsidRPr="00FA6C1E" w:rsidRDefault="00064E7C" w:rsidP="00064E7C">
      <w:pPr>
        <w:pStyle w:val="BodyText"/>
      </w:pPr>
      <w:r>
        <w:t xml:space="preserve">Director General </w:t>
      </w:r>
    </w:p>
    <w:p w14:paraId="3F860554" w14:textId="77777777" w:rsidR="00064E7C" w:rsidRPr="00FA6C1E" w:rsidRDefault="00064E7C" w:rsidP="00064E7C">
      <w:pPr>
        <w:pStyle w:val="BodyText"/>
        <w:rPr>
          <w:lang w:val="de-DE"/>
        </w:rPr>
      </w:pPr>
    </w:p>
    <w:p w14:paraId="13873CC9" w14:textId="77777777" w:rsidR="00064E7C" w:rsidRPr="00FA6C1E" w:rsidRDefault="00064E7C" w:rsidP="00064E7C">
      <w:pPr>
        <w:pStyle w:val="BodyText"/>
      </w:pPr>
      <w:r>
        <w:t xml:space="preserve">Kati Heikkinen </w:t>
      </w:r>
    </w:p>
    <w:p w14:paraId="4633B99F" w14:textId="77777777" w:rsidR="00064E7C" w:rsidRPr="000E4458" w:rsidRDefault="00064E7C" w:rsidP="00064E7C">
      <w:pPr>
        <w:pStyle w:val="BodyText"/>
      </w:pPr>
      <w:r>
        <w:t>Director General Adjunct</w:t>
      </w:r>
    </w:p>
    <w:p w14:paraId="222FAA63" w14:textId="77777777" w:rsidR="00064E7C" w:rsidRDefault="00064E7C" w:rsidP="00064E7C">
      <w:pPr>
        <w:pStyle w:val="BodyText"/>
      </w:pPr>
    </w:p>
    <w:p w14:paraId="7CD8095C" w14:textId="5BE43B4A" w:rsidR="00491E0F" w:rsidRDefault="00491E0F" w:rsidP="008909CE">
      <w:pPr>
        <w:pStyle w:val="BodyText"/>
      </w:pPr>
    </w:p>
    <w:p w14:paraId="5DC3790C" w14:textId="77777777" w:rsidR="00864197" w:rsidRDefault="00864197" w:rsidP="008909CE">
      <w:pPr>
        <w:pStyle w:val="BodyText"/>
      </w:pPr>
    </w:p>
    <w:p w14:paraId="75921B3E" w14:textId="48D4C28C" w:rsidR="008909CE" w:rsidRDefault="008909CE" w:rsidP="008909CE">
      <w:pPr>
        <w:pStyle w:val="BodyText"/>
      </w:pPr>
    </w:p>
    <w:p w14:paraId="053AC006" w14:textId="491B9DB3" w:rsidR="00E03BA0" w:rsidRDefault="00802AAB" w:rsidP="008909CE">
      <w:pPr>
        <w:pStyle w:val="BodyText"/>
      </w:pPr>
      <w:r>
        <w:br w:type="column"/>
      </w:r>
    </w:p>
    <w:p w14:paraId="00598929" w14:textId="13934774" w:rsidR="0056458C" w:rsidRDefault="002A5D75" w:rsidP="002A5D75">
      <w:pPr>
        <w:pStyle w:val="Liiteotsikko"/>
        <w:numPr>
          <w:ilvl w:val="0"/>
          <w:numId w:val="0"/>
        </w:numPr>
        <w:tabs>
          <w:tab w:val="clear" w:pos="993"/>
        </w:tabs>
        <w:ind w:left="1134" w:hanging="1134"/>
      </w:pPr>
      <w:bookmarkStart w:id="37" w:name="_Toc135051696"/>
      <w:r w:rsidRPr="002A5D75">
        <w:t>Anexă</w:t>
      </w:r>
      <w:r>
        <w:t xml:space="preserve"> 1</w:t>
      </w:r>
      <w:r>
        <w:tab/>
      </w:r>
      <w:r w:rsidR="0056458C">
        <w:t>Derogări naționale pentru vehiculele din categoria L</w:t>
      </w:r>
      <w:bookmarkEnd w:id="37"/>
      <w:r w:rsidR="0056458C">
        <w:t xml:space="preserve"> </w:t>
      </w:r>
    </w:p>
    <w:p w14:paraId="55729C58" w14:textId="4D8DF58E" w:rsidR="00725023" w:rsidRDefault="00725023" w:rsidP="00725023">
      <w:pPr>
        <w:pStyle w:val="BodyText"/>
        <w:rPr>
          <w:szCs w:val="20"/>
        </w:rPr>
      </w:pPr>
      <w:r>
        <w:t xml:space="preserve">Conformitatea unui vehicul individual, personalizat sau importat, omologat de tip ca vehicul de serie mică, precum și a unui vehicul fabricat individual din categoriile L3e, L4e și L5e poate fi demonstrată în cadrul inspecției pentru înmatriculare și modificare, în conformitate cu tabelul 1. Tabelul se aplică, de asemenea, omologării naționale de tip în serii mici. Cerințele directivelor și ale regulamentelor UE menționate în tabel se aplică în măsura în care sunt în vigoare la data la care vehiculul este pus în funcțiune pentru prima dată sau ulterior, cu excepția cazului în care se specifică altfel în tabel. Metodele de demonstrare a conformității din partea explicativă a prezentului tabel pot fi, de asemenea, aplicate atunci când cerințele directivelor și ale regulamentelor UE sunt aplicate într-o inspecție de modificare sau într-o inspecție de înmatriculare a vehiculelor omologată CE sau UE de tip, cu excepția cazului în care se prevede altfel în dispoziția privind modificarea structurii categoriei L. </w:t>
      </w:r>
    </w:p>
    <w:p w14:paraId="569B3861" w14:textId="789C1523" w:rsidR="0056458C" w:rsidRDefault="0056458C" w:rsidP="00873774">
      <w:pPr>
        <w:pStyle w:val="BodyText"/>
      </w:pPr>
      <w:r>
        <w:t>Derogările de la punerea în aplicare tehnică a demonstrației conformității prezentate în tabelul 1 pot fi aplicate în cazul omologărilor de tip naționale în serii mici, al inspecțiilor de modificare, al inspecțiilor de înmatriculare a vehiculelor, altele decât vehiculele omologate CE sau UE de tip, care sunt puse în funcțiune pentru prima dată, precum și al inspecțiilor de înmatriculare ale altor vehicule decât vehiculele omologate CE sau UE de tip.</w:t>
      </w:r>
    </w:p>
    <w:p w14:paraId="16E3DB33" w14:textId="77777777" w:rsidR="00BF1E97" w:rsidRPr="0056458C" w:rsidRDefault="00BF1E97" w:rsidP="00873774">
      <w:pPr>
        <w:pStyle w:val="BodyText"/>
      </w:pPr>
    </w:p>
    <w:p w14:paraId="6C005F79" w14:textId="3D3488DC" w:rsidR="00F40F33" w:rsidRDefault="00F40F33" w:rsidP="00F65A42">
      <w:pPr>
        <w:pStyle w:val="BodyText"/>
        <w:ind w:left="0"/>
        <w:rPr>
          <w:szCs w:val="20"/>
        </w:rPr>
      </w:pPr>
      <w:r>
        <w:t>Tabelul 1</w:t>
      </w:r>
    </w:p>
    <w:p w14:paraId="23732562" w14:textId="77777777" w:rsidR="00BF1E97" w:rsidRDefault="00BF1E97" w:rsidP="00F65A42">
      <w:pPr>
        <w:pStyle w:val="BodyText"/>
        <w:ind w:left="0"/>
        <w:rPr>
          <w:szCs w:val="20"/>
        </w:rPr>
      </w:pPr>
    </w:p>
    <w:tbl>
      <w:tblPr>
        <w:tblW w:w="105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95"/>
        <w:gridCol w:w="2380"/>
        <w:gridCol w:w="1737"/>
        <w:gridCol w:w="1950"/>
        <w:gridCol w:w="2019"/>
        <w:gridCol w:w="1758"/>
      </w:tblGrid>
      <w:tr w:rsidR="006410E1" w14:paraId="4368BC06" w14:textId="77777777" w:rsidTr="002A5D75">
        <w:trPr>
          <w:cantSplit/>
          <w:trHeight w:val="510"/>
          <w:tblHeader/>
          <w:jc w:val="center"/>
        </w:trPr>
        <w:tc>
          <w:tcPr>
            <w:tcW w:w="695" w:type="dxa"/>
            <w:tcBorders>
              <w:top w:val="single" w:sz="6" w:space="0" w:color="auto"/>
              <w:left w:val="single" w:sz="6" w:space="0" w:color="auto"/>
              <w:bottom w:val="single" w:sz="6" w:space="0" w:color="auto"/>
            </w:tcBorders>
            <w:shd w:val="clear" w:color="auto" w:fill="FFFFFF" w:themeFill="background1"/>
          </w:tcPr>
          <w:p w14:paraId="6F5BA603" w14:textId="77777777" w:rsidR="006410E1" w:rsidRPr="00FE7FBF" w:rsidRDefault="006410E1" w:rsidP="00995BE6">
            <w:pPr>
              <w:spacing w:before="120" w:after="120"/>
              <w:rPr>
                <w:b/>
                <w:sz w:val="16"/>
                <w:szCs w:val="16"/>
              </w:rPr>
            </w:pPr>
            <w:r>
              <w:rPr>
                <w:b/>
                <w:sz w:val="16"/>
              </w:rPr>
              <w:t>Punct</w:t>
            </w:r>
          </w:p>
        </w:tc>
        <w:tc>
          <w:tcPr>
            <w:tcW w:w="2380" w:type="dxa"/>
            <w:tcBorders>
              <w:top w:val="single" w:sz="6" w:space="0" w:color="auto"/>
              <w:bottom w:val="single" w:sz="6" w:space="0" w:color="auto"/>
            </w:tcBorders>
            <w:shd w:val="clear" w:color="auto" w:fill="FFFFFF" w:themeFill="background1"/>
          </w:tcPr>
          <w:p w14:paraId="29FCB382" w14:textId="77777777" w:rsidR="006410E1" w:rsidRPr="00FE7FBF" w:rsidRDefault="006410E1" w:rsidP="00995BE6">
            <w:pPr>
              <w:pStyle w:val="Fichefinanciretextetable"/>
              <w:spacing w:before="120" w:after="120"/>
              <w:rPr>
                <w:rFonts w:ascii="Verdana" w:hAnsi="Verdana"/>
                <w:b/>
                <w:sz w:val="16"/>
                <w:szCs w:val="16"/>
              </w:rPr>
            </w:pPr>
            <w:r>
              <w:rPr>
                <w:rFonts w:ascii="Verdana" w:hAnsi="Verdana"/>
                <w:b/>
                <w:sz w:val="16"/>
              </w:rPr>
              <w:t>Obiect</w:t>
            </w:r>
          </w:p>
        </w:tc>
        <w:tc>
          <w:tcPr>
            <w:tcW w:w="1737" w:type="dxa"/>
            <w:tcBorders>
              <w:top w:val="single" w:sz="6" w:space="0" w:color="auto"/>
              <w:bottom w:val="single" w:sz="6" w:space="0" w:color="auto"/>
            </w:tcBorders>
            <w:shd w:val="clear" w:color="auto" w:fill="FFFFFF" w:themeFill="background1"/>
          </w:tcPr>
          <w:p w14:paraId="5E7F43CA" w14:textId="77777777" w:rsidR="006410E1" w:rsidRPr="00FE7FBF" w:rsidRDefault="006410E1" w:rsidP="00995BE6">
            <w:pPr>
              <w:spacing w:before="120" w:after="120"/>
              <w:rPr>
                <w:b/>
                <w:sz w:val="16"/>
                <w:szCs w:val="16"/>
              </w:rPr>
            </w:pPr>
            <w:r>
              <w:rPr>
                <w:b/>
                <w:sz w:val="16"/>
              </w:rPr>
              <w:t>Numărul directivei sau al regulamentului UE</w:t>
            </w:r>
          </w:p>
        </w:tc>
        <w:tc>
          <w:tcPr>
            <w:tcW w:w="1950" w:type="dxa"/>
            <w:tcBorders>
              <w:top w:val="single" w:sz="6" w:space="0" w:color="auto"/>
              <w:bottom w:val="single" w:sz="6" w:space="0" w:color="auto"/>
            </w:tcBorders>
            <w:shd w:val="clear" w:color="auto" w:fill="FFFFFF" w:themeFill="background1"/>
          </w:tcPr>
          <w:p w14:paraId="535873C0" w14:textId="77777777" w:rsidR="006410E1" w:rsidRPr="00FE7FBF" w:rsidRDefault="006410E1" w:rsidP="00995BE6">
            <w:pPr>
              <w:spacing w:before="120" w:after="120"/>
              <w:jc w:val="center"/>
              <w:rPr>
                <w:b/>
                <w:sz w:val="16"/>
                <w:szCs w:val="16"/>
              </w:rPr>
            </w:pPr>
            <w:r>
              <w:rPr>
                <w:b/>
                <w:sz w:val="16"/>
              </w:rPr>
              <w:t>Omologarea de tip pentru serii mici</w:t>
            </w:r>
          </w:p>
        </w:tc>
        <w:tc>
          <w:tcPr>
            <w:tcW w:w="2019" w:type="dxa"/>
            <w:tcBorders>
              <w:top w:val="single" w:sz="6" w:space="0" w:color="auto"/>
              <w:bottom w:val="single" w:sz="6" w:space="0" w:color="auto"/>
              <w:right w:val="single" w:sz="6" w:space="0" w:color="auto"/>
            </w:tcBorders>
            <w:shd w:val="clear" w:color="auto" w:fill="FFFFFF" w:themeFill="background1"/>
          </w:tcPr>
          <w:p w14:paraId="035D5EA7" w14:textId="62EB4A0D" w:rsidR="006410E1" w:rsidRPr="00FE7FBF" w:rsidRDefault="006410E1" w:rsidP="0079432B">
            <w:pPr>
              <w:spacing w:before="120" w:after="120"/>
              <w:jc w:val="center"/>
              <w:rPr>
                <w:b/>
                <w:sz w:val="16"/>
                <w:szCs w:val="16"/>
              </w:rPr>
            </w:pPr>
            <w:r>
              <w:rPr>
                <w:b/>
                <w:sz w:val="16"/>
              </w:rPr>
              <w:t>Inspecția de înmatriculare și inspecția de modificare a vehiculelor individuale de serie mică omologate și personalizate sau a vehiculelor personalizate importate</w:t>
            </w:r>
          </w:p>
        </w:tc>
        <w:tc>
          <w:tcPr>
            <w:tcW w:w="1758" w:type="dxa"/>
            <w:tcBorders>
              <w:top w:val="single" w:sz="6" w:space="0" w:color="auto"/>
              <w:bottom w:val="single" w:sz="6" w:space="0" w:color="auto"/>
              <w:right w:val="single" w:sz="6" w:space="0" w:color="auto"/>
            </w:tcBorders>
            <w:shd w:val="clear" w:color="auto" w:fill="FFFFFF" w:themeFill="background1"/>
          </w:tcPr>
          <w:p w14:paraId="3004CE3D" w14:textId="77777777" w:rsidR="006410E1" w:rsidRPr="007F024C" w:rsidRDefault="006410E1" w:rsidP="00995BE6">
            <w:pPr>
              <w:spacing w:before="120" w:after="120"/>
              <w:jc w:val="center"/>
              <w:rPr>
                <w:b/>
                <w:sz w:val="16"/>
                <w:szCs w:val="16"/>
              </w:rPr>
            </w:pPr>
            <w:r>
              <w:rPr>
                <w:b/>
                <w:sz w:val="16"/>
              </w:rPr>
              <w:t>Inspecția de înmatriculare și modificarea unui vehicul individual personalizat din categoriile L3e, L4e și L5e</w:t>
            </w:r>
          </w:p>
        </w:tc>
      </w:tr>
      <w:tr w:rsidR="006410E1" w14:paraId="05B8D91F" w14:textId="77777777" w:rsidTr="002A5D75">
        <w:trPr>
          <w:cantSplit/>
          <w:trHeight w:val="510"/>
          <w:jc w:val="center"/>
        </w:trPr>
        <w:tc>
          <w:tcPr>
            <w:tcW w:w="695" w:type="dxa"/>
            <w:tcBorders>
              <w:top w:val="nil"/>
            </w:tcBorders>
          </w:tcPr>
          <w:p w14:paraId="2401FF0F" w14:textId="77777777" w:rsidR="006410E1" w:rsidRPr="00FE7FBF" w:rsidRDefault="006410E1" w:rsidP="00995BE6">
            <w:pPr>
              <w:spacing w:before="120" w:after="120"/>
              <w:rPr>
                <w:sz w:val="16"/>
                <w:szCs w:val="16"/>
              </w:rPr>
            </w:pPr>
            <w:r>
              <w:rPr>
                <w:sz w:val="16"/>
              </w:rPr>
              <w:t>18</w:t>
            </w:r>
          </w:p>
        </w:tc>
        <w:tc>
          <w:tcPr>
            <w:tcW w:w="2380" w:type="dxa"/>
            <w:tcBorders>
              <w:top w:val="nil"/>
            </w:tcBorders>
          </w:tcPr>
          <w:p w14:paraId="7BA2A3DC" w14:textId="77777777" w:rsidR="006410E1" w:rsidRPr="00FE7FBF" w:rsidRDefault="006410E1" w:rsidP="00995BE6">
            <w:pPr>
              <w:spacing w:before="120" w:after="120"/>
              <w:rPr>
                <w:sz w:val="16"/>
                <w:szCs w:val="16"/>
              </w:rPr>
            </w:pPr>
            <w:r>
              <w:rPr>
                <w:sz w:val="16"/>
              </w:rPr>
              <w:t>Cuplul maxim și puterea maximă netă a motorului</w:t>
            </w:r>
          </w:p>
        </w:tc>
        <w:tc>
          <w:tcPr>
            <w:tcW w:w="1737" w:type="dxa"/>
            <w:tcBorders>
              <w:top w:val="nil"/>
            </w:tcBorders>
          </w:tcPr>
          <w:p w14:paraId="29751EB7" w14:textId="77777777" w:rsidR="006410E1" w:rsidRDefault="006410E1" w:rsidP="00995BE6">
            <w:pPr>
              <w:spacing w:before="120" w:after="120"/>
              <w:rPr>
                <w:sz w:val="16"/>
                <w:szCs w:val="16"/>
              </w:rPr>
            </w:pPr>
            <w:r>
              <w:rPr>
                <w:sz w:val="16"/>
              </w:rPr>
              <w:t>95/1/CE</w:t>
            </w:r>
          </w:p>
          <w:p w14:paraId="0D282C9F" w14:textId="3577FCBB" w:rsidR="006410E1" w:rsidRPr="00FE7FBF" w:rsidRDefault="006410E1" w:rsidP="00995BE6">
            <w:pPr>
              <w:spacing w:before="120" w:after="120"/>
              <w:rPr>
                <w:sz w:val="16"/>
                <w:szCs w:val="16"/>
              </w:rPr>
            </w:pPr>
            <w:r>
              <w:rPr>
                <w:sz w:val="16"/>
              </w:rPr>
              <w:t>(UE) nr. 134/2014</w:t>
            </w:r>
          </w:p>
        </w:tc>
        <w:tc>
          <w:tcPr>
            <w:tcW w:w="1950" w:type="dxa"/>
            <w:tcBorders>
              <w:top w:val="nil"/>
            </w:tcBorders>
          </w:tcPr>
          <w:p w14:paraId="594496F1" w14:textId="77777777" w:rsidR="006410E1" w:rsidRPr="00FE7FBF" w:rsidRDefault="006410E1" w:rsidP="00995BE6">
            <w:pPr>
              <w:spacing w:before="120" w:after="120"/>
              <w:jc w:val="center"/>
              <w:rPr>
                <w:sz w:val="16"/>
                <w:szCs w:val="16"/>
              </w:rPr>
            </w:pPr>
            <w:r>
              <w:rPr>
                <w:sz w:val="16"/>
              </w:rPr>
              <w:t>C</w:t>
            </w:r>
          </w:p>
        </w:tc>
        <w:tc>
          <w:tcPr>
            <w:tcW w:w="2019" w:type="dxa"/>
            <w:tcBorders>
              <w:top w:val="nil"/>
            </w:tcBorders>
          </w:tcPr>
          <w:p w14:paraId="375F8AD2" w14:textId="77777777" w:rsidR="006410E1" w:rsidRPr="0061701C" w:rsidRDefault="006410E1" w:rsidP="00995BE6">
            <w:pPr>
              <w:spacing w:before="120" w:after="120"/>
              <w:jc w:val="center"/>
              <w:rPr>
                <w:sz w:val="16"/>
                <w:szCs w:val="16"/>
              </w:rPr>
            </w:pPr>
            <w:r>
              <w:rPr>
                <w:sz w:val="16"/>
              </w:rPr>
              <w:t>E</w:t>
            </w:r>
          </w:p>
        </w:tc>
        <w:tc>
          <w:tcPr>
            <w:tcW w:w="1758" w:type="dxa"/>
            <w:tcBorders>
              <w:top w:val="nil"/>
            </w:tcBorders>
          </w:tcPr>
          <w:p w14:paraId="675D6A03" w14:textId="0DF24B2C" w:rsidR="006410E1" w:rsidRPr="0061701C" w:rsidRDefault="006410E1" w:rsidP="00995BE6">
            <w:pPr>
              <w:spacing w:before="120" w:after="120"/>
              <w:jc w:val="center"/>
              <w:rPr>
                <w:sz w:val="16"/>
                <w:szCs w:val="16"/>
              </w:rPr>
            </w:pPr>
            <w:r>
              <w:rPr>
                <w:sz w:val="16"/>
              </w:rPr>
              <w:t>E</w:t>
            </w:r>
            <w:r>
              <w:rPr>
                <w:sz w:val="16"/>
                <w:vertAlign w:val="superscript"/>
              </w:rPr>
              <w:t>xx</w:t>
            </w:r>
          </w:p>
        </w:tc>
      </w:tr>
      <w:tr w:rsidR="006410E1" w14:paraId="66061761" w14:textId="77777777" w:rsidTr="002A5D75">
        <w:trPr>
          <w:cantSplit/>
          <w:trHeight w:val="510"/>
          <w:jc w:val="center"/>
        </w:trPr>
        <w:tc>
          <w:tcPr>
            <w:tcW w:w="695" w:type="dxa"/>
          </w:tcPr>
          <w:p w14:paraId="1F6E408C" w14:textId="77777777" w:rsidR="006410E1" w:rsidRPr="00FE7FBF" w:rsidRDefault="006410E1" w:rsidP="00995BE6">
            <w:pPr>
              <w:spacing w:before="120" w:after="120"/>
              <w:rPr>
                <w:sz w:val="16"/>
                <w:szCs w:val="16"/>
              </w:rPr>
            </w:pPr>
            <w:r>
              <w:rPr>
                <w:sz w:val="16"/>
              </w:rPr>
              <w:t>19</w:t>
            </w:r>
          </w:p>
        </w:tc>
        <w:tc>
          <w:tcPr>
            <w:tcW w:w="2380" w:type="dxa"/>
          </w:tcPr>
          <w:p w14:paraId="63AEFCDF" w14:textId="77777777" w:rsidR="006410E1" w:rsidRPr="00FE7FBF" w:rsidRDefault="006410E1" w:rsidP="00995BE6">
            <w:pPr>
              <w:spacing w:before="120" w:after="120"/>
              <w:rPr>
                <w:sz w:val="16"/>
                <w:szCs w:val="16"/>
              </w:rPr>
            </w:pPr>
            <w:r>
              <w:rPr>
                <w:sz w:val="16"/>
              </w:rPr>
              <w:t>Măsuri împotriva modificării mopedurilor și motocicletelor</w:t>
            </w:r>
          </w:p>
        </w:tc>
        <w:tc>
          <w:tcPr>
            <w:tcW w:w="1737" w:type="dxa"/>
          </w:tcPr>
          <w:p w14:paraId="4B27D1D3" w14:textId="77777777" w:rsidR="006410E1" w:rsidRPr="00B911CF" w:rsidRDefault="006410E1" w:rsidP="00995BE6">
            <w:pPr>
              <w:spacing w:before="120" w:after="120"/>
              <w:rPr>
                <w:sz w:val="16"/>
                <w:szCs w:val="16"/>
              </w:rPr>
            </w:pPr>
            <w:r>
              <w:rPr>
                <w:sz w:val="16"/>
              </w:rPr>
              <w:t>97/24/CE</w:t>
            </w:r>
            <w:r>
              <w:rPr>
                <w:sz w:val="16"/>
              </w:rPr>
              <w:br/>
              <w:t>CAPITOLUL 7</w:t>
            </w:r>
          </w:p>
          <w:p w14:paraId="51A96B2F" w14:textId="77777777" w:rsidR="006410E1" w:rsidRPr="00B911CF" w:rsidRDefault="006410E1" w:rsidP="00995BE6">
            <w:pPr>
              <w:spacing w:before="120" w:after="120"/>
              <w:rPr>
                <w:sz w:val="16"/>
                <w:szCs w:val="16"/>
              </w:rPr>
            </w:pPr>
            <w:r>
              <w:rPr>
                <w:sz w:val="16"/>
              </w:rPr>
              <w:t>(UE) nr. 44/2014</w:t>
            </w:r>
          </w:p>
        </w:tc>
        <w:tc>
          <w:tcPr>
            <w:tcW w:w="1950" w:type="dxa"/>
          </w:tcPr>
          <w:p w14:paraId="6B81DA9D" w14:textId="77777777" w:rsidR="006410E1" w:rsidRPr="00FE7FBF" w:rsidRDefault="006410E1" w:rsidP="00995BE6">
            <w:pPr>
              <w:spacing w:before="120" w:after="120"/>
              <w:jc w:val="center"/>
              <w:rPr>
                <w:sz w:val="16"/>
                <w:szCs w:val="16"/>
              </w:rPr>
            </w:pPr>
            <w:r>
              <w:rPr>
                <w:sz w:val="16"/>
              </w:rPr>
              <w:t>A</w:t>
            </w:r>
          </w:p>
        </w:tc>
        <w:tc>
          <w:tcPr>
            <w:tcW w:w="2019" w:type="dxa"/>
          </w:tcPr>
          <w:p w14:paraId="6FACB27E" w14:textId="77777777" w:rsidR="006410E1" w:rsidRDefault="006410E1" w:rsidP="00995BE6">
            <w:pPr>
              <w:spacing w:before="120" w:after="120"/>
              <w:jc w:val="center"/>
              <w:rPr>
                <w:sz w:val="16"/>
                <w:szCs w:val="16"/>
              </w:rPr>
            </w:pPr>
            <w:r>
              <w:rPr>
                <w:sz w:val="16"/>
              </w:rPr>
              <w:t>H (mopeduri)</w:t>
            </w:r>
          </w:p>
          <w:p w14:paraId="4F48768C" w14:textId="77777777" w:rsidR="006410E1" w:rsidRDefault="006410E1" w:rsidP="00995BE6">
            <w:pPr>
              <w:spacing w:before="120" w:after="120"/>
              <w:jc w:val="center"/>
              <w:rPr>
                <w:sz w:val="16"/>
                <w:szCs w:val="16"/>
              </w:rPr>
            </w:pPr>
            <w:r>
              <w:rPr>
                <w:sz w:val="16"/>
              </w:rPr>
              <w:t>C (motociclete)</w:t>
            </w:r>
          </w:p>
          <w:p w14:paraId="29F8AC8E" w14:textId="77777777" w:rsidR="006410E1" w:rsidRPr="00FE7FBF" w:rsidRDefault="006410E1" w:rsidP="00995BE6">
            <w:pPr>
              <w:spacing w:before="120" w:after="120"/>
              <w:jc w:val="center"/>
              <w:rPr>
                <w:sz w:val="16"/>
                <w:szCs w:val="16"/>
              </w:rPr>
            </w:pPr>
          </w:p>
        </w:tc>
        <w:tc>
          <w:tcPr>
            <w:tcW w:w="1758" w:type="dxa"/>
          </w:tcPr>
          <w:p w14:paraId="4400994E" w14:textId="77777777" w:rsidR="006410E1" w:rsidRDefault="006410E1" w:rsidP="00995BE6">
            <w:pPr>
              <w:spacing w:before="120" w:after="120"/>
              <w:jc w:val="center"/>
              <w:rPr>
                <w:sz w:val="16"/>
                <w:szCs w:val="16"/>
              </w:rPr>
            </w:pPr>
            <w:r>
              <w:rPr>
                <w:sz w:val="16"/>
              </w:rPr>
              <w:t>C</w:t>
            </w:r>
          </w:p>
        </w:tc>
      </w:tr>
      <w:tr w:rsidR="006410E1" w14:paraId="2619FCC1" w14:textId="77777777" w:rsidTr="002A5D75">
        <w:trPr>
          <w:cantSplit/>
          <w:trHeight w:val="510"/>
          <w:jc w:val="center"/>
        </w:trPr>
        <w:tc>
          <w:tcPr>
            <w:tcW w:w="695" w:type="dxa"/>
          </w:tcPr>
          <w:p w14:paraId="12BBE079" w14:textId="77777777" w:rsidR="006410E1" w:rsidRPr="00FE7FBF" w:rsidRDefault="006410E1" w:rsidP="00995BE6">
            <w:pPr>
              <w:spacing w:before="120" w:after="120"/>
              <w:rPr>
                <w:sz w:val="16"/>
                <w:szCs w:val="16"/>
              </w:rPr>
            </w:pPr>
            <w:r>
              <w:rPr>
                <w:sz w:val="16"/>
              </w:rPr>
              <w:t>20</w:t>
            </w:r>
          </w:p>
        </w:tc>
        <w:tc>
          <w:tcPr>
            <w:tcW w:w="2380" w:type="dxa"/>
          </w:tcPr>
          <w:p w14:paraId="4C9F3B94" w14:textId="77777777" w:rsidR="006410E1" w:rsidRPr="00FE7FBF" w:rsidRDefault="006410E1" w:rsidP="00995BE6">
            <w:pPr>
              <w:spacing w:before="120" w:after="120"/>
              <w:rPr>
                <w:sz w:val="16"/>
                <w:szCs w:val="16"/>
              </w:rPr>
            </w:pPr>
            <w:r>
              <w:rPr>
                <w:sz w:val="16"/>
              </w:rPr>
              <w:t>Rezervorul de combustibil</w:t>
            </w:r>
          </w:p>
        </w:tc>
        <w:tc>
          <w:tcPr>
            <w:tcW w:w="1737" w:type="dxa"/>
          </w:tcPr>
          <w:p w14:paraId="13BD6A65" w14:textId="77777777" w:rsidR="006410E1" w:rsidRPr="00B911CF" w:rsidRDefault="006410E1" w:rsidP="00995BE6">
            <w:pPr>
              <w:spacing w:before="120" w:after="120"/>
              <w:rPr>
                <w:sz w:val="16"/>
                <w:szCs w:val="16"/>
              </w:rPr>
            </w:pPr>
            <w:r>
              <w:rPr>
                <w:sz w:val="16"/>
              </w:rPr>
              <w:t>97/24/CE</w:t>
            </w:r>
            <w:r>
              <w:rPr>
                <w:sz w:val="16"/>
              </w:rPr>
              <w:br/>
              <w:t>CAPITOLUL 6</w:t>
            </w:r>
          </w:p>
          <w:p w14:paraId="64A75F0F" w14:textId="77777777" w:rsidR="006410E1" w:rsidRPr="00B911CF" w:rsidRDefault="006410E1" w:rsidP="00995BE6">
            <w:pPr>
              <w:spacing w:before="120" w:after="120"/>
              <w:rPr>
                <w:sz w:val="16"/>
                <w:szCs w:val="16"/>
              </w:rPr>
            </w:pPr>
            <w:r>
              <w:rPr>
                <w:sz w:val="16"/>
              </w:rPr>
              <w:t>(UE) nr. 44/2014</w:t>
            </w:r>
          </w:p>
        </w:tc>
        <w:tc>
          <w:tcPr>
            <w:tcW w:w="1950" w:type="dxa"/>
          </w:tcPr>
          <w:p w14:paraId="03F6AF66" w14:textId="77777777" w:rsidR="006410E1" w:rsidRPr="00FE7FBF" w:rsidRDefault="006410E1" w:rsidP="00995BE6">
            <w:pPr>
              <w:spacing w:before="120" w:after="120"/>
              <w:jc w:val="center"/>
              <w:rPr>
                <w:sz w:val="16"/>
                <w:szCs w:val="16"/>
              </w:rPr>
            </w:pPr>
            <w:r>
              <w:rPr>
                <w:sz w:val="16"/>
              </w:rPr>
              <w:t>B</w:t>
            </w:r>
          </w:p>
        </w:tc>
        <w:tc>
          <w:tcPr>
            <w:tcW w:w="2019" w:type="dxa"/>
          </w:tcPr>
          <w:p w14:paraId="29B39394" w14:textId="77777777" w:rsidR="006410E1" w:rsidRPr="00FE7FBF" w:rsidRDefault="006410E1" w:rsidP="00995BE6">
            <w:pPr>
              <w:spacing w:before="120" w:after="120"/>
              <w:jc w:val="center"/>
              <w:rPr>
                <w:sz w:val="16"/>
                <w:szCs w:val="16"/>
              </w:rPr>
            </w:pPr>
            <w:r>
              <w:rPr>
                <w:sz w:val="16"/>
              </w:rPr>
              <w:t>B</w:t>
            </w:r>
            <w:r>
              <w:rPr>
                <w:rStyle w:val="EndnoteReference"/>
                <w:sz w:val="16"/>
                <w:szCs w:val="16"/>
              </w:rPr>
              <w:endnoteReference w:id="2"/>
            </w:r>
            <w:r>
              <w:rPr>
                <w:sz w:val="16"/>
              </w:rPr>
              <w:t>/I/E</w:t>
            </w:r>
            <w:r w:rsidRPr="003854EA">
              <w:rPr>
                <w:rStyle w:val="EndnoteReference"/>
                <w:sz w:val="16"/>
                <w:szCs w:val="16"/>
              </w:rPr>
              <w:endnoteReference w:id="3"/>
            </w:r>
          </w:p>
        </w:tc>
        <w:tc>
          <w:tcPr>
            <w:tcW w:w="1758" w:type="dxa"/>
          </w:tcPr>
          <w:p w14:paraId="69315F18" w14:textId="77777777" w:rsidR="006410E1" w:rsidRPr="0002054B" w:rsidRDefault="006410E1" w:rsidP="00995BE6">
            <w:pPr>
              <w:spacing w:before="120" w:after="120"/>
              <w:jc w:val="center"/>
              <w:rPr>
                <w:sz w:val="16"/>
                <w:szCs w:val="16"/>
              </w:rPr>
            </w:pPr>
            <w:r>
              <w:rPr>
                <w:sz w:val="16"/>
              </w:rPr>
              <w:t>B</w:t>
            </w:r>
            <w:r>
              <w:rPr>
                <w:sz w:val="16"/>
                <w:vertAlign w:val="superscript"/>
              </w:rPr>
              <w:t>i</w:t>
            </w:r>
            <w:r>
              <w:rPr>
                <w:sz w:val="16"/>
              </w:rPr>
              <w:t>/I/E</w:t>
            </w:r>
            <w:r>
              <w:rPr>
                <w:sz w:val="16"/>
                <w:vertAlign w:val="superscript"/>
              </w:rPr>
              <w:t>ii</w:t>
            </w:r>
          </w:p>
        </w:tc>
      </w:tr>
      <w:tr w:rsidR="006410E1" w14:paraId="5A892014" w14:textId="77777777" w:rsidTr="002A5D75">
        <w:trPr>
          <w:cantSplit/>
          <w:trHeight w:val="510"/>
          <w:jc w:val="center"/>
        </w:trPr>
        <w:tc>
          <w:tcPr>
            <w:tcW w:w="695" w:type="dxa"/>
          </w:tcPr>
          <w:p w14:paraId="4E023435" w14:textId="77777777" w:rsidR="006410E1" w:rsidRPr="00FE7FBF" w:rsidRDefault="006410E1" w:rsidP="00995BE6">
            <w:pPr>
              <w:spacing w:before="120" w:after="120"/>
              <w:rPr>
                <w:sz w:val="16"/>
                <w:szCs w:val="16"/>
              </w:rPr>
            </w:pPr>
            <w:r>
              <w:rPr>
                <w:sz w:val="16"/>
              </w:rPr>
              <w:t>25</w:t>
            </w:r>
          </w:p>
        </w:tc>
        <w:tc>
          <w:tcPr>
            <w:tcW w:w="2380" w:type="dxa"/>
          </w:tcPr>
          <w:p w14:paraId="4599A2A8" w14:textId="77777777" w:rsidR="006410E1" w:rsidRPr="00FE7FBF" w:rsidRDefault="006410E1" w:rsidP="00995BE6">
            <w:pPr>
              <w:spacing w:before="120" w:after="120"/>
              <w:rPr>
                <w:sz w:val="16"/>
                <w:szCs w:val="16"/>
              </w:rPr>
            </w:pPr>
            <w:r>
              <w:rPr>
                <w:sz w:val="16"/>
              </w:rPr>
              <w:t>Viteza maximă prin construcție</w:t>
            </w:r>
          </w:p>
        </w:tc>
        <w:tc>
          <w:tcPr>
            <w:tcW w:w="1737" w:type="dxa"/>
          </w:tcPr>
          <w:p w14:paraId="3201D2DC" w14:textId="77777777" w:rsidR="006410E1" w:rsidRDefault="006410E1" w:rsidP="00995BE6">
            <w:pPr>
              <w:spacing w:before="120" w:after="120"/>
              <w:rPr>
                <w:sz w:val="16"/>
                <w:szCs w:val="16"/>
              </w:rPr>
            </w:pPr>
            <w:r>
              <w:rPr>
                <w:sz w:val="16"/>
              </w:rPr>
              <w:t>95/1/CE</w:t>
            </w:r>
          </w:p>
          <w:p w14:paraId="0B0314DF" w14:textId="77777777" w:rsidR="006410E1" w:rsidRPr="00FE7FBF" w:rsidRDefault="006410E1" w:rsidP="00995BE6">
            <w:pPr>
              <w:spacing w:before="120" w:after="120"/>
              <w:rPr>
                <w:sz w:val="16"/>
                <w:szCs w:val="16"/>
              </w:rPr>
            </w:pPr>
            <w:r>
              <w:rPr>
                <w:sz w:val="16"/>
              </w:rPr>
              <w:t>(UE) nr. 3/2014</w:t>
            </w:r>
          </w:p>
        </w:tc>
        <w:tc>
          <w:tcPr>
            <w:tcW w:w="1950" w:type="dxa"/>
          </w:tcPr>
          <w:p w14:paraId="1044656A" w14:textId="77777777" w:rsidR="006410E1" w:rsidRDefault="006410E1" w:rsidP="00995BE6">
            <w:pPr>
              <w:spacing w:before="120" w:after="120"/>
              <w:jc w:val="center"/>
              <w:rPr>
                <w:sz w:val="16"/>
                <w:szCs w:val="16"/>
              </w:rPr>
            </w:pPr>
            <w:r>
              <w:rPr>
                <w:sz w:val="16"/>
              </w:rPr>
              <w:t>A viteză limitată</w:t>
            </w:r>
          </w:p>
          <w:p w14:paraId="2AF3420A" w14:textId="77777777" w:rsidR="006410E1" w:rsidRPr="00FE7FBF" w:rsidRDefault="006410E1" w:rsidP="00995BE6">
            <w:pPr>
              <w:spacing w:before="120" w:after="120"/>
              <w:jc w:val="center"/>
              <w:rPr>
                <w:sz w:val="16"/>
                <w:szCs w:val="16"/>
              </w:rPr>
            </w:pPr>
            <w:r>
              <w:rPr>
                <w:sz w:val="16"/>
              </w:rPr>
              <w:t>C viteza nu este limitată</w:t>
            </w:r>
          </w:p>
        </w:tc>
        <w:tc>
          <w:tcPr>
            <w:tcW w:w="2019" w:type="dxa"/>
          </w:tcPr>
          <w:p w14:paraId="51394BC1" w14:textId="77777777" w:rsidR="006410E1" w:rsidRDefault="006410E1" w:rsidP="00995BE6">
            <w:pPr>
              <w:spacing w:before="120" w:after="120"/>
              <w:jc w:val="center"/>
              <w:rPr>
                <w:sz w:val="16"/>
                <w:szCs w:val="16"/>
              </w:rPr>
            </w:pPr>
            <w:r>
              <w:rPr>
                <w:sz w:val="16"/>
              </w:rPr>
              <w:t>H viteză limitată</w:t>
            </w:r>
          </w:p>
          <w:p w14:paraId="1E1C07F4" w14:textId="77777777" w:rsidR="006410E1" w:rsidRPr="00FE7FBF" w:rsidRDefault="006410E1" w:rsidP="00995BE6">
            <w:pPr>
              <w:spacing w:before="120" w:after="120"/>
              <w:jc w:val="center"/>
              <w:rPr>
                <w:sz w:val="16"/>
                <w:szCs w:val="16"/>
              </w:rPr>
            </w:pPr>
            <w:r>
              <w:rPr>
                <w:sz w:val="16"/>
              </w:rPr>
              <w:t>nu se aplică, în cazul în care viteza nu este limitată</w:t>
            </w:r>
          </w:p>
        </w:tc>
        <w:tc>
          <w:tcPr>
            <w:tcW w:w="1758" w:type="dxa"/>
          </w:tcPr>
          <w:p w14:paraId="3469D124" w14:textId="77777777" w:rsidR="006410E1" w:rsidRPr="008A60D7" w:rsidRDefault="006410E1" w:rsidP="00995BE6">
            <w:pPr>
              <w:spacing w:before="120" w:after="120"/>
              <w:jc w:val="center"/>
              <w:rPr>
                <w:sz w:val="16"/>
                <w:szCs w:val="16"/>
              </w:rPr>
            </w:pPr>
            <w:r>
              <w:rPr>
                <w:sz w:val="16"/>
              </w:rPr>
              <w:t>nu este relevantă</w:t>
            </w:r>
          </w:p>
        </w:tc>
      </w:tr>
      <w:tr w:rsidR="006410E1" w14:paraId="5C48D62D" w14:textId="77777777" w:rsidTr="002A5D75">
        <w:trPr>
          <w:cantSplit/>
          <w:trHeight w:val="510"/>
          <w:jc w:val="center"/>
        </w:trPr>
        <w:tc>
          <w:tcPr>
            <w:tcW w:w="695" w:type="dxa"/>
          </w:tcPr>
          <w:p w14:paraId="59A07C7A" w14:textId="77777777" w:rsidR="006410E1" w:rsidRPr="00EA1E21" w:rsidRDefault="006410E1" w:rsidP="00995BE6">
            <w:pPr>
              <w:spacing w:before="120" w:after="120"/>
              <w:rPr>
                <w:sz w:val="16"/>
                <w:szCs w:val="16"/>
              </w:rPr>
            </w:pPr>
            <w:r>
              <w:rPr>
                <w:sz w:val="16"/>
              </w:rPr>
              <w:t>26</w:t>
            </w:r>
          </w:p>
        </w:tc>
        <w:tc>
          <w:tcPr>
            <w:tcW w:w="2380" w:type="dxa"/>
          </w:tcPr>
          <w:p w14:paraId="7CD42CA8" w14:textId="77777777" w:rsidR="006410E1" w:rsidRPr="00FE7FBF" w:rsidRDefault="006410E1" w:rsidP="00995BE6">
            <w:pPr>
              <w:spacing w:before="120" w:after="120"/>
              <w:rPr>
                <w:sz w:val="16"/>
                <w:szCs w:val="16"/>
              </w:rPr>
            </w:pPr>
            <w:r>
              <w:rPr>
                <w:sz w:val="16"/>
              </w:rPr>
              <w:t>Mase și dimensiuni</w:t>
            </w:r>
          </w:p>
        </w:tc>
        <w:tc>
          <w:tcPr>
            <w:tcW w:w="1737" w:type="dxa"/>
          </w:tcPr>
          <w:p w14:paraId="72C22F26" w14:textId="77777777" w:rsidR="006410E1" w:rsidRDefault="006410E1" w:rsidP="00995BE6">
            <w:pPr>
              <w:spacing w:before="120" w:after="120"/>
              <w:rPr>
                <w:sz w:val="16"/>
                <w:szCs w:val="16"/>
              </w:rPr>
            </w:pPr>
            <w:r>
              <w:rPr>
                <w:sz w:val="16"/>
              </w:rPr>
              <w:t>93/93/CEE</w:t>
            </w:r>
          </w:p>
          <w:p w14:paraId="1E97CA67" w14:textId="77777777" w:rsidR="006410E1" w:rsidRPr="00FE7FBF" w:rsidRDefault="006410E1" w:rsidP="00995BE6">
            <w:pPr>
              <w:spacing w:before="120" w:after="120"/>
              <w:rPr>
                <w:sz w:val="16"/>
                <w:szCs w:val="16"/>
              </w:rPr>
            </w:pPr>
            <w:r>
              <w:rPr>
                <w:sz w:val="16"/>
              </w:rPr>
              <w:t>(UE) nr. 44/2014</w:t>
            </w:r>
          </w:p>
        </w:tc>
        <w:tc>
          <w:tcPr>
            <w:tcW w:w="1950" w:type="dxa"/>
          </w:tcPr>
          <w:p w14:paraId="403CA62A" w14:textId="77777777" w:rsidR="006410E1" w:rsidRPr="00FE7FBF" w:rsidRDefault="006410E1" w:rsidP="00995BE6">
            <w:pPr>
              <w:spacing w:before="120" w:after="120"/>
              <w:jc w:val="center"/>
              <w:rPr>
                <w:sz w:val="16"/>
                <w:szCs w:val="16"/>
              </w:rPr>
            </w:pPr>
            <w:r>
              <w:rPr>
                <w:sz w:val="16"/>
              </w:rPr>
              <w:t>C</w:t>
            </w:r>
          </w:p>
        </w:tc>
        <w:tc>
          <w:tcPr>
            <w:tcW w:w="2019" w:type="dxa"/>
          </w:tcPr>
          <w:p w14:paraId="71BF5D71" w14:textId="77777777" w:rsidR="006410E1" w:rsidRPr="00FE7FBF" w:rsidRDefault="006410E1" w:rsidP="00995BE6">
            <w:pPr>
              <w:spacing w:before="120" w:after="120"/>
              <w:jc w:val="center"/>
              <w:rPr>
                <w:sz w:val="16"/>
                <w:szCs w:val="16"/>
              </w:rPr>
            </w:pPr>
            <w:r>
              <w:rPr>
                <w:sz w:val="16"/>
              </w:rPr>
              <w:t>C</w:t>
            </w:r>
            <w:r>
              <w:rPr>
                <w:rStyle w:val="EndnoteReference"/>
                <w:sz w:val="16"/>
                <w:szCs w:val="16"/>
              </w:rPr>
              <w:endnoteReference w:id="4"/>
            </w:r>
          </w:p>
        </w:tc>
        <w:tc>
          <w:tcPr>
            <w:tcW w:w="1758" w:type="dxa"/>
          </w:tcPr>
          <w:p w14:paraId="55709D21" w14:textId="77777777" w:rsidR="006410E1" w:rsidRPr="001A4A7D" w:rsidRDefault="006410E1" w:rsidP="00995BE6">
            <w:pPr>
              <w:spacing w:before="120" w:after="120"/>
              <w:jc w:val="center"/>
              <w:rPr>
                <w:sz w:val="16"/>
                <w:szCs w:val="16"/>
                <w:vertAlign w:val="superscript"/>
              </w:rPr>
            </w:pPr>
            <w:r>
              <w:rPr>
                <w:sz w:val="16"/>
              </w:rPr>
              <w:t>C</w:t>
            </w:r>
            <w:r>
              <w:rPr>
                <w:sz w:val="16"/>
                <w:vertAlign w:val="superscript"/>
              </w:rPr>
              <w:t>iii</w:t>
            </w:r>
          </w:p>
        </w:tc>
      </w:tr>
      <w:tr w:rsidR="006410E1" w14:paraId="140DE906" w14:textId="77777777" w:rsidTr="002A5D75">
        <w:trPr>
          <w:cantSplit/>
          <w:trHeight w:val="510"/>
          <w:jc w:val="center"/>
        </w:trPr>
        <w:tc>
          <w:tcPr>
            <w:tcW w:w="695" w:type="dxa"/>
          </w:tcPr>
          <w:p w14:paraId="714D585B" w14:textId="77777777" w:rsidR="006410E1" w:rsidRPr="00FE7FBF" w:rsidRDefault="006410E1" w:rsidP="00995BE6">
            <w:pPr>
              <w:spacing w:before="120" w:after="120"/>
              <w:rPr>
                <w:sz w:val="16"/>
                <w:szCs w:val="16"/>
              </w:rPr>
            </w:pPr>
            <w:r>
              <w:rPr>
                <w:sz w:val="16"/>
              </w:rPr>
              <w:t>27</w:t>
            </w:r>
          </w:p>
        </w:tc>
        <w:tc>
          <w:tcPr>
            <w:tcW w:w="2380" w:type="dxa"/>
          </w:tcPr>
          <w:p w14:paraId="3F439D5C" w14:textId="77777777" w:rsidR="006410E1" w:rsidRPr="00FE7FBF" w:rsidRDefault="006410E1" w:rsidP="00995BE6">
            <w:pPr>
              <w:spacing w:before="120" w:after="120"/>
              <w:rPr>
                <w:sz w:val="16"/>
                <w:szCs w:val="16"/>
              </w:rPr>
            </w:pPr>
            <w:r>
              <w:rPr>
                <w:sz w:val="16"/>
              </w:rPr>
              <w:t>Dispozitive de cuplare și piese de fixare</w:t>
            </w:r>
          </w:p>
        </w:tc>
        <w:tc>
          <w:tcPr>
            <w:tcW w:w="1737" w:type="dxa"/>
          </w:tcPr>
          <w:p w14:paraId="1FF8A778" w14:textId="77777777" w:rsidR="006410E1" w:rsidRPr="00B911CF" w:rsidRDefault="006410E1" w:rsidP="00995BE6">
            <w:pPr>
              <w:spacing w:before="120" w:after="120"/>
              <w:rPr>
                <w:sz w:val="16"/>
                <w:szCs w:val="16"/>
              </w:rPr>
            </w:pPr>
            <w:r>
              <w:rPr>
                <w:sz w:val="16"/>
              </w:rPr>
              <w:t>97/24/CE</w:t>
            </w:r>
            <w:r>
              <w:rPr>
                <w:sz w:val="16"/>
              </w:rPr>
              <w:br/>
              <w:t>CAPITOLUL 10</w:t>
            </w:r>
          </w:p>
          <w:p w14:paraId="213D604A" w14:textId="77777777" w:rsidR="006410E1" w:rsidRPr="00B911CF" w:rsidRDefault="006410E1" w:rsidP="00995BE6">
            <w:pPr>
              <w:spacing w:before="120" w:after="120"/>
              <w:rPr>
                <w:sz w:val="16"/>
                <w:szCs w:val="16"/>
              </w:rPr>
            </w:pPr>
            <w:r>
              <w:rPr>
                <w:sz w:val="16"/>
              </w:rPr>
              <w:t>(UE) nr. 44/2014</w:t>
            </w:r>
          </w:p>
        </w:tc>
        <w:tc>
          <w:tcPr>
            <w:tcW w:w="1950" w:type="dxa"/>
          </w:tcPr>
          <w:p w14:paraId="4AA3CB7A" w14:textId="77777777" w:rsidR="006410E1" w:rsidRPr="00FE7FBF" w:rsidRDefault="006410E1" w:rsidP="00995BE6">
            <w:pPr>
              <w:spacing w:before="120" w:after="120"/>
              <w:jc w:val="center"/>
              <w:rPr>
                <w:sz w:val="16"/>
                <w:szCs w:val="16"/>
              </w:rPr>
            </w:pPr>
            <w:r>
              <w:rPr>
                <w:sz w:val="16"/>
              </w:rPr>
              <w:t>B</w:t>
            </w:r>
          </w:p>
        </w:tc>
        <w:tc>
          <w:tcPr>
            <w:tcW w:w="2019" w:type="dxa"/>
          </w:tcPr>
          <w:p w14:paraId="08C1E3EF" w14:textId="77777777" w:rsidR="006410E1" w:rsidRPr="00FE7FBF" w:rsidRDefault="006410E1" w:rsidP="00995BE6">
            <w:pPr>
              <w:spacing w:before="120" w:after="120"/>
              <w:jc w:val="center"/>
              <w:rPr>
                <w:sz w:val="16"/>
                <w:szCs w:val="16"/>
              </w:rPr>
            </w:pPr>
            <w:r>
              <w:rPr>
                <w:sz w:val="16"/>
              </w:rPr>
              <w:t>B/I</w:t>
            </w:r>
          </w:p>
        </w:tc>
        <w:tc>
          <w:tcPr>
            <w:tcW w:w="1758" w:type="dxa"/>
          </w:tcPr>
          <w:p w14:paraId="11520EC9" w14:textId="77777777" w:rsidR="006410E1" w:rsidRPr="00FE7FBF" w:rsidRDefault="006410E1" w:rsidP="00995BE6">
            <w:pPr>
              <w:spacing w:before="120" w:after="120"/>
              <w:jc w:val="center"/>
              <w:rPr>
                <w:sz w:val="16"/>
                <w:szCs w:val="16"/>
              </w:rPr>
            </w:pPr>
            <w:r>
              <w:rPr>
                <w:sz w:val="16"/>
              </w:rPr>
              <w:t>C</w:t>
            </w:r>
          </w:p>
        </w:tc>
      </w:tr>
      <w:tr w:rsidR="006410E1" w14:paraId="2E0C8232" w14:textId="77777777" w:rsidTr="002A5D75">
        <w:trPr>
          <w:cantSplit/>
          <w:trHeight w:val="510"/>
          <w:jc w:val="center"/>
        </w:trPr>
        <w:tc>
          <w:tcPr>
            <w:tcW w:w="695" w:type="dxa"/>
          </w:tcPr>
          <w:p w14:paraId="74B140E6" w14:textId="77777777" w:rsidR="006410E1" w:rsidRPr="00EA1E21" w:rsidRDefault="006410E1" w:rsidP="00995BE6">
            <w:pPr>
              <w:spacing w:before="120" w:after="120"/>
              <w:rPr>
                <w:sz w:val="16"/>
                <w:szCs w:val="16"/>
              </w:rPr>
            </w:pPr>
            <w:r>
              <w:rPr>
                <w:sz w:val="16"/>
              </w:rPr>
              <w:t>28</w:t>
            </w:r>
          </w:p>
        </w:tc>
        <w:tc>
          <w:tcPr>
            <w:tcW w:w="2380" w:type="dxa"/>
          </w:tcPr>
          <w:p w14:paraId="4F13C0D3" w14:textId="77777777" w:rsidR="006410E1" w:rsidRPr="00FE7FBF" w:rsidRDefault="006410E1" w:rsidP="00995BE6">
            <w:pPr>
              <w:spacing w:before="120" w:after="120"/>
              <w:rPr>
                <w:sz w:val="16"/>
                <w:szCs w:val="16"/>
              </w:rPr>
            </w:pPr>
            <w:r>
              <w:rPr>
                <w:sz w:val="16"/>
              </w:rPr>
              <w:t>Măsuri care trebuie luate împotriva poluării aerului</w:t>
            </w:r>
          </w:p>
        </w:tc>
        <w:tc>
          <w:tcPr>
            <w:tcW w:w="1737" w:type="dxa"/>
          </w:tcPr>
          <w:p w14:paraId="43D92F80" w14:textId="77777777" w:rsidR="006410E1" w:rsidRPr="00FE7FBF" w:rsidRDefault="006410E1" w:rsidP="00995BE6">
            <w:pPr>
              <w:spacing w:before="120" w:after="120"/>
              <w:rPr>
                <w:bCs/>
                <w:sz w:val="16"/>
                <w:szCs w:val="16"/>
              </w:rPr>
            </w:pPr>
            <w:r>
              <w:rPr>
                <w:sz w:val="16"/>
              </w:rPr>
              <w:t>97/24/CE</w:t>
            </w:r>
            <w:r>
              <w:rPr>
                <w:sz w:val="16"/>
              </w:rPr>
              <w:br/>
              <w:t>CAPITOLUL 5</w:t>
            </w:r>
          </w:p>
          <w:p w14:paraId="7E001AF6" w14:textId="77777777" w:rsidR="006410E1" w:rsidRPr="00FE7FBF" w:rsidRDefault="006410E1" w:rsidP="00995BE6">
            <w:pPr>
              <w:spacing w:before="120" w:after="120"/>
              <w:rPr>
                <w:bCs/>
                <w:sz w:val="16"/>
                <w:szCs w:val="16"/>
              </w:rPr>
            </w:pPr>
            <w:r>
              <w:rPr>
                <w:sz w:val="16"/>
              </w:rPr>
              <w:t>- 2002/51/CE</w:t>
            </w:r>
          </w:p>
          <w:p w14:paraId="65174AEC" w14:textId="77777777" w:rsidR="006410E1" w:rsidRPr="00FE7FBF" w:rsidRDefault="006410E1" w:rsidP="00995BE6">
            <w:pPr>
              <w:spacing w:before="120" w:after="120"/>
              <w:rPr>
                <w:bCs/>
                <w:sz w:val="16"/>
                <w:szCs w:val="16"/>
              </w:rPr>
            </w:pPr>
            <w:r>
              <w:rPr>
                <w:sz w:val="16"/>
              </w:rPr>
              <w:t>- 2003/77/CE</w:t>
            </w:r>
          </w:p>
          <w:p w14:paraId="49A22DCE" w14:textId="77777777" w:rsidR="006410E1" w:rsidRPr="00FE7FBF" w:rsidRDefault="006410E1" w:rsidP="00995BE6">
            <w:pPr>
              <w:spacing w:before="120" w:after="120"/>
              <w:rPr>
                <w:bCs/>
                <w:sz w:val="16"/>
                <w:szCs w:val="16"/>
              </w:rPr>
            </w:pPr>
            <w:r>
              <w:rPr>
                <w:sz w:val="16"/>
              </w:rPr>
              <w:t>- 2005/30/CE</w:t>
            </w:r>
            <w:r>
              <w:rPr>
                <w:sz w:val="16"/>
                <w:vertAlign w:val="superscript"/>
              </w:rPr>
              <w:t>4a</w:t>
            </w:r>
          </w:p>
          <w:p w14:paraId="6DC40B27" w14:textId="77777777" w:rsidR="006410E1" w:rsidRPr="00FE7FBF" w:rsidRDefault="006410E1" w:rsidP="00995BE6">
            <w:pPr>
              <w:autoSpaceDE w:val="0"/>
              <w:autoSpaceDN w:val="0"/>
              <w:adjustRightInd w:val="0"/>
              <w:spacing w:before="120" w:after="120"/>
              <w:rPr>
                <w:bCs/>
                <w:sz w:val="16"/>
                <w:szCs w:val="16"/>
                <w:vertAlign w:val="superscript"/>
              </w:rPr>
            </w:pPr>
            <w:r>
              <w:rPr>
                <w:sz w:val="16"/>
              </w:rPr>
              <w:t>- 2006/120/CE</w:t>
            </w:r>
            <w:r>
              <w:rPr>
                <w:sz w:val="16"/>
                <w:vertAlign w:val="superscript"/>
              </w:rPr>
              <w:t>4a</w:t>
            </w:r>
          </w:p>
          <w:p w14:paraId="14ECD6C6" w14:textId="77777777" w:rsidR="006410E1" w:rsidRDefault="006410E1" w:rsidP="00995BE6">
            <w:pPr>
              <w:autoSpaceDE w:val="0"/>
              <w:autoSpaceDN w:val="0"/>
              <w:adjustRightInd w:val="0"/>
              <w:spacing w:before="120" w:after="120"/>
              <w:rPr>
                <w:sz w:val="16"/>
                <w:szCs w:val="16"/>
              </w:rPr>
            </w:pPr>
            <w:r>
              <w:rPr>
                <w:sz w:val="16"/>
              </w:rPr>
              <w:t>- 2009/108/CE</w:t>
            </w:r>
          </w:p>
          <w:p w14:paraId="5CF82A4B" w14:textId="77777777" w:rsidR="006410E1" w:rsidRPr="00FE7FBF" w:rsidRDefault="006410E1" w:rsidP="00995BE6">
            <w:pPr>
              <w:autoSpaceDE w:val="0"/>
              <w:autoSpaceDN w:val="0"/>
              <w:adjustRightInd w:val="0"/>
              <w:spacing w:before="120" w:after="120"/>
              <w:rPr>
                <w:sz w:val="16"/>
                <w:szCs w:val="16"/>
              </w:rPr>
            </w:pPr>
            <w:r>
              <w:rPr>
                <w:sz w:val="16"/>
              </w:rPr>
              <w:t>(UE) nr. 134/2014</w:t>
            </w:r>
          </w:p>
        </w:tc>
        <w:tc>
          <w:tcPr>
            <w:tcW w:w="1950" w:type="dxa"/>
          </w:tcPr>
          <w:p w14:paraId="377B5A36" w14:textId="77777777" w:rsidR="006410E1" w:rsidRPr="00FE7FBF" w:rsidRDefault="006410E1" w:rsidP="00995BE6">
            <w:pPr>
              <w:spacing w:before="120" w:after="120"/>
              <w:jc w:val="center"/>
              <w:rPr>
                <w:sz w:val="16"/>
                <w:szCs w:val="16"/>
              </w:rPr>
            </w:pPr>
            <w:r>
              <w:rPr>
                <w:sz w:val="16"/>
              </w:rPr>
              <w:t>A</w:t>
            </w:r>
          </w:p>
        </w:tc>
        <w:tc>
          <w:tcPr>
            <w:tcW w:w="2019" w:type="dxa"/>
          </w:tcPr>
          <w:p w14:paraId="124090BA" w14:textId="77777777" w:rsidR="006410E1" w:rsidRPr="00FE7FBF" w:rsidRDefault="006410E1" w:rsidP="00995BE6">
            <w:pPr>
              <w:spacing w:before="120" w:after="120"/>
              <w:jc w:val="center"/>
              <w:rPr>
                <w:sz w:val="16"/>
                <w:szCs w:val="16"/>
              </w:rPr>
            </w:pPr>
            <w:r>
              <w:rPr>
                <w:sz w:val="16"/>
              </w:rPr>
              <w:t>H/E</w:t>
            </w:r>
            <w:r w:rsidRPr="003854EA">
              <w:rPr>
                <w:rStyle w:val="EndnoteReference"/>
                <w:sz w:val="16"/>
                <w:szCs w:val="16"/>
              </w:rPr>
              <w:endnoteReference w:id="5"/>
            </w:r>
            <w:r>
              <w:rPr>
                <w:sz w:val="16"/>
              </w:rPr>
              <w:t>/I/B</w:t>
            </w:r>
            <w:r>
              <w:rPr>
                <w:rStyle w:val="EndnoteReference"/>
                <w:sz w:val="16"/>
                <w:szCs w:val="16"/>
              </w:rPr>
              <w:endnoteReference w:id="6"/>
            </w:r>
          </w:p>
          <w:p w14:paraId="51FCF182" w14:textId="77777777" w:rsidR="006410E1" w:rsidRPr="00FE7FBF" w:rsidRDefault="006410E1" w:rsidP="00995BE6">
            <w:pPr>
              <w:spacing w:before="120" w:after="120"/>
              <w:jc w:val="center"/>
              <w:rPr>
                <w:sz w:val="16"/>
                <w:szCs w:val="16"/>
              </w:rPr>
            </w:pPr>
            <w:r>
              <w:rPr>
                <w:sz w:val="16"/>
              </w:rPr>
              <w:t>X</w:t>
            </w:r>
            <w:r>
              <w:rPr>
                <w:rStyle w:val="EndnoteReference"/>
                <w:sz w:val="16"/>
                <w:szCs w:val="16"/>
              </w:rPr>
              <w:endnoteReference w:id="7"/>
            </w:r>
          </w:p>
        </w:tc>
        <w:tc>
          <w:tcPr>
            <w:tcW w:w="1758" w:type="dxa"/>
          </w:tcPr>
          <w:p w14:paraId="6FC9DC12" w14:textId="52A9BADD" w:rsidR="006410E1" w:rsidRPr="00B1392B" w:rsidRDefault="006410E1" w:rsidP="006A609B">
            <w:pPr>
              <w:spacing w:before="120" w:after="120"/>
              <w:jc w:val="center"/>
              <w:rPr>
                <w:sz w:val="16"/>
                <w:szCs w:val="16"/>
                <w:vertAlign w:val="superscript"/>
              </w:rPr>
            </w:pPr>
            <w:r>
              <w:rPr>
                <w:sz w:val="16"/>
              </w:rPr>
              <w:t>E</w:t>
            </w:r>
            <w:r>
              <w:rPr>
                <w:sz w:val="16"/>
                <w:vertAlign w:val="superscript"/>
              </w:rPr>
              <w:t>iv,</w:t>
            </w:r>
            <w:r w:rsidRPr="003854EA">
              <w:rPr>
                <w:rStyle w:val="EndnoteReference"/>
                <w:sz w:val="16"/>
                <w:szCs w:val="16"/>
              </w:rPr>
              <w:endnoteReference w:id="8"/>
            </w:r>
          </w:p>
        </w:tc>
      </w:tr>
      <w:tr w:rsidR="006410E1" w14:paraId="4251ADDA" w14:textId="77777777" w:rsidTr="002A5D75">
        <w:trPr>
          <w:cantSplit/>
          <w:trHeight w:val="510"/>
          <w:jc w:val="center"/>
        </w:trPr>
        <w:tc>
          <w:tcPr>
            <w:tcW w:w="695" w:type="dxa"/>
          </w:tcPr>
          <w:p w14:paraId="30EB821F" w14:textId="77777777" w:rsidR="006410E1" w:rsidRPr="00FE7FBF" w:rsidRDefault="006410E1" w:rsidP="00995BE6">
            <w:pPr>
              <w:spacing w:before="120" w:after="120"/>
              <w:rPr>
                <w:sz w:val="16"/>
                <w:szCs w:val="16"/>
              </w:rPr>
            </w:pPr>
            <w:r>
              <w:rPr>
                <w:sz w:val="16"/>
              </w:rPr>
              <w:t>29</w:t>
            </w:r>
          </w:p>
        </w:tc>
        <w:tc>
          <w:tcPr>
            <w:tcW w:w="2380" w:type="dxa"/>
          </w:tcPr>
          <w:p w14:paraId="55EB9D74" w14:textId="77777777" w:rsidR="006410E1" w:rsidRPr="00FE7FBF" w:rsidRDefault="006410E1" w:rsidP="00995BE6">
            <w:pPr>
              <w:spacing w:before="120" w:after="120"/>
              <w:rPr>
                <w:sz w:val="16"/>
                <w:szCs w:val="16"/>
              </w:rPr>
            </w:pPr>
            <w:r>
              <w:rPr>
                <w:sz w:val="16"/>
              </w:rPr>
              <w:t>Anvelopele</w:t>
            </w:r>
          </w:p>
        </w:tc>
        <w:tc>
          <w:tcPr>
            <w:tcW w:w="1737" w:type="dxa"/>
          </w:tcPr>
          <w:p w14:paraId="4B043BD7" w14:textId="77777777" w:rsidR="006410E1" w:rsidRPr="00B911CF" w:rsidRDefault="006410E1" w:rsidP="00995BE6">
            <w:pPr>
              <w:spacing w:before="120" w:after="120"/>
              <w:rPr>
                <w:sz w:val="16"/>
                <w:szCs w:val="16"/>
              </w:rPr>
            </w:pPr>
            <w:r>
              <w:rPr>
                <w:sz w:val="16"/>
              </w:rPr>
              <w:t>97/24/CE</w:t>
            </w:r>
            <w:r>
              <w:rPr>
                <w:sz w:val="16"/>
              </w:rPr>
              <w:br/>
              <w:t>CAPITOLUL 1</w:t>
            </w:r>
          </w:p>
          <w:p w14:paraId="7C7872A1" w14:textId="77777777" w:rsidR="006410E1" w:rsidRPr="00B911CF" w:rsidRDefault="006410E1" w:rsidP="00995BE6">
            <w:pPr>
              <w:spacing w:before="120" w:after="120"/>
              <w:rPr>
                <w:sz w:val="16"/>
                <w:szCs w:val="16"/>
              </w:rPr>
            </w:pPr>
            <w:r>
              <w:rPr>
                <w:sz w:val="16"/>
              </w:rPr>
              <w:t>(UE) nr. 3/2014</w:t>
            </w:r>
          </w:p>
        </w:tc>
        <w:tc>
          <w:tcPr>
            <w:tcW w:w="1950" w:type="dxa"/>
          </w:tcPr>
          <w:p w14:paraId="33D28E4A" w14:textId="77777777" w:rsidR="006410E1" w:rsidRDefault="006410E1" w:rsidP="00995BE6">
            <w:pPr>
              <w:spacing w:before="120" w:after="120"/>
              <w:jc w:val="center"/>
              <w:rPr>
                <w:sz w:val="16"/>
                <w:szCs w:val="16"/>
              </w:rPr>
            </w:pPr>
            <w:r>
              <w:rPr>
                <w:sz w:val="16"/>
              </w:rPr>
              <w:t>instalație B</w:t>
            </w:r>
          </w:p>
          <w:p w14:paraId="2FA973D7" w14:textId="77777777" w:rsidR="006410E1" w:rsidRPr="00FE7FBF" w:rsidRDefault="006410E1" w:rsidP="00995BE6">
            <w:pPr>
              <w:spacing w:before="120" w:after="120"/>
              <w:jc w:val="center"/>
              <w:rPr>
                <w:sz w:val="16"/>
                <w:szCs w:val="16"/>
              </w:rPr>
            </w:pPr>
            <w:r>
              <w:rPr>
                <w:sz w:val="16"/>
              </w:rPr>
              <w:t>componente X</w:t>
            </w:r>
          </w:p>
        </w:tc>
        <w:tc>
          <w:tcPr>
            <w:tcW w:w="2019" w:type="dxa"/>
          </w:tcPr>
          <w:p w14:paraId="12CDD979" w14:textId="77777777" w:rsidR="006410E1" w:rsidRDefault="006410E1" w:rsidP="00995BE6">
            <w:pPr>
              <w:spacing w:before="120" w:after="120"/>
              <w:jc w:val="center"/>
              <w:rPr>
                <w:sz w:val="16"/>
                <w:szCs w:val="16"/>
              </w:rPr>
            </w:pPr>
            <w:r>
              <w:rPr>
                <w:sz w:val="16"/>
              </w:rPr>
              <w:t>instalație E</w:t>
            </w:r>
          </w:p>
          <w:p w14:paraId="7E1CACAD" w14:textId="77777777" w:rsidR="006410E1" w:rsidRPr="00FE7FBF" w:rsidRDefault="006410E1" w:rsidP="00995BE6">
            <w:pPr>
              <w:spacing w:before="120" w:after="120"/>
              <w:jc w:val="center"/>
              <w:rPr>
                <w:sz w:val="16"/>
                <w:szCs w:val="16"/>
              </w:rPr>
            </w:pPr>
            <w:r>
              <w:rPr>
                <w:sz w:val="16"/>
              </w:rPr>
              <w:t>componente X</w:t>
            </w:r>
          </w:p>
        </w:tc>
        <w:tc>
          <w:tcPr>
            <w:tcW w:w="1758" w:type="dxa"/>
          </w:tcPr>
          <w:p w14:paraId="2D19721E" w14:textId="77777777" w:rsidR="006410E1" w:rsidRPr="003854EA" w:rsidRDefault="006410E1" w:rsidP="00995BE6">
            <w:pPr>
              <w:spacing w:before="120" w:after="120"/>
              <w:jc w:val="center"/>
              <w:rPr>
                <w:sz w:val="16"/>
                <w:szCs w:val="16"/>
              </w:rPr>
            </w:pPr>
            <w:r>
              <w:rPr>
                <w:sz w:val="16"/>
              </w:rPr>
              <w:t>instalație E</w:t>
            </w:r>
          </w:p>
          <w:p w14:paraId="443BB9BF" w14:textId="77777777" w:rsidR="006410E1" w:rsidRDefault="006410E1" w:rsidP="00995BE6">
            <w:pPr>
              <w:spacing w:before="120" w:after="120"/>
              <w:jc w:val="center"/>
              <w:rPr>
                <w:sz w:val="16"/>
                <w:szCs w:val="16"/>
              </w:rPr>
            </w:pPr>
            <w:r>
              <w:rPr>
                <w:sz w:val="16"/>
              </w:rPr>
              <w:t>componente X</w:t>
            </w:r>
          </w:p>
        </w:tc>
      </w:tr>
      <w:tr w:rsidR="006410E1" w14:paraId="2CC3C9EA" w14:textId="77777777" w:rsidTr="002A5D75">
        <w:trPr>
          <w:cantSplit/>
          <w:trHeight w:val="510"/>
          <w:jc w:val="center"/>
        </w:trPr>
        <w:tc>
          <w:tcPr>
            <w:tcW w:w="695" w:type="dxa"/>
          </w:tcPr>
          <w:p w14:paraId="52875963" w14:textId="77777777" w:rsidR="006410E1" w:rsidRPr="00FE7FBF" w:rsidRDefault="006410E1" w:rsidP="00995BE6">
            <w:pPr>
              <w:spacing w:before="120" w:after="120"/>
              <w:rPr>
                <w:sz w:val="16"/>
                <w:szCs w:val="16"/>
              </w:rPr>
            </w:pPr>
            <w:r>
              <w:rPr>
                <w:sz w:val="16"/>
              </w:rPr>
              <w:t>31</w:t>
            </w:r>
          </w:p>
        </w:tc>
        <w:tc>
          <w:tcPr>
            <w:tcW w:w="2380" w:type="dxa"/>
          </w:tcPr>
          <w:p w14:paraId="2D7D18F6" w14:textId="77777777" w:rsidR="006410E1" w:rsidRPr="00FE7FBF" w:rsidRDefault="006410E1" w:rsidP="00995BE6">
            <w:pPr>
              <w:spacing w:before="120" w:after="120"/>
              <w:rPr>
                <w:sz w:val="16"/>
                <w:szCs w:val="16"/>
              </w:rPr>
            </w:pPr>
            <w:r>
              <w:rPr>
                <w:sz w:val="16"/>
              </w:rPr>
              <w:t>Sistemul de frânare</w:t>
            </w:r>
          </w:p>
        </w:tc>
        <w:tc>
          <w:tcPr>
            <w:tcW w:w="1737" w:type="dxa"/>
          </w:tcPr>
          <w:p w14:paraId="333361B8" w14:textId="77777777" w:rsidR="006410E1" w:rsidRDefault="006410E1" w:rsidP="00995BE6">
            <w:pPr>
              <w:spacing w:before="120" w:after="120"/>
              <w:rPr>
                <w:sz w:val="16"/>
                <w:szCs w:val="16"/>
              </w:rPr>
            </w:pPr>
            <w:r>
              <w:rPr>
                <w:sz w:val="16"/>
              </w:rPr>
              <w:t>93/14/CEE</w:t>
            </w:r>
          </w:p>
          <w:p w14:paraId="5538AD34" w14:textId="77777777" w:rsidR="006410E1" w:rsidRPr="00FE7FBF" w:rsidRDefault="006410E1" w:rsidP="00995BE6">
            <w:pPr>
              <w:spacing w:before="120" w:after="120"/>
              <w:rPr>
                <w:sz w:val="16"/>
                <w:szCs w:val="16"/>
              </w:rPr>
            </w:pPr>
            <w:r>
              <w:rPr>
                <w:sz w:val="16"/>
              </w:rPr>
              <w:t>(UE) nr. 3/2014</w:t>
            </w:r>
          </w:p>
        </w:tc>
        <w:tc>
          <w:tcPr>
            <w:tcW w:w="1950" w:type="dxa"/>
          </w:tcPr>
          <w:p w14:paraId="7A598A2A" w14:textId="77777777" w:rsidR="006410E1" w:rsidRPr="00FE7FBF" w:rsidRDefault="006410E1" w:rsidP="00995BE6">
            <w:pPr>
              <w:spacing w:before="120" w:after="120"/>
              <w:jc w:val="center"/>
              <w:rPr>
                <w:sz w:val="16"/>
                <w:szCs w:val="16"/>
              </w:rPr>
            </w:pPr>
            <w:r>
              <w:rPr>
                <w:sz w:val="16"/>
              </w:rPr>
              <w:t>A</w:t>
            </w:r>
          </w:p>
        </w:tc>
        <w:tc>
          <w:tcPr>
            <w:tcW w:w="2019" w:type="dxa"/>
          </w:tcPr>
          <w:p w14:paraId="58166B23" w14:textId="77777777" w:rsidR="006410E1" w:rsidRPr="00FE7FBF" w:rsidRDefault="006410E1" w:rsidP="00995BE6">
            <w:pPr>
              <w:spacing w:before="120" w:after="120"/>
              <w:jc w:val="center"/>
              <w:rPr>
                <w:sz w:val="16"/>
                <w:szCs w:val="16"/>
              </w:rPr>
            </w:pPr>
            <w:r>
              <w:rPr>
                <w:sz w:val="16"/>
              </w:rPr>
              <w:t>H</w:t>
            </w:r>
            <w:r>
              <w:rPr>
                <w:rStyle w:val="EndnoteReference"/>
                <w:sz w:val="16"/>
                <w:szCs w:val="16"/>
              </w:rPr>
              <w:endnoteReference w:id="9"/>
            </w:r>
            <w:r>
              <w:rPr>
                <w:sz w:val="16"/>
              </w:rPr>
              <w:t>/I</w:t>
            </w:r>
            <w:r>
              <w:rPr>
                <w:rStyle w:val="EndnoteReference"/>
                <w:sz w:val="16"/>
                <w:szCs w:val="16"/>
              </w:rPr>
              <w:endnoteReference w:id="10"/>
            </w:r>
          </w:p>
        </w:tc>
        <w:tc>
          <w:tcPr>
            <w:tcW w:w="1758" w:type="dxa"/>
          </w:tcPr>
          <w:p w14:paraId="6F18FD8C" w14:textId="77777777" w:rsidR="006410E1" w:rsidRPr="00CE7C25" w:rsidRDefault="006410E1" w:rsidP="00995BE6">
            <w:pPr>
              <w:spacing w:before="120" w:after="120"/>
              <w:jc w:val="center"/>
              <w:rPr>
                <w:sz w:val="16"/>
                <w:szCs w:val="16"/>
              </w:rPr>
            </w:pPr>
            <w:r>
              <w:rPr>
                <w:sz w:val="16"/>
              </w:rPr>
              <w:t>H</w:t>
            </w:r>
            <w:r>
              <w:rPr>
                <w:sz w:val="16"/>
                <w:vertAlign w:val="superscript"/>
              </w:rPr>
              <w:t>viii</w:t>
            </w:r>
          </w:p>
        </w:tc>
      </w:tr>
      <w:tr w:rsidR="006410E1" w14:paraId="1BA85B8C" w14:textId="77777777" w:rsidTr="002A5D75">
        <w:trPr>
          <w:cantSplit/>
          <w:trHeight w:val="510"/>
          <w:jc w:val="center"/>
        </w:trPr>
        <w:tc>
          <w:tcPr>
            <w:tcW w:w="695" w:type="dxa"/>
          </w:tcPr>
          <w:p w14:paraId="6E25D8C4" w14:textId="77777777" w:rsidR="006410E1" w:rsidRPr="00FE7FBF" w:rsidRDefault="006410E1" w:rsidP="00995BE6">
            <w:pPr>
              <w:spacing w:before="120" w:after="120"/>
              <w:rPr>
                <w:sz w:val="16"/>
                <w:szCs w:val="16"/>
              </w:rPr>
            </w:pPr>
            <w:r>
              <w:rPr>
                <w:sz w:val="16"/>
              </w:rPr>
              <w:t>32</w:t>
            </w:r>
          </w:p>
        </w:tc>
        <w:tc>
          <w:tcPr>
            <w:tcW w:w="2380" w:type="dxa"/>
          </w:tcPr>
          <w:p w14:paraId="3CF9D156" w14:textId="77777777" w:rsidR="006410E1" w:rsidRPr="00FE7FBF" w:rsidRDefault="006410E1" w:rsidP="00995BE6">
            <w:pPr>
              <w:spacing w:before="120" w:after="120"/>
              <w:rPr>
                <w:sz w:val="16"/>
                <w:szCs w:val="16"/>
              </w:rPr>
            </w:pPr>
            <w:r>
              <w:rPr>
                <w:sz w:val="16"/>
              </w:rPr>
              <w:t>Echiparea unui vehicul cu lămpi și indicatoare luminoase</w:t>
            </w:r>
          </w:p>
        </w:tc>
        <w:tc>
          <w:tcPr>
            <w:tcW w:w="1737" w:type="dxa"/>
          </w:tcPr>
          <w:p w14:paraId="56E0AD14" w14:textId="77777777" w:rsidR="006410E1" w:rsidRDefault="006410E1" w:rsidP="00995BE6">
            <w:pPr>
              <w:spacing w:before="120" w:after="120"/>
              <w:rPr>
                <w:sz w:val="16"/>
                <w:szCs w:val="16"/>
              </w:rPr>
            </w:pPr>
            <w:r>
              <w:rPr>
                <w:sz w:val="16"/>
              </w:rPr>
              <w:t>2009/67/CE</w:t>
            </w:r>
          </w:p>
          <w:p w14:paraId="045CB422" w14:textId="77777777" w:rsidR="006410E1" w:rsidRPr="00FE7FBF" w:rsidRDefault="006410E1" w:rsidP="00995BE6">
            <w:pPr>
              <w:spacing w:before="120" w:after="120"/>
              <w:rPr>
                <w:sz w:val="16"/>
                <w:szCs w:val="16"/>
              </w:rPr>
            </w:pPr>
            <w:r>
              <w:rPr>
                <w:sz w:val="16"/>
              </w:rPr>
              <w:t>(UE) nr. 3/2014</w:t>
            </w:r>
          </w:p>
        </w:tc>
        <w:tc>
          <w:tcPr>
            <w:tcW w:w="1950" w:type="dxa"/>
          </w:tcPr>
          <w:p w14:paraId="737723FC" w14:textId="77777777" w:rsidR="006410E1" w:rsidRDefault="006410E1" w:rsidP="00995BE6">
            <w:pPr>
              <w:spacing w:before="120" w:after="120"/>
              <w:jc w:val="center"/>
              <w:rPr>
                <w:sz w:val="16"/>
                <w:szCs w:val="16"/>
              </w:rPr>
            </w:pPr>
            <w:r>
              <w:rPr>
                <w:sz w:val="16"/>
              </w:rPr>
              <w:t>instalație B</w:t>
            </w:r>
          </w:p>
          <w:p w14:paraId="3CAC7E1F" w14:textId="77777777" w:rsidR="006410E1" w:rsidRPr="00FE7FBF" w:rsidRDefault="006410E1" w:rsidP="00995BE6">
            <w:pPr>
              <w:spacing w:before="120" w:after="120"/>
              <w:jc w:val="center"/>
              <w:rPr>
                <w:sz w:val="16"/>
                <w:szCs w:val="16"/>
              </w:rPr>
            </w:pPr>
            <w:r>
              <w:rPr>
                <w:sz w:val="16"/>
              </w:rPr>
              <w:t>componente X</w:t>
            </w:r>
          </w:p>
        </w:tc>
        <w:tc>
          <w:tcPr>
            <w:tcW w:w="2019" w:type="dxa"/>
          </w:tcPr>
          <w:p w14:paraId="406F439A" w14:textId="77777777" w:rsidR="006410E1" w:rsidRDefault="006410E1" w:rsidP="00995BE6">
            <w:pPr>
              <w:spacing w:before="120" w:after="120"/>
              <w:jc w:val="center"/>
              <w:rPr>
                <w:sz w:val="16"/>
                <w:szCs w:val="16"/>
              </w:rPr>
            </w:pPr>
            <w:r>
              <w:rPr>
                <w:sz w:val="16"/>
              </w:rPr>
              <w:t>instalație E/I</w:t>
            </w:r>
            <w:r w:rsidRPr="005F4BCE">
              <w:rPr>
                <w:rStyle w:val="EndnoteReference"/>
                <w:sz w:val="16"/>
                <w:szCs w:val="16"/>
              </w:rPr>
              <w:endnoteReference w:id="11"/>
            </w:r>
          </w:p>
          <w:p w14:paraId="07814AB5" w14:textId="77777777" w:rsidR="006410E1" w:rsidRPr="00FE7FBF" w:rsidRDefault="006410E1" w:rsidP="00995BE6">
            <w:pPr>
              <w:spacing w:before="120" w:after="120"/>
              <w:jc w:val="center"/>
              <w:rPr>
                <w:sz w:val="16"/>
                <w:szCs w:val="16"/>
              </w:rPr>
            </w:pPr>
            <w:r>
              <w:rPr>
                <w:sz w:val="16"/>
              </w:rPr>
              <w:t>componente X/I</w:t>
            </w:r>
          </w:p>
        </w:tc>
        <w:tc>
          <w:tcPr>
            <w:tcW w:w="1758" w:type="dxa"/>
          </w:tcPr>
          <w:p w14:paraId="061BBA7A" w14:textId="77777777" w:rsidR="006410E1" w:rsidRPr="003854EA" w:rsidRDefault="006410E1" w:rsidP="00995BE6">
            <w:pPr>
              <w:spacing w:before="120" w:after="120"/>
              <w:jc w:val="center"/>
              <w:rPr>
                <w:sz w:val="16"/>
                <w:szCs w:val="16"/>
              </w:rPr>
            </w:pPr>
            <w:r>
              <w:rPr>
                <w:sz w:val="16"/>
              </w:rPr>
              <w:t>instalație E</w:t>
            </w:r>
            <w:r w:rsidRPr="003854EA">
              <w:rPr>
                <w:rStyle w:val="EndnoteReference"/>
                <w:sz w:val="16"/>
                <w:szCs w:val="16"/>
              </w:rPr>
              <w:endnoteReference w:id="12"/>
            </w:r>
          </w:p>
          <w:p w14:paraId="70CDA10D" w14:textId="77777777" w:rsidR="006410E1" w:rsidRPr="004654B9" w:rsidRDefault="006410E1" w:rsidP="00995BE6">
            <w:pPr>
              <w:spacing w:before="120" w:after="120"/>
              <w:jc w:val="center"/>
              <w:rPr>
                <w:sz w:val="16"/>
                <w:szCs w:val="16"/>
                <w:vertAlign w:val="superscript"/>
              </w:rPr>
            </w:pPr>
            <w:r>
              <w:rPr>
                <w:sz w:val="16"/>
              </w:rPr>
              <w:t>componente X/I</w:t>
            </w:r>
          </w:p>
        </w:tc>
      </w:tr>
      <w:tr w:rsidR="006410E1" w14:paraId="7629A463" w14:textId="77777777" w:rsidTr="002A5D75">
        <w:trPr>
          <w:cantSplit/>
          <w:trHeight w:val="510"/>
          <w:jc w:val="center"/>
        </w:trPr>
        <w:tc>
          <w:tcPr>
            <w:tcW w:w="695" w:type="dxa"/>
          </w:tcPr>
          <w:p w14:paraId="24CCCC06" w14:textId="77777777" w:rsidR="006410E1" w:rsidRPr="00FE7FBF" w:rsidRDefault="006410E1" w:rsidP="00995BE6">
            <w:pPr>
              <w:spacing w:before="120" w:after="120"/>
              <w:rPr>
                <w:sz w:val="16"/>
                <w:szCs w:val="16"/>
              </w:rPr>
            </w:pPr>
            <w:r>
              <w:rPr>
                <w:sz w:val="16"/>
              </w:rPr>
              <w:t>34</w:t>
            </w:r>
          </w:p>
        </w:tc>
        <w:tc>
          <w:tcPr>
            <w:tcW w:w="2380" w:type="dxa"/>
          </w:tcPr>
          <w:p w14:paraId="5FBBC491" w14:textId="77777777" w:rsidR="006410E1" w:rsidRPr="00FE7FBF" w:rsidRDefault="006410E1" w:rsidP="00995BE6">
            <w:pPr>
              <w:spacing w:before="120" w:after="120"/>
              <w:rPr>
                <w:sz w:val="16"/>
                <w:szCs w:val="16"/>
              </w:rPr>
            </w:pPr>
            <w:r>
              <w:rPr>
                <w:sz w:val="16"/>
              </w:rPr>
              <w:t>Dispozitiv de avertizare sonoră</w:t>
            </w:r>
          </w:p>
        </w:tc>
        <w:tc>
          <w:tcPr>
            <w:tcW w:w="1737" w:type="dxa"/>
          </w:tcPr>
          <w:p w14:paraId="4170C5F8" w14:textId="77777777" w:rsidR="006410E1" w:rsidRDefault="006410E1" w:rsidP="00995BE6">
            <w:pPr>
              <w:spacing w:before="120" w:after="120"/>
              <w:rPr>
                <w:sz w:val="16"/>
                <w:szCs w:val="16"/>
              </w:rPr>
            </w:pPr>
            <w:r>
              <w:rPr>
                <w:sz w:val="16"/>
              </w:rPr>
              <w:t>93/30/CEE</w:t>
            </w:r>
          </w:p>
          <w:p w14:paraId="1E678606" w14:textId="77777777" w:rsidR="006410E1" w:rsidRPr="00FE7FBF" w:rsidRDefault="006410E1" w:rsidP="00995BE6">
            <w:pPr>
              <w:spacing w:before="120" w:after="120"/>
              <w:rPr>
                <w:sz w:val="16"/>
                <w:szCs w:val="16"/>
              </w:rPr>
            </w:pPr>
            <w:r>
              <w:rPr>
                <w:sz w:val="16"/>
              </w:rPr>
              <w:t>(UE) nr. 3/2014</w:t>
            </w:r>
          </w:p>
        </w:tc>
        <w:tc>
          <w:tcPr>
            <w:tcW w:w="1950" w:type="dxa"/>
          </w:tcPr>
          <w:p w14:paraId="048D603C" w14:textId="77777777" w:rsidR="006410E1" w:rsidRPr="00FE7FBF" w:rsidRDefault="006410E1" w:rsidP="00995BE6">
            <w:pPr>
              <w:spacing w:before="120" w:after="120"/>
              <w:jc w:val="center"/>
              <w:rPr>
                <w:sz w:val="16"/>
                <w:szCs w:val="16"/>
              </w:rPr>
            </w:pPr>
            <w:r>
              <w:rPr>
                <w:sz w:val="16"/>
              </w:rPr>
              <w:t>E</w:t>
            </w:r>
          </w:p>
        </w:tc>
        <w:tc>
          <w:tcPr>
            <w:tcW w:w="2019" w:type="dxa"/>
          </w:tcPr>
          <w:p w14:paraId="3EB19F49" w14:textId="77777777" w:rsidR="006410E1" w:rsidRPr="005F4BCE" w:rsidRDefault="006410E1" w:rsidP="00995BE6">
            <w:pPr>
              <w:spacing w:before="120" w:after="120"/>
              <w:jc w:val="center"/>
              <w:rPr>
                <w:sz w:val="16"/>
                <w:szCs w:val="16"/>
              </w:rPr>
            </w:pPr>
            <w:r>
              <w:rPr>
                <w:sz w:val="16"/>
              </w:rPr>
              <w:t>E</w:t>
            </w:r>
          </w:p>
        </w:tc>
        <w:tc>
          <w:tcPr>
            <w:tcW w:w="1758" w:type="dxa"/>
          </w:tcPr>
          <w:p w14:paraId="3F3883EB" w14:textId="77777777" w:rsidR="006410E1" w:rsidRPr="00FE7FBF" w:rsidRDefault="006410E1" w:rsidP="00995BE6">
            <w:pPr>
              <w:spacing w:before="120" w:after="120"/>
              <w:jc w:val="center"/>
              <w:rPr>
                <w:sz w:val="16"/>
                <w:szCs w:val="16"/>
              </w:rPr>
            </w:pPr>
            <w:r>
              <w:rPr>
                <w:sz w:val="16"/>
              </w:rPr>
              <w:t>E</w:t>
            </w:r>
          </w:p>
        </w:tc>
      </w:tr>
      <w:tr w:rsidR="006410E1" w14:paraId="16C8A576" w14:textId="77777777" w:rsidTr="002A5D75">
        <w:trPr>
          <w:cantSplit/>
          <w:trHeight w:val="510"/>
          <w:jc w:val="center"/>
        </w:trPr>
        <w:tc>
          <w:tcPr>
            <w:tcW w:w="695" w:type="dxa"/>
          </w:tcPr>
          <w:p w14:paraId="369457E3" w14:textId="77777777" w:rsidR="006410E1" w:rsidRPr="00FE7FBF" w:rsidRDefault="006410E1" w:rsidP="00995BE6">
            <w:pPr>
              <w:spacing w:before="120" w:after="120"/>
              <w:rPr>
                <w:sz w:val="16"/>
                <w:szCs w:val="16"/>
              </w:rPr>
            </w:pPr>
            <w:r>
              <w:rPr>
                <w:sz w:val="16"/>
              </w:rPr>
              <w:t>35</w:t>
            </w:r>
          </w:p>
        </w:tc>
        <w:tc>
          <w:tcPr>
            <w:tcW w:w="2380" w:type="dxa"/>
          </w:tcPr>
          <w:p w14:paraId="73FC64EC" w14:textId="77777777" w:rsidR="006410E1" w:rsidRPr="00FE7FBF" w:rsidRDefault="006410E1" w:rsidP="00995BE6">
            <w:pPr>
              <w:spacing w:before="120" w:after="120"/>
              <w:rPr>
                <w:sz w:val="16"/>
                <w:szCs w:val="16"/>
              </w:rPr>
            </w:pPr>
            <w:r>
              <w:rPr>
                <w:sz w:val="16"/>
              </w:rPr>
              <w:t>Amplasarea plăcuței de înmatriculare spate și a spațiului acesteia</w:t>
            </w:r>
          </w:p>
        </w:tc>
        <w:tc>
          <w:tcPr>
            <w:tcW w:w="1737" w:type="dxa"/>
          </w:tcPr>
          <w:p w14:paraId="34B89A2F" w14:textId="77777777" w:rsidR="006410E1" w:rsidRDefault="006410E1" w:rsidP="00995BE6">
            <w:pPr>
              <w:spacing w:before="120" w:after="120"/>
              <w:rPr>
                <w:sz w:val="16"/>
                <w:szCs w:val="16"/>
              </w:rPr>
            </w:pPr>
            <w:r>
              <w:rPr>
                <w:sz w:val="16"/>
              </w:rPr>
              <w:t>2009/62/CE</w:t>
            </w:r>
          </w:p>
          <w:p w14:paraId="28FFDF02" w14:textId="77777777" w:rsidR="006410E1" w:rsidRPr="00FE7FBF" w:rsidRDefault="006410E1" w:rsidP="00995BE6">
            <w:pPr>
              <w:spacing w:before="120" w:after="120"/>
              <w:rPr>
                <w:sz w:val="16"/>
                <w:szCs w:val="16"/>
              </w:rPr>
            </w:pPr>
            <w:r>
              <w:rPr>
                <w:sz w:val="16"/>
              </w:rPr>
              <w:t>(UE) nr. 44/2014</w:t>
            </w:r>
          </w:p>
        </w:tc>
        <w:tc>
          <w:tcPr>
            <w:tcW w:w="1950" w:type="dxa"/>
          </w:tcPr>
          <w:p w14:paraId="7B1B12B6" w14:textId="77777777" w:rsidR="006410E1" w:rsidRPr="005F4BCE" w:rsidRDefault="006410E1" w:rsidP="00995BE6">
            <w:pPr>
              <w:spacing w:before="120" w:after="120"/>
              <w:jc w:val="center"/>
              <w:rPr>
                <w:strike/>
                <w:sz w:val="16"/>
                <w:szCs w:val="16"/>
              </w:rPr>
            </w:pPr>
            <w:r>
              <w:rPr>
                <w:sz w:val="16"/>
              </w:rPr>
              <w:t>E</w:t>
            </w:r>
          </w:p>
        </w:tc>
        <w:tc>
          <w:tcPr>
            <w:tcW w:w="2019" w:type="dxa"/>
          </w:tcPr>
          <w:p w14:paraId="58A9B8CA" w14:textId="77777777" w:rsidR="006410E1" w:rsidRPr="00FE7FBF" w:rsidRDefault="006410E1" w:rsidP="00995BE6">
            <w:pPr>
              <w:spacing w:before="120" w:after="120"/>
              <w:jc w:val="center"/>
              <w:rPr>
                <w:sz w:val="16"/>
                <w:szCs w:val="16"/>
              </w:rPr>
            </w:pPr>
            <w:r>
              <w:rPr>
                <w:sz w:val="16"/>
              </w:rPr>
              <w:t>E</w:t>
            </w:r>
          </w:p>
        </w:tc>
        <w:tc>
          <w:tcPr>
            <w:tcW w:w="1758" w:type="dxa"/>
          </w:tcPr>
          <w:p w14:paraId="02231426" w14:textId="77777777" w:rsidR="006410E1" w:rsidRPr="00FE7FBF" w:rsidRDefault="006410E1" w:rsidP="00995BE6">
            <w:pPr>
              <w:spacing w:before="120" w:after="120"/>
              <w:jc w:val="center"/>
              <w:rPr>
                <w:sz w:val="16"/>
                <w:szCs w:val="16"/>
              </w:rPr>
            </w:pPr>
            <w:r>
              <w:rPr>
                <w:sz w:val="16"/>
              </w:rPr>
              <w:t>E</w:t>
            </w:r>
          </w:p>
        </w:tc>
      </w:tr>
      <w:tr w:rsidR="006410E1" w14:paraId="58E2454A" w14:textId="77777777" w:rsidTr="002A5D75">
        <w:trPr>
          <w:cantSplit/>
          <w:trHeight w:val="510"/>
          <w:jc w:val="center"/>
        </w:trPr>
        <w:tc>
          <w:tcPr>
            <w:tcW w:w="695" w:type="dxa"/>
          </w:tcPr>
          <w:p w14:paraId="2A80676D" w14:textId="77777777" w:rsidR="006410E1" w:rsidRPr="00FE7FBF" w:rsidRDefault="006410E1" w:rsidP="00995BE6">
            <w:pPr>
              <w:spacing w:before="120" w:after="120"/>
              <w:rPr>
                <w:sz w:val="16"/>
                <w:szCs w:val="16"/>
              </w:rPr>
            </w:pPr>
            <w:r>
              <w:rPr>
                <w:sz w:val="16"/>
              </w:rPr>
              <w:t>36</w:t>
            </w:r>
          </w:p>
          <w:p w14:paraId="1B0C9CFD" w14:textId="77777777" w:rsidR="006410E1" w:rsidRPr="00FE7FBF" w:rsidRDefault="006410E1" w:rsidP="00995BE6">
            <w:pPr>
              <w:spacing w:before="120" w:after="120"/>
              <w:rPr>
                <w:sz w:val="16"/>
                <w:szCs w:val="16"/>
              </w:rPr>
            </w:pPr>
          </w:p>
        </w:tc>
        <w:tc>
          <w:tcPr>
            <w:tcW w:w="2380" w:type="dxa"/>
          </w:tcPr>
          <w:p w14:paraId="4DEF47F6" w14:textId="77777777" w:rsidR="006410E1" w:rsidRPr="00FE7FBF" w:rsidRDefault="006410E1" w:rsidP="00995BE6">
            <w:pPr>
              <w:spacing w:before="120" w:after="120"/>
              <w:rPr>
                <w:sz w:val="16"/>
                <w:szCs w:val="16"/>
              </w:rPr>
            </w:pPr>
            <w:r>
              <w:rPr>
                <w:sz w:val="16"/>
              </w:rPr>
              <w:t>Compatibilitate electromagnetică</w:t>
            </w:r>
          </w:p>
        </w:tc>
        <w:tc>
          <w:tcPr>
            <w:tcW w:w="1737" w:type="dxa"/>
          </w:tcPr>
          <w:p w14:paraId="6FA88F17" w14:textId="77777777" w:rsidR="006410E1" w:rsidRPr="00302B9D" w:rsidRDefault="006410E1" w:rsidP="00995BE6">
            <w:pPr>
              <w:spacing w:before="120" w:after="120"/>
              <w:rPr>
                <w:sz w:val="16"/>
                <w:szCs w:val="16"/>
              </w:rPr>
            </w:pPr>
            <w:r>
              <w:rPr>
                <w:sz w:val="16"/>
              </w:rPr>
              <w:t>97/24/CE</w:t>
            </w:r>
            <w:r>
              <w:rPr>
                <w:sz w:val="16"/>
              </w:rPr>
              <w:br/>
              <w:t>CAPITOLUL 8</w:t>
            </w:r>
          </w:p>
          <w:p w14:paraId="308666AF" w14:textId="77777777" w:rsidR="006410E1" w:rsidRPr="00302B9D" w:rsidRDefault="006410E1" w:rsidP="00995BE6">
            <w:pPr>
              <w:spacing w:before="120" w:after="120"/>
              <w:rPr>
                <w:sz w:val="16"/>
                <w:szCs w:val="16"/>
              </w:rPr>
            </w:pPr>
            <w:r>
              <w:rPr>
                <w:sz w:val="16"/>
              </w:rPr>
              <w:t>(UE) nr. 44/2014</w:t>
            </w:r>
          </w:p>
        </w:tc>
        <w:tc>
          <w:tcPr>
            <w:tcW w:w="1950" w:type="dxa"/>
          </w:tcPr>
          <w:p w14:paraId="2F1E0ED5" w14:textId="77777777" w:rsidR="006410E1" w:rsidRPr="00FE7FBF" w:rsidRDefault="006410E1" w:rsidP="00995BE6">
            <w:pPr>
              <w:spacing w:before="120" w:after="120"/>
              <w:jc w:val="center"/>
              <w:rPr>
                <w:sz w:val="16"/>
                <w:szCs w:val="16"/>
              </w:rPr>
            </w:pPr>
            <w:r>
              <w:rPr>
                <w:sz w:val="16"/>
              </w:rPr>
              <w:t>subansamblu electronic A</w:t>
            </w:r>
          </w:p>
          <w:p w14:paraId="2F2BD141" w14:textId="77777777" w:rsidR="006410E1" w:rsidRPr="00FE7FBF" w:rsidRDefault="006410E1" w:rsidP="00995BE6">
            <w:pPr>
              <w:spacing w:before="120" w:after="120"/>
              <w:jc w:val="center"/>
              <w:rPr>
                <w:sz w:val="16"/>
                <w:szCs w:val="16"/>
              </w:rPr>
            </w:pPr>
            <w:r>
              <w:rPr>
                <w:sz w:val="16"/>
              </w:rPr>
              <w:t>vehicul C</w:t>
            </w:r>
          </w:p>
        </w:tc>
        <w:tc>
          <w:tcPr>
            <w:tcW w:w="2019" w:type="dxa"/>
          </w:tcPr>
          <w:p w14:paraId="3F077637" w14:textId="77777777" w:rsidR="006410E1" w:rsidRPr="00FE7FBF" w:rsidRDefault="006410E1" w:rsidP="00995BE6">
            <w:pPr>
              <w:spacing w:before="120" w:after="120"/>
              <w:jc w:val="center"/>
              <w:rPr>
                <w:sz w:val="16"/>
                <w:szCs w:val="16"/>
              </w:rPr>
            </w:pPr>
            <w:r>
              <w:rPr>
                <w:sz w:val="16"/>
              </w:rPr>
              <w:t>subansamblu electronic din categoria B</w:t>
            </w:r>
          </w:p>
          <w:p w14:paraId="1C4F0063" w14:textId="77777777" w:rsidR="006410E1" w:rsidRPr="00FE7FBF" w:rsidRDefault="006410E1" w:rsidP="00995BE6">
            <w:pPr>
              <w:spacing w:before="120" w:after="120"/>
              <w:jc w:val="center"/>
              <w:rPr>
                <w:sz w:val="16"/>
                <w:szCs w:val="16"/>
              </w:rPr>
            </w:pPr>
            <w:r>
              <w:rPr>
                <w:sz w:val="16"/>
              </w:rPr>
              <w:t>vehicul C/I</w:t>
            </w:r>
            <w:bookmarkStart w:id="38" w:name="_Ref62740166"/>
            <w:r>
              <w:rPr>
                <w:rStyle w:val="EndnoteReference"/>
                <w:sz w:val="16"/>
                <w:szCs w:val="16"/>
              </w:rPr>
              <w:endnoteReference w:id="13"/>
            </w:r>
            <w:bookmarkEnd w:id="38"/>
          </w:p>
        </w:tc>
        <w:tc>
          <w:tcPr>
            <w:tcW w:w="1758" w:type="dxa"/>
          </w:tcPr>
          <w:p w14:paraId="1DCE98BA" w14:textId="77777777" w:rsidR="006410E1" w:rsidRPr="003854EA" w:rsidRDefault="006410E1" w:rsidP="00995BE6">
            <w:pPr>
              <w:spacing w:before="120" w:after="120"/>
              <w:jc w:val="center"/>
              <w:rPr>
                <w:sz w:val="16"/>
                <w:szCs w:val="16"/>
              </w:rPr>
            </w:pPr>
            <w:r>
              <w:rPr>
                <w:sz w:val="16"/>
              </w:rPr>
              <w:t>subansamblu electronic din categoria B</w:t>
            </w:r>
          </w:p>
          <w:p w14:paraId="19C5EB58" w14:textId="302A3F98" w:rsidR="006410E1" w:rsidRPr="0035008F" w:rsidRDefault="006410E1" w:rsidP="00312B25">
            <w:pPr>
              <w:spacing w:before="120" w:after="120"/>
              <w:jc w:val="center"/>
              <w:rPr>
                <w:sz w:val="16"/>
                <w:szCs w:val="16"/>
                <w:vertAlign w:val="superscript"/>
              </w:rPr>
            </w:pPr>
            <w:r>
              <w:rPr>
                <w:sz w:val="16"/>
              </w:rPr>
              <w:t>vehicul din categoria C/I</w:t>
            </w:r>
            <w:r w:rsidR="00312B25" w:rsidRPr="00312B25">
              <w:rPr>
                <w:rStyle w:val="EndnoteReference"/>
              </w:rPr>
              <w:fldChar w:fldCharType="begin"/>
            </w:r>
            <w:r w:rsidR="00312B25" w:rsidRPr="00312B25">
              <w:rPr>
                <w:rStyle w:val="EndnoteReference"/>
              </w:rPr>
              <w:instrText xml:space="preserve"> NOTEREF _Ref62740166 \f </w:instrText>
            </w:r>
            <w:r w:rsidR="00312B25">
              <w:rPr>
                <w:rStyle w:val="EndnoteReference"/>
              </w:rPr>
              <w:instrText xml:space="preserve"> \* MERGEFORMAT </w:instrText>
            </w:r>
            <w:r w:rsidR="00312B25" w:rsidRPr="00312B25">
              <w:rPr>
                <w:rStyle w:val="EndnoteReference"/>
              </w:rPr>
              <w:fldChar w:fldCharType="separate"/>
            </w:r>
            <w:r w:rsidR="002A5D75" w:rsidRPr="002A5D75">
              <w:rPr>
                <w:rStyle w:val="EndnoteReference"/>
                <w:sz w:val="16"/>
              </w:rPr>
              <w:t>xii</w:t>
            </w:r>
            <w:r w:rsidR="00312B25" w:rsidRPr="00312B25">
              <w:rPr>
                <w:rStyle w:val="EndnoteReference"/>
              </w:rPr>
              <w:fldChar w:fldCharType="end"/>
            </w:r>
          </w:p>
        </w:tc>
      </w:tr>
      <w:tr w:rsidR="006410E1" w14:paraId="5CB58F93" w14:textId="77777777" w:rsidTr="002A5D75">
        <w:trPr>
          <w:cantSplit/>
          <w:trHeight w:val="510"/>
          <w:jc w:val="center"/>
        </w:trPr>
        <w:tc>
          <w:tcPr>
            <w:tcW w:w="695" w:type="dxa"/>
          </w:tcPr>
          <w:p w14:paraId="7B891C2B" w14:textId="77777777" w:rsidR="006410E1" w:rsidRPr="00FE7FBF" w:rsidRDefault="006410E1" w:rsidP="00995BE6">
            <w:pPr>
              <w:spacing w:before="120" w:after="120"/>
              <w:rPr>
                <w:sz w:val="16"/>
                <w:szCs w:val="16"/>
              </w:rPr>
            </w:pPr>
            <w:r>
              <w:rPr>
                <w:sz w:val="16"/>
              </w:rPr>
              <w:t>37</w:t>
            </w:r>
          </w:p>
        </w:tc>
        <w:tc>
          <w:tcPr>
            <w:tcW w:w="2380" w:type="dxa"/>
          </w:tcPr>
          <w:p w14:paraId="560A9A3A" w14:textId="77777777" w:rsidR="006410E1" w:rsidRPr="00FE7FBF" w:rsidRDefault="006410E1" w:rsidP="00995BE6">
            <w:pPr>
              <w:spacing w:before="120" w:after="120"/>
              <w:rPr>
                <w:sz w:val="16"/>
                <w:szCs w:val="16"/>
              </w:rPr>
            </w:pPr>
            <w:r>
              <w:rPr>
                <w:sz w:val="16"/>
              </w:rPr>
              <w:t>Nivelul de zgomot și sistemul de eșapament</w:t>
            </w:r>
          </w:p>
        </w:tc>
        <w:tc>
          <w:tcPr>
            <w:tcW w:w="1737" w:type="dxa"/>
          </w:tcPr>
          <w:p w14:paraId="6FCB7F9B" w14:textId="77777777" w:rsidR="006410E1" w:rsidRPr="00302B9D" w:rsidRDefault="006410E1" w:rsidP="00995BE6">
            <w:pPr>
              <w:spacing w:before="120" w:after="120"/>
              <w:rPr>
                <w:sz w:val="16"/>
                <w:szCs w:val="16"/>
              </w:rPr>
            </w:pPr>
            <w:r>
              <w:rPr>
                <w:sz w:val="16"/>
              </w:rPr>
              <w:t>97/24/CE</w:t>
            </w:r>
            <w:r>
              <w:rPr>
                <w:sz w:val="16"/>
              </w:rPr>
              <w:br/>
              <w:t>CAPITOLUL 9</w:t>
            </w:r>
          </w:p>
          <w:p w14:paraId="6CEB43A9" w14:textId="77777777" w:rsidR="006410E1" w:rsidRPr="00302B9D" w:rsidRDefault="006410E1" w:rsidP="00995BE6">
            <w:pPr>
              <w:spacing w:before="120" w:after="120"/>
              <w:rPr>
                <w:sz w:val="16"/>
                <w:szCs w:val="16"/>
              </w:rPr>
            </w:pPr>
            <w:r>
              <w:rPr>
                <w:sz w:val="16"/>
              </w:rPr>
              <w:t>(UE) nr. 134/2014</w:t>
            </w:r>
          </w:p>
        </w:tc>
        <w:tc>
          <w:tcPr>
            <w:tcW w:w="1950" w:type="dxa"/>
          </w:tcPr>
          <w:p w14:paraId="188F8908" w14:textId="77777777" w:rsidR="006410E1" w:rsidRPr="00FE7FBF" w:rsidRDefault="006410E1" w:rsidP="00995BE6">
            <w:pPr>
              <w:spacing w:before="120" w:after="120"/>
              <w:jc w:val="center"/>
              <w:rPr>
                <w:sz w:val="16"/>
                <w:szCs w:val="16"/>
              </w:rPr>
            </w:pPr>
            <w:r>
              <w:rPr>
                <w:sz w:val="16"/>
              </w:rPr>
              <w:t>A</w:t>
            </w:r>
          </w:p>
        </w:tc>
        <w:tc>
          <w:tcPr>
            <w:tcW w:w="2019" w:type="dxa"/>
          </w:tcPr>
          <w:p w14:paraId="5588BB44" w14:textId="77777777" w:rsidR="006410E1" w:rsidRPr="00FE7FBF" w:rsidRDefault="006410E1" w:rsidP="00995BE6">
            <w:pPr>
              <w:spacing w:before="120" w:after="120"/>
              <w:jc w:val="center"/>
              <w:rPr>
                <w:sz w:val="16"/>
                <w:szCs w:val="16"/>
              </w:rPr>
            </w:pPr>
            <w:r>
              <w:rPr>
                <w:sz w:val="16"/>
              </w:rPr>
              <w:t>H</w:t>
            </w:r>
            <w:r>
              <w:rPr>
                <w:rStyle w:val="EndnoteReference"/>
                <w:sz w:val="16"/>
                <w:szCs w:val="16"/>
              </w:rPr>
              <w:endnoteReference w:id="14"/>
            </w:r>
            <w:r>
              <w:rPr>
                <w:sz w:val="16"/>
              </w:rPr>
              <w:t>/I/B</w:t>
            </w:r>
            <w:r>
              <w:rPr>
                <w:sz w:val="16"/>
                <w:vertAlign w:val="superscript"/>
              </w:rPr>
              <w:t>v</w:t>
            </w:r>
            <w:r>
              <w:rPr>
                <w:sz w:val="16"/>
              </w:rPr>
              <w:t>/E</w:t>
            </w:r>
            <w:r>
              <w:rPr>
                <w:rStyle w:val="EndnoteReference"/>
                <w:sz w:val="16"/>
                <w:szCs w:val="16"/>
              </w:rPr>
              <w:endnoteReference w:id="15"/>
            </w:r>
            <w:r>
              <w:rPr>
                <w:sz w:val="16"/>
              </w:rPr>
              <w:t xml:space="preserve"> </w:t>
            </w:r>
          </w:p>
          <w:p w14:paraId="798504DA" w14:textId="77777777" w:rsidR="006410E1" w:rsidRPr="00FE7FBF" w:rsidRDefault="006410E1" w:rsidP="00995BE6">
            <w:pPr>
              <w:spacing w:before="120" w:after="120"/>
              <w:jc w:val="center"/>
              <w:rPr>
                <w:sz w:val="16"/>
                <w:szCs w:val="16"/>
              </w:rPr>
            </w:pPr>
            <w:r>
              <w:rPr>
                <w:sz w:val="16"/>
              </w:rPr>
              <w:t>X</w:t>
            </w:r>
            <w:r>
              <w:rPr>
                <w:rStyle w:val="EndnoteReference"/>
                <w:sz w:val="16"/>
                <w:szCs w:val="16"/>
              </w:rPr>
              <w:endnoteReference w:id="16"/>
            </w:r>
          </w:p>
        </w:tc>
        <w:tc>
          <w:tcPr>
            <w:tcW w:w="1758" w:type="dxa"/>
          </w:tcPr>
          <w:p w14:paraId="7F1827A3" w14:textId="77777777" w:rsidR="006410E1" w:rsidRPr="0013622C" w:rsidRDefault="006410E1" w:rsidP="00995BE6">
            <w:pPr>
              <w:spacing w:before="120" w:after="120"/>
              <w:jc w:val="center"/>
              <w:rPr>
                <w:sz w:val="16"/>
                <w:szCs w:val="16"/>
                <w:vertAlign w:val="superscript"/>
              </w:rPr>
            </w:pPr>
            <w:r>
              <w:rPr>
                <w:sz w:val="16"/>
              </w:rPr>
              <w:t>E</w:t>
            </w:r>
            <w:r>
              <w:rPr>
                <w:sz w:val="16"/>
                <w:vertAlign w:val="superscript"/>
              </w:rPr>
              <w:t>vii</w:t>
            </w:r>
          </w:p>
        </w:tc>
      </w:tr>
      <w:tr w:rsidR="006410E1" w14:paraId="7BFE5940" w14:textId="77777777" w:rsidTr="002A5D75">
        <w:trPr>
          <w:cantSplit/>
          <w:trHeight w:val="510"/>
          <w:jc w:val="center"/>
        </w:trPr>
        <w:tc>
          <w:tcPr>
            <w:tcW w:w="695" w:type="dxa"/>
          </w:tcPr>
          <w:p w14:paraId="3C51E1E1" w14:textId="77777777" w:rsidR="006410E1" w:rsidRPr="00FE7FBF" w:rsidRDefault="006410E1" w:rsidP="00995BE6">
            <w:pPr>
              <w:spacing w:before="120" w:after="120"/>
              <w:rPr>
                <w:sz w:val="16"/>
                <w:szCs w:val="16"/>
              </w:rPr>
            </w:pPr>
            <w:r>
              <w:rPr>
                <w:sz w:val="16"/>
              </w:rPr>
              <w:t>38</w:t>
            </w:r>
          </w:p>
        </w:tc>
        <w:tc>
          <w:tcPr>
            <w:tcW w:w="2380" w:type="dxa"/>
          </w:tcPr>
          <w:p w14:paraId="2C5348A9" w14:textId="77777777" w:rsidR="006410E1" w:rsidRPr="00FE7FBF" w:rsidRDefault="006410E1" w:rsidP="00995BE6">
            <w:pPr>
              <w:spacing w:before="120" w:after="120"/>
              <w:rPr>
                <w:sz w:val="16"/>
                <w:szCs w:val="16"/>
              </w:rPr>
            </w:pPr>
            <w:r>
              <w:rPr>
                <w:sz w:val="16"/>
              </w:rPr>
              <w:t>Oglinzi retrovizoare și vizibilitate în spate</w:t>
            </w:r>
          </w:p>
        </w:tc>
        <w:tc>
          <w:tcPr>
            <w:tcW w:w="1737" w:type="dxa"/>
          </w:tcPr>
          <w:p w14:paraId="12173FA8" w14:textId="77777777" w:rsidR="006410E1" w:rsidRPr="00302B9D" w:rsidRDefault="006410E1" w:rsidP="00995BE6">
            <w:pPr>
              <w:spacing w:before="120" w:after="120"/>
              <w:rPr>
                <w:sz w:val="16"/>
                <w:szCs w:val="16"/>
              </w:rPr>
            </w:pPr>
            <w:r>
              <w:rPr>
                <w:sz w:val="16"/>
              </w:rPr>
              <w:t>97/24/CE</w:t>
            </w:r>
            <w:r>
              <w:rPr>
                <w:sz w:val="16"/>
              </w:rPr>
              <w:br/>
              <w:t>CAPITOLUL 4</w:t>
            </w:r>
          </w:p>
          <w:p w14:paraId="20F1D5B7" w14:textId="77777777" w:rsidR="006410E1" w:rsidRPr="00302B9D" w:rsidRDefault="006410E1" w:rsidP="00995BE6">
            <w:pPr>
              <w:spacing w:before="120" w:after="120"/>
              <w:rPr>
                <w:sz w:val="16"/>
                <w:szCs w:val="16"/>
              </w:rPr>
            </w:pPr>
            <w:r>
              <w:rPr>
                <w:sz w:val="16"/>
              </w:rPr>
              <w:t>(UE) nr. 3/2014</w:t>
            </w:r>
          </w:p>
        </w:tc>
        <w:tc>
          <w:tcPr>
            <w:tcW w:w="1950" w:type="dxa"/>
          </w:tcPr>
          <w:p w14:paraId="78A0A478" w14:textId="77777777" w:rsidR="006410E1" w:rsidRDefault="006410E1" w:rsidP="00995BE6">
            <w:pPr>
              <w:spacing w:before="120" w:after="120"/>
              <w:jc w:val="center"/>
              <w:rPr>
                <w:sz w:val="16"/>
                <w:szCs w:val="16"/>
              </w:rPr>
            </w:pPr>
            <w:r>
              <w:rPr>
                <w:sz w:val="16"/>
              </w:rPr>
              <w:t>instalație B</w:t>
            </w:r>
          </w:p>
          <w:p w14:paraId="45D28B60" w14:textId="77777777" w:rsidR="006410E1" w:rsidRPr="00FE7FBF" w:rsidRDefault="006410E1" w:rsidP="00995BE6">
            <w:pPr>
              <w:spacing w:before="120" w:after="120"/>
              <w:jc w:val="center"/>
              <w:rPr>
                <w:sz w:val="16"/>
                <w:szCs w:val="16"/>
              </w:rPr>
            </w:pPr>
            <w:r>
              <w:rPr>
                <w:sz w:val="16"/>
              </w:rPr>
              <w:t>componente X</w:t>
            </w:r>
          </w:p>
        </w:tc>
        <w:tc>
          <w:tcPr>
            <w:tcW w:w="2019" w:type="dxa"/>
          </w:tcPr>
          <w:p w14:paraId="3939BE6A" w14:textId="77777777" w:rsidR="006410E1" w:rsidRDefault="006410E1" w:rsidP="00995BE6">
            <w:pPr>
              <w:spacing w:before="120" w:after="120"/>
              <w:jc w:val="center"/>
              <w:rPr>
                <w:sz w:val="16"/>
                <w:szCs w:val="16"/>
              </w:rPr>
            </w:pPr>
            <w:r>
              <w:rPr>
                <w:sz w:val="16"/>
              </w:rPr>
              <w:t>instalație E</w:t>
            </w:r>
          </w:p>
          <w:p w14:paraId="774AA87E" w14:textId="77777777" w:rsidR="006410E1" w:rsidRPr="00FE7FBF" w:rsidRDefault="006410E1" w:rsidP="00995BE6">
            <w:pPr>
              <w:spacing w:before="120" w:after="120"/>
              <w:jc w:val="center"/>
              <w:rPr>
                <w:sz w:val="16"/>
                <w:szCs w:val="16"/>
              </w:rPr>
            </w:pPr>
            <w:r>
              <w:rPr>
                <w:sz w:val="16"/>
              </w:rPr>
              <w:t>componente X/I</w:t>
            </w:r>
          </w:p>
        </w:tc>
        <w:tc>
          <w:tcPr>
            <w:tcW w:w="1758" w:type="dxa"/>
          </w:tcPr>
          <w:p w14:paraId="062EEEA0" w14:textId="77777777" w:rsidR="006410E1" w:rsidRPr="003854EA" w:rsidRDefault="006410E1" w:rsidP="00995BE6">
            <w:pPr>
              <w:spacing w:before="120" w:after="120"/>
              <w:jc w:val="center"/>
              <w:rPr>
                <w:sz w:val="16"/>
                <w:szCs w:val="16"/>
              </w:rPr>
            </w:pPr>
            <w:r>
              <w:rPr>
                <w:sz w:val="16"/>
              </w:rPr>
              <w:t>instalație E</w:t>
            </w:r>
          </w:p>
          <w:p w14:paraId="5185258C" w14:textId="77777777" w:rsidR="006410E1" w:rsidRDefault="006410E1" w:rsidP="00995BE6">
            <w:pPr>
              <w:spacing w:before="120" w:after="120"/>
              <w:jc w:val="center"/>
              <w:rPr>
                <w:sz w:val="16"/>
                <w:szCs w:val="16"/>
              </w:rPr>
            </w:pPr>
            <w:r>
              <w:rPr>
                <w:sz w:val="16"/>
              </w:rPr>
              <w:t>componente X/I</w:t>
            </w:r>
          </w:p>
        </w:tc>
      </w:tr>
      <w:tr w:rsidR="006410E1" w14:paraId="2DC9AB63" w14:textId="77777777" w:rsidTr="002A5D75">
        <w:trPr>
          <w:cantSplit/>
          <w:trHeight w:val="510"/>
          <w:jc w:val="center"/>
        </w:trPr>
        <w:tc>
          <w:tcPr>
            <w:tcW w:w="695" w:type="dxa"/>
          </w:tcPr>
          <w:p w14:paraId="67B2F3F1" w14:textId="77777777" w:rsidR="006410E1" w:rsidRPr="00FE7FBF" w:rsidRDefault="006410E1" w:rsidP="00995BE6">
            <w:pPr>
              <w:spacing w:before="120" w:after="120"/>
              <w:rPr>
                <w:sz w:val="16"/>
                <w:szCs w:val="16"/>
              </w:rPr>
            </w:pPr>
            <w:r>
              <w:rPr>
                <w:sz w:val="16"/>
              </w:rPr>
              <w:t>39</w:t>
            </w:r>
          </w:p>
        </w:tc>
        <w:tc>
          <w:tcPr>
            <w:tcW w:w="2380" w:type="dxa"/>
          </w:tcPr>
          <w:p w14:paraId="574562F4" w14:textId="77777777" w:rsidR="006410E1" w:rsidRPr="00FE7FBF" w:rsidRDefault="006410E1" w:rsidP="00995BE6">
            <w:pPr>
              <w:spacing w:before="120" w:after="120"/>
              <w:rPr>
                <w:sz w:val="16"/>
                <w:szCs w:val="16"/>
              </w:rPr>
            </w:pPr>
            <w:r>
              <w:rPr>
                <w:sz w:val="16"/>
              </w:rPr>
              <w:t>Proiecții externe</w:t>
            </w:r>
          </w:p>
        </w:tc>
        <w:tc>
          <w:tcPr>
            <w:tcW w:w="1737" w:type="dxa"/>
          </w:tcPr>
          <w:p w14:paraId="1BF214E4" w14:textId="77777777" w:rsidR="006410E1" w:rsidRPr="00302B9D" w:rsidRDefault="006410E1" w:rsidP="00995BE6">
            <w:pPr>
              <w:spacing w:before="120" w:after="120"/>
              <w:rPr>
                <w:sz w:val="16"/>
                <w:szCs w:val="16"/>
              </w:rPr>
            </w:pPr>
            <w:r>
              <w:rPr>
                <w:sz w:val="16"/>
              </w:rPr>
              <w:t>97/24/CE</w:t>
            </w:r>
            <w:r>
              <w:rPr>
                <w:sz w:val="16"/>
              </w:rPr>
              <w:br/>
              <w:t>CAPITOLUL 3</w:t>
            </w:r>
          </w:p>
          <w:p w14:paraId="31183809" w14:textId="77777777" w:rsidR="006410E1" w:rsidRPr="00302B9D" w:rsidRDefault="006410E1" w:rsidP="00995BE6">
            <w:pPr>
              <w:spacing w:before="120" w:after="120"/>
              <w:rPr>
                <w:sz w:val="16"/>
                <w:szCs w:val="16"/>
              </w:rPr>
            </w:pPr>
            <w:r>
              <w:rPr>
                <w:sz w:val="16"/>
              </w:rPr>
              <w:t>(UE) nr. 44/2014</w:t>
            </w:r>
          </w:p>
        </w:tc>
        <w:tc>
          <w:tcPr>
            <w:tcW w:w="1950" w:type="dxa"/>
          </w:tcPr>
          <w:p w14:paraId="092A7682" w14:textId="77777777" w:rsidR="006410E1" w:rsidRPr="0049703B" w:rsidRDefault="006410E1" w:rsidP="00995BE6">
            <w:pPr>
              <w:spacing w:before="120" w:after="120"/>
              <w:jc w:val="center"/>
              <w:rPr>
                <w:sz w:val="16"/>
                <w:szCs w:val="16"/>
              </w:rPr>
            </w:pPr>
            <w:r>
              <w:rPr>
                <w:sz w:val="16"/>
              </w:rPr>
              <w:t>E</w:t>
            </w:r>
          </w:p>
        </w:tc>
        <w:tc>
          <w:tcPr>
            <w:tcW w:w="2019" w:type="dxa"/>
          </w:tcPr>
          <w:p w14:paraId="3D110669" w14:textId="77777777" w:rsidR="006410E1" w:rsidRPr="0049703B" w:rsidRDefault="006410E1" w:rsidP="00995BE6">
            <w:pPr>
              <w:spacing w:before="120" w:after="120"/>
              <w:jc w:val="center"/>
              <w:rPr>
                <w:sz w:val="16"/>
                <w:szCs w:val="16"/>
              </w:rPr>
            </w:pPr>
            <w:r>
              <w:rPr>
                <w:sz w:val="16"/>
              </w:rPr>
              <w:t>E</w:t>
            </w:r>
          </w:p>
        </w:tc>
        <w:tc>
          <w:tcPr>
            <w:tcW w:w="1758" w:type="dxa"/>
          </w:tcPr>
          <w:p w14:paraId="512FB1ED" w14:textId="77777777" w:rsidR="006410E1" w:rsidRPr="00FE7FBF" w:rsidRDefault="006410E1" w:rsidP="00995BE6">
            <w:pPr>
              <w:spacing w:before="120" w:after="120"/>
              <w:jc w:val="center"/>
              <w:rPr>
                <w:sz w:val="16"/>
                <w:szCs w:val="16"/>
              </w:rPr>
            </w:pPr>
            <w:r>
              <w:rPr>
                <w:sz w:val="16"/>
              </w:rPr>
              <w:t>E</w:t>
            </w:r>
          </w:p>
        </w:tc>
      </w:tr>
      <w:tr w:rsidR="006410E1" w14:paraId="33C841E5" w14:textId="77777777" w:rsidTr="002A5D75">
        <w:trPr>
          <w:cantSplit/>
          <w:trHeight w:val="510"/>
          <w:jc w:val="center"/>
        </w:trPr>
        <w:tc>
          <w:tcPr>
            <w:tcW w:w="695" w:type="dxa"/>
          </w:tcPr>
          <w:p w14:paraId="2CC0CA16" w14:textId="77777777" w:rsidR="006410E1" w:rsidRPr="00FE7FBF" w:rsidRDefault="006410E1" w:rsidP="00995BE6">
            <w:pPr>
              <w:spacing w:before="120" w:after="120"/>
              <w:rPr>
                <w:sz w:val="16"/>
                <w:szCs w:val="16"/>
              </w:rPr>
            </w:pPr>
            <w:r>
              <w:rPr>
                <w:sz w:val="16"/>
              </w:rPr>
              <w:t>40</w:t>
            </w:r>
          </w:p>
        </w:tc>
        <w:tc>
          <w:tcPr>
            <w:tcW w:w="2380" w:type="dxa"/>
          </w:tcPr>
          <w:p w14:paraId="7B156EA7" w14:textId="77777777" w:rsidR="006410E1" w:rsidRPr="00FE7FBF" w:rsidRDefault="006410E1" w:rsidP="00995BE6">
            <w:pPr>
              <w:spacing w:before="120" w:after="120"/>
              <w:rPr>
                <w:sz w:val="16"/>
                <w:szCs w:val="16"/>
              </w:rPr>
            </w:pPr>
            <w:r>
              <w:rPr>
                <w:sz w:val="16"/>
              </w:rPr>
              <w:t>Suport de parcare</w:t>
            </w:r>
          </w:p>
        </w:tc>
        <w:tc>
          <w:tcPr>
            <w:tcW w:w="1737" w:type="dxa"/>
          </w:tcPr>
          <w:p w14:paraId="0042F382" w14:textId="77777777" w:rsidR="006410E1" w:rsidRDefault="006410E1" w:rsidP="00995BE6">
            <w:pPr>
              <w:spacing w:before="120" w:after="120"/>
              <w:rPr>
                <w:sz w:val="16"/>
                <w:szCs w:val="16"/>
              </w:rPr>
            </w:pPr>
            <w:r>
              <w:rPr>
                <w:sz w:val="16"/>
              </w:rPr>
              <w:t>2009/78/CE</w:t>
            </w:r>
          </w:p>
          <w:p w14:paraId="23847900" w14:textId="77777777" w:rsidR="006410E1" w:rsidRPr="00FE7FBF" w:rsidRDefault="006410E1" w:rsidP="00995BE6">
            <w:pPr>
              <w:spacing w:before="120" w:after="120"/>
              <w:rPr>
                <w:sz w:val="16"/>
                <w:szCs w:val="16"/>
              </w:rPr>
            </w:pPr>
            <w:r>
              <w:rPr>
                <w:sz w:val="16"/>
              </w:rPr>
              <w:t>(UE) nr. 44/2014</w:t>
            </w:r>
          </w:p>
        </w:tc>
        <w:tc>
          <w:tcPr>
            <w:tcW w:w="1950" w:type="dxa"/>
          </w:tcPr>
          <w:p w14:paraId="2C22C660" w14:textId="77777777" w:rsidR="006410E1" w:rsidRPr="00FE7FBF" w:rsidRDefault="006410E1" w:rsidP="00995BE6">
            <w:pPr>
              <w:spacing w:before="120" w:after="120"/>
              <w:jc w:val="center"/>
              <w:rPr>
                <w:sz w:val="16"/>
                <w:szCs w:val="16"/>
              </w:rPr>
            </w:pPr>
            <w:r>
              <w:rPr>
                <w:sz w:val="16"/>
              </w:rPr>
              <w:t>B</w:t>
            </w:r>
          </w:p>
        </w:tc>
        <w:tc>
          <w:tcPr>
            <w:tcW w:w="2019" w:type="dxa"/>
          </w:tcPr>
          <w:p w14:paraId="4D211CC7" w14:textId="77777777" w:rsidR="006410E1" w:rsidRPr="0049703B" w:rsidRDefault="006410E1" w:rsidP="00995BE6">
            <w:pPr>
              <w:spacing w:before="120" w:after="120"/>
              <w:jc w:val="center"/>
              <w:rPr>
                <w:sz w:val="16"/>
                <w:szCs w:val="16"/>
              </w:rPr>
            </w:pPr>
            <w:r>
              <w:rPr>
                <w:sz w:val="16"/>
              </w:rPr>
              <w:t>E</w:t>
            </w:r>
          </w:p>
        </w:tc>
        <w:tc>
          <w:tcPr>
            <w:tcW w:w="1758" w:type="dxa"/>
          </w:tcPr>
          <w:p w14:paraId="0A59D836" w14:textId="77777777" w:rsidR="006410E1" w:rsidRPr="00FE7FBF" w:rsidRDefault="006410E1" w:rsidP="00995BE6">
            <w:pPr>
              <w:spacing w:before="120" w:after="120"/>
              <w:jc w:val="center"/>
              <w:rPr>
                <w:sz w:val="16"/>
                <w:szCs w:val="16"/>
              </w:rPr>
            </w:pPr>
            <w:r>
              <w:rPr>
                <w:sz w:val="16"/>
              </w:rPr>
              <w:t>E</w:t>
            </w:r>
          </w:p>
        </w:tc>
      </w:tr>
      <w:tr w:rsidR="006410E1" w14:paraId="2D22D9C1" w14:textId="77777777" w:rsidTr="002A5D75">
        <w:trPr>
          <w:cantSplit/>
          <w:trHeight w:val="510"/>
          <w:jc w:val="center"/>
        </w:trPr>
        <w:tc>
          <w:tcPr>
            <w:tcW w:w="695" w:type="dxa"/>
          </w:tcPr>
          <w:p w14:paraId="2494C376" w14:textId="77777777" w:rsidR="006410E1" w:rsidRPr="00FE7FBF" w:rsidRDefault="006410E1" w:rsidP="00995BE6">
            <w:pPr>
              <w:spacing w:before="120" w:after="120"/>
              <w:rPr>
                <w:sz w:val="16"/>
                <w:szCs w:val="16"/>
              </w:rPr>
            </w:pPr>
            <w:r>
              <w:rPr>
                <w:sz w:val="16"/>
              </w:rPr>
              <w:t>41</w:t>
            </w:r>
          </w:p>
        </w:tc>
        <w:tc>
          <w:tcPr>
            <w:tcW w:w="2380" w:type="dxa"/>
          </w:tcPr>
          <w:p w14:paraId="7A1B5477" w14:textId="77777777" w:rsidR="006410E1" w:rsidRPr="00FE7FBF" w:rsidRDefault="006410E1" w:rsidP="00995BE6">
            <w:pPr>
              <w:spacing w:before="120" w:after="120"/>
              <w:rPr>
                <w:sz w:val="16"/>
                <w:szCs w:val="16"/>
              </w:rPr>
            </w:pPr>
            <w:r>
              <w:rPr>
                <w:sz w:val="16"/>
              </w:rPr>
              <w:t>Dispozitive de prevenire a utilizării neautorizate</w:t>
            </w:r>
          </w:p>
        </w:tc>
        <w:tc>
          <w:tcPr>
            <w:tcW w:w="1737" w:type="dxa"/>
          </w:tcPr>
          <w:p w14:paraId="058447D4" w14:textId="77777777" w:rsidR="006410E1" w:rsidRDefault="006410E1" w:rsidP="00995BE6">
            <w:pPr>
              <w:spacing w:before="120" w:after="120"/>
              <w:rPr>
                <w:sz w:val="16"/>
                <w:szCs w:val="16"/>
              </w:rPr>
            </w:pPr>
            <w:r>
              <w:rPr>
                <w:sz w:val="16"/>
              </w:rPr>
              <w:t>93/33/CEE</w:t>
            </w:r>
          </w:p>
          <w:p w14:paraId="3EC44763" w14:textId="77777777" w:rsidR="006410E1" w:rsidRPr="00FE7FBF" w:rsidRDefault="006410E1" w:rsidP="00995BE6">
            <w:pPr>
              <w:spacing w:before="120" w:after="120"/>
              <w:rPr>
                <w:sz w:val="16"/>
                <w:szCs w:val="16"/>
              </w:rPr>
            </w:pPr>
            <w:r>
              <w:rPr>
                <w:sz w:val="16"/>
              </w:rPr>
              <w:t>(UE) nr. 44/2014</w:t>
            </w:r>
          </w:p>
        </w:tc>
        <w:tc>
          <w:tcPr>
            <w:tcW w:w="1950" w:type="dxa"/>
          </w:tcPr>
          <w:p w14:paraId="0AF383B9" w14:textId="77777777" w:rsidR="006410E1" w:rsidRPr="00FE7FBF" w:rsidRDefault="006410E1" w:rsidP="00995BE6">
            <w:pPr>
              <w:spacing w:before="120" w:after="120"/>
              <w:jc w:val="center"/>
              <w:rPr>
                <w:sz w:val="16"/>
                <w:szCs w:val="16"/>
              </w:rPr>
            </w:pPr>
            <w:r>
              <w:rPr>
                <w:sz w:val="16"/>
              </w:rPr>
              <w:t>B</w:t>
            </w:r>
          </w:p>
        </w:tc>
        <w:tc>
          <w:tcPr>
            <w:tcW w:w="2019" w:type="dxa"/>
          </w:tcPr>
          <w:p w14:paraId="3B11131E" w14:textId="77777777" w:rsidR="006410E1" w:rsidRPr="0049703B" w:rsidRDefault="006410E1" w:rsidP="00995BE6">
            <w:pPr>
              <w:spacing w:before="120" w:after="120"/>
              <w:jc w:val="center"/>
              <w:rPr>
                <w:sz w:val="16"/>
                <w:szCs w:val="16"/>
              </w:rPr>
            </w:pPr>
            <w:r>
              <w:rPr>
                <w:sz w:val="16"/>
              </w:rPr>
              <w:t>E</w:t>
            </w:r>
          </w:p>
        </w:tc>
        <w:tc>
          <w:tcPr>
            <w:tcW w:w="1758" w:type="dxa"/>
          </w:tcPr>
          <w:p w14:paraId="1917479C" w14:textId="77777777" w:rsidR="006410E1" w:rsidRDefault="006410E1" w:rsidP="00995BE6">
            <w:pPr>
              <w:spacing w:before="120" w:after="120"/>
              <w:jc w:val="center"/>
              <w:rPr>
                <w:sz w:val="16"/>
                <w:szCs w:val="16"/>
              </w:rPr>
            </w:pPr>
            <w:r>
              <w:rPr>
                <w:sz w:val="16"/>
              </w:rPr>
              <w:t>E</w:t>
            </w:r>
          </w:p>
        </w:tc>
      </w:tr>
      <w:tr w:rsidR="006410E1" w14:paraId="115689E2" w14:textId="77777777" w:rsidTr="002A5D75">
        <w:trPr>
          <w:cantSplit/>
          <w:trHeight w:val="510"/>
          <w:jc w:val="center"/>
        </w:trPr>
        <w:tc>
          <w:tcPr>
            <w:tcW w:w="695" w:type="dxa"/>
          </w:tcPr>
          <w:p w14:paraId="2D088FCA" w14:textId="77777777" w:rsidR="006410E1" w:rsidRPr="00FE7FBF" w:rsidRDefault="006410E1" w:rsidP="00995BE6">
            <w:pPr>
              <w:spacing w:before="120" w:after="120"/>
              <w:rPr>
                <w:sz w:val="16"/>
                <w:szCs w:val="16"/>
              </w:rPr>
            </w:pPr>
            <w:r>
              <w:rPr>
                <w:sz w:val="16"/>
              </w:rPr>
              <w:t>42</w:t>
            </w:r>
          </w:p>
        </w:tc>
        <w:tc>
          <w:tcPr>
            <w:tcW w:w="2380" w:type="dxa"/>
          </w:tcPr>
          <w:p w14:paraId="3C810795" w14:textId="77777777" w:rsidR="006410E1" w:rsidRPr="00FE7FBF" w:rsidRDefault="006410E1" w:rsidP="00995BE6">
            <w:pPr>
              <w:spacing w:before="120" w:after="120"/>
              <w:rPr>
                <w:sz w:val="16"/>
                <w:szCs w:val="16"/>
              </w:rPr>
            </w:pPr>
            <w:r>
              <w:rPr>
                <w:sz w:val="16"/>
              </w:rPr>
              <w:t>Ferestre, ștergătoare de parbriz și șaibe, decongelatoare și dezaburitoare pentru vehicule cu caroserie</w:t>
            </w:r>
          </w:p>
        </w:tc>
        <w:tc>
          <w:tcPr>
            <w:tcW w:w="1737" w:type="dxa"/>
          </w:tcPr>
          <w:p w14:paraId="3D0CB8BE" w14:textId="77777777" w:rsidR="006410E1" w:rsidRPr="00302B9D" w:rsidRDefault="006410E1" w:rsidP="00995BE6">
            <w:pPr>
              <w:spacing w:before="120" w:after="120"/>
              <w:rPr>
                <w:sz w:val="16"/>
                <w:szCs w:val="16"/>
              </w:rPr>
            </w:pPr>
            <w:r>
              <w:rPr>
                <w:sz w:val="16"/>
              </w:rPr>
              <w:t>97/24/CE</w:t>
            </w:r>
            <w:r>
              <w:rPr>
                <w:sz w:val="16"/>
              </w:rPr>
              <w:br/>
              <w:t>CAPITOLUL 12</w:t>
            </w:r>
          </w:p>
          <w:p w14:paraId="2C183428" w14:textId="77777777" w:rsidR="006410E1" w:rsidRPr="00302B9D" w:rsidRDefault="006410E1" w:rsidP="00995BE6">
            <w:pPr>
              <w:spacing w:before="120" w:after="120"/>
              <w:rPr>
                <w:sz w:val="16"/>
                <w:szCs w:val="16"/>
              </w:rPr>
            </w:pPr>
            <w:r>
              <w:rPr>
                <w:sz w:val="16"/>
              </w:rPr>
              <w:t>(UE) nr. 3/2014</w:t>
            </w:r>
          </w:p>
        </w:tc>
        <w:tc>
          <w:tcPr>
            <w:tcW w:w="1950" w:type="dxa"/>
          </w:tcPr>
          <w:p w14:paraId="3795A1EC" w14:textId="77777777" w:rsidR="006410E1" w:rsidRPr="0049703B" w:rsidRDefault="006410E1" w:rsidP="00995BE6">
            <w:pPr>
              <w:spacing w:before="120" w:after="120"/>
              <w:jc w:val="center"/>
              <w:rPr>
                <w:sz w:val="16"/>
                <w:szCs w:val="16"/>
              </w:rPr>
            </w:pPr>
            <w:r>
              <w:rPr>
                <w:sz w:val="16"/>
              </w:rPr>
              <w:t>E</w:t>
            </w:r>
          </w:p>
        </w:tc>
        <w:tc>
          <w:tcPr>
            <w:tcW w:w="2019" w:type="dxa"/>
          </w:tcPr>
          <w:p w14:paraId="0271A7D7" w14:textId="77777777" w:rsidR="006410E1" w:rsidRPr="0049703B" w:rsidRDefault="006410E1" w:rsidP="00995BE6">
            <w:pPr>
              <w:spacing w:before="120" w:after="120"/>
              <w:jc w:val="center"/>
              <w:rPr>
                <w:sz w:val="16"/>
                <w:szCs w:val="16"/>
              </w:rPr>
            </w:pPr>
            <w:r>
              <w:rPr>
                <w:sz w:val="16"/>
              </w:rPr>
              <w:t>E</w:t>
            </w:r>
          </w:p>
        </w:tc>
        <w:tc>
          <w:tcPr>
            <w:tcW w:w="1758" w:type="dxa"/>
          </w:tcPr>
          <w:p w14:paraId="5D40930F" w14:textId="77777777" w:rsidR="006410E1" w:rsidRPr="0049703B" w:rsidRDefault="006410E1" w:rsidP="00995BE6">
            <w:pPr>
              <w:spacing w:before="120" w:after="120"/>
              <w:jc w:val="center"/>
              <w:rPr>
                <w:sz w:val="16"/>
                <w:szCs w:val="16"/>
              </w:rPr>
            </w:pPr>
            <w:r>
              <w:rPr>
                <w:sz w:val="16"/>
              </w:rPr>
              <w:t>E</w:t>
            </w:r>
          </w:p>
        </w:tc>
      </w:tr>
      <w:tr w:rsidR="006410E1" w14:paraId="5ECF09CC" w14:textId="77777777" w:rsidTr="002A5D75">
        <w:trPr>
          <w:cantSplit/>
          <w:trHeight w:val="510"/>
          <w:jc w:val="center"/>
        </w:trPr>
        <w:tc>
          <w:tcPr>
            <w:tcW w:w="695" w:type="dxa"/>
          </w:tcPr>
          <w:p w14:paraId="3FF46F01" w14:textId="77777777" w:rsidR="006410E1" w:rsidRPr="00FE7FBF" w:rsidRDefault="006410E1" w:rsidP="00995BE6">
            <w:pPr>
              <w:spacing w:before="120" w:after="120"/>
              <w:rPr>
                <w:sz w:val="16"/>
                <w:szCs w:val="16"/>
              </w:rPr>
            </w:pPr>
            <w:r>
              <w:rPr>
                <w:sz w:val="16"/>
              </w:rPr>
              <w:t>43</w:t>
            </w:r>
          </w:p>
        </w:tc>
        <w:tc>
          <w:tcPr>
            <w:tcW w:w="2380" w:type="dxa"/>
          </w:tcPr>
          <w:p w14:paraId="1F535348" w14:textId="77777777" w:rsidR="006410E1" w:rsidRPr="00FE7FBF" w:rsidRDefault="006410E1" w:rsidP="00995BE6">
            <w:pPr>
              <w:spacing w:before="120" w:after="120"/>
              <w:rPr>
                <w:sz w:val="16"/>
                <w:szCs w:val="16"/>
              </w:rPr>
            </w:pPr>
            <w:r>
              <w:rPr>
                <w:sz w:val="16"/>
              </w:rPr>
              <w:t>Mânere și suporturi pentru picioarele pasagerilor</w:t>
            </w:r>
          </w:p>
        </w:tc>
        <w:tc>
          <w:tcPr>
            <w:tcW w:w="1737" w:type="dxa"/>
          </w:tcPr>
          <w:p w14:paraId="5AAEA36F" w14:textId="77777777" w:rsidR="006410E1" w:rsidRDefault="006410E1" w:rsidP="00995BE6">
            <w:pPr>
              <w:spacing w:before="120" w:after="120"/>
              <w:rPr>
                <w:sz w:val="16"/>
                <w:szCs w:val="16"/>
              </w:rPr>
            </w:pPr>
            <w:r>
              <w:rPr>
                <w:sz w:val="16"/>
              </w:rPr>
              <w:t>2009/79/CE</w:t>
            </w:r>
          </w:p>
          <w:p w14:paraId="78C0AE97" w14:textId="77777777" w:rsidR="006410E1" w:rsidRPr="00FE7FBF" w:rsidRDefault="006410E1" w:rsidP="00995BE6">
            <w:pPr>
              <w:spacing w:before="120" w:after="120"/>
              <w:rPr>
                <w:sz w:val="16"/>
                <w:szCs w:val="16"/>
              </w:rPr>
            </w:pPr>
            <w:r>
              <w:rPr>
                <w:sz w:val="16"/>
              </w:rPr>
              <w:t>(UE) nr. 44/2014</w:t>
            </w:r>
          </w:p>
        </w:tc>
        <w:tc>
          <w:tcPr>
            <w:tcW w:w="1950" w:type="dxa"/>
          </w:tcPr>
          <w:p w14:paraId="12F6CBD2" w14:textId="77777777" w:rsidR="006410E1" w:rsidRPr="00FE7FBF" w:rsidRDefault="006410E1" w:rsidP="00995BE6">
            <w:pPr>
              <w:spacing w:before="120" w:after="120"/>
              <w:jc w:val="center"/>
              <w:rPr>
                <w:sz w:val="16"/>
                <w:szCs w:val="16"/>
              </w:rPr>
            </w:pPr>
            <w:r>
              <w:rPr>
                <w:sz w:val="16"/>
              </w:rPr>
              <w:t>B</w:t>
            </w:r>
          </w:p>
        </w:tc>
        <w:tc>
          <w:tcPr>
            <w:tcW w:w="2019" w:type="dxa"/>
          </w:tcPr>
          <w:p w14:paraId="20F5FF99" w14:textId="77777777" w:rsidR="006410E1" w:rsidRPr="0049703B" w:rsidRDefault="006410E1" w:rsidP="00995BE6">
            <w:pPr>
              <w:spacing w:before="120" w:after="120"/>
              <w:jc w:val="center"/>
              <w:rPr>
                <w:sz w:val="16"/>
                <w:szCs w:val="16"/>
              </w:rPr>
            </w:pPr>
            <w:r>
              <w:rPr>
                <w:sz w:val="16"/>
              </w:rPr>
              <w:t>E</w:t>
            </w:r>
          </w:p>
        </w:tc>
        <w:tc>
          <w:tcPr>
            <w:tcW w:w="1758" w:type="dxa"/>
          </w:tcPr>
          <w:p w14:paraId="185B4EED" w14:textId="77777777" w:rsidR="006410E1" w:rsidRPr="003854EA" w:rsidRDefault="006410E1" w:rsidP="00995BE6">
            <w:pPr>
              <w:spacing w:before="120" w:after="120"/>
              <w:jc w:val="center"/>
              <w:rPr>
                <w:sz w:val="16"/>
                <w:szCs w:val="16"/>
              </w:rPr>
            </w:pPr>
            <w:r>
              <w:rPr>
                <w:sz w:val="16"/>
              </w:rPr>
              <w:t>E suporturi pentru picioare</w:t>
            </w:r>
          </w:p>
          <w:p w14:paraId="01EF925F" w14:textId="77777777" w:rsidR="006410E1" w:rsidRPr="00FE7FBF" w:rsidRDefault="006410E1" w:rsidP="00995BE6">
            <w:pPr>
              <w:spacing w:before="120" w:after="120"/>
              <w:jc w:val="center"/>
              <w:rPr>
                <w:sz w:val="16"/>
                <w:szCs w:val="16"/>
              </w:rPr>
            </w:pPr>
            <w:r>
              <w:rPr>
                <w:sz w:val="16"/>
              </w:rPr>
              <w:t>nu se aplică mânerelor</w:t>
            </w:r>
          </w:p>
        </w:tc>
      </w:tr>
      <w:tr w:rsidR="006410E1" w14:paraId="1796AB23" w14:textId="77777777" w:rsidTr="002A5D75">
        <w:trPr>
          <w:cantSplit/>
          <w:trHeight w:val="510"/>
          <w:jc w:val="center"/>
        </w:trPr>
        <w:tc>
          <w:tcPr>
            <w:tcW w:w="695" w:type="dxa"/>
          </w:tcPr>
          <w:p w14:paraId="47B7B54C" w14:textId="77777777" w:rsidR="006410E1" w:rsidRPr="00FE7FBF" w:rsidRDefault="006410E1" w:rsidP="00995BE6">
            <w:pPr>
              <w:spacing w:before="120" w:after="120"/>
              <w:rPr>
                <w:sz w:val="16"/>
                <w:szCs w:val="16"/>
              </w:rPr>
            </w:pPr>
            <w:r>
              <w:rPr>
                <w:sz w:val="16"/>
              </w:rPr>
              <w:t>44</w:t>
            </w:r>
          </w:p>
        </w:tc>
        <w:tc>
          <w:tcPr>
            <w:tcW w:w="2380" w:type="dxa"/>
          </w:tcPr>
          <w:p w14:paraId="6DB2FB73" w14:textId="77777777" w:rsidR="006410E1" w:rsidRPr="00FE7FBF" w:rsidRDefault="006410E1" w:rsidP="00995BE6">
            <w:pPr>
              <w:spacing w:before="120" w:after="120"/>
              <w:rPr>
                <w:sz w:val="16"/>
                <w:szCs w:val="16"/>
              </w:rPr>
            </w:pPr>
            <w:r>
              <w:rPr>
                <w:sz w:val="16"/>
              </w:rPr>
              <w:t>Ancorajele centurilor de siguranță și centurile de siguranță ale vehiculelor carosate</w:t>
            </w:r>
          </w:p>
        </w:tc>
        <w:tc>
          <w:tcPr>
            <w:tcW w:w="1737" w:type="dxa"/>
          </w:tcPr>
          <w:p w14:paraId="066558A0" w14:textId="77777777" w:rsidR="006410E1" w:rsidRPr="00302B9D" w:rsidRDefault="006410E1" w:rsidP="00995BE6">
            <w:pPr>
              <w:spacing w:before="120" w:after="120"/>
              <w:rPr>
                <w:sz w:val="16"/>
                <w:szCs w:val="16"/>
              </w:rPr>
            </w:pPr>
            <w:r>
              <w:rPr>
                <w:sz w:val="16"/>
              </w:rPr>
              <w:t>97/24/CE</w:t>
            </w:r>
            <w:r>
              <w:rPr>
                <w:sz w:val="16"/>
              </w:rPr>
              <w:br/>
              <w:t>CAPITOLUL 11</w:t>
            </w:r>
          </w:p>
          <w:p w14:paraId="7905B0B0" w14:textId="77777777" w:rsidR="006410E1" w:rsidRPr="00302B9D" w:rsidRDefault="006410E1" w:rsidP="00995BE6">
            <w:pPr>
              <w:spacing w:before="120" w:after="120"/>
              <w:rPr>
                <w:sz w:val="16"/>
                <w:szCs w:val="16"/>
              </w:rPr>
            </w:pPr>
            <w:r>
              <w:rPr>
                <w:sz w:val="16"/>
              </w:rPr>
              <w:t>(UE) nr. 3/2014</w:t>
            </w:r>
          </w:p>
        </w:tc>
        <w:tc>
          <w:tcPr>
            <w:tcW w:w="1950" w:type="dxa"/>
          </w:tcPr>
          <w:p w14:paraId="6A58437A" w14:textId="77777777" w:rsidR="006410E1" w:rsidRPr="00FE7FBF" w:rsidRDefault="006410E1" w:rsidP="00995BE6">
            <w:pPr>
              <w:spacing w:before="120" w:after="120"/>
              <w:jc w:val="center"/>
              <w:rPr>
                <w:sz w:val="16"/>
                <w:szCs w:val="16"/>
              </w:rPr>
            </w:pPr>
            <w:r>
              <w:rPr>
                <w:sz w:val="16"/>
              </w:rPr>
              <w:t>B</w:t>
            </w:r>
          </w:p>
        </w:tc>
        <w:tc>
          <w:tcPr>
            <w:tcW w:w="2019" w:type="dxa"/>
          </w:tcPr>
          <w:p w14:paraId="57217CC1" w14:textId="77777777" w:rsidR="006410E1" w:rsidRPr="00FE7FBF" w:rsidRDefault="006410E1" w:rsidP="00995BE6">
            <w:pPr>
              <w:spacing w:before="120" w:after="120"/>
              <w:jc w:val="center"/>
              <w:rPr>
                <w:sz w:val="16"/>
                <w:szCs w:val="16"/>
              </w:rPr>
            </w:pPr>
            <w:r>
              <w:rPr>
                <w:sz w:val="16"/>
              </w:rPr>
              <w:t>H/I</w:t>
            </w:r>
          </w:p>
        </w:tc>
        <w:tc>
          <w:tcPr>
            <w:tcW w:w="1758" w:type="dxa"/>
          </w:tcPr>
          <w:p w14:paraId="3ABBE55C" w14:textId="77777777" w:rsidR="006410E1" w:rsidRPr="003854EA" w:rsidRDefault="006410E1" w:rsidP="00995BE6">
            <w:pPr>
              <w:spacing w:before="120" w:after="120"/>
              <w:jc w:val="center"/>
              <w:rPr>
                <w:sz w:val="16"/>
                <w:szCs w:val="16"/>
              </w:rPr>
            </w:pPr>
            <w:r>
              <w:rPr>
                <w:sz w:val="16"/>
              </w:rPr>
              <w:t>centuri de siguranță H</w:t>
            </w:r>
          </w:p>
          <w:p w14:paraId="555ACDD1" w14:textId="77777777" w:rsidR="006410E1" w:rsidRPr="00FE7FBF" w:rsidRDefault="006410E1" w:rsidP="00995BE6">
            <w:pPr>
              <w:spacing w:before="120" w:after="120"/>
              <w:jc w:val="center"/>
              <w:rPr>
                <w:sz w:val="16"/>
                <w:szCs w:val="16"/>
              </w:rPr>
            </w:pPr>
            <w:r>
              <w:rPr>
                <w:sz w:val="16"/>
              </w:rPr>
              <w:t>ancoraje centură de siguranță C</w:t>
            </w:r>
          </w:p>
        </w:tc>
      </w:tr>
      <w:tr w:rsidR="006410E1" w14:paraId="006AE807" w14:textId="77777777" w:rsidTr="002A5D75">
        <w:trPr>
          <w:cantSplit/>
          <w:trHeight w:val="510"/>
          <w:jc w:val="center"/>
        </w:trPr>
        <w:tc>
          <w:tcPr>
            <w:tcW w:w="695" w:type="dxa"/>
          </w:tcPr>
          <w:p w14:paraId="0A3019E3" w14:textId="77777777" w:rsidR="006410E1" w:rsidRPr="00FE7FBF" w:rsidRDefault="006410E1" w:rsidP="00995BE6">
            <w:pPr>
              <w:spacing w:before="120" w:after="120"/>
              <w:rPr>
                <w:sz w:val="16"/>
                <w:szCs w:val="16"/>
              </w:rPr>
            </w:pPr>
            <w:r>
              <w:rPr>
                <w:sz w:val="16"/>
              </w:rPr>
              <w:t>45</w:t>
            </w:r>
          </w:p>
        </w:tc>
        <w:tc>
          <w:tcPr>
            <w:tcW w:w="2380" w:type="dxa"/>
          </w:tcPr>
          <w:p w14:paraId="725DC778" w14:textId="77777777" w:rsidR="006410E1" w:rsidRPr="00FE7FBF" w:rsidRDefault="006410E1" w:rsidP="00995BE6">
            <w:pPr>
              <w:spacing w:before="120" w:after="120"/>
              <w:rPr>
                <w:sz w:val="16"/>
                <w:szCs w:val="16"/>
              </w:rPr>
            </w:pPr>
            <w:r>
              <w:rPr>
                <w:sz w:val="16"/>
              </w:rPr>
              <w:t>Vitezometru</w:t>
            </w:r>
          </w:p>
        </w:tc>
        <w:tc>
          <w:tcPr>
            <w:tcW w:w="1737" w:type="dxa"/>
          </w:tcPr>
          <w:p w14:paraId="12BA34AB" w14:textId="77777777" w:rsidR="006410E1" w:rsidRDefault="006410E1" w:rsidP="00995BE6">
            <w:pPr>
              <w:spacing w:before="120" w:after="120"/>
              <w:rPr>
                <w:sz w:val="16"/>
                <w:szCs w:val="16"/>
              </w:rPr>
            </w:pPr>
            <w:r>
              <w:rPr>
                <w:sz w:val="16"/>
              </w:rPr>
              <w:t>2000/7/CE</w:t>
            </w:r>
          </w:p>
          <w:p w14:paraId="0C833128" w14:textId="77777777" w:rsidR="006410E1" w:rsidRPr="00FE7FBF" w:rsidRDefault="006410E1" w:rsidP="00995BE6">
            <w:pPr>
              <w:spacing w:before="120" w:after="120"/>
              <w:rPr>
                <w:sz w:val="16"/>
                <w:szCs w:val="16"/>
              </w:rPr>
            </w:pPr>
            <w:r>
              <w:rPr>
                <w:sz w:val="16"/>
              </w:rPr>
              <w:t>(UE) nr. 3/2014</w:t>
            </w:r>
          </w:p>
        </w:tc>
        <w:tc>
          <w:tcPr>
            <w:tcW w:w="1950" w:type="dxa"/>
          </w:tcPr>
          <w:p w14:paraId="20018561" w14:textId="77777777" w:rsidR="006410E1" w:rsidRPr="00FE7FBF" w:rsidRDefault="006410E1" w:rsidP="00995BE6">
            <w:pPr>
              <w:spacing w:before="120" w:after="120"/>
              <w:jc w:val="center"/>
              <w:rPr>
                <w:sz w:val="16"/>
                <w:szCs w:val="16"/>
              </w:rPr>
            </w:pPr>
            <w:r>
              <w:rPr>
                <w:sz w:val="16"/>
              </w:rPr>
              <w:t>B</w:t>
            </w:r>
          </w:p>
        </w:tc>
        <w:tc>
          <w:tcPr>
            <w:tcW w:w="2019" w:type="dxa"/>
          </w:tcPr>
          <w:p w14:paraId="75669667" w14:textId="77777777" w:rsidR="006410E1" w:rsidRPr="0049703B" w:rsidRDefault="006410E1" w:rsidP="00995BE6">
            <w:pPr>
              <w:spacing w:before="120" w:after="120"/>
              <w:jc w:val="center"/>
              <w:rPr>
                <w:sz w:val="16"/>
                <w:szCs w:val="16"/>
              </w:rPr>
            </w:pPr>
            <w:r>
              <w:rPr>
                <w:sz w:val="16"/>
              </w:rPr>
              <w:t>E</w:t>
            </w:r>
          </w:p>
        </w:tc>
        <w:tc>
          <w:tcPr>
            <w:tcW w:w="1758" w:type="dxa"/>
          </w:tcPr>
          <w:p w14:paraId="7BA4E826" w14:textId="77777777" w:rsidR="006410E1" w:rsidRPr="0049703B" w:rsidRDefault="006410E1" w:rsidP="00995BE6">
            <w:pPr>
              <w:spacing w:before="120" w:after="120"/>
              <w:jc w:val="center"/>
              <w:rPr>
                <w:sz w:val="16"/>
                <w:szCs w:val="16"/>
              </w:rPr>
            </w:pPr>
            <w:r>
              <w:rPr>
                <w:sz w:val="16"/>
              </w:rPr>
              <w:t>E</w:t>
            </w:r>
          </w:p>
        </w:tc>
      </w:tr>
      <w:tr w:rsidR="006410E1" w:rsidRPr="00925E2E" w14:paraId="7D8F7705" w14:textId="77777777" w:rsidTr="002A5D75">
        <w:trPr>
          <w:cantSplit/>
          <w:trHeight w:val="510"/>
          <w:jc w:val="center"/>
        </w:trPr>
        <w:tc>
          <w:tcPr>
            <w:tcW w:w="695" w:type="dxa"/>
            <w:tcBorders>
              <w:top w:val="single" w:sz="6" w:space="0" w:color="auto"/>
            </w:tcBorders>
          </w:tcPr>
          <w:p w14:paraId="20540F84" w14:textId="77777777" w:rsidR="006410E1" w:rsidRPr="00FE7FBF" w:rsidRDefault="006410E1" w:rsidP="00995BE6">
            <w:pPr>
              <w:spacing w:before="120" w:after="120"/>
              <w:rPr>
                <w:sz w:val="16"/>
                <w:szCs w:val="16"/>
              </w:rPr>
            </w:pPr>
            <w:r>
              <w:rPr>
                <w:sz w:val="16"/>
              </w:rPr>
              <w:t>46</w:t>
            </w:r>
          </w:p>
        </w:tc>
        <w:tc>
          <w:tcPr>
            <w:tcW w:w="2380" w:type="dxa"/>
            <w:tcBorders>
              <w:top w:val="single" w:sz="6" w:space="0" w:color="auto"/>
            </w:tcBorders>
          </w:tcPr>
          <w:p w14:paraId="53E3EC8E" w14:textId="77777777" w:rsidR="006410E1" w:rsidRPr="00FE7FBF" w:rsidRDefault="006410E1" w:rsidP="00995BE6">
            <w:pPr>
              <w:spacing w:before="120" w:after="120"/>
              <w:rPr>
                <w:sz w:val="16"/>
                <w:szCs w:val="16"/>
              </w:rPr>
            </w:pPr>
            <w:r>
              <w:rPr>
                <w:sz w:val="16"/>
              </w:rPr>
              <w:t xml:space="preserve">Identificarea comenzilor, a martorilor și a indicatoarelor </w:t>
            </w:r>
          </w:p>
        </w:tc>
        <w:tc>
          <w:tcPr>
            <w:tcW w:w="1737" w:type="dxa"/>
            <w:tcBorders>
              <w:top w:val="single" w:sz="6" w:space="0" w:color="auto"/>
            </w:tcBorders>
          </w:tcPr>
          <w:p w14:paraId="69F6F25D" w14:textId="77777777" w:rsidR="006410E1" w:rsidRDefault="006410E1" w:rsidP="00995BE6">
            <w:pPr>
              <w:spacing w:before="120" w:after="120"/>
              <w:rPr>
                <w:sz w:val="16"/>
                <w:szCs w:val="16"/>
              </w:rPr>
            </w:pPr>
            <w:r>
              <w:rPr>
                <w:sz w:val="16"/>
              </w:rPr>
              <w:t>2009/80/CE</w:t>
            </w:r>
          </w:p>
          <w:p w14:paraId="41BCDC29" w14:textId="77777777" w:rsidR="006410E1" w:rsidRPr="00FE7FBF" w:rsidRDefault="006410E1" w:rsidP="00995BE6">
            <w:pPr>
              <w:spacing w:before="120" w:after="120"/>
              <w:rPr>
                <w:sz w:val="16"/>
                <w:szCs w:val="16"/>
              </w:rPr>
            </w:pPr>
            <w:r>
              <w:rPr>
                <w:sz w:val="16"/>
              </w:rPr>
              <w:t>(UE) nr. 3/2014</w:t>
            </w:r>
          </w:p>
        </w:tc>
        <w:tc>
          <w:tcPr>
            <w:tcW w:w="1950" w:type="dxa"/>
            <w:tcBorders>
              <w:top w:val="single" w:sz="6" w:space="0" w:color="auto"/>
            </w:tcBorders>
          </w:tcPr>
          <w:p w14:paraId="0556ECD6" w14:textId="77777777" w:rsidR="006410E1" w:rsidRPr="0049703B" w:rsidRDefault="006410E1" w:rsidP="00995BE6">
            <w:pPr>
              <w:spacing w:before="120" w:after="120"/>
              <w:jc w:val="center"/>
              <w:rPr>
                <w:sz w:val="16"/>
                <w:szCs w:val="16"/>
              </w:rPr>
            </w:pPr>
            <w:r>
              <w:rPr>
                <w:sz w:val="16"/>
              </w:rPr>
              <w:t>E</w:t>
            </w:r>
          </w:p>
        </w:tc>
        <w:tc>
          <w:tcPr>
            <w:tcW w:w="2019" w:type="dxa"/>
            <w:tcBorders>
              <w:top w:val="single" w:sz="6" w:space="0" w:color="auto"/>
            </w:tcBorders>
          </w:tcPr>
          <w:p w14:paraId="72C87C58" w14:textId="77777777" w:rsidR="006410E1" w:rsidRPr="00FE7FBF" w:rsidRDefault="006410E1" w:rsidP="00995BE6">
            <w:pPr>
              <w:spacing w:before="120" w:after="120"/>
              <w:jc w:val="center"/>
              <w:rPr>
                <w:sz w:val="16"/>
                <w:szCs w:val="16"/>
              </w:rPr>
            </w:pPr>
            <w:r>
              <w:rPr>
                <w:sz w:val="16"/>
              </w:rPr>
              <w:t>E</w:t>
            </w:r>
          </w:p>
        </w:tc>
        <w:tc>
          <w:tcPr>
            <w:tcW w:w="1758" w:type="dxa"/>
            <w:tcBorders>
              <w:top w:val="single" w:sz="6" w:space="0" w:color="auto"/>
            </w:tcBorders>
          </w:tcPr>
          <w:p w14:paraId="10573B6D" w14:textId="77777777" w:rsidR="006410E1" w:rsidRPr="00FE7FBF" w:rsidRDefault="006410E1" w:rsidP="00995BE6">
            <w:pPr>
              <w:spacing w:before="120" w:after="120"/>
              <w:jc w:val="center"/>
              <w:rPr>
                <w:sz w:val="16"/>
                <w:szCs w:val="16"/>
              </w:rPr>
            </w:pPr>
            <w:r>
              <w:rPr>
                <w:sz w:val="16"/>
              </w:rPr>
              <w:t>nu este relevantă</w:t>
            </w:r>
          </w:p>
        </w:tc>
      </w:tr>
      <w:tr w:rsidR="006410E1" w14:paraId="291E9F14" w14:textId="77777777" w:rsidTr="002A5D75">
        <w:trPr>
          <w:cantSplit/>
          <w:trHeight w:val="510"/>
          <w:jc w:val="center"/>
        </w:trPr>
        <w:tc>
          <w:tcPr>
            <w:tcW w:w="695" w:type="dxa"/>
          </w:tcPr>
          <w:p w14:paraId="03D60464" w14:textId="77777777" w:rsidR="006410E1" w:rsidRPr="00FE7FBF" w:rsidRDefault="006410E1" w:rsidP="00995BE6">
            <w:pPr>
              <w:spacing w:before="120" w:after="120"/>
              <w:rPr>
                <w:sz w:val="16"/>
                <w:szCs w:val="16"/>
              </w:rPr>
            </w:pPr>
            <w:r>
              <w:rPr>
                <w:sz w:val="16"/>
              </w:rPr>
              <w:t>47</w:t>
            </w:r>
          </w:p>
        </w:tc>
        <w:tc>
          <w:tcPr>
            <w:tcW w:w="2380" w:type="dxa"/>
          </w:tcPr>
          <w:p w14:paraId="44731053" w14:textId="77777777" w:rsidR="006410E1" w:rsidRPr="00FE7FBF" w:rsidRDefault="006410E1" w:rsidP="00995BE6">
            <w:pPr>
              <w:spacing w:before="120" w:after="120"/>
              <w:rPr>
                <w:sz w:val="16"/>
                <w:szCs w:val="16"/>
              </w:rPr>
            </w:pPr>
            <w:r>
              <w:rPr>
                <w:sz w:val="16"/>
              </w:rPr>
              <w:t xml:space="preserve">Inscripționările legale </w:t>
            </w:r>
          </w:p>
        </w:tc>
        <w:tc>
          <w:tcPr>
            <w:tcW w:w="1737" w:type="dxa"/>
          </w:tcPr>
          <w:p w14:paraId="0D460923" w14:textId="77777777" w:rsidR="006410E1" w:rsidRDefault="006410E1" w:rsidP="00995BE6">
            <w:pPr>
              <w:spacing w:before="120" w:after="120"/>
              <w:rPr>
                <w:sz w:val="16"/>
                <w:szCs w:val="16"/>
              </w:rPr>
            </w:pPr>
            <w:r>
              <w:rPr>
                <w:sz w:val="16"/>
              </w:rPr>
              <w:t>2009/139/CEE</w:t>
            </w:r>
          </w:p>
          <w:p w14:paraId="52D9340B" w14:textId="77777777" w:rsidR="006410E1" w:rsidRPr="00FE7FBF" w:rsidRDefault="006410E1" w:rsidP="00995BE6">
            <w:pPr>
              <w:spacing w:before="120" w:after="120"/>
              <w:rPr>
                <w:sz w:val="16"/>
                <w:szCs w:val="16"/>
              </w:rPr>
            </w:pPr>
            <w:r>
              <w:rPr>
                <w:sz w:val="16"/>
              </w:rPr>
              <w:t>(UE) nr. 901/2014</w:t>
            </w:r>
          </w:p>
        </w:tc>
        <w:tc>
          <w:tcPr>
            <w:tcW w:w="1950" w:type="dxa"/>
          </w:tcPr>
          <w:p w14:paraId="71AE69E7" w14:textId="77777777" w:rsidR="006410E1" w:rsidRPr="0049703B" w:rsidRDefault="006410E1" w:rsidP="00995BE6">
            <w:pPr>
              <w:spacing w:before="120" w:after="120"/>
              <w:jc w:val="center"/>
              <w:rPr>
                <w:sz w:val="16"/>
                <w:szCs w:val="16"/>
              </w:rPr>
            </w:pPr>
            <w:r>
              <w:rPr>
                <w:sz w:val="16"/>
              </w:rPr>
              <w:t>E</w:t>
            </w:r>
          </w:p>
        </w:tc>
        <w:tc>
          <w:tcPr>
            <w:tcW w:w="2019" w:type="dxa"/>
          </w:tcPr>
          <w:p w14:paraId="4B21AFF0" w14:textId="77777777" w:rsidR="006410E1" w:rsidRPr="00FE7FBF" w:rsidRDefault="006410E1" w:rsidP="00995BE6">
            <w:pPr>
              <w:spacing w:before="120" w:after="120"/>
              <w:jc w:val="center"/>
              <w:rPr>
                <w:sz w:val="16"/>
                <w:szCs w:val="16"/>
              </w:rPr>
            </w:pPr>
            <w:r>
              <w:rPr>
                <w:sz w:val="16"/>
              </w:rPr>
              <w:t>E</w:t>
            </w:r>
          </w:p>
        </w:tc>
        <w:tc>
          <w:tcPr>
            <w:tcW w:w="1758" w:type="dxa"/>
          </w:tcPr>
          <w:p w14:paraId="66676F1D" w14:textId="77777777" w:rsidR="006410E1" w:rsidRPr="00596BCB" w:rsidRDefault="006410E1" w:rsidP="00995BE6">
            <w:pPr>
              <w:spacing w:before="120" w:after="120"/>
              <w:jc w:val="center"/>
              <w:rPr>
                <w:sz w:val="16"/>
                <w:szCs w:val="16"/>
                <w:highlight w:val="yellow"/>
              </w:rPr>
            </w:pPr>
            <w:r>
              <w:rPr>
                <w:sz w:val="16"/>
              </w:rPr>
              <w:t>E</w:t>
            </w:r>
          </w:p>
        </w:tc>
      </w:tr>
      <w:tr w:rsidR="006410E1" w14:paraId="469A6EE8" w14:textId="77777777" w:rsidTr="002A5D75">
        <w:trPr>
          <w:cantSplit/>
          <w:trHeight w:val="510"/>
          <w:jc w:val="center"/>
        </w:trPr>
        <w:tc>
          <w:tcPr>
            <w:tcW w:w="695" w:type="dxa"/>
          </w:tcPr>
          <w:p w14:paraId="16C97931" w14:textId="77777777" w:rsidR="006410E1" w:rsidRPr="00FE7FBF" w:rsidRDefault="006410E1" w:rsidP="00995BE6">
            <w:pPr>
              <w:spacing w:before="120" w:after="120"/>
              <w:rPr>
                <w:sz w:val="16"/>
                <w:szCs w:val="16"/>
              </w:rPr>
            </w:pPr>
            <w:r>
              <w:rPr>
                <w:sz w:val="16"/>
              </w:rPr>
              <w:t>48</w:t>
            </w:r>
          </w:p>
        </w:tc>
        <w:tc>
          <w:tcPr>
            <w:tcW w:w="2380" w:type="dxa"/>
          </w:tcPr>
          <w:p w14:paraId="4A3B05BF" w14:textId="77777777" w:rsidR="006410E1" w:rsidRPr="00FE7FBF" w:rsidRDefault="006410E1" w:rsidP="00995BE6">
            <w:pPr>
              <w:spacing w:before="120" w:after="120"/>
              <w:rPr>
                <w:sz w:val="16"/>
                <w:szCs w:val="16"/>
              </w:rPr>
            </w:pPr>
            <w:r>
              <w:rPr>
                <w:sz w:val="16"/>
              </w:rPr>
              <w:t>Siguranța electrică a vehiculelor hibride și electrice</w:t>
            </w:r>
          </w:p>
        </w:tc>
        <w:tc>
          <w:tcPr>
            <w:tcW w:w="1737" w:type="dxa"/>
          </w:tcPr>
          <w:p w14:paraId="55584C06" w14:textId="77777777" w:rsidR="006410E1" w:rsidRDefault="006410E1" w:rsidP="00995BE6">
            <w:pPr>
              <w:spacing w:before="120" w:after="120"/>
              <w:rPr>
                <w:sz w:val="16"/>
                <w:szCs w:val="16"/>
              </w:rPr>
            </w:pPr>
            <w:r>
              <w:rPr>
                <w:sz w:val="16"/>
              </w:rPr>
              <w:t>(UE) nr. 3/2014</w:t>
            </w:r>
          </w:p>
        </w:tc>
        <w:tc>
          <w:tcPr>
            <w:tcW w:w="1950" w:type="dxa"/>
          </w:tcPr>
          <w:p w14:paraId="376961A4" w14:textId="77777777" w:rsidR="006410E1" w:rsidRPr="00FE7FBF" w:rsidRDefault="006410E1" w:rsidP="00995BE6">
            <w:pPr>
              <w:spacing w:before="120" w:after="120"/>
              <w:jc w:val="center"/>
              <w:rPr>
                <w:sz w:val="16"/>
                <w:szCs w:val="16"/>
              </w:rPr>
            </w:pPr>
            <w:r>
              <w:rPr>
                <w:sz w:val="16"/>
              </w:rPr>
              <w:t>H</w:t>
            </w:r>
          </w:p>
        </w:tc>
        <w:tc>
          <w:tcPr>
            <w:tcW w:w="2019" w:type="dxa"/>
          </w:tcPr>
          <w:p w14:paraId="60D393CA" w14:textId="77777777" w:rsidR="006410E1" w:rsidRPr="00FE7FBF" w:rsidRDefault="006410E1" w:rsidP="00995BE6">
            <w:pPr>
              <w:spacing w:before="120" w:after="120"/>
              <w:jc w:val="center"/>
              <w:rPr>
                <w:sz w:val="16"/>
                <w:szCs w:val="16"/>
              </w:rPr>
            </w:pPr>
            <w:r>
              <w:rPr>
                <w:sz w:val="16"/>
              </w:rPr>
              <w:t>H/I</w:t>
            </w:r>
            <w:r w:rsidRPr="0049703B">
              <w:rPr>
                <w:rStyle w:val="EndnoteReference"/>
                <w:sz w:val="16"/>
                <w:szCs w:val="16"/>
              </w:rPr>
              <w:endnoteReference w:id="17"/>
            </w:r>
          </w:p>
        </w:tc>
        <w:tc>
          <w:tcPr>
            <w:tcW w:w="1758" w:type="dxa"/>
          </w:tcPr>
          <w:p w14:paraId="2FD9839A" w14:textId="10BC360D" w:rsidR="006410E1" w:rsidRPr="00596BCB" w:rsidRDefault="00237B4E" w:rsidP="00995BE6">
            <w:pPr>
              <w:spacing w:before="120" w:after="120"/>
              <w:jc w:val="center"/>
              <w:rPr>
                <w:sz w:val="16"/>
                <w:szCs w:val="16"/>
                <w:highlight w:val="yellow"/>
              </w:rPr>
            </w:pPr>
            <w:r>
              <w:rPr>
                <w:sz w:val="16"/>
              </w:rPr>
              <w:t>H</w:t>
            </w:r>
            <w:r w:rsidR="006410E1" w:rsidRPr="003854EA">
              <w:rPr>
                <w:rStyle w:val="EndnoteReference"/>
                <w:sz w:val="16"/>
                <w:szCs w:val="16"/>
              </w:rPr>
              <w:endnoteReference w:id="18"/>
            </w:r>
          </w:p>
        </w:tc>
      </w:tr>
      <w:tr w:rsidR="006410E1" w14:paraId="4B35DB59" w14:textId="77777777" w:rsidTr="002A5D75">
        <w:trPr>
          <w:cantSplit/>
          <w:trHeight w:val="510"/>
          <w:jc w:val="center"/>
        </w:trPr>
        <w:tc>
          <w:tcPr>
            <w:tcW w:w="695" w:type="dxa"/>
          </w:tcPr>
          <w:p w14:paraId="2D9D8A75" w14:textId="77777777" w:rsidR="006410E1" w:rsidRPr="00FE7FBF" w:rsidRDefault="006410E1" w:rsidP="00995BE6">
            <w:pPr>
              <w:spacing w:before="120" w:after="120"/>
              <w:rPr>
                <w:sz w:val="16"/>
                <w:szCs w:val="16"/>
              </w:rPr>
            </w:pPr>
            <w:r>
              <w:rPr>
                <w:sz w:val="16"/>
              </w:rPr>
              <w:t>49</w:t>
            </w:r>
          </w:p>
        </w:tc>
        <w:tc>
          <w:tcPr>
            <w:tcW w:w="2380" w:type="dxa"/>
          </w:tcPr>
          <w:p w14:paraId="0FD56B9F" w14:textId="77777777" w:rsidR="006410E1" w:rsidRDefault="006410E1" w:rsidP="00995BE6">
            <w:pPr>
              <w:spacing w:before="120" w:after="120"/>
              <w:rPr>
                <w:sz w:val="16"/>
                <w:szCs w:val="16"/>
              </w:rPr>
            </w:pPr>
            <w:r>
              <w:rPr>
                <w:sz w:val="16"/>
              </w:rPr>
              <w:t>Declarația producătorilor cu privire la încercarea de anduranță a sistemelor, a componentelor și echipamentului acestora, critice pentru siguranța funcțională</w:t>
            </w:r>
          </w:p>
        </w:tc>
        <w:tc>
          <w:tcPr>
            <w:tcW w:w="1737" w:type="dxa"/>
          </w:tcPr>
          <w:p w14:paraId="098E6052" w14:textId="77777777" w:rsidR="006410E1" w:rsidRPr="008F1522" w:rsidRDefault="006410E1" w:rsidP="00995BE6">
            <w:pPr>
              <w:spacing w:before="120" w:after="120"/>
              <w:rPr>
                <w:sz w:val="16"/>
                <w:szCs w:val="16"/>
              </w:rPr>
            </w:pPr>
            <w:r>
              <w:rPr>
                <w:sz w:val="16"/>
              </w:rPr>
              <w:t>(UE) nr. 3/2014</w:t>
            </w:r>
          </w:p>
        </w:tc>
        <w:tc>
          <w:tcPr>
            <w:tcW w:w="1950" w:type="dxa"/>
          </w:tcPr>
          <w:p w14:paraId="3611EE0D" w14:textId="77777777" w:rsidR="006410E1" w:rsidRPr="00E149AE" w:rsidRDefault="006410E1" w:rsidP="00995BE6">
            <w:pPr>
              <w:spacing w:before="120" w:after="120"/>
              <w:jc w:val="center"/>
              <w:rPr>
                <w:sz w:val="16"/>
                <w:szCs w:val="16"/>
              </w:rPr>
            </w:pPr>
            <w:r>
              <w:rPr>
                <w:sz w:val="16"/>
              </w:rPr>
              <w:t>B</w:t>
            </w:r>
          </w:p>
        </w:tc>
        <w:tc>
          <w:tcPr>
            <w:tcW w:w="2019" w:type="dxa"/>
          </w:tcPr>
          <w:p w14:paraId="68E62E67" w14:textId="77777777" w:rsidR="006410E1" w:rsidRPr="00FE7FBF" w:rsidRDefault="006410E1" w:rsidP="00995BE6">
            <w:pPr>
              <w:spacing w:before="120" w:after="120"/>
              <w:jc w:val="center"/>
              <w:rPr>
                <w:sz w:val="16"/>
                <w:szCs w:val="16"/>
              </w:rPr>
            </w:pPr>
            <w:r>
              <w:rPr>
                <w:sz w:val="16"/>
              </w:rPr>
              <w:t>nu este relevantă</w:t>
            </w:r>
          </w:p>
        </w:tc>
        <w:tc>
          <w:tcPr>
            <w:tcW w:w="1758" w:type="dxa"/>
          </w:tcPr>
          <w:p w14:paraId="618F22C5" w14:textId="77777777" w:rsidR="006410E1" w:rsidRPr="00596BCB" w:rsidRDefault="006410E1" w:rsidP="00995BE6">
            <w:pPr>
              <w:spacing w:before="120" w:after="120"/>
              <w:jc w:val="center"/>
              <w:rPr>
                <w:sz w:val="16"/>
                <w:szCs w:val="16"/>
                <w:highlight w:val="yellow"/>
              </w:rPr>
            </w:pPr>
            <w:r>
              <w:rPr>
                <w:sz w:val="16"/>
              </w:rPr>
              <w:t>nu este relevantă</w:t>
            </w:r>
          </w:p>
        </w:tc>
      </w:tr>
      <w:tr w:rsidR="006410E1" w14:paraId="558E334E" w14:textId="77777777" w:rsidTr="002A5D75">
        <w:trPr>
          <w:cantSplit/>
          <w:trHeight w:val="510"/>
          <w:jc w:val="center"/>
        </w:trPr>
        <w:tc>
          <w:tcPr>
            <w:tcW w:w="695" w:type="dxa"/>
          </w:tcPr>
          <w:p w14:paraId="6C2CC1DE" w14:textId="77777777" w:rsidR="006410E1" w:rsidRPr="00FE7FBF" w:rsidRDefault="006410E1" w:rsidP="00995BE6">
            <w:pPr>
              <w:spacing w:before="120" w:after="120"/>
              <w:rPr>
                <w:sz w:val="16"/>
                <w:szCs w:val="16"/>
              </w:rPr>
            </w:pPr>
            <w:r>
              <w:rPr>
                <w:sz w:val="16"/>
              </w:rPr>
              <w:t>50</w:t>
            </w:r>
          </w:p>
        </w:tc>
        <w:tc>
          <w:tcPr>
            <w:tcW w:w="2380" w:type="dxa"/>
          </w:tcPr>
          <w:p w14:paraId="0C164801" w14:textId="77777777" w:rsidR="006410E1" w:rsidRDefault="006410E1" w:rsidP="00995BE6">
            <w:pPr>
              <w:spacing w:before="120" w:after="120"/>
              <w:rPr>
                <w:sz w:val="16"/>
                <w:szCs w:val="16"/>
              </w:rPr>
            </w:pPr>
            <w:r>
              <w:rPr>
                <w:sz w:val="16"/>
              </w:rPr>
              <w:t>Structuri de protecție față și spate</w:t>
            </w:r>
          </w:p>
        </w:tc>
        <w:tc>
          <w:tcPr>
            <w:tcW w:w="1737" w:type="dxa"/>
          </w:tcPr>
          <w:p w14:paraId="4DD506A2" w14:textId="77777777" w:rsidR="006410E1" w:rsidRPr="008F1522" w:rsidRDefault="006410E1" w:rsidP="00995BE6">
            <w:pPr>
              <w:spacing w:before="120" w:after="120"/>
              <w:rPr>
                <w:sz w:val="16"/>
                <w:szCs w:val="16"/>
              </w:rPr>
            </w:pPr>
            <w:r>
              <w:rPr>
                <w:sz w:val="16"/>
              </w:rPr>
              <w:t>(UE) nr. 3/2014</w:t>
            </w:r>
          </w:p>
        </w:tc>
        <w:tc>
          <w:tcPr>
            <w:tcW w:w="1950" w:type="dxa"/>
          </w:tcPr>
          <w:p w14:paraId="006C5E81" w14:textId="77777777" w:rsidR="006410E1" w:rsidRPr="00E149AE" w:rsidRDefault="006410E1" w:rsidP="00995BE6">
            <w:pPr>
              <w:spacing w:before="120" w:after="120"/>
              <w:jc w:val="center"/>
              <w:rPr>
                <w:sz w:val="16"/>
                <w:szCs w:val="16"/>
              </w:rPr>
            </w:pPr>
            <w:r>
              <w:rPr>
                <w:sz w:val="16"/>
              </w:rPr>
              <w:t>C</w:t>
            </w:r>
          </w:p>
        </w:tc>
        <w:tc>
          <w:tcPr>
            <w:tcW w:w="2019" w:type="dxa"/>
          </w:tcPr>
          <w:p w14:paraId="587232AF" w14:textId="77777777" w:rsidR="006410E1" w:rsidRPr="0049703B" w:rsidRDefault="006410E1" w:rsidP="00995BE6">
            <w:pPr>
              <w:spacing w:before="120" w:after="120"/>
              <w:jc w:val="center"/>
              <w:rPr>
                <w:sz w:val="16"/>
                <w:szCs w:val="16"/>
              </w:rPr>
            </w:pPr>
            <w:r>
              <w:rPr>
                <w:sz w:val="16"/>
              </w:rPr>
              <w:t>E</w:t>
            </w:r>
          </w:p>
        </w:tc>
        <w:tc>
          <w:tcPr>
            <w:tcW w:w="1758" w:type="dxa"/>
          </w:tcPr>
          <w:p w14:paraId="300F49C7" w14:textId="77777777" w:rsidR="006410E1" w:rsidRPr="00596BCB" w:rsidRDefault="006410E1" w:rsidP="00995BE6">
            <w:pPr>
              <w:spacing w:before="120" w:after="120"/>
              <w:jc w:val="center"/>
              <w:rPr>
                <w:sz w:val="16"/>
                <w:szCs w:val="16"/>
                <w:highlight w:val="yellow"/>
              </w:rPr>
            </w:pPr>
            <w:r>
              <w:rPr>
                <w:sz w:val="16"/>
              </w:rPr>
              <w:t>E</w:t>
            </w:r>
          </w:p>
        </w:tc>
      </w:tr>
      <w:tr w:rsidR="006410E1" w14:paraId="438A49F7" w14:textId="77777777" w:rsidTr="002A5D75">
        <w:trPr>
          <w:cantSplit/>
          <w:trHeight w:val="510"/>
          <w:jc w:val="center"/>
        </w:trPr>
        <w:tc>
          <w:tcPr>
            <w:tcW w:w="695" w:type="dxa"/>
          </w:tcPr>
          <w:p w14:paraId="4B531346" w14:textId="77777777" w:rsidR="006410E1" w:rsidRPr="00FE7FBF" w:rsidRDefault="006410E1" w:rsidP="00995BE6">
            <w:pPr>
              <w:spacing w:before="120" w:after="120"/>
              <w:rPr>
                <w:sz w:val="16"/>
                <w:szCs w:val="16"/>
              </w:rPr>
            </w:pPr>
            <w:r>
              <w:rPr>
                <w:sz w:val="16"/>
              </w:rPr>
              <w:t>51</w:t>
            </w:r>
          </w:p>
        </w:tc>
        <w:tc>
          <w:tcPr>
            <w:tcW w:w="2380" w:type="dxa"/>
          </w:tcPr>
          <w:p w14:paraId="4D173966" w14:textId="77777777" w:rsidR="006410E1" w:rsidRDefault="006410E1" w:rsidP="00995BE6">
            <w:pPr>
              <w:spacing w:before="120" w:after="120"/>
              <w:rPr>
                <w:sz w:val="16"/>
                <w:szCs w:val="16"/>
              </w:rPr>
            </w:pPr>
            <w:r>
              <w:rPr>
                <w:sz w:val="16"/>
              </w:rPr>
              <w:t xml:space="preserve">Structura de protecție în caz de răsturnare (ROPS) pentru vehiculele din categoriile L7e-B2 </w:t>
            </w:r>
          </w:p>
        </w:tc>
        <w:tc>
          <w:tcPr>
            <w:tcW w:w="1737" w:type="dxa"/>
          </w:tcPr>
          <w:p w14:paraId="0F01D726" w14:textId="77777777" w:rsidR="006410E1" w:rsidRPr="008F1522" w:rsidRDefault="006410E1" w:rsidP="00995BE6">
            <w:pPr>
              <w:spacing w:before="120" w:after="120"/>
              <w:rPr>
                <w:sz w:val="16"/>
                <w:szCs w:val="16"/>
              </w:rPr>
            </w:pPr>
            <w:r>
              <w:rPr>
                <w:sz w:val="16"/>
              </w:rPr>
              <w:t>(UE) nr. 3/2014</w:t>
            </w:r>
          </w:p>
        </w:tc>
        <w:tc>
          <w:tcPr>
            <w:tcW w:w="1950" w:type="dxa"/>
          </w:tcPr>
          <w:p w14:paraId="54A77F28" w14:textId="77777777" w:rsidR="006410E1" w:rsidRPr="00E149AE" w:rsidRDefault="006410E1" w:rsidP="00995BE6">
            <w:pPr>
              <w:spacing w:before="120" w:after="120"/>
              <w:jc w:val="center"/>
              <w:rPr>
                <w:sz w:val="16"/>
                <w:szCs w:val="16"/>
              </w:rPr>
            </w:pPr>
            <w:r>
              <w:rPr>
                <w:sz w:val="16"/>
              </w:rPr>
              <w:t>A</w:t>
            </w:r>
          </w:p>
        </w:tc>
        <w:tc>
          <w:tcPr>
            <w:tcW w:w="2019" w:type="dxa"/>
          </w:tcPr>
          <w:p w14:paraId="38C5FDC5" w14:textId="77777777" w:rsidR="006410E1" w:rsidRPr="00FE7FBF" w:rsidRDefault="006410E1" w:rsidP="00995BE6">
            <w:pPr>
              <w:spacing w:before="120" w:after="120"/>
              <w:jc w:val="center"/>
              <w:rPr>
                <w:sz w:val="16"/>
                <w:szCs w:val="16"/>
              </w:rPr>
            </w:pPr>
            <w:r>
              <w:rPr>
                <w:sz w:val="16"/>
              </w:rPr>
              <w:t>H</w:t>
            </w:r>
          </w:p>
        </w:tc>
        <w:tc>
          <w:tcPr>
            <w:tcW w:w="1758" w:type="dxa"/>
          </w:tcPr>
          <w:p w14:paraId="1EA5390C" w14:textId="77777777" w:rsidR="006410E1" w:rsidRPr="00596BCB" w:rsidRDefault="006410E1" w:rsidP="00995BE6">
            <w:pPr>
              <w:spacing w:before="120" w:after="120"/>
              <w:jc w:val="center"/>
              <w:rPr>
                <w:sz w:val="16"/>
                <w:szCs w:val="16"/>
                <w:highlight w:val="yellow"/>
              </w:rPr>
            </w:pPr>
            <w:r>
              <w:rPr>
                <w:sz w:val="16"/>
              </w:rPr>
              <w:t>nu este relevantă</w:t>
            </w:r>
          </w:p>
        </w:tc>
      </w:tr>
      <w:tr w:rsidR="006410E1" w14:paraId="7171A9AE" w14:textId="77777777" w:rsidTr="002A5D75">
        <w:trPr>
          <w:cantSplit/>
          <w:trHeight w:val="510"/>
          <w:jc w:val="center"/>
        </w:trPr>
        <w:tc>
          <w:tcPr>
            <w:tcW w:w="695" w:type="dxa"/>
          </w:tcPr>
          <w:p w14:paraId="2B4462F2" w14:textId="77777777" w:rsidR="006410E1" w:rsidRPr="00FE7FBF" w:rsidRDefault="006410E1" w:rsidP="00995BE6">
            <w:pPr>
              <w:spacing w:before="120" w:after="120"/>
              <w:rPr>
                <w:sz w:val="16"/>
                <w:szCs w:val="16"/>
              </w:rPr>
            </w:pPr>
            <w:r>
              <w:rPr>
                <w:sz w:val="16"/>
              </w:rPr>
              <w:t>52</w:t>
            </w:r>
          </w:p>
        </w:tc>
        <w:tc>
          <w:tcPr>
            <w:tcW w:w="2380" w:type="dxa"/>
          </w:tcPr>
          <w:p w14:paraId="7994AC10" w14:textId="77777777" w:rsidR="006410E1" w:rsidRDefault="006410E1" w:rsidP="00995BE6">
            <w:pPr>
              <w:spacing w:before="120" w:after="120"/>
              <w:rPr>
                <w:sz w:val="16"/>
                <w:szCs w:val="16"/>
              </w:rPr>
            </w:pPr>
            <w:r>
              <w:rPr>
                <w:sz w:val="16"/>
              </w:rPr>
              <w:t>Poziții de ședere (șei și scaune)</w:t>
            </w:r>
          </w:p>
        </w:tc>
        <w:tc>
          <w:tcPr>
            <w:tcW w:w="1737" w:type="dxa"/>
          </w:tcPr>
          <w:p w14:paraId="5799CCF5" w14:textId="77777777" w:rsidR="006410E1" w:rsidRPr="008F1522" w:rsidRDefault="006410E1" w:rsidP="00995BE6">
            <w:pPr>
              <w:spacing w:before="120" w:after="120"/>
              <w:rPr>
                <w:sz w:val="16"/>
                <w:szCs w:val="16"/>
              </w:rPr>
            </w:pPr>
            <w:r>
              <w:rPr>
                <w:sz w:val="16"/>
              </w:rPr>
              <w:t>(UE) nr. 3/2014</w:t>
            </w:r>
          </w:p>
        </w:tc>
        <w:tc>
          <w:tcPr>
            <w:tcW w:w="1950" w:type="dxa"/>
          </w:tcPr>
          <w:p w14:paraId="4258C99E" w14:textId="77777777" w:rsidR="006410E1" w:rsidRPr="00E149AE" w:rsidRDefault="006410E1" w:rsidP="00995BE6">
            <w:pPr>
              <w:spacing w:before="120" w:after="120"/>
              <w:jc w:val="center"/>
              <w:rPr>
                <w:sz w:val="16"/>
                <w:szCs w:val="16"/>
              </w:rPr>
            </w:pPr>
            <w:r>
              <w:rPr>
                <w:sz w:val="16"/>
              </w:rPr>
              <w:t>C</w:t>
            </w:r>
          </w:p>
        </w:tc>
        <w:tc>
          <w:tcPr>
            <w:tcW w:w="2019" w:type="dxa"/>
          </w:tcPr>
          <w:p w14:paraId="633B7A7A" w14:textId="77777777" w:rsidR="006410E1" w:rsidRPr="0049703B" w:rsidRDefault="006410E1" w:rsidP="00995BE6">
            <w:pPr>
              <w:spacing w:before="120" w:after="120"/>
              <w:jc w:val="center"/>
              <w:rPr>
                <w:sz w:val="16"/>
                <w:szCs w:val="16"/>
                <w:highlight w:val="yellow"/>
              </w:rPr>
            </w:pPr>
            <w:r>
              <w:rPr>
                <w:sz w:val="16"/>
              </w:rPr>
              <w:t>E/I</w:t>
            </w:r>
          </w:p>
        </w:tc>
        <w:tc>
          <w:tcPr>
            <w:tcW w:w="1758" w:type="dxa"/>
          </w:tcPr>
          <w:p w14:paraId="7BD6907B" w14:textId="77777777" w:rsidR="006410E1" w:rsidRPr="0049703B" w:rsidRDefault="006410E1" w:rsidP="00995BE6">
            <w:pPr>
              <w:spacing w:before="120" w:after="120"/>
              <w:jc w:val="center"/>
              <w:rPr>
                <w:sz w:val="16"/>
                <w:szCs w:val="16"/>
                <w:highlight w:val="yellow"/>
              </w:rPr>
            </w:pPr>
            <w:r>
              <w:rPr>
                <w:sz w:val="16"/>
              </w:rPr>
              <w:t>E</w:t>
            </w:r>
            <w:r w:rsidRPr="0049703B">
              <w:rPr>
                <w:rStyle w:val="EndnoteReference"/>
                <w:sz w:val="16"/>
                <w:szCs w:val="16"/>
              </w:rPr>
              <w:endnoteReference w:id="19"/>
            </w:r>
            <w:r>
              <w:rPr>
                <w:sz w:val="16"/>
              </w:rPr>
              <w:t>/I</w:t>
            </w:r>
          </w:p>
        </w:tc>
      </w:tr>
      <w:tr w:rsidR="006410E1" w14:paraId="5CBEFCB2" w14:textId="77777777" w:rsidTr="002A5D75">
        <w:trPr>
          <w:cantSplit/>
          <w:trHeight w:val="510"/>
          <w:jc w:val="center"/>
        </w:trPr>
        <w:tc>
          <w:tcPr>
            <w:tcW w:w="695" w:type="dxa"/>
          </w:tcPr>
          <w:p w14:paraId="308760BD" w14:textId="77777777" w:rsidR="006410E1" w:rsidRPr="00FE7FBF" w:rsidRDefault="006410E1" w:rsidP="00995BE6">
            <w:pPr>
              <w:spacing w:before="120" w:after="120"/>
              <w:rPr>
                <w:sz w:val="16"/>
                <w:szCs w:val="16"/>
              </w:rPr>
            </w:pPr>
            <w:r>
              <w:rPr>
                <w:sz w:val="16"/>
              </w:rPr>
              <w:t>53</w:t>
            </w:r>
          </w:p>
        </w:tc>
        <w:tc>
          <w:tcPr>
            <w:tcW w:w="2380" w:type="dxa"/>
          </w:tcPr>
          <w:p w14:paraId="5496F51F" w14:textId="77777777" w:rsidR="006410E1" w:rsidRDefault="006410E1" w:rsidP="00995BE6">
            <w:pPr>
              <w:spacing w:before="120" w:after="120"/>
              <w:rPr>
                <w:sz w:val="16"/>
                <w:szCs w:val="16"/>
              </w:rPr>
            </w:pPr>
            <w:r>
              <w:rPr>
                <w:sz w:val="16"/>
              </w:rPr>
              <w:t>Manevrabilitatea, comportamentul în viraje și orientabilitatea roților</w:t>
            </w:r>
          </w:p>
        </w:tc>
        <w:tc>
          <w:tcPr>
            <w:tcW w:w="1737" w:type="dxa"/>
          </w:tcPr>
          <w:p w14:paraId="3E468486" w14:textId="77777777" w:rsidR="006410E1" w:rsidRPr="008F1522" w:rsidRDefault="006410E1" w:rsidP="00995BE6">
            <w:pPr>
              <w:spacing w:before="120" w:after="120"/>
              <w:rPr>
                <w:sz w:val="16"/>
                <w:szCs w:val="16"/>
              </w:rPr>
            </w:pPr>
            <w:r>
              <w:rPr>
                <w:sz w:val="16"/>
              </w:rPr>
              <w:t>(UE) nr. 3/2014</w:t>
            </w:r>
          </w:p>
        </w:tc>
        <w:tc>
          <w:tcPr>
            <w:tcW w:w="1950" w:type="dxa"/>
          </w:tcPr>
          <w:p w14:paraId="3256CF7D" w14:textId="77777777" w:rsidR="006410E1" w:rsidRPr="00E149AE" w:rsidRDefault="006410E1" w:rsidP="00995BE6">
            <w:pPr>
              <w:spacing w:before="120" w:after="120"/>
              <w:jc w:val="center"/>
              <w:rPr>
                <w:sz w:val="16"/>
                <w:szCs w:val="16"/>
              </w:rPr>
            </w:pPr>
            <w:r>
              <w:rPr>
                <w:sz w:val="16"/>
              </w:rPr>
              <w:t>C</w:t>
            </w:r>
          </w:p>
        </w:tc>
        <w:tc>
          <w:tcPr>
            <w:tcW w:w="2019" w:type="dxa"/>
          </w:tcPr>
          <w:p w14:paraId="4762BAD6" w14:textId="77777777" w:rsidR="006410E1" w:rsidRPr="00FE7FBF" w:rsidRDefault="006410E1" w:rsidP="00995BE6">
            <w:pPr>
              <w:spacing w:before="120" w:after="120"/>
              <w:jc w:val="center"/>
              <w:rPr>
                <w:sz w:val="16"/>
                <w:szCs w:val="16"/>
              </w:rPr>
            </w:pPr>
            <w:r>
              <w:rPr>
                <w:sz w:val="16"/>
              </w:rPr>
              <w:t>C</w:t>
            </w:r>
          </w:p>
        </w:tc>
        <w:tc>
          <w:tcPr>
            <w:tcW w:w="1758" w:type="dxa"/>
          </w:tcPr>
          <w:p w14:paraId="31A68813" w14:textId="41FFCAD4" w:rsidR="006410E1" w:rsidRPr="00302B9D" w:rsidRDefault="006F1D9E" w:rsidP="00302B9D">
            <w:pPr>
              <w:spacing w:before="120" w:after="120"/>
              <w:jc w:val="center"/>
              <w:rPr>
                <w:sz w:val="16"/>
                <w:szCs w:val="16"/>
              </w:rPr>
            </w:pPr>
            <w:r>
              <w:rPr>
                <w:sz w:val="16"/>
              </w:rPr>
              <w:t>E</w:t>
            </w:r>
            <w:r w:rsidR="009E48B4">
              <w:rPr>
                <w:rStyle w:val="EndnoteReference"/>
                <w:sz w:val="16"/>
                <w:szCs w:val="16"/>
              </w:rPr>
              <w:endnoteReference w:id="20"/>
            </w:r>
          </w:p>
        </w:tc>
      </w:tr>
      <w:tr w:rsidR="006410E1" w14:paraId="285022D4" w14:textId="77777777" w:rsidTr="002A5D75">
        <w:trPr>
          <w:cantSplit/>
          <w:trHeight w:val="510"/>
          <w:jc w:val="center"/>
        </w:trPr>
        <w:tc>
          <w:tcPr>
            <w:tcW w:w="695" w:type="dxa"/>
          </w:tcPr>
          <w:p w14:paraId="25F1108F" w14:textId="77777777" w:rsidR="006410E1" w:rsidRPr="00FE7FBF" w:rsidRDefault="006410E1" w:rsidP="00995BE6">
            <w:pPr>
              <w:spacing w:before="120" w:after="120"/>
              <w:rPr>
                <w:sz w:val="16"/>
                <w:szCs w:val="16"/>
              </w:rPr>
            </w:pPr>
            <w:r>
              <w:rPr>
                <w:sz w:val="16"/>
              </w:rPr>
              <w:t>54</w:t>
            </w:r>
          </w:p>
        </w:tc>
        <w:tc>
          <w:tcPr>
            <w:tcW w:w="2380" w:type="dxa"/>
          </w:tcPr>
          <w:p w14:paraId="2C14F3E6" w14:textId="77777777" w:rsidR="006410E1" w:rsidRDefault="006410E1" w:rsidP="00995BE6">
            <w:pPr>
              <w:spacing w:before="120" w:after="120"/>
              <w:rPr>
                <w:sz w:val="16"/>
                <w:szCs w:val="16"/>
              </w:rPr>
            </w:pPr>
            <w:r>
              <w:rPr>
                <w:sz w:val="16"/>
              </w:rPr>
              <w:t>Dispozitivul de limitare a vitezei maxime a vehiculului</w:t>
            </w:r>
          </w:p>
        </w:tc>
        <w:tc>
          <w:tcPr>
            <w:tcW w:w="1737" w:type="dxa"/>
          </w:tcPr>
          <w:p w14:paraId="3ADD9001" w14:textId="77777777" w:rsidR="006410E1" w:rsidRPr="008F1522" w:rsidRDefault="006410E1" w:rsidP="00995BE6">
            <w:pPr>
              <w:spacing w:before="120" w:after="120"/>
              <w:rPr>
                <w:sz w:val="16"/>
                <w:szCs w:val="16"/>
              </w:rPr>
            </w:pPr>
            <w:r>
              <w:rPr>
                <w:sz w:val="16"/>
              </w:rPr>
              <w:t>(UE) nr. 3/2014</w:t>
            </w:r>
          </w:p>
        </w:tc>
        <w:tc>
          <w:tcPr>
            <w:tcW w:w="1950" w:type="dxa"/>
          </w:tcPr>
          <w:p w14:paraId="60EA3AD9" w14:textId="77777777" w:rsidR="006410E1" w:rsidRPr="0049703B" w:rsidRDefault="006410E1" w:rsidP="00995BE6">
            <w:pPr>
              <w:spacing w:before="120" w:after="120"/>
              <w:jc w:val="center"/>
              <w:rPr>
                <w:sz w:val="16"/>
                <w:szCs w:val="16"/>
              </w:rPr>
            </w:pPr>
            <w:r>
              <w:rPr>
                <w:sz w:val="16"/>
              </w:rPr>
              <w:t>E</w:t>
            </w:r>
          </w:p>
        </w:tc>
        <w:tc>
          <w:tcPr>
            <w:tcW w:w="2019" w:type="dxa"/>
          </w:tcPr>
          <w:p w14:paraId="14E0716C" w14:textId="77777777" w:rsidR="006410E1" w:rsidRPr="0049703B" w:rsidRDefault="006410E1" w:rsidP="00995BE6">
            <w:pPr>
              <w:spacing w:before="120" w:after="120"/>
              <w:jc w:val="center"/>
              <w:rPr>
                <w:sz w:val="16"/>
                <w:szCs w:val="16"/>
              </w:rPr>
            </w:pPr>
            <w:r>
              <w:rPr>
                <w:sz w:val="16"/>
              </w:rPr>
              <w:t>E</w:t>
            </w:r>
          </w:p>
        </w:tc>
        <w:tc>
          <w:tcPr>
            <w:tcW w:w="1758" w:type="dxa"/>
          </w:tcPr>
          <w:p w14:paraId="016C06DE" w14:textId="77777777" w:rsidR="006410E1" w:rsidRPr="00596BCB" w:rsidRDefault="006410E1" w:rsidP="00995BE6">
            <w:pPr>
              <w:spacing w:before="120" w:after="120"/>
              <w:jc w:val="center"/>
              <w:rPr>
                <w:sz w:val="16"/>
                <w:szCs w:val="16"/>
                <w:highlight w:val="yellow"/>
              </w:rPr>
            </w:pPr>
            <w:r>
              <w:rPr>
                <w:sz w:val="16"/>
              </w:rPr>
              <w:t>nu este relevantă</w:t>
            </w:r>
          </w:p>
        </w:tc>
      </w:tr>
      <w:tr w:rsidR="006410E1" w14:paraId="55406B73" w14:textId="77777777" w:rsidTr="002A5D75">
        <w:trPr>
          <w:cantSplit/>
          <w:trHeight w:val="510"/>
          <w:jc w:val="center"/>
        </w:trPr>
        <w:tc>
          <w:tcPr>
            <w:tcW w:w="695" w:type="dxa"/>
          </w:tcPr>
          <w:p w14:paraId="2554F0FE" w14:textId="77777777" w:rsidR="006410E1" w:rsidRPr="00FE7FBF" w:rsidRDefault="006410E1" w:rsidP="00995BE6">
            <w:pPr>
              <w:spacing w:before="120" w:after="120"/>
              <w:rPr>
                <w:sz w:val="16"/>
                <w:szCs w:val="16"/>
              </w:rPr>
            </w:pPr>
            <w:r>
              <w:rPr>
                <w:sz w:val="16"/>
              </w:rPr>
              <w:t>55</w:t>
            </w:r>
          </w:p>
        </w:tc>
        <w:tc>
          <w:tcPr>
            <w:tcW w:w="2380" w:type="dxa"/>
          </w:tcPr>
          <w:p w14:paraId="46ADF450" w14:textId="77777777" w:rsidR="006410E1" w:rsidRPr="00971DBA" w:rsidRDefault="006410E1" w:rsidP="00995BE6">
            <w:pPr>
              <w:spacing w:before="120" w:after="120"/>
              <w:rPr>
                <w:sz w:val="16"/>
                <w:szCs w:val="16"/>
              </w:rPr>
            </w:pPr>
            <w:r>
              <w:rPr>
                <w:sz w:val="16"/>
              </w:rPr>
              <w:t>Protecția pasagerilor vehiculelor, inclusiv accesoriile interioare și ușile vehiculelor</w:t>
            </w:r>
          </w:p>
        </w:tc>
        <w:tc>
          <w:tcPr>
            <w:tcW w:w="1737" w:type="dxa"/>
          </w:tcPr>
          <w:p w14:paraId="1A826D74" w14:textId="77777777" w:rsidR="006410E1" w:rsidRPr="008F1522" w:rsidRDefault="006410E1" w:rsidP="00995BE6">
            <w:pPr>
              <w:spacing w:before="120" w:after="120"/>
              <w:rPr>
                <w:sz w:val="16"/>
                <w:szCs w:val="16"/>
              </w:rPr>
            </w:pPr>
            <w:r>
              <w:rPr>
                <w:sz w:val="16"/>
              </w:rPr>
              <w:t>(UE) nr. 3/2014</w:t>
            </w:r>
          </w:p>
        </w:tc>
        <w:tc>
          <w:tcPr>
            <w:tcW w:w="1950" w:type="dxa"/>
          </w:tcPr>
          <w:p w14:paraId="18ADC8C5" w14:textId="77777777" w:rsidR="006410E1" w:rsidRPr="00E149AE" w:rsidRDefault="006410E1" w:rsidP="00995BE6">
            <w:pPr>
              <w:spacing w:before="120" w:after="120"/>
              <w:jc w:val="center"/>
              <w:rPr>
                <w:sz w:val="16"/>
                <w:szCs w:val="16"/>
              </w:rPr>
            </w:pPr>
            <w:r>
              <w:rPr>
                <w:sz w:val="16"/>
              </w:rPr>
              <w:t>C</w:t>
            </w:r>
          </w:p>
        </w:tc>
        <w:tc>
          <w:tcPr>
            <w:tcW w:w="2019" w:type="dxa"/>
          </w:tcPr>
          <w:p w14:paraId="5DFBE7EF" w14:textId="77777777" w:rsidR="006410E1" w:rsidRPr="0049703B" w:rsidRDefault="006410E1" w:rsidP="00995BE6">
            <w:pPr>
              <w:spacing w:before="120" w:after="120"/>
              <w:jc w:val="center"/>
              <w:rPr>
                <w:sz w:val="16"/>
                <w:szCs w:val="16"/>
              </w:rPr>
            </w:pPr>
            <w:r>
              <w:rPr>
                <w:sz w:val="16"/>
              </w:rPr>
              <w:t>E</w:t>
            </w:r>
          </w:p>
        </w:tc>
        <w:tc>
          <w:tcPr>
            <w:tcW w:w="1758" w:type="dxa"/>
          </w:tcPr>
          <w:p w14:paraId="23FDA8C6" w14:textId="77777777" w:rsidR="006410E1" w:rsidRPr="00596BCB" w:rsidRDefault="006410E1" w:rsidP="00995BE6">
            <w:pPr>
              <w:spacing w:before="120" w:after="120"/>
              <w:jc w:val="center"/>
              <w:rPr>
                <w:sz w:val="16"/>
                <w:szCs w:val="16"/>
                <w:highlight w:val="yellow"/>
              </w:rPr>
            </w:pPr>
            <w:r>
              <w:rPr>
                <w:sz w:val="16"/>
              </w:rPr>
              <w:t>E</w:t>
            </w:r>
          </w:p>
        </w:tc>
      </w:tr>
      <w:tr w:rsidR="006410E1" w14:paraId="69703AC8" w14:textId="77777777" w:rsidTr="002A5D75">
        <w:trPr>
          <w:cantSplit/>
          <w:trHeight w:val="510"/>
          <w:jc w:val="center"/>
        </w:trPr>
        <w:tc>
          <w:tcPr>
            <w:tcW w:w="695" w:type="dxa"/>
          </w:tcPr>
          <w:p w14:paraId="23670B79" w14:textId="77777777" w:rsidR="006410E1" w:rsidRPr="00FE7FBF" w:rsidRDefault="006410E1" w:rsidP="00995BE6">
            <w:pPr>
              <w:spacing w:before="120" w:after="120"/>
              <w:rPr>
                <w:sz w:val="16"/>
                <w:szCs w:val="16"/>
              </w:rPr>
            </w:pPr>
            <w:r>
              <w:rPr>
                <w:sz w:val="16"/>
              </w:rPr>
              <w:t>56</w:t>
            </w:r>
          </w:p>
        </w:tc>
        <w:tc>
          <w:tcPr>
            <w:tcW w:w="2380" w:type="dxa"/>
          </w:tcPr>
          <w:p w14:paraId="432FDBA0" w14:textId="77777777" w:rsidR="006410E1" w:rsidRPr="00971DBA" w:rsidRDefault="006410E1" w:rsidP="00995BE6">
            <w:pPr>
              <w:spacing w:before="120" w:after="120"/>
              <w:rPr>
                <w:sz w:val="16"/>
                <w:szCs w:val="16"/>
              </w:rPr>
            </w:pPr>
            <w:r>
              <w:rPr>
                <w:sz w:val="16"/>
              </w:rPr>
              <w:t>Integritatea structurală a vehiculului</w:t>
            </w:r>
          </w:p>
        </w:tc>
        <w:tc>
          <w:tcPr>
            <w:tcW w:w="1737" w:type="dxa"/>
          </w:tcPr>
          <w:p w14:paraId="1E096B95" w14:textId="77777777" w:rsidR="006410E1" w:rsidRPr="008F1522" w:rsidRDefault="006410E1" w:rsidP="00995BE6">
            <w:pPr>
              <w:spacing w:before="120" w:after="120"/>
              <w:rPr>
                <w:sz w:val="16"/>
                <w:szCs w:val="16"/>
              </w:rPr>
            </w:pPr>
            <w:r>
              <w:rPr>
                <w:sz w:val="16"/>
              </w:rPr>
              <w:t>(UE) nr. 3/2014</w:t>
            </w:r>
          </w:p>
        </w:tc>
        <w:tc>
          <w:tcPr>
            <w:tcW w:w="1950" w:type="dxa"/>
          </w:tcPr>
          <w:p w14:paraId="6A710087" w14:textId="77777777" w:rsidR="006410E1" w:rsidRPr="00E149AE" w:rsidRDefault="006410E1" w:rsidP="00995BE6">
            <w:pPr>
              <w:spacing w:before="120" w:after="120"/>
              <w:jc w:val="center"/>
              <w:rPr>
                <w:sz w:val="16"/>
                <w:szCs w:val="16"/>
              </w:rPr>
            </w:pPr>
            <w:r>
              <w:rPr>
                <w:sz w:val="16"/>
              </w:rPr>
              <w:t>B</w:t>
            </w:r>
          </w:p>
        </w:tc>
        <w:tc>
          <w:tcPr>
            <w:tcW w:w="2019" w:type="dxa"/>
          </w:tcPr>
          <w:p w14:paraId="0C2E2D3D" w14:textId="77777777" w:rsidR="006410E1" w:rsidRPr="00FE7FBF" w:rsidRDefault="006410E1" w:rsidP="00995BE6">
            <w:pPr>
              <w:spacing w:before="120" w:after="120"/>
              <w:jc w:val="center"/>
              <w:rPr>
                <w:sz w:val="16"/>
                <w:szCs w:val="16"/>
              </w:rPr>
            </w:pPr>
            <w:r>
              <w:rPr>
                <w:sz w:val="16"/>
              </w:rPr>
              <w:t>C</w:t>
            </w:r>
          </w:p>
        </w:tc>
        <w:tc>
          <w:tcPr>
            <w:tcW w:w="1758" w:type="dxa"/>
          </w:tcPr>
          <w:p w14:paraId="628A29BE" w14:textId="77777777" w:rsidR="006410E1" w:rsidRPr="00596BCB" w:rsidRDefault="006410E1" w:rsidP="00995BE6">
            <w:pPr>
              <w:spacing w:before="120" w:after="120"/>
              <w:jc w:val="center"/>
              <w:rPr>
                <w:sz w:val="16"/>
                <w:szCs w:val="16"/>
                <w:highlight w:val="yellow"/>
              </w:rPr>
            </w:pPr>
            <w:r>
              <w:rPr>
                <w:sz w:val="16"/>
              </w:rPr>
              <w:t>C</w:t>
            </w:r>
          </w:p>
        </w:tc>
      </w:tr>
      <w:tr w:rsidR="006410E1" w14:paraId="40D22EF9" w14:textId="77777777" w:rsidTr="002A5D75">
        <w:trPr>
          <w:cantSplit/>
          <w:trHeight w:val="510"/>
          <w:jc w:val="center"/>
        </w:trPr>
        <w:tc>
          <w:tcPr>
            <w:tcW w:w="695" w:type="dxa"/>
          </w:tcPr>
          <w:p w14:paraId="118C05EB" w14:textId="77777777" w:rsidR="006410E1" w:rsidRPr="00FE7FBF" w:rsidRDefault="006410E1" w:rsidP="00995BE6">
            <w:pPr>
              <w:spacing w:before="120" w:after="120"/>
              <w:rPr>
                <w:sz w:val="16"/>
                <w:szCs w:val="16"/>
              </w:rPr>
            </w:pPr>
            <w:r>
              <w:rPr>
                <w:sz w:val="16"/>
              </w:rPr>
              <w:t>57</w:t>
            </w:r>
          </w:p>
        </w:tc>
        <w:tc>
          <w:tcPr>
            <w:tcW w:w="2380" w:type="dxa"/>
          </w:tcPr>
          <w:p w14:paraId="43CBB421" w14:textId="77777777" w:rsidR="006410E1" w:rsidRDefault="006410E1" w:rsidP="00995BE6">
            <w:pPr>
              <w:spacing w:before="120" w:after="120"/>
              <w:rPr>
                <w:sz w:val="16"/>
                <w:szCs w:val="16"/>
              </w:rPr>
            </w:pPr>
            <w:r>
              <w:rPr>
                <w:sz w:val="16"/>
              </w:rPr>
              <w:t>Platforme de încărcare</w:t>
            </w:r>
          </w:p>
        </w:tc>
        <w:tc>
          <w:tcPr>
            <w:tcW w:w="1737" w:type="dxa"/>
          </w:tcPr>
          <w:p w14:paraId="78CA32D2" w14:textId="77777777" w:rsidR="006410E1" w:rsidRDefault="006410E1" w:rsidP="00995BE6">
            <w:pPr>
              <w:spacing w:before="120" w:after="120"/>
              <w:rPr>
                <w:sz w:val="16"/>
                <w:szCs w:val="16"/>
              </w:rPr>
            </w:pPr>
            <w:r>
              <w:rPr>
                <w:sz w:val="16"/>
              </w:rPr>
              <w:t>(UE) nr. 44/2014</w:t>
            </w:r>
          </w:p>
        </w:tc>
        <w:tc>
          <w:tcPr>
            <w:tcW w:w="1950" w:type="dxa"/>
          </w:tcPr>
          <w:p w14:paraId="000CA485" w14:textId="77777777" w:rsidR="006410E1" w:rsidRPr="00E149AE" w:rsidRDefault="006410E1" w:rsidP="00995BE6">
            <w:pPr>
              <w:spacing w:before="120" w:after="120"/>
              <w:jc w:val="center"/>
              <w:rPr>
                <w:sz w:val="16"/>
                <w:szCs w:val="16"/>
              </w:rPr>
            </w:pPr>
            <w:r>
              <w:rPr>
                <w:sz w:val="16"/>
              </w:rPr>
              <w:t>C</w:t>
            </w:r>
          </w:p>
        </w:tc>
        <w:tc>
          <w:tcPr>
            <w:tcW w:w="2019" w:type="dxa"/>
          </w:tcPr>
          <w:p w14:paraId="00102A1C" w14:textId="77777777" w:rsidR="006410E1" w:rsidRPr="00FE7FBF" w:rsidRDefault="006410E1" w:rsidP="00995BE6">
            <w:pPr>
              <w:spacing w:before="120" w:after="120"/>
              <w:jc w:val="center"/>
              <w:rPr>
                <w:sz w:val="16"/>
                <w:szCs w:val="16"/>
              </w:rPr>
            </w:pPr>
            <w:r>
              <w:rPr>
                <w:sz w:val="16"/>
              </w:rPr>
              <w:t>C</w:t>
            </w:r>
          </w:p>
        </w:tc>
        <w:tc>
          <w:tcPr>
            <w:tcW w:w="1758" w:type="dxa"/>
          </w:tcPr>
          <w:p w14:paraId="072C1299" w14:textId="77777777" w:rsidR="006410E1" w:rsidRPr="00596BCB" w:rsidRDefault="006410E1" w:rsidP="00995BE6">
            <w:pPr>
              <w:spacing w:before="120" w:after="120"/>
              <w:jc w:val="center"/>
              <w:rPr>
                <w:sz w:val="16"/>
                <w:szCs w:val="16"/>
                <w:highlight w:val="yellow"/>
              </w:rPr>
            </w:pPr>
            <w:r>
              <w:rPr>
                <w:sz w:val="16"/>
              </w:rPr>
              <w:t>E</w:t>
            </w:r>
          </w:p>
        </w:tc>
      </w:tr>
      <w:tr w:rsidR="006410E1" w14:paraId="53DAC9B7" w14:textId="77777777" w:rsidTr="002A5D75">
        <w:trPr>
          <w:cantSplit/>
          <w:trHeight w:val="510"/>
          <w:jc w:val="center"/>
        </w:trPr>
        <w:tc>
          <w:tcPr>
            <w:tcW w:w="695" w:type="dxa"/>
          </w:tcPr>
          <w:p w14:paraId="5A60DD0E" w14:textId="77777777" w:rsidR="006410E1" w:rsidRPr="00FE7FBF" w:rsidRDefault="006410E1" w:rsidP="00995BE6">
            <w:pPr>
              <w:spacing w:before="120" w:after="120"/>
              <w:rPr>
                <w:sz w:val="16"/>
                <w:szCs w:val="16"/>
              </w:rPr>
            </w:pPr>
            <w:r>
              <w:rPr>
                <w:sz w:val="16"/>
              </w:rPr>
              <w:t>58</w:t>
            </w:r>
          </w:p>
        </w:tc>
        <w:tc>
          <w:tcPr>
            <w:tcW w:w="2380" w:type="dxa"/>
          </w:tcPr>
          <w:p w14:paraId="510D42E4" w14:textId="77777777" w:rsidR="006410E1" w:rsidRDefault="006410E1" w:rsidP="00995BE6">
            <w:pPr>
              <w:spacing w:before="120" w:after="120"/>
              <w:rPr>
                <w:sz w:val="16"/>
                <w:szCs w:val="16"/>
              </w:rPr>
            </w:pPr>
            <w:r>
              <w:rPr>
                <w:sz w:val="16"/>
              </w:rPr>
              <w:t>Diagnosticarea la bord (OBD)</w:t>
            </w:r>
          </w:p>
        </w:tc>
        <w:tc>
          <w:tcPr>
            <w:tcW w:w="1737" w:type="dxa"/>
          </w:tcPr>
          <w:p w14:paraId="04CC18BF" w14:textId="77777777" w:rsidR="006410E1" w:rsidRDefault="006410E1" w:rsidP="00995BE6">
            <w:pPr>
              <w:spacing w:before="120" w:after="120"/>
              <w:rPr>
                <w:sz w:val="16"/>
                <w:szCs w:val="16"/>
              </w:rPr>
            </w:pPr>
            <w:r>
              <w:rPr>
                <w:sz w:val="16"/>
              </w:rPr>
              <w:t>(UE) nr. 44/2014</w:t>
            </w:r>
          </w:p>
        </w:tc>
        <w:tc>
          <w:tcPr>
            <w:tcW w:w="1950" w:type="dxa"/>
          </w:tcPr>
          <w:p w14:paraId="24DE0ACA" w14:textId="77777777" w:rsidR="006410E1" w:rsidRPr="00E149AE" w:rsidRDefault="006410E1" w:rsidP="00995BE6">
            <w:pPr>
              <w:spacing w:before="120" w:after="120"/>
              <w:jc w:val="center"/>
              <w:rPr>
                <w:sz w:val="16"/>
                <w:szCs w:val="16"/>
              </w:rPr>
            </w:pPr>
            <w:r>
              <w:rPr>
                <w:sz w:val="16"/>
              </w:rPr>
              <w:t>B</w:t>
            </w:r>
          </w:p>
        </w:tc>
        <w:tc>
          <w:tcPr>
            <w:tcW w:w="2019" w:type="dxa"/>
          </w:tcPr>
          <w:p w14:paraId="7550B215" w14:textId="77777777" w:rsidR="006410E1" w:rsidRPr="00FE7FBF" w:rsidRDefault="006410E1" w:rsidP="00995BE6">
            <w:pPr>
              <w:spacing w:before="120" w:after="120"/>
              <w:jc w:val="center"/>
              <w:rPr>
                <w:sz w:val="16"/>
                <w:szCs w:val="16"/>
              </w:rPr>
            </w:pPr>
            <w:r>
              <w:rPr>
                <w:sz w:val="16"/>
              </w:rPr>
              <w:t>C/I</w:t>
            </w:r>
          </w:p>
        </w:tc>
        <w:tc>
          <w:tcPr>
            <w:tcW w:w="1758" w:type="dxa"/>
          </w:tcPr>
          <w:p w14:paraId="33CCD381" w14:textId="77777777" w:rsidR="006410E1" w:rsidRPr="00596BCB" w:rsidRDefault="006410E1" w:rsidP="00995BE6">
            <w:pPr>
              <w:spacing w:before="120" w:after="120"/>
              <w:jc w:val="center"/>
              <w:rPr>
                <w:sz w:val="16"/>
                <w:szCs w:val="16"/>
                <w:highlight w:val="yellow"/>
              </w:rPr>
            </w:pPr>
            <w:r>
              <w:rPr>
                <w:sz w:val="16"/>
              </w:rPr>
              <w:t>nu este relevantă</w:t>
            </w:r>
          </w:p>
        </w:tc>
      </w:tr>
      <w:tr w:rsidR="006410E1" w14:paraId="7553773C" w14:textId="77777777" w:rsidTr="002A5D75">
        <w:trPr>
          <w:cantSplit/>
          <w:trHeight w:val="510"/>
          <w:jc w:val="center"/>
        </w:trPr>
        <w:tc>
          <w:tcPr>
            <w:tcW w:w="695" w:type="dxa"/>
          </w:tcPr>
          <w:p w14:paraId="0B7940C2" w14:textId="77777777" w:rsidR="006410E1" w:rsidRPr="00FE7FBF" w:rsidRDefault="006410E1" w:rsidP="00995BE6">
            <w:pPr>
              <w:spacing w:before="120" w:after="120"/>
              <w:rPr>
                <w:sz w:val="16"/>
                <w:szCs w:val="16"/>
              </w:rPr>
            </w:pPr>
            <w:r>
              <w:rPr>
                <w:sz w:val="16"/>
              </w:rPr>
              <w:t>59</w:t>
            </w:r>
          </w:p>
        </w:tc>
        <w:tc>
          <w:tcPr>
            <w:tcW w:w="2380" w:type="dxa"/>
          </w:tcPr>
          <w:p w14:paraId="45B60CB2" w14:textId="77777777" w:rsidR="006410E1" w:rsidRDefault="006410E1" w:rsidP="00995BE6">
            <w:pPr>
              <w:spacing w:before="120" w:after="120"/>
              <w:rPr>
                <w:sz w:val="16"/>
                <w:szCs w:val="16"/>
              </w:rPr>
            </w:pPr>
            <w:r>
              <w:rPr>
                <w:sz w:val="16"/>
              </w:rPr>
              <w:t>Accesul la informațiile referitoare la reparațiile și întreținerea vehiculelor</w:t>
            </w:r>
          </w:p>
        </w:tc>
        <w:tc>
          <w:tcPr>
            <w:tcW w:w="1737" w:type="dxa"/>
          </w:tcPr>
          <w:p w14:paraId="7411E7AC" w14:textId="77777777" w:rsidR="006410E1" w:rsidRDefault="006410E1" w:rsidP="00995BE6">
            <w:pPr>
              <w:spacing w:before="120" w:after="120"/>
              <w:rPr>
                <w:sz w:val="16"/>
                <w:szCs w:val="16"/>
              </w:rPr>
            </w:pPr>
            <w:r>
              <w:rPr>
                <w:sz w:val="16"/>
              </w:rPr>
              <w:t>(UE) nr. 44/2014</w:t>
            </w:r>
          </w:p>
        </w:tc>
        <w:tc>
          <w:tcPr>
            <w:tcW w:w="1950" w:type="dxa"/>
          </w:tcPr>
          <w:p w14:paraId="6DF1979C" w14:textId="77777777" w:rsidR="006410E1" w:rsidRPr="00E149AE" w:rsidRDefault="006410E1" w:rsidP="00995BE6">
            <w:pPr>
              <w:spacing w:before="120" w:after="120"/>
              <w:jc w:val="center"/>
              <w:rPr>
                <w:sz w:val="16"/>
                <w:szCs w:val="16"/>
              </w:rPr>
            </w:pPr>
            <w:r>
              <w:rPr>
                <w:sz w:val="16"/>
              </w:rPr>
              <w:t>nu este relevantă</w:t>
            </w:r>
          </w:p>
        </w:tc>
        <w:tc>
          <w:tcPr>
            <w:tcW w:w="2019" w:type="dxa"/>
          </w:tcPr>
          <w:p w14:paraId="68522BB0" w14:textId="77777777" w:rsidR="006410E1" w:rsidRPr="00FE7FBF" w:rsidRDefault="006410E1" w:rsidP="00995BE6">
            <w:pPr>
              <w:spacing w:before="120" w:after="120"/>
              <w:jc w:val="center"/>
              <w:rPr>
                <w:sz w:val="16"/>
                <w:szCs w:val="16"/>
              </w:rPr>
            </w:pPr>
            <w:r>
              <w:rPr>
                <w:sz w:val="16"/>
              </w:rPr>
              <w:t>nu este relevantă</w:t>
            </w:r>
          </w:p>
        </w:tc>
        <w:tc>
          <w:tcPr>
            <w:tcW w:w="1758" w:type="dxa"/>
          </w:tcPr>
          <w:p w14:paraId="3362EE0F" w14:textId="77777777" w:rsidR="006410E1" w:rsidRPr="00596BCB" w:rsidRDefault="006410E1" w:rsidP="00995BE6">
            <w:pPr>
              <w:spacing w:before="120" w:after="120"/>
              <w:jc w:val="center"/>
              <w:rPr>
                <w:sz w:val="16"/>
                <w:szCs w:val="16"/>
                <w:highlight w:val="yellow"/>
              </w:rPr>
            </w:pPr>
            <w:r>
              <w:rPr>
                <w:sz w:val="16"/>
              </w:rPr>
              <w:t>nu este relevantă</w:t>
            </w:r>
          </w:p>
        </w:tc>
      </w:tr>
    </w:tbl>
    <w:p w14:paraId="0F1EB3C7" w14:textId="77777777" w:rsidR="00D44777" w:rsidRDefault="00D44777" w:rsidP="00D44777">
      <w:pPr>
        <w:pStyle w:val="BodyText"/>
      </w:pPr>
      <w:r>
        <w:t>X: prin intermediul unui certificat de omologare CE sau UE de tip acordat de către autoritatea de omologare dintr-o țară SEE sau din Provincia Åland, prezentat de către solicitant în vederea omologării, prin intermediul unui certificat de omologare CEE de tip acordat de către autoritatea de omologare a statului care aplică regulamentul CEE corespunzător sau prin intermediul unei aprobări care demonstrează o omologare în conformitate cu aceste certificate.</w:t>
      </w:r>
    </w:p>
    <w:p w14:paraId="27E387FA" w14:textId="77777777" w:rsidR="00D44777" w:rsidRDefault="00D44777" w:rsidP="00D44777">
      <w:pPr>
        <w:pStyle w:val="BodyText"/>
      </w:pPr>
      <w:r>
        <w:t>A: prin intermediul unui raport întocmit de un serviciu tehnic desemnat sau de un alt stat membru al SEE, în conformitate cu domeniul său de aplicare a acreditării.</w:t>
      </w:r>
    </w:p>
    <w:p w14:paraId="5EE43B83" w14:textId="77777777" w:rsidR="00D44777" w:rsidRDefault="00D44777" w:rsidP="00D44777">
      <w:pPr>
        <w:pStyle w:val="BodyText"/>
      </w:pPr>
      <w:r>
        <w:t>H: prin intermediul unui raport întocmit de un expert autorizat, în conformitate cu domeniul său de aplicare a acreditării.</w:t>
      </w:r>
    </w:p>
    <w:p w14:paraId="74CC0B8B" w14:textId="77777777" w:rsidR="00D44777" w:rsidRDefault="00D44777" w:rsidP="00D44777">
      <w:pPr>
        <w:pStyle w:val="BodyText"/>
      </w:pPr>
      <w:r>
        <w:t>B: prin intermediul unui certificat eliberat de producător sau de reprezentantul acestuia, care se bazează pe încercări, calcule și măsurători. documentul detaliat care demonstrează conformitatea trebuie să fie specificat în certificat și, dacă este necesar, prezentat la cerere persoanei care efectuează omologarea sau inspecția.</w:t>
      </w:r>
    </w:p>
    <w:p w14:paraId="52E3D678" w14:textId="77777777" w:rsidR="00D44777" w:rsidRDefault="00D44777" w:rsidP="00D44777">
      <w:pPr>
        <w:pStyle w:val="BodyText"/>
      </w:pPr>
      <w:r>
        <w:t>C: un solicitant trebuie să îi demonstreze în mod satisfăcător inspectorului care efectuează omologarea de tip sau inspecția că dispozițiile esențiale menționate și stipulate în regulament au fost respectate.</w:t>
      </w:r>
    </w:p>
    <w:p w14:paraId="09A7A6EB" w14:textId="77777777" w:rsidR="00D44777" w:rsidRDefault="00D44777" w:rsidP="00D44777">
      <w:pPr>
        <w:pStyle w:val="BodyText"/>
      </w:pPr>
      <w:r>
        <w:t>E: într-o verificare a vehiculului în legătură cu omologarea sau inspecția.</w:t>
      </w:r>
    </w:p>
    <w:p w14:paraId="7FBB395E" w14:textId="77777777" w:rsidR="00D44777" w:rsidRDefault="00D44777" w:rsidP="00D44777">
      <w:pPr>
        <w:pStyle w:val="BodyText"/>
      </w:pPr>
      <w:r>
        <w:t>I: pentru un vehicul fabricat în serii mari pentru piețele americane, japoneze, sud-coreene și canadiene, raportul producătorului sau al unei autorități competente precum că vehiculul îndeplinește cerințele țării în cauză în ceea ce privește anul modelului sau marcajul de omologare care indică acest lucru servește drept verificare a conformității cu cerințele în cursul unei inspecții individuale pentru omologare și înregistrare. Această metodă demonstrativă poate fi aplicată și componentelor, sistemelor și unităților tehnice separate ale vehiculelor modificate.</w:t>
      </w:r>
    </w:p>
    <w:p w14:paraId="4C94CD99" w14:textId="77777777" w:rsidR="00D44777" w:rsidRDefault="00D44777" w:rsidP="00D44777">
      <w:pPr>
        <w:pStyle w:val="BodyText"/>
      </w:pPr>
      <w:r>
        <w:t>Ca o alternativă la nivelul cerințelor prezentate în tabel, se acceptă și o metodă demonstrativă de la un nivel superior în următoarea ordine: X, A, H, B, C, E. Metoda demonstrativă I se aplică numai vehiculelor care corespund definiției.</w:t>
      </w:r>
    </w:p>
    <w:p w14:paraId="03A04991" w14:textId="77777777" w:rsidR="00D44777" w:rsidRDefault="00D44777" w:rsidP="00D44777">
      <w:pPr>
        <w:pStyle w:val="BodyText"/>
      </w:pPr>
      <w:r>
        <w:t xml:space="preserve">La inspecția de înmatriculare și de modificare a unui vehicul, altul decât un vehicul omologat CE sau UE de tip și a unui vehicul modificat dintr-un vehicul omologat CE sau UE de tip, valorile-limită prevăzute într-o directivă sau într-un regulament UE și </w:t>
      </w:r>
      <w:r>
        <w:lastRenderedPageBreak/>
        <w:t>aplicabile în controlul conformității producției pot fi utilizate pentru a demonstra conformitatea.</w:t>
      </w:r>
    </w:p>
    <w:p w14:paraId="3732F121" w14:textId="77777777" w:rsidR="00D44777" w:rsidRDefault="00D44777" w:rsidP="00D44777">
      <w:pPr>
        <w:pStyle w:val="BodyText"/>
      </w:pPr>
      <w:r>
        <w:t>Punctele 20, 28 și 37 de mai sus nu se aplică vehiculelor electrice fără motor cu ardere internă. Derogările prevăzute în directive la punctele 18, 19, 29, 32-34, 41, 43 și 46 se aplică mopedurilor cu consum redus de energie.</w:t>
      </w:r>
    </w:p>
    <w:p w14:paraId="2F9DB281" w14:textId="19D78599" w:rsidR="00327422" w:rsidRPr="00B357E0" w:rsidRDefault="00327422" w:rsidP="0079432B">
      <w:pPr>
        <w:pStyle w:val="BodyText"/>
        <w:ind w:left="0"/>
      </w:pPr>
    </w:p>
    <w:sectPr w:rsidR="00327422" w:rsidRPr="00B357E0" w:rsidSect="00CA13C1">
      <w:headerReference w:type="default" r:id="rId12"/>
      <w:headerReference w:type="first" r:id="rId13"/>
      <w:footerReference w:type="first" r:id="rId14"/>
      <w:pgSz w:w="11906" w:h="16838" w:code="9"/>
      <w:pgMar w:top="567" w:right="1134" w:bottom="1021"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19AB" w14:textId="77777777" w:rsidR="0046186B" w:rsidRDefault="0046186B" w:rsidP="00E578A9">
      <w:pPr>
        <w:spacing w:after="0" w:line="240" w:lineRule="auto"/>
      </w:pPr>
      <w:r>
        <w:separator/>
      </w:r>
    </w:p>
  </w:endnote>
  <w:endnote w:type="continuationSeparator" w:id="0">
    <w:p w14:paraId="0A7D21B2" w14:textId="77777777" w:rsidR="0046186B" w:rsidRDefault="0046186B" w:rsidP="00E578A9">
      <w:pPr>
        <w:spacing w:after="0" w:line="240" w:lineRule="auto"/>
      </w:pPr>
      <w:r>
        <w:continuationSeparator/>
      </w:r>
    </w:p>
  </w:endnote>
  <w:endnote w:type="continuationNotice" w:id="1">
    <w:p w14:paraId="0F5B4750" w14:textId="77777777" w:rsidR="0046186B" w:rsidRDefault="0046186B">
      <w:pPr>
        <w:spacing w:after="0" w:line="240" w:lineRule="auto"/>
      </w:pPr>
    </w:p>
  </w:endnote>
  <w:endnote w:id="2">
    <w:p w14:paraId="1E122512"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Pentru un rezervor de combustibil care nu este fabricat din metal sau construit pentru alt tip de combustibil decât benzina, trebuie să se demonstreze respectarea cerințelor dintr-o directivă sau dintr-un regulament al UE.</w:t>
      </w:r>
    </w:p>
  </w:endnote>
  <w:endnote w:id="3">
    <w:p w14:paraId="3924E926"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Pentru </w:t>
      </w:r>
      <w:r>
        <w:rPr>
          <w:rFonts w:ascii="Verdana" w:hAnsi="Verdana"/>
          <w:sz w:val="16"/>
        </w:rPr>
        <w:t>un rezervor de combustibil fabricat din metal, construit pentru benzină, inspectorul trebuie să verifice rezistența punctelor de ancorare și sigilarea elementelor de îmbinare.</w:t>
      </w:r>
    </w:p>
  </w:endnote>
  <w:endnote w:id="4">
    <w:p w14:paraId="581126D4"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Masa maximă tehnic admisibilă este înscrisă în registru pe baza unui raport privind capacitatea de încărcare furnizată de producător.</w:t>
      </w:r>
    </w:p>
  </w:endnote>
  <w:endnote w:id="5">
    <w:p w14:paraId="095B548F" w14:textId="53BAC0DF"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Conformitatea cu cerințele privind emisiile de gaze de eșapament poate fi demonstrată tehnic prin măsurătorile efectuate cu vehiculul în funcțiune în conformitate cu valorile-limită specificate în Regulamentul TRAFICOM/497838/03.04.03.00/2019 al Agenției Finlandeze de Transport și Comunicații. Conformitatea cu cerințele privind emisiile de gaze de eșapament a unui vehicul individual personalizat poate fi demonstrată tehnic prin măsurătorile efectuate cu vehiculul în funcțiune astfel încât nivelul de CO din emisiile de gaze de eșapament să nu depășească 3,5 %, iar nivelul de HC să fie de 600 ppm.</w:t>
      </w:r>
    </w:p>
  </w:endnote>
  <w:endnote w:id="6">
    <w:p w14:paraId="42505FBF" w14:textId="77777777" w:rsidR="00AC3C67" w:rsidRPr="00DC5A79"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Dacă </w:t>
      </w:r>
      <w:r>
        <w:rPr>
          <w:rFonts w:ascii="Verdana" w:hAnsi="Verdana"/>
          <w:sz w:val="16"/>
        </w:rPr>
        <w:t>vehiculul a fost modificat pentru a fi echivalent cu un vehicul omologat UE sau CE de tip.</w:t>
      </w:r>
    </w:p>
  </w:endnote>
  <w:endnote w:id="7">
    <w:p w14:paraId="20760C43"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Convertor </w:t>
      </w:r>
      <w:r>
        <w:rPr>
          <w:rFonts w:ascii="Verdana" w:hAnsi="Verdana"/>
          <w:sz w:val="16"/>
        </w:rPr>
        <w:t>catalitic de schimb al unui vehicul omologat CE sau UE de tip.</w:t>
      </w:r>
    </w:p>
  </w:endnote>
  <w:endnote w:id="8">
    <w:p w14:paraId="7746165E" w14:textId="47CDD3A1" w:rsidR="00AC3C67" w:rsidRPr="0013622C" w:rsidRDefault="00AC3C67" w:rsidP="009173F4">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Nivelul </w:t>
      </w:r>
      <w:r>
        <w:rPr>
          <w:rFonts w:ascii="Verdana" w:hAnsi="Verdana"/>
          <w:sz w:val="16"/>
        </w:rPr>
        <w:t>de zgomot nu poate depăși nivelul de zgomot ponderat A: (a) 96 dB dacă capacitatea motorului nu depășește 80 de centimetri cubi; (b) 99 de decibeli, dacă capacitatea cilindrică este mai mare de 80 de centimetri cubi, dar nu mai mare de 175 de centimetri cubi; sau (c) 103 decibeli, dacă capacitatea cilindrică este mai mare de 175 de centimetri cubi. Metoda de măsurare trebuie să fie metoda specificată în apendicele 3 la Regulamentul TRAFICOM/497838/03.04.03.00/2019 al Agenției Finlandeze de Transport și Comunicații privind modificarea structurii unui vehicul din categoria L.</w:t>
      </w:r>
    </w:p>
  </w:endnote>
  <w:endnote w:id="9">
    <w:p w14:paraId="783A9370" w14:textId="25C3109D"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Nu este necesar să se efectueze o încercare de tip I (pierderea eficacității) dacă expertul autorizat poate verifica, pe baza unor teste anterioare, că vehiculul echipat cu piesele testate utilizate în sistemul de frânare îndeplinește cerințele pentru încercarea de tip I (pierderea eficacității). Conformitatea cu cerințele specificate în anexa 2 la Regulamentul TRAFICOM/497838/03.04.03.00/2019 poate fi acceptată și în cadrul inspecției de înmatriculare a unui vehicul importat sau fabricat ca vehicul individual personalizat și a unui vehicul fabricat individual.  Frânele antiblocare nu sunt obligatorii.</w:t>
      </w:r>
    </w:p>
  </w:endnote>
  <w:endnote w:id="10">
    <w:p w14:paraId="03218434" w14:textId="01150A62" w:rsidR="00AC3C67" w:rsidRPr="003A3A7F" w:rsidRDefault="00AC3C67" w:rsidP="006410E1">
      <w:pPr>
        <w:pStyle w:val="EndnoteText"/>
        <w:rPr>
          <w:rFonts w:ascii="Verdana" w:hAnsi="Verdana"/>
        </w:rPr>
      </w:pPr>
      <w:r>
        <w:rPr>
          <w:rStyle w:val="EndnoteReference"/>
          <w:rFonts w:ascii="Verdana" w:hAnsi="Verdana"/>
          <w:sz w:val="16"/>
          <w:szCs w:val="16"/>
        </w:rPr>
        <w:endnoteRef/>
      </w:r>
      <w:r>
        <w:rPr>
          <w:rFonts w:ascii="Verdana" w:hAnsi="Verdana"/>
        </w:rPr>
        <w:t xml:space="preserve"> </w:t>
      </w:r>
      <w:r>
        <w:rPr>
          <w:rFonts w:ascii="Verdana" w:hAnsi="Verdana"/>
          <w:sz w:val="16"/>
        </w:rPr>
        <w:t xml:space="preserve">Metoda </w:t>
      </w:r>
      <w:r>
        <w:rPr>
          <w:rFonts w:ascii="Verdana" w:hAnsi="Verdana"/>
          <w:sz w:val="16"/>
        </w:rPr>
        <w:t xml:space="preserve">demonstrativă poate fi aplicată altor vehicule decât vehiculele individuale personalizate. Cu toate acestea, frânele antiblocare sunt obligatorii dacă ar fi necesare pentru vehiculul prevăzut în Regulamentele (UE) nr. 168/2013 și (UE) nr. 3/2014. </w:t>
      </w:r>
    </w:p>
  </w:endnote>
  <w:endnote w:id="11">
    <w:p w14:paraId="37D978F6" w14:textId="1DA33557" w:rsidR="00AC3C67" w:rsidRPr="00FD18C9" w:rsidRDefault="00AC3C67" w:rsidP="006410E1">
      <w:pPr>
        <w:pStyle w:val="EndnoteText"/>
        <w:rPr>
          <w:rFonts w:ascii="Verdana" w:hAnsi="Verdana"/>
          <w:sz w:val="16"/>
          <w:szCs w:val="16"/>
          <w:highlight w:val="cyan"/>
          <w:u w:val="single"/>
        </w:rPr>
      </w:pPr>
      <w:r>
        <w:rPr>
          <w:rStyle w:val="EndnoteReference"/>
          <w:rFonts w:ascii="Verdana" w:hAnsi="Verdana"/>
          <w:sz w:val="16"/>
          <w:szCs w:val="16"/>
        </w:rPr>
        <w:endnoteRef/>
      </w:r>
      <w:r>
        <w:rPr>
          <w:rFonts w:ascii="Verdana" w:hAnsi="Verdana"/>
          <w:sz w:val="16"/>
        </w:rPr>
        <w:t xml:space="preserve"> </w:t>
      </w:r>
      <w:r>
        <w:rPr>
          <w:rFonts w:ascii="Verdana" w:hAnsi="Verdana"/>
          <w:color w:val="000000"/>
          <w:sz w:val="16"/>
        </w:rPr>
        <w:t>În ceea ce privește obligativitatea privind lămpile care trebuie montate, trebuie respectate cerințele statului în cauză. Montarea oricăror lămpi suplimentare se poate face fie în conformitate cu cerințele statului în cauză, fie cu cerințele UE, și conformitatea indicată în examinarea vehiculului, realizată în legătură cu omologarea sau inspecția tehnică auto</w:t>
      </w:r>
      <w:r>
        <w:rPr>
          <w:color w:val="000000"/>
          <w:sz w:val="16"/>
        </w:rPr>
        <w:t>.</w:t>
      </w:r>
    </w:p>
  </w:endnote>
  <w:endnote w:id="12">
    <w:p w14:paraId="2D024672" w14:textId="7F9D3160" w:rsidR="00AC3C67" w:rsidRPr="007D361B"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Excepții de la cerințele de instalare pentru lumini pot fi permise, cu condiția ca luminile obligatorii să fie montate și conexiunile lor electrice să fie conforme. În plus, instalarea unei lumini trebuie să îndeplinească cerințele privind vizibilitatea geometrică, iar culoarea luminii trebuie să respecte cerințele. În mod alternativ, pot fi respectate dispozițiile Regulamentului TRAFICOM/497838/03.04.03.00/2019 al Agenției Finlandeze de Transport și Comunicații privind echipamentele de iluminat pentru motociclete și mopeduri și instalarea acestora.</w:t>
      </w:r>
    </w:p>
  </w:endnote>
  <w:endnote w:id="13">
    <w:p w14:paraId="4B553C0F" w14:textId="7FCA45D2"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napToGrid w:val="0"/>
          <w:sz w:val="16"/>
        </w:rPr>
        <w:t xml:space="preserve">Atunci când se modifică sistemul de încărcare sau aprindere al unui vehicul cu motor cu aprindere prin scânteie care nu are sisteme electronice care afectează în mod direct controlul vehiculului, cum ar fi frânele electronice, se consideră că vehiculul îndeplinește cerințele, în ceea ce privește modificările aduse sistemului de încărcare sau aprindere, privind compatibilitatea electromagnetică, dacă dispozitivele sistemului de încărcare sau de aprindere sunt protejate cu capace metalice, iar firele bujiilor și conectorii acestora (terminalele) sunt protejate.  </w:t>
      </w:r>
    </w:p>
  </w:endnote>
  <w:endnote w:id="14">
    <w:p w14:paraId="1FEDF194"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Sunt necesare o încercare în mers și o încercare în staționare. Nu este necesar să se aplice cerințele din anexa VII la directivă sau un regulament al UE privind suprafața pistei de încercare, în cazul în care suprafața nu reduce zgomotul comparativ cu o suprafață care respectă o directivă sau un regulament UE. Atunci când în cursul unei testări a unui autovehiculul în mers se folosește un stand de încercare care respectă o directivă sau un regulament UE, se scade 1 dB(A) din rezultatul măsurătorii. În cursul inspecției pentru înmatricularea sau modificarea unui vehicul de ocazie, o toleranță de 2 dB(A) se adaugă la toleranța asigurării calității producției în conformitate cu o directivă sau un regulament UE pentru aplicarea la zgomotului la trecere. Inspectorul introduce rezultatul testului staționar în informațiile de înregistrare.</w:t>
      </w:r>
    </w:p>
  </w:endnote>
  <w:endnote w:id="15">
    <w:p w14:paraId="06598459" w14:textId="2AD93902" w:rsidR="00AC3C67" w:rsidRPr="00DC5A79"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În </w:t>
      </w:r>
      <w:r>
        <w:rPr>
          <w:rFonts w:ascii="Verdana" w:hAnsi="Verdana"/>
          <w:sz w:val="16"/>
        </w:rPr>
        <w:t>cadrul inspecției sale de înmatriculare, conformitatea unui vehicul importat sau fabricat ca vehicul individual personalizat poate fi dovedită în conformitate cu Regulamentul TRAFICOM/497838/03.04.03.00/2019 al Agenției Finlandeze de Transport și Comunicații. Metoda de măsurare este cea specificată în anexa 3 la regulamentul respectiv (TRAFICOM/497838/03.04.03.00/2019).</w:t>
      </w:r>
    </w:p>
  </w:endnote>
  <w:endnote w:id="16">
    <w:p w14:paraId="33370C0C" w14:textId="77777777" w:rsidR="00AC3C67" w:rsidRDefault="00AC3C67" w:rsidP="006410E1">
      <w:pPr>
        <w:pStyle w:val="EndnoteText"/>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Înlocuirea </w:t>
      </w:r>
      <w:r>
        <w:rPr>
          <w:rFonts w:ascii="Verdana" w:hAnsi="Verdana"/>
          <w:sz w:val="16"/>
        </w:rPr>
        <w:t>amortizorului de zgomot al unui vehicul omologat CE sau UE de tip. Cu toate acestea, nu este necesară o marcă de omologare de tip pentru un tip de amortizor de zgomot aprobat înainte de 1 iulie 2007 care înlocuiește componenta originală ca unitate separată.</w:t>
      </w:r>
    </w:p>
  </w:endnote>
  <w:endnote w:id="17">
    <w:p w14:paraId="61D5E74C" w14:textId="3E868EF8" w:rsidR="00AC3C67" w:rsidRPr="00385256" w:rsidRDefault="00AC3C67" w:rsidP="006410E1">
      <w:pPr>
        <w:pStyle w:val="Revision"/>
      </w:pPr>
      <w:r>
        <w:rPr>
          <w:rStyle w:val="EndnoteReference"/>
          <w:sz w:val="16"/>
          <w:szCs w:val="16"/>
        </w:rPr>
        <w:endnoteRef/>
      </w:r>
      <w:r>
        <w:rPr>
          <w:color w:val="000000"/>
          <w:sz w:val="16"/>
        </w:rPr>
        <w:t xml:space="preserve"> Sistemul de încărcare al unui vehicul poate fi modificat astfel încât vehiculul să fie compatibil cu sistemele de încărcare utilizate în mod obișnuit în Finlanda. Conformitatea unui sistem de încărcare modificat pentru a garanta siguranța electrică poate fi demonstrată folosind metodele demonstrative A, H sau B. Nu este necesară determinarea emisiilor de hidrogen.</w:t>
      </w:r>
    </w:p>
  </w:endnote>
  <w:endnote w:id="18">
    <w:p w14:paraId="66173EA0" w14:textId="55B75C93" w:rsidR="00AC3C67" w:rsidRPr="00385256" w:rsidRDefault="00AC3C67" w:rsidP="006410E1">
      <w:pPr>
        <w:pStyle w:val="EndnoteText"/>
        <w:rPr>
          <w:rFonts w:ascii="Verdana" w:hAnsi="Verdana"/>
          <w:sz w:val="16"/>
          <w:szCs w:val="16"/>
          <w:highlight w:val="yellow"/>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Nu </w:t>
      </w:r>
      <w:r>
        <w:rPr>
          <w:rFonts w:ascii="Verdana" w:hAnsi="Verdana"/>
          <w:sz w:val="16"/>
        </w:rPr>
        <w:t>este necesară determinarea emisiilor de hidrogen.</w:t>
      </w:r>
    </w:p>
  </w:endnote>
  <w:endnote w:id="19">
    <w:p w14:paraId="0517A5CF" w14:textId="03F9F791" w:rsidR="00AC3C67" w:rsidRDefault="00AC3C67" w:rsidP="006410E1">
      <w:pPr>
        <w:pStyle w:val="EndnoteText"/>
      </w:pPr>
      <w:r>
        <w:rPr>
          <w:rStyle w:val="EndnoteReference"/>
          <w:rFonts w:ascii="Verdana" w:hAnsi="Verdana"/>
          <w:sz w:val="16"/>
          <w:szCs w:val="16"/>
        </w:rPr>
        <w:endnoteRef/>
      </w:r>
      <w:r>
        <w:rPr>
          <w:rFonts w:ascii="Verdana" w:hAnsi="Verdana"/>
          <w:sz w:val="16"/>
        </w:rPr>
        <w:t xml:space="preserve"> Cu toate acestea, șeile sunt acceptate ca poziții de ședere pentru vehiculele din categoria L5e carosate.</w:t>
      </w:r>
    </w:p>
  </w:endnote>
  <w:endnote w:id="20">
    <w:p w14:paraId="304764C0" w14:textId="728BBB56" w:rsidR="00AC3C67" w:rsidRDefault="00AC3C67">
      <w:pPr>
        <w:pStyle w:val="EndnoteText"/>
        <w:rPr>
          <w:rFonts w:ascii="Verdana" w:hAnsi="Verdana" w:cstheme="minorHAnsi"/>
          <w:sz w:val="16"/>
          <w:szCs w:val="16"/>
        </w:rPr>
      </w:pPr>
      <w:r>
        <w:rPr>
          <w:rStyle w:val="EndnoteReference"/>
          <w:rFonts w:ascii="Verdana" w:hAnsi="Verdana" w:cstheme="minorHAnsi"/>
          <w:sz w:val="16"/>
          <w:szCs w:val="16"/>
        </w:rPr>
        <w:endnoteRef/>
      </w:r>
      <w:r>
        <w:rPr>
          <w:rFonts w:ascii="Verdana" w:hAnsi="Verdana"/>
          <w:sz w:val="16"/>
        </w:rPr>
        <w:t xml:space="preserve"> Conformitatea poate fi demonstrată în conformitate cu anexa 1 la TRAFICOM/497838/03.04.03.00/2019 al Agenției Finlandeze de Transport și Comunicații.</w:t>
      </w:r>
    </w:p>
    <w:p w14:paraId="005811D7" w14:textId="7AC97707" w:rsidR="00AC3C67" w:rsidRPr="009E48B4" w:rsidRDefault="00AC3C67">
      <w:pPr>
        <w:pStyle w:val="EndnoteText"/>
        <w:rPr>
          <w:rFonts w:ascii="Verdana" w:hAnsi="Verdana" w:cstheme="minorHAnsi"/>
          <w:sz w:val="16"/>
          <w:szCs w:val="16"/>
        </w:rPr>
      </w:pPr>
      <w:r>
        <w:rPr>
          <w:rStyle w:val="EndnoteReference"/>
          <w:rFonts w:ascii="Verdana" w:hAnsi="Verdana"/>
          <w:sz w:val="16"/>
        </w:rPr>
        <w:t>xx</w:t>
      </w:r>
      <w:r>
        <w:rPr>
          <w:rStyle w:val="EndnoteReference"/>
        </w:rPr>
        <w:t xml:space="preserve"> </w:t>
      </w:r>
      <w:r>
        <w:rPr>
          <w:rFonts w:ascii="Verdana" w:hAnsi="Verdana"/>
          <w:sz w:val="16"/>
        </w:rPr>
        <w:t xml:space="preserve">Trebuie furnizat un raport privind puterea motorului. Pentru motoarele produse în serii mari, un certificat al producătorului privind puterea netă maximă poate fi utilizat ca raport privind puterea motorului. Certificatul trebuie să specifice motorul căruia i se aplică.  Certificatul privind puterea motorului unui vehicul fabricat ca vehicul individual personalizat sau ca motor modificat de un motor fabricat în serii mari trebuie să se bazeze pe măsurarea puterii vehiculului echipat cu motorul respectiv. Certificatul de măsurare a puterii trebuie să fie un raport de măsurare elaborat de dispozitivul de măsurare, care prezintă o diagramă grafică a puterii motorului, care specifică valorile puterii, cuplului și presiunii de încărcare și viteza de rotație, măsurate de dispozitivul de măsurare. Certificatul trebuie să includă, de asemenea, numărul VIN al vehiculului măsurat. Certificatul de măsurare a puterii trebuie să fie întocmit de partea care a efectuat măsurarea. Rapoartele privind puterea motorului supraalimentat trebuie să indice suprapresiunea măsurată în cadrul măsurătorii puterii cu viteza de rotație la turație maximă, precum și suprapresiunea maximă măsurată;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5106" w14:textId="77777777" w:rsidR="00AC3C67" w:rsidRPr="004F132E" w:rsidRDefault="00AC3C67" w:rsidP="004F132E">
    <w:pPr>
      <w:pStyle w:val="Footer"/>
      <w:spacing w:line="276" w:lineRule="auto"/>
      <w:rPr>
        <w:b/>
      </w:rPr>
    </w:pPr>
    <w:r>
      <w:t xml:space="preserve">Agenția </w:t>
    </w:r>
    <w:r>
      <w:t xml:space="preserve">Finlandeză de Transport și Comunicații Traficom </w:t>
    </w:r>
    <w:r>
      <w:rPr>
        <w:rFonts w:ascii="Segoe UI Emoji" w:hAnsi="Segoe UI Emoji"/>
      </w:rPr>
      <w:t>▪</w:t>
    </w:r>
    <w:r>
      <w:t xml:space="preserve"> PO Box 320, 00059 TRAFICOM tel. + 029 534 5000 </w:t>
    </w:r>
    <w:r>
      <w:rPr>
        <w:rFonts w:ascii="Segoe UI Emoji" w:hAnsi="Segoe UI Emoji"/>
      </w:rPr>
      <w:t>▪</w:t>
    </w:r>
    <w:r>
      <w:t xml:space="preserve"> Business ID FI-29247533 </w:t>
    </w:r>
    <w:r>
      <w:rPr>
        <w:b/>
      </w:rPr>
      <w:t>www.traficom.fi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6B67" w14:textId="77777777" w:rsidR="0046186B" w:rsidRDefault="0046186B" w:rsidP="00E578A9">
      <w:pPr>
        <w:spacing w:after="0" w:line="240" w:lineRule="auto"/>
      </w:pPr>
      <w:r>
        <w:separator/>
      </w:r>
    </w:p>
  </w:footnote>
  <w:footnote w:type="continuationSeparator" w:id="0">
    <w:p w14:paraId="294538AA" w14:textId="77777777" w:rsidR="0046186B" w:rsidRDefault="0046186B" w:rsidP="00E578A9">
      <w:pPr>
        <w:spacing w:after="0" w:line="240" w:lineRule="auto"/>
      </w:pPr>
      <w:r>
        <w:continuationSeparator/>
      </w:r>
    </w:p>
  </w:footnote>
  <w:footnote w:type="continuationNotice" w:id="1">
    <w:p w14:paraId="70F64B0E" w14:textId="77777777" w:rsidR="0046186B" w:rsidRDefault="004618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21B3" w14:textId="7872D945" w:rsidR="00AC3C67" w:rsidRDefault="00AC3C67" w:rsidP="001F4EA9">
    <w:pPr>
      <w:pStyle w:val="Header"/>
      <w:tabs>
        <w:tab w:val="clear" w:pos="4819"/>
        <w:tab w:val="left" w:pos="5103"/>
      </w:tabs>
      <w:ind w:left="851" w:firstLine="4252"/>
    </w:pPr>
    <w:r>
      <w:rPr>
        <w:noProof/>
        <w:color w:val="000000" w:themeColor="text1"/>
      </w:rPr>
      <w:drawing>
        <wp:anchor distT="0" distB="0" distL="114300" distR="114300" simplePos="0" relativeHeight="251664385" behindDoc="0" locked="0" layoutInCell="1" allowOverlap="1" wp14:anchorId="023BE702" wp14:editId="4F19DB2B">
          <wp:simplePos x="0" y="0"/>
          <wp:positionH relativeFrom="page">
            <wp:posOffset>733331</wp:posOffset>
          </wp:positionH>
          <wp:positionV relativeFrom="page">
            <wp:posOffset>398352</wp:posOffset>
          </wp:positionV>
          <wp:extent cx="2127272" cy="467999"/>
          <wp:effectExtent l="0" t="0" r="6350" b="8255"/>
          <wp:wrapNone/>
          <wp:docPr id="5" name="Kuv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72" cy="467999"/>
                  </a:xfrm>
                  <a:prstGeom prst="rect">
                    <a:avLst/>
                  </a:prstGeom>
                </pic:spPr>
              </pic:pic>
            </a:graphicData>
          </a:graphic>
          <wp14:sizeRelH relativeFrom="margin">
            <wp14:pctWidth>0</wp14:pctWidth>
          </wp14:sizeRelH>
          <wp14:sizeRelV relativeFrom="margin">
            <wp14:pctHeight>0</wp14:pctHeight>
          </wp14:sizeRelV>
        </wp:anchor>
      </w:drawing>
    </w:r>
    <w:r>
      <w:rPr>
        <w:b/>
        <w:color w:val="000000" w:themeColor="text1"/>
        <w:sz w:val="22"/>
      </w:rPr>
      <w:t>Proiect de regulament</w:t>
    </w:r>
    <w:r>
      <w:rPr>
        <w:b/>
        <w:sz w:val="22"/>
      </w:rPr>
      <w:tab/>
    </w:r>
    <w:r>
      <w:rPr>
        <w:rStyle w:val="PageNumber"/>
      </w:rPr>
      <w:fldChar w:fldCharType="begin"/>
    </w:r>
    <w:r>
      <w:rPr>
        <w:rStyle w:val="PageNumber"/>
      </w:rPr>
      <w:instrText xml:space="preserve"> PAGE </w:instrText>
    </w:r>
    <w:r>
      <w:rPr>
        <w:rStyle w:val="PageNumber"/>
      </w:rPr>
      <w:fldChar w:fldCharType="separate"/>
    </w:r>
    <w:r w:rsidR="005F5A46">
      <w:rPr>
        <w:rStyle w:val="PageNumber"/>
      </w:rPr>
      <w:t>8</w:t>
    </w:r>
    <w:r>
      <w:rPr>
        <w:rStyle w:val="PageNumber"/>
      </w:rPr>
      <w:fldChar w:fldCharType="end"/>
    </w:r>
    <w:r>
      <w:t xml:space="preserve"> (</w:t>
    </w:r>
    <w:r>
      <w:rPr>
        <w:rStyle w:val="PageNumber"/>
      </w:rPr>
      <w:fldChar w:fldCharType="begin"/>
    </w:r>
    <w:r>
      <w:rPr>
        <w:rStyle w:val="PageNumber"/>
      </w:rPr>
      <w:instrText xml:space="preserve"> NUMPAGES </w:instrText>
    </w:r>
    <w:r>
      <w:rPr>
        <w:rStyle w:val="PageNumber"/>
      </w:rPr>
      <w:fldChar w:fldCharType="separate"/>
    </w:r>
    <w:r w:rsidR="005F5A46">
      <w:rPr>
        <w:rStyle w:val="PageNumber"/>
      </w:rPr>
      <w:t>16</w:t>
    </w:r>
    <w:r>
      <w:rPr>
        <w:rStyle w:val="PageNumber"/>
      </w:rPr>
      <w:fldChar w:fldCharType="end"/>
    </w:r>
    <w:r>
      <w:t>)</w:t>
    </w:r>
  </w:p>
  <w:p w14:paraId="480C7CC2" w14:textId="77777777" w:rsidR="00AC3C67" w:rsidRDefault="00AC3C67" w:rsidP="001F4EA9">
    <w:pPr>
      <w:pStyle w:val="Header"/>
      <w:tabs>
        <w:tab w:val="clear" w:pos="4819"/>
        <w:tab w:val="left" w:pos="5103"/>
      </w:tabs>
      <w:ind w:left="851" w:firstLine="4252"/>
    </w:pPr>
  </w:p>
  <w:p w14:paraId="221B092E" w14:textId="77777777" w:rsidR="00AC3C67" w:rsidRDefault="00AC3C67" w:rsidP="001F4EA9">
    <w:pPr>
      <w:pStyle w:val="Header"/>
      <w:tabs>
        <w:tab w:val="clear" w:pos="4819"/>
        <w:tab w:val="left" w:pos="5103"/>
      </w:tabs>
      <w:ind w:left="851" w:firstLine="4252"/>
      <w:rPr>
        <w:szCs w:val="20"/>
      </w:rPr>
    </w:pPr>
    <w:r>
      <w:t>TRAFICOM/562980/03.04.03.00/2022</w:t>
    </w:r>
  </w:p>
  <w:p w14:paraId="507661D7" w14:textId="0662AF61" w:rsidR="00AC3C67" w:rsidRPr="001F4EA9" w:rsidRDefault="00AC3C67" w:rsidP="001F4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3206" w14:textId="3A31CA77" w:rsidR="00AC3C67" w:rsidRDefault="00AC3C67" w:rsidP="001F4EA9">
    <w:pPr>
      <w:pStyle w:val="Header"/>
      <w:tabs>
        <w:tab w:val="clear" w:pos="4819"/>
        <w:tab w:val="left" w:pos="5103"/>
      </w:tabs>
      <w:ind w:left="851" w:firstLine="4252"/>
    </w:pPr>
    <w:r>
      <w:rPr>
        <w:noProof/>
        <w:color w:val="000000" w:themeColor="text1"/>
      </w:rPr>
      <w:drawing>
        <wp:anchor distT="0" distB="0" distL="114300" distR="114300" simplePos="0" relativeHeight="251666433" behindDoc="0" locked="0" layoutInCell="1" allowOverlap="1" wp14:anchorId="2B54CD3E" wp14:editId="6F5281DC">
          <wp:simplePos x="0" y="0"/>
          <wp:positionH relativeFrom="page">
            <wp:posOffset>733331</wp:posOffset>
          </wp:positionH>
          <wp:positionV relativeFrom="page">
            <wp:posOffset>398352</wp:posOffset>
          </wp:positionV>
          <wp:extent cx="2127272" cy="467999"/>
          <wp:effectExtent l="0" t="0" r="6350" b="8255"/>
          <wp:wrapNone/>
          <wp:docPr id="11" name="Kuv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72" cy="467999"/>
                  </a:xfrm>
                  <a:prstGeom prst="rect">
                    <a:avLst/>
                  </a:prstGeom>
                </pic:spPr>
              </pic:pic>
            </a:graphicData>
          </a:graphic>
          <wp14:sizeRelH relativeFrom="margin">
            <wp14:pctWidth>0</wp14:pctWidth>
          </wp14:sizeRelH>
          <wp14:sizeRelV relativeFrom="margin">
            <wp14:pctHeight>0</wp14:pctHeight>
          </wp14:sizeRelV>
        </wp:anchor>
      </w:drawing>
    </w:r>
    <w:r>
      <w:rPr>
        <w:b/>
        <w:color w:val="000000" w:themeColor="text1"/>
        <w:sz w:val="22"/>
      </w:rPr>
      <w:t xml:space="preserve">Proiect </w:t>
    </w:r>
    <w:r>
      <w:rPr>
        <w:b/>
        <w:color w:val="000000" w:themeColor="text1"/>
        <w:sz w:val="22"/>
      </w:rPr>
      <w:t>de regulament</w:t>
    </w:r>
    <w:r>
      <w:rPr>
        <w:b/>
        <w:sz w:val="22"/>
      </w:rPr>
      <w:tab/>
    </w:r>
    <w:r>
      <w:rPr>
        <w:rStyle w:val="PageNumber"/>
      </w:rPr>
      <w:fldChar w:fldCharType="begin"/>
    </w:r>
    <w:r>
      <w:rPr>
        <w:rStyle w:val="PageNumber"/>
      </w:rPr>
      <w:instrText xml:space="preserve"> PAGE </w:instrText>
    </w:r>
    <w:r>
      <w:rPr>
        <w:rStyle w:val="PageNumber"/>
      </w:rPr>
      <w:fldChar w:fldCharType="separate"/>
    </w:r>
    <w:r w:rsidR="00A53761">
      <w:rPr>
        <w:rStyle w:val="PageNumber"/>
      </w:rPr>
      <w:t>1</w:t>
    </w:r>
    <w:r>
      <w:rPr>
        <w:rStyle w:val="PageNumber"/>
      </w:rPr>
      <w:fldChar w:fldCharType="end"/>
    </w:r>
    <w:r>
      <w:t xml:space="preserve"> (</w:t>
    </w:r>
    <w:r>
      <w:rPr>
        <w:rStyle w:val="PageNumber"/>
      </w:rPr>
      <w:fldChar w:fldCharType="begin"/>
    </w:r>
    <w:r>
      <w:rPr>
        <w:rStyle w:val="PageNumber"/>
      </w:rPr>
      <w:instrText xml:space="preserve"> NUMPAGES </w:instrText>
    </w:r>
    <w:r>
      <w:rPr>
        <w:rStyle w:val="PageNumber"/>
      </w:rPr>
      <w:fldChar w:fldCharType="separate"/>
    </w:r>
    <w:r w:rsidR="00A53761">
      <w:rPr>
        <w:rStyle w:val="PageNumber"/>
      </w:rPr>
      <w:t>16</w:t>
    </w:r>
    <w:r>
      <w:rPr>
        <w:rStyle w:val="PageNumber"/>
      </w:rPr>
      <w:fldChar w:fldCharType="end"/>
    </w:r>
    <w:r>
      <w:t>)</w:t>
    </w:r>
  </w:p>
  <w:p w14:paraId="0E0FEE85" w14:textId="77777777" w:rsidR="00AC3C67" w:rsidRDefault="00AC3C67" w:rsidP="001F4EA9">
    <w:pPr>
      <w:pStyle w:val="Header"/>
      <w:tabs>
        <w:tab w:val="clear" w:pos="4819"/>
        <w:tab w:val="left" w:pos="5103"/>
      </w:tabs>
      <w:ind w:left="851" w:firstLine="4252"/>
    </w:pPr>
  </w:p>
  <w:p w14:paraId="143E0BBB" w14:textId="3E7FB82C" w:rsidR="00AC3C67" w:rsidRDefault="00AC3C67" w:rsidP="001F4EA9">
    <w:pPr>
      <w:pStyle w:val="Header"/>
      <w:tabs>
        <w:tab w:val="clear" w:pos="4819"/>
        <w:tab w:val="left" w:pos="5103"/>
      </w:tabs>
      <w:ind w:left="851" w:firstLine="4252"/>
      <w:rPr>
        <w:szCs w:val="20"/>
      </w:rPr>
    </w:pPr>
    <w:r>
      <w:t>TRAFICOM/562980/03.04.03.00/2022</w:t>
    </w:r>
  </w:p>
  <w:p w14:paraId="3646FF41" w14:textId="28DE0C83" w:rsidR="00AC3C67" w:rsidRPr="001F4EA9" w:rsidRDefault="00AC3C67" w:rsidP="001F4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6ED2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60E8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6EBB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6E4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D2A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07C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04F7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EF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28BC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345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B0EB5"/>
    <w:multiLevelType w:val="hybridMultilevel"/>
    <w:tmpl w:val="3F98219A"/>
    <w:lvl w:ilvl="0" w:tplc="AB74F128">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1" w15:restartNumberingAfterBreak="0">
    <w:nsid w:val="06FA528E"/>
    <w:multiLevelType w:val="hybridMultilevel"/>
    <w:tmpl w:val="D4B484C2"/>
    <w:lvl w:ilvl="0" w:tplc="9E6AB6E4">
      <w:start w:val="1"/>
      <w:numFmt w:val="decimal"/>
      <w:pStyle w:val="Liiteotsikko"/>
      <w:lvlText w:val="Liite %1"/>
      <w:lvlJc w:val="left"/>
      <w:pPr>
        <w:ind w:left="720" w:hanging="360"/>
      </w:pPr>
      <w:rPr>
        <w:rFonts w:ascii="Verdana" w:hAnsi="Verdana" w:hint="default"/>
        <w:b/>
        <w:i w:val="0"/>
        <w:caps w:val="0"/>
        <w:strike w:val="0"/>
        <w:dstrike w:val="0"/>
        <w:vanish w:val="0"/>
        <w:color w:val="000000"/>
        <w:sz w:val="20"/>
        <w:szCs w:val="16"/>
        <w:u w:val="none"/>
        <w:vertAlign w:val="base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07AF624E"/>
    <w:multiLevelType w:val="hybridMultilevel"/>
    <w:tmpl w:val="1FB606CC"/>
    <w:lvl w:ilvl="0" w:tplc="040B0011">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3" w15:restartNumberingAfterBreak="0">
    <w:nsid w:val="0C7A5F2A"/>
    <w:multiLevelType w:val="hybridMultilevel"/>
    <w:tmpl w:val="68E81D7A"/>
    <w:lvl w:ilvl="0" w:tplc="0372A256">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4" w15:restartNumberingAfterBreak="0">
    <w:nsid w:val="0ECF4C9D"/>
    <w:multiLevelType w:val="hybridMultilevel"/>
    <w:tmpl w:val="C42C789A"/>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5" w15:restartNumberingAfterBreak="0">
    <w:nsid w:val="1C784CAF"/>
    <w:multiLevelType w:val="hybridMultilevel"/>
    <w:tmpl w:val="EB70A9B4"/>
    <w:lvl w:ilvl="0" w:tplc="4F24A372">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6" w15:restartNumberingAfterBreak="0">
    <w:nsid w:val="1CC97591"/>
    <w:multiLevelType w:val="multilevel"/>
    <w:tmpl w:val="3C0E3FC0"/>
    <w:lvl w:ilvl="0">
      <w:start w:val="1"/>
      <w:numFmt w:val="bullet"/>
      <w:pStyle w:val="List"/>
      <w:lvlText w:val=""/>
      <w:lvlJc w:val="left"/>
      <w:pPr>
        <w:tabs>
          <w:tab w:val="num" w:pos="1134"/>
        </w:tabs>
        <w:ind w:left="1418" w:hanging="284"/>
      </w:pPr>
      <w:rPr>
        <w:rFonts w:ascii="Symbol" w:hAnsi="Symbol" w:hint="default"/>
      </w:rPr>
    </w:lvl>
    <w:lvl w:ilvl="1">
      <w:start w:val="1"/>
      <w:numFmt w:val="bullet"/>
      <w:lvlText w:val="o"/>
      <w:lvlJc w:val="left"/>
      <w:pPr>
        <w:tabs>
          <w:tab w:val="num" w:pos="1531"/>
        </w:tabs>
        <w:ind w:left="1701" w:hanging="283"/>
      </w:pPr>
      <w:rPr>
        <w:rFonts w:ascii="Courier New" w:hAnsi="Courier New" w:hint="default"/>
      </w:rPr>
    </w:lvl>
    <w:lvl w:ilvl="2">
      <w:start w:val="1"/>
      <w:numFmt w:val="bullet"/>
      <w:lvlText w:val=""/>
      <w:lvlJc w:val="left"/>
      <w:pPr>
        <w:ind w:left="1985" w:hanging="28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8863BB"/>
    <w:multiLevelType w:val="hybridMultilevel"/>
    <w:tmpl w:val="A568F1D0"/>
    <w:lvl w:ilvl="0" w:tplc="536E10E6">
      <w:start w:val="1"/>
      <w:numFmt w:val="decimal"/>
      <w:pStyle w:val="Taulukko-otsikko"/>
      <w:lvlText w:val="Taulukko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8" w15:restartNumberingAfterBreak="0">
    <w:nsid w:val="31635228"/>
    <w:multiLevelType w:val="hybridMultilevel"/>
    <w:tmpl w:val="4824E434"/>
    <w:lvl w:ilvl="0" w:tplc="D02A5286">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9"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20" w15:restartNumberingAfterBreak="0">
    <w:nsid w:val="3DD83DFA"/>
    <w:multiLevelType w:val="hybridMultilevel"/>
    <w:tmpl w:val="880004E0"/>
    <w:lvl w:ilvl="0" w:tplc="41444804">
      <w:start w:val="1"/>
      <w:numFmt w:val="decimal"/>
      <w:lvlText w:val="Taulukko %1"/>
      <w:lvlJc w:val="left"/>
      <w:pPr>
        <w:ind w:left="185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1"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22" w15:restartNumberingAfterBreak="0">
    <w:nsid w:val="481B6E59"/>
    <w:multiLevelType w:val="hybridMultilevel"/>
    <w:tmpl w:val="0AB4FF46"/>
    <w:lvl w:ilvl="0" w:tplc="ABC2D738">
      <w:start w:val="1"/>
      <w:numFmt w:val="decimal"/>
      <w:lvlText w:val="Liite %1"/>
      <w:lvlJc w:val="left"/>
      <w:pPr>
        <w:ind w:left="360" w:hanging="360"/>
      </w:pPr>
      <w:rPr>
        <w:rFonts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3" w15:restartNumberingAfterBreak="0">
    <w:nsid w:val="4A3D4D62"/>
    <w:multiLevelType w:val="multilevel"/>
    <w:tmpl w:val="AD02A0D8"/>
    <w:lvl w:ilvl="0">
      <w:start w:val="1"/>
      <w:numFmt w:val="decimal"/>
      <w:pStyle w:val="Heading1"/>
      <w:lvlText w:val="%1"/>
      <w:lvlJc w:val="left"/>
      <w:pPr>
        <w:tabs>
          <w:tab w:val="num" w:pos="742"/>
        </w:tabs>
        <w:ind w:left="742" w:hanging="600"/>
      </w:pPr>
      <w:rPr>
        <w:rFonts w:hint="default"/>
        <w:sz w:val="22"/>
      </w:rPr>
    </w:lvl>
    <w:lvl w:ilvl="1">
      <w:start w:val="1"/>
      <w:numFmt w:val="decimal"/>
      <w:pStyle w:val="Heading2"/>
      <w:lvlText w:val="%1.%2"/>
      <w:lvlJc w:val="left"/>
      <w:pPr>
        <w:tabs>
          <w:tab w:val="num" w:pos="942"/>
        </w:tabs>
        <w:ind w:left="942" w:hanging="80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42"/>
        </w:tabs>
        <w:ind w:left="1142" w:hanging="1000"/>
      </w:pPr>
      <w:rPr>
        <w:rFonts w:hint="default"/>
      </w:rPr>
    </w:lvl>
    <w:lvl w:ilvl="3">
      <w:start w:val="1"/>
      <w:numFmt w:val="decimal"/>
      <w:pStyle w:val="Heading4"/>
      <w:lvlText w:val="%1.%2.%3.%4"/>
      <w:lvlJc w:val="left"/>
      <w:pPr>
        <w:tabs>
          <w:tab w:val="num" w:pos="1342"/>
        </w:tabs>
        <w:ind w:left="1342" w:hanging="1200"/>
      </w:pPr>
      <w:rPr>
        <w:rFonts w:hint="default"/>
      </w:rPr>
    </w:lvl>
    <w:lvl w:ilvl="4">
      <w:start w:val="1"/>
      <w:numFmt w:val="decimal"/>
      <w:pStyle w:val="Heading5"/>
      <w:lvlText w:val="%1.%2.%3.%4.%5"/>
      <w:lvlJc w:val="left"/>
      <w:pPr>
        <w:tabs>
          <w:tab w:val="num" w:pos="1542"/>
        </w:tabs>
        <w:ind w:left="1542" w:hanging="1400"/>
      </w:pPr>
      <w:rPr>
        <w:rFonts w:hint="default"/>
      </w:rPr>
    </w:lvl>
    <w:lvl w:ilvl="5">
      <w:start w:val="1"/>
      <w:numFmt w:val="decimal"/>
      <w:pStyle w:val="Heading6"/>
      <w:lvlText w:val="%1.%2.%3.%4.%5.%6"/>
      <w:lvlJc w:val="left"/>
      <w:pPr>
        <w:tabs>
          <w:tab w:val="num" w:pos="1742"/>
        </w:tabs>
        <w:ind w:left="1742" w:hanging="1600"/>
      </w:pPr>
      <w:rPr>
        <w:rFonts w:hint="default"/>
      </w:rPr>
    </w:lvl>
    <w:lvl w:ilvl="6">
      <w:start w:val="1"/>
      <w:numFmt w:val="decimal"/>
      <w:lvlText w:val="%1.%2.%3.%4.%5.%6.%7."/>
      <w:lvlJc w:val="left"/>
      <w:pPr>
        <w:tabs>
          <w:tab w:val="num" w:pos="4701"/>
        </w:tabs>
        <w:ind w:left="3981" w:hanging="1080"/>
      </w:pPr>
      <w:rPr>
        <w:rFonts w:hint="default"/>
      </w:rPr>
    </w:lvl>
    <w:lvl w:ilvl="7">
      <w:start w:val="1"/>
      <w:numFmt w:val="decimal"/>
      <w:lvlText w:val="%1.%2.%3.%4.%5.%6.%7.%8."/>
      <w:lvlJc w:val="left"/>
      <w:pPr>
        <w:tabs>
          <w:tab w:val="num" w:pos="5421"/>
        </w:tabs>
        <w:ind w:left="4485" w:hanging="1224"/>
      </w:pPr>
      <w:rPr>
        <w:rFonts w:hint="default"/>
      </w:rPr>
    </w:lvl>
    <w:lvl w:ilvl="8">
      <w:start w:val="1"/>
      <w:numFmt w:val="decimal"/>
      <w:lvlText w:val="%1.%2.%3.%4.%5.%6.%7.%8.%9."/>
      <w:lvlJc w:val="left"/>
      <w:pPr>
        <w:tabs>
          <w:tab w:val="num" w:pos="6141"/>
        </w:tabs>
        <w:ind w:left="5061" w:hanging="1440"/>
      </w:pPr>
      <w:rPr>
        <w:rFonts w:hint="default"/>
      </w:rPr>
    </w:lvl>
  </w:abstractNum>
  <w:abstractNum w:abstractNumId="24" w15:restartNumberingAfterBreak="0">
    <w:nsid w:val="4C657A61"/>
    <w:multiLevelType w:val="hybridMultilevel"/>
    <w:tmpl w:val="2C3C4284"/>
    <w:lvl w:ilvl="0" w:tplc="040B0011">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5" w15:restartNumberingAfterBreak="0">
    <w:nsid w:val="51044CAA"/>
    <w:multiLevelType w:val="hybridMultilevel"/>
    <w:tmpl w:val="E89E959A"/>
    <w:lvl w:ilvl="0" w:tplc="718EB8E0">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6" w15:restartNumberingAfterBreak="0">
    <w:nsid w:val="54BB5FB8"/>
    <w:multiLevelType w:val="hybridMultilevel"/>
    <w:tmpl w:val="30F81F0C"/>
    <w:lvl w:ilvl="0" w:tplc="7A7099B2">
      <w:start w:val="1"/>
      <w:numFmt w:val="decimal"/>
      <w:pStyle w:val="Caption"/>
      <w:lvlText w:val="Kuva %1"/>
      <w:lvlJc w:val="left"/>
      <w:pPr>
        <w:ind w:left="149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7" w15:restartNumberingAfterBreak="0">
    <w:nsid w:val="567F7EF4"/>
    <w:multiLevelType w:val="hybridMultilevel"/>
    <w:tmpl w:val="47DAD410"/>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8" w15:restartNumberingAfterBreak="0">
    <w:nsid w:val="5C42159B"/>
    <w:multiLevelType w:val="hybridMultilevel"/>
    <w:tmpl w:val="0A66587C"/>
    <w:lvl w:ilvl="0" w:tplc="FF0612FC">
      <w:start w:val="1"/>
      <w:numFmt w:val="decimal"/>
      <w:lvlText w:val="Liite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9" w15:restartNumberingAfterBreak="0">
    <w:nsid w:val="5E1B7FD5"/>
    <w:multiLevelType w:val="hybridMultilevel"/>
    <w:tmpl w:val="AE048600"/>
    <w:lvl w:ilvl="0" w:tplc="040B0001">
      <w:start w:val="1"/>
      <w:numFmt w:val="bullet"/>
      <w:lvlText w:val=""/>
      <w:lvlJc w:val="left"/>
      <w:pPr>
        <w:ind w:left="2702" w:hanging="360"/>
      </w:pPr>
      <w:rPr>
        <w:rFonts w:ascii="Symbol" w:hAnsi="Symbol" w:hint="default"/>
      </w:rPr>
    </w:lvl>
    <w:lvl w:ilvl="1" w:tplc="040B0003" w:tentative="1">
      <w:start w:val="1"/>
      <w:numFmt w:val="bullet"/>
      <w:lvlText w:val="o"/>
      <w:lvlJc w:val="left"/>
      <w:pPr>
        <w:ind w:left="3422" w:hanging="360"/>
      </w:pPr>
      <w:rPr>
        <w:rFonts w:ascii="Courier New" w:hAnsi="Courier New" w:cs="Courier New" w:hint="default"/>
      </w:rPr>
    </w:lvl>
    <w:lvl w:ilvl="2" w:tplc="040B0005" w:tentative="1">
      <w:start w:val="1"/>
      <w:numFmt w:val="bullet"/>
      <w:lvlText w:val=""/>
      <w:lvlJc w:val="left"/>
      <w:pPr>
        <w:ind w:left="4142" w:hanging="360"/>
      </w:pPr>
      <w:rPr>
        <w:rFonts w:ascii="Wingdings" w:hAnsi="Wingdings" w:hint="default"/>
      </w:rPr>
    </w:lvl>
    <w:lvl w:ilvl="3" w:tplc="040B0001" w:tentative="1">
      <w:start w:val="1"/>
      <w:numFmt w:val="bullet"/>
      <w:lvlText w:val=""/>
      <w:lvlJc w:val="left"/>
      <w:pPr>
        <w:ind w:left="4862" w:hanging="360"/>
      </w:pPr>
      <w:rPr>
        <w:rFonts w:ascii="Symbol" w:hAnsi="Symbol" w:hint="default"/>
      </w:rPr>
    </w:lvl>
    <w:lvl w:ilvl="4" w:tplc="040B0003" w:tentative="1">
      <w:start w:val="1"/>
      <w:numFmt w:val="bullet"/>
      <w:lvlText w:val="o"/>
      <w:lvlJc w:val="left"/>
      <w:pPr>
        <w:ind w:left="5582" w:hanging="360"/>
      </w:pPr>
      <w:rPr>
        <w:rFonts w:ascii="Courier New" w:hAnsi="Courier New" w:cs="Courier New" w:hint="default"/>
      </w:rPr>
    </w:lvl>
    <w:lvl w:ilvl="5" w:tplc="040B0005" w:tentative="1">
      <w:start w:val="1"/>
      <w:numFmt w:val="bullet"/>
      <w:lvlText w:val=""/>
      <w:lvlJc w:val="left"/>
      <w:pPr>
        <w:ind w:left="6302" w:hanging="360"/>
      </w:pPr>
      <w:rPr>
        <w:rFonts w:ascii="Wingdings" w:hAnsi="Wingdings" w:hint="default"/>
      </w:rPr>
    </w:lvl>
    <w:lvl w:ilvl="6" w:tplc="040B0001" w:tentative="1">
      <w:start w:val="1"/>
      <w:numFmt w:val="bullet"/>
      <w:lvlText w:val=""/>
      <w:lvlJc w:val="left"/>
      <w:pPr>
        <w:ind w:left="7022" w:hanging="360"/>
      </w:pPr>
      <w:rPr>
        <w:rFonts w:ascii="Symbol" w:hAnsi="Symbol" w:hint="default"/>
      </w:rPr>
    </w:lvl>
    <w:lvl w:ilvl="7" w:tplc="040B0003" w:tentative="1">
      <w:start w:val="1"/>
      <w:numFmt w:val="bullet"/>
      <w:lvlText w:val="o"/>
      <w:lvlJc w:val="left"/>
      <w:pPr>
        <w:ind w:left="7742" w:hanging="360"/>
      </w:pPr>
      <w:rPr>
        <w:rFonts w:ascii="Courier New" w:hAnsi="Courier New" w:cs="Courier New" w:hint="default"/>
      </w:rPr>
    </w:lvl>
    <w:lvl w:ilvl="8" w:tplc="040B0005" w:tentative="1">
      <w:start w:val="1"/>
      <w:numFmt w:val="bullet"/>
      <w:lvlText w:val=""/>
      <w:lvlJc w:val="left"/>
      <w:pPr>
        <w:ind w:left="8462" w:hanging="360"/>
      </w:pPr>
      <w:rPr>
        <w:rFonts w:ascii="Wingdings" w:hAnsi="Wingdings" w:hint="default"/>
      </w:rPr>
    </w:lvl>
  </w:abstractNum>
  <w:abstractNum w:abstractNumId="30" w15:restartNumberingAfterBreak="0">
    <w:nsid w:val="601F439F"/>
    <w:multiLevelType w:val="hybridMultilevel"/>
    <w:tmpl w:val="EDAEECC4"/>
    <w:lvl w:ilvl="0" w:tplc="CED2F0D0">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31" w15:restartNumberingAfterBreak="0">
    <w:nsid w:val="61025C43"/>
    <w:multiLevelType w:val="multilevel"/>
    <w:tmpl w:val="F550B460"/>
    <w:lvl w:ilvl="0">
      <w:start w:val="1"/>
      <w:numFmt w:val="bullet"/>
      <w:lvlText w:val=""/>
      <w:lvlJc w:val="left"/>
      <w:pPr>
        <w:ind w:left="1494" w:hanging="360"/>
      </w:pPr>
      <w:rPr>
        <w:rFonts w:ascii="Symbol" w:hAnsi="Symbol"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574" w:hanging="360"/>
      </w:pPr>
      <w:rPr>
        <w:rFonts w:ascii="Symbol" w:hAnsi="Symbol" w:hint="default"/>
      </w:rPr>
    </w:lvl>
    <w:lvl w:ilvl="4">
      <w:start w:val="1"/>
      <w:numFmt w:val="bullet"/>
      <w:lvlText w:val=""/>
      <w:lvlJc w:val="left"/>
      <w:pPr>
        <w:ind w:left="2934" w:hanging="360"/>
      </w:pPr>
      <w:rPr>
        <w:rFonts w:ascii="Symbol" w:hAnsi="Symbol" w:hint="default"/>
      </w:rPr>
    </w:lvl>
    <w:lvl w:ilvl="5">
      <w:start w:val="1"/>
      <w:numFmt w:val="bullet"/>
      <w:lvlText w:val=""/>
      <w:lvlJc w:val="left"/>
      <w:pPr>
        <w:ind w:left="3294" w:hanging="360"/>
      </w:pPr>
      <w:rPr>
        <w:rFonts w:ascii="Wingdings" w:hAnsi="Wingdings" w:hint="default"/>
      </w:rPr>
    </w:lvl>
    <w:lvl w:ilvl="6">
      <w:start w:val="1"/>
      <w:numFmt w:val="bullet"/>
      <w:lvlText w:val=""/>
      <w:lvlJc w:val="left"/>
      <w:pPr>
        <w:ind w:left="3654" w:hanging="360"/>
      </w:pPr>
      <w:rPr>
        <w:rFonts w:ascii="Wingdings" w:hAnsi="Wingdings" w:hint="default"/>
      </w:rPr>
    </w:lvl>
    <w:lvl w:ilvl="7">
      <w:start w:val="1"/>
      <w:numFmt w:val="bullet"/>
      <w:lvlText w:val=""/>
      <w:lvlJc w:val="left"/>
      <w:pPr>
        <w:ind w:left="4014" w:hanging="360"/>
      </w:pPr>
      <w:rPr>
        <w:rFonts w:ascii="Symbol" w:hAnsi="Symbol" w:hint="default"/>
      </w:rPr>
    </w:lvl>
    <w:lvl w:ilvl="8">
      <w:start w:val="1"/>
      <w:numFmt w:val="bullet"/>
      <w:lvlText w:val=""/>
      <w:lvlJc w:val="left"/>
      <w:pPr>
        <w:ind w:left="4374" w:hanging="360"/>
      </w:pPr>
      <w:rPr>
        <w:rFonts w:ascii="Symbol" w:hAnsi="Symbol" w:hint="default"/>
      </w:rPr>
    </w:lvl>
  </w:abstractNum>
  <w:num w:numId="1" w16cid:durableId="1058356350">
    <w:abstractNumId w:val="23"/>
  </w:num>
  <w:num w:numId="2" w16cid:durableId="1569611426">
    <w:abstractNumId w:val="16"/>
  </w:num>
  <w:num w:numId="3" w16cid:durableId="1546411870">
    <w:abstractNumId w:val="9"/>
  </w:num>
  <w:num w:numId="4" w16cid:durableId="215745928">
    <w:abstractNumId w:val="7"/>
  </w:num>
  <w:num w:numId="5" w16cid:durableId="848644617">
    <w:abstractNumId w:val="6"/>
  </w:num>
  <w:num w:numId="6" w16cid:durableId="332340273">
    <w:abstractNumId w:val="5"/>
  </w:num>
  <w:num w:numId="7" w16cid:durableId="893468681">
    <w:abstractNumId w:val="4"/>
  </w:num>
  <w:num w:numId="8" w16cid:durableId="1922526473">
    <w:abstractNumId w:val="8"/>
  </w:num>
  <w:num w:numId="9" w16cid:durableId="531110013">
    <w:abstractNumId w:val="3"/>
  </w:num>
  <w:num w:numId="10" w16cid:durableId="1650668456">
    <w:abstractNumId w:val="2"/>
  </w:num>
  <w:num w:numId="11" w16cid:durableId="1471362190">
    <w:abstractNumId w:val="1"/>
  </w:num>
  <w:num w:numId="12" w16cid:durableId="241568572">
    <w:abstractNumId w:val="0"/>
  </w:num>
  <w:num w:numId="13" w16cid:durableId="754285331">
    <w:abstractNumId w:val="31"/>
  </w:num>
  <w:num w:numId="14" w16cid:durableId="1278412921">
    <w:abstractNumId w:val="29"/>
  </w:num>
  <w:num w:numId="15" w16cid:durableId="904532932">
    <w:abstractNumId w:val="16"/>
  </w:num>
  <w:num w:numId="16" w16cid:durableId="1674067442">
    <w:abstractNumId w:val="26"/>
  </w:num>
  <w:num w:numId="17" w16cid:durableId="929318904">
    <w:abstractNumId w:val="28"/>
  </w:num>
  <w:num w:numId="18" w16cid:durableId="1705713016">
    <w:abstractNumId w:val="22"/>
  </w:num>
  <w:num w:numId="19" w16cid:durableId="71513899">
    <w:abstractNumId w:val="20"/>
  </w:num>
  <w:num w:numId="20" w16cid:durableId="549340372">
    <w:abstractNumId w:val="17"/>
  </w:num>
  <w:num w:numId="21" w16cid:durableId="1302227258">
    <w:abstractNumId w:val="11"/>
  </w:num>
  <w:num w:numId="22" w16cid:durableId="920408836">
    <w:abstractNumId w:val="12"/>
  </w:num>
  <w:num w:numId="23" w16cid:durableId="1283733774">
    <w:abstractNumId w:val="15"/>
  </w:num>
  <w:num w:numId="24" w16cid:durableId="593515822">
    <w:abstractNumId w:val="18"/>
  </w:num>
  <w:num w:numId="25" w16cid:durableId="1413624878">
    <w:abstractNumId w:val="10"/>
  </w:num>
  <w:num w:numId="26" w16cid:durableId="1571765667">
    <w:abstractNumId w:val="30"/>
  </w:num>
  <w:num w:numId="27" w16cid:durableId="1356423485">
    <w:abstractNumId w:val="13"/>
  </w:num>
  <w:num w:numId="28" w16cid:durableId="1859729337">
    <w:abstractNumId w:val="24"/>
  </w:num>
  <w:num w:numId="29" w16cid:durableId="460656231">
    <w:abstractNumId w:val="21"/>
    <w:lvlOverride w:ilvl="0">
      <w:startOverride w:val="1"/>
    </w:lvlOverride>
  </w:num>
  <w:num w:numId="30" w16cid:durableId="596909344">
    <w:abstractNumId w:val="19"/>
  </w:num>
  <w:num w:numId="31" w16cid:durableId="1124805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0656385">
    <w:abstractNumId w:val="23"/>
  </w:num>
  <w:num w:numId="33" w16cid:durableId="2032297468">
    <w:abstractNumId w:val="23"/>
  </w:num>
  <w:num w:numId="34" w16cid:durableId="1495295257">
    <w:abstractNumId w:val="25"/>
  </w:num>
  <w:num w:numId="35" w16cid:durableId="709694757">
    <w:abstractNumId w:val="14"/>
  </w:num>
  <w:num w:numId="36" w16cid:durableId="19522731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A9"/>
    <w:rsid w:val="00000F0E"/>
    <w:rsid w:val="000036B4"/>
    <w:rsid w:val="000061B6"/>
    <w:rsid w:val="00007B27"/>
    <w:rsid w:val="00010AA4"/>
    <w:rsid w:val="00013AEB"/>
    <w:rsid w:val="00014225"/>
    <w:rsid w:val="00030B54"/>
    <w:rsid w:val="000369C0"/>
    <w:rsid w:val="000429A7"/>
    <w:rsid w:val="00050CC8"/>
    <w:rsid w:val="00057733"/>
    <w:rsid w:val="00064E7C"/>
    <w:rsid w:val="00071B49"/>
    <w:rsid w:val="000723E1"/>
    <w:rsid w:val="00072831"/>
    <w:rsid w:val="00075BF6"/>
    <w:rsid w:val="00076E02"/>
    <w:rsid w:val="000840CD"/>
    <w:rsid w:val="0008692A"/>
    <w:rsid w:val="00093E6D"/>
    <w:rsid w:val="000A1E04"/>
    <w:rsid w:val="000A7446"/>
    <w:rsid w:val="000B0690"/>
    <w:rsid w:val="000B1ED6"/>
    <w:rsid w:val="000B2E86"/>
    <w:rsid w:val="000B5E64"/>
    <w:rsid w:val="000B6F44"/>
    <w:rsid w:val="000B7572"/>
    <w:rsid w:val="000C4F7E"/>
    <w:rsid w:val="000C74AB"/>
    <w:rsid w:val="000D279D"/>
    <w:rsid w:val="000D397C"/>
    <w:rsid w:val="000D5516"/>
    <w:rsid w:val="000D7806"/>
    <w:rsid w:val="000D7C01"/>
    <w:rsid w:val="000F4D8F"/>
    <w:rsid w:val="000F4DF8"/>
    <w:rsid w:val="00100203"/>
    <w:rsid w:val="00101193"/>
    <w:rsid w:val="001047D2"/>
    <w:rsid w:val="00121BF2"/>
    <w:rsid w:val="00122DC6"/>
    <w:rsid w:val="001263AE"/>
    <w:rsid w:val="001277FA"/>
    <w:rsid w:val="00127E0F"/>
    <w:rsid w:val="00131706"/>
    <w:rsid w:val="00135E93"/>
    <w:rsid w:val="00136363"/>
    <w:rsid w:val="00136442"/>
    <w:rsid w:val="0014017D"/>
    <w:rsid w:val="00146FBD"/>
    <w:rsid w:val="00151C1A"/>
    <w:rsid w:val="00154442"/>
    <w:rsid w:val="00156931"/>
    <w:rsid w:val="00172FA8"/>
    <w:rsid w:val="00183AA4"/>
    <w:rsid w:val="00184016"/>
    <w:rsid w:val="00187EA1"/>
    <w:rsid w:val="00191F95"/>
    <w:rsid w:val="001A34DC"/>
    <w:rsid w:val="001A3DDA"/>
    <w:rsid w:val="001B3A06"/>
    <w:rsid w:val="001B3D26"/>
    <w:rsid w:val="001B5A67"/>
    <w:rsid w:val="001B700A"/>
    <w:rsid w:val="001B7139"/>
    <w:rsid w:val="001C2A0F"/>
    <w:rsid w:val="001C3B85"/>
    <w:rsid w:val="001C5940"/>
    <w:rsid w:val="001C6E1F"/>
    <w:rsid w:val="001D2DA4"/>
    <w:rsid w:val="001D47A5"/>
    <w:rsid w:val="001E155D"/>
    <w:rsid w:val="001E6905"/>
    <w:rsid w:val="001F496D"/>
    <w:rsid w:val="001F4EA9"/>
    <w:rsid w:val="001F5F1E"/>
    <w:rsid w:val="0021220D"/>
    <w:rsid w:val="0021376B"/>
    <w:rsid w:val="0021377D"/>
    <w:rsid w:val="00226CD0"/>
    <w:rsid w:val="00227E1B"/>
    <w:rsid w:val="00234902"/>
    <w:rsid w:val="00237B4E"/>
    <w:rsid w:val="00240B2E"/>
    <w:rsid w:val="00243DB0"/>
    <w:rsid w:val="00250C38"/>
    <w:rsid w:val="00250C67"/>
    <w:rsid w:val="002519F0"/>
    <w:rsid w:val="00253527"/>
    <w:rsid w:val="002535A9"/>
    <w:rsid w:val="0025433C"/>
    <w:rsid w:val="002561B1"/>
    <w:rsid w:val="00256CE9"/>
    <w:rsid w:val="00264FBD"/>
    <w:rsid w:val="00270DE2"/>
    <w:rsid w:val="00271646"/>
    <w:rsid w:val="00272344"/>
    <w:rsid w:val="00274D74"/>
    <w:rsid w:val="00274FD9"/>
    <w:rsid w:val="0027620E"/>
    <w:rsid w:val="00281E7B"/>
    <w:rsid w:val="00292F4C"/>
    <w:rsid w:val="002948EA"/>
    <w:rsid w:val="002A1CE8"/>
    <w:rsid w:val="002A3FA9"/>
    <w:rsid w:val="002A5D75"/>
    <w:rsid w:val="002A6D06"/>
    <w:rsid w:val="002A74E9"/>
    <w:rsid w:val="002B0963"/>
    <w:rsid w:val="002B186A"/>
    <w:rsid w:val="002B7972"/>
    <w:rsid w:val="002C3FBE"/>
    <w:rsid w:val="002C491E"/>
    <w:rsid w:val="002D059A"/>
    <w:rsid w:val="002D338F"/>
    <w:rsid w:val="002D39C4"/>
    <w:rsid w:val="002E304A"/>
    <w:rsid w:val="002E367F"/>
    <w:rsid w:val="002E53B7"/>
    <w:rsid w:val="002F452E"/>
    <w:rsid w:val="002F6451"/>
    <w:rsid w:val="002F6DB4"/>
    <w:rsid w:val="002F745A"/>
    <w:rsid w:val="00302B9D"/>
    <w:rsid w:val="00302C4C"/>
    <w:rsid w:val="0030460E"/>
    <w:rsid w:val="00312B25"/>
    <w:rsid w:val="00320D0E"/>
    <w:rsid w:val="00322BEC"/>
    <w:rsid w:val="003260DA"/>
    <w:rsid w:val="003264D0"/>
    <w:rsid w:val="00327422"/>
    <w:rsid w:val="003331E7"/>
    <w:rsid w:val="003418C1"/>
    <w:rsid w:val="00342095"/>
    <w:rsid w:val="00342297"/>
    <w:rsid w:val="00346367"/>
    <w:rsid w:val="003531B4"/>
    <w:rsid w:val="00357DB7"/>
    <w:rsid w:val="00361882"/>
    <w:rsid w:val="00367382"/>
    <w:rsid w:val="00367B20"/>
    <w:rsid w:val="00373977"/>
    <w:rsid w:val="003749F1"/>
    <w:rsid w:val="00376954"/>
    <w:rsid w:val="00382E3E"/>
    <w:rsid w:val="003850C3"/>
    <w:rsid w:val="00386C3A"/>
    <w:rsid w:val="003A0401"/>
    <w:rsid w:val="003A0EA8"/>
    <w:rsid w:val="003B6173"/>
    <w:rsid w:val="003C023B"/>
    <w:rsid w:val="003C2E91"/>
    <w:rsid w:val="003C3125"/>
    <w:rsid w:val="003C5F3C"/>
    <w:rsid w:val="003C6572"/>
    <w:rsid w:val="003C769A"/>
    <w:rsid w:val="003C76C3"/>
    <w:rsid w:val="003D1B81"/>
    <w:rsid w:val="003D4CDC"/>
    <w:rsid w:val="003D6580"/>
    <w:rsid w:val="003F669E"/>
    <w:rsid w:val="0040546B"/>
    <w:rsid w:val="004113E7"/>
    <w:rsid w:val="00413988"/>
    <w:rsid w:val="00415CDB"/>
    <w:rsid w:val="004214F8"/>
    <w:rsid w:val="00423466"/>
    <w:rsid w:val="00423FA7"/>
    <w:rsid w:val="00425E5A"/>
    <w:rsid w:val="00426F38"/>
    <w:rsid w:val="004401FD"/>
    <w:rsid w:val="00444A71"/>
    <w:rsid w:val="0045290D"/>
    <w:rsid w:val="004613B3"/>
    <w:rsid w:val="004615BC"/>
    <w:rsid w:val="0046186B"/>
    <w:rsid w:val="00470170"/>
    <w:rsid w:val="00471C01"/>
    <w:rsid w:val="00484ED6"/>
    <w:rsid w:val="00486C15"/>
    <w:rsid w:val="00491E0F"/>
    <w:rsid w:val="004B0AC0"/>
    <w:rsid w:val="004B2759"/>
    <w:rsid w:val="004B72CC"/>
    <w:rsid w:val="004B79D0"/>
    <w:rsid w:val="004C45A1"/>
    <w:rsid w:val="004D36AA"/>
    <w:rsid w:val="004D6E61"/>
    <w:rsid w:val="004E01F1"/>
    <w:rsid w:val="004E1C7B"/>
    <w:rsid w:val="004E23E8"/>
    <w:rsid w:val="004E2FD2"/>
    <w:rsid w:val="004E43BB"/>
    <w:rsid w:val="004E5904"/>
    <w:rsid w:val="004F00BB"/>
    <w:rsid w:val="004F132E"/>
    <w:rsid w:val="004F1FFD"/>
    <w:rsid w:val="0050058D"/>
    <w:rsid w:val="005025B0"/>
    <w:rsid w:val="00504640"/>
    <w:rsid w:val="005076EE"/>
    <w:rsid w:val="00514726"/>
    <w:rsid w:val="00516C9A"/>
    <w:rsid w:val="005177C1"/>
    <w:rsid w:val="00527426"/>
    <w:rsid w:val="005335F4"/>
    <w:rsid w:val="005418C6"/>
    <w:rsid w:val="00541A75"/>
    <w:rsid w:val="00545D22"/>
    <w:rsid w:val="00550147"/>
    <w:rsid w:val="005608CC"/>
    <w:rsid w:val="00563C22"/>
    <w:rsid w:val="0056458C"/>
    <w:rsid w:val="005662BD"/>
    <w:rsid w:val="00574633"/>
    <w:rsid w:val="00580FEA"/>
    <w:rsid w:val="00582FCF"/>
    <w:rsid w:val="00586737"/>
    <w:rsid w:val="00594A1C"/>
    <w:rsid w:val="00595343"/>
    <w:rsid w:val="00596063"/>
    <w:rsid w:val="005A32E0"/>
    <w:rsid w:val="005A53A8"/>
    <w:rsid w:val="005A6497"/>
    <w:rsid w:val="005A6857"/>
    <w:rsid w:val="005A69D5"/>
    <w:rsid w:val="005A79AF"/>
    <w:rsid w:val="005B3B59"/>
    <w:rsid w:val="005B4609"/>
    <w:rsid w:val="005B4D00"/>
    <w:rsid w:val="005B4D36"/>
    <w:rsid w:val="005C1817"/>
    <w:rsid w:val="005C209E"/>
    <w:rsid w:val="005D016C"/>
    <w:rsid w:val="005D1106"/>
    <w:rsid w:val="005D12A7"/>
    <w:rsid w:val="005D1A2B"/>
    <w:rsid w:val="005D1B80"/>
    <w:rsid w:val="005D35C5"/>
    <w:rsid w:val="005D4B8F"/>
    <w:rsid w:val="005D55F9"/>
    <w:rsid w:val="005D7469"/>
    <w:rsid w:val="005E3D0C"/>
    <w:rsid w:val="005E4BD5"/>
    <w:rsid w:val="005E549A"/>
    <w:rsid w:val="005E6690"/>
    <w:rsid w:val="005F2407"/>
    <w:rsid w:val="005F5A46"/>
    <w:rsid w:val="005F5FA6"/>
    <w:rsid w:val="00602439"/>
    <w:rsid w:val="006102F5"/>
    <w:rsid w:val="00610C2B"/>
    <w:rsid w:val="00612976"/>
    <w:rsid w:val="00614EB5"/>
    <w:rsid w:val="0061536C"/>
    <w:rsid w:val="0061604B"/>
    <w:rsid w:val="0062085E"/>
    <w:rsid w:val="00620AD8"/>
    <w:rsid w:val="00623B6F"/>
    <w:rsid w:val="0062496A"/>
    <w:rsid w:val="00626C8B"/>
    <w:rsid w:val="0062719C"/>
    <w:rsid w:val="00633549"/>
    <w:rsid w:val="00634EC2"/>
    <w:rsid w:val="0063704D"/>
    <w:rsid w:val="006410E1"/>
    <w:rsid w:val="00646154"/>
    <w:rsid w:val="00646AC4"/>
    <w:rsid w:val="00650E61"/>
    <w:rsid w:val="00651ABD"/>
    <w:rsid w:val="00652EFB"/>
    <w:rsid w:val="0065574A"/>
    <w:rsid w:val="006569B5"/>
    <w:rsid w:val="00661EA7"/>
    <w:rsid w:val="006728BE"/>
    <w:rsid w:val="006801C8"/>
    <w:rsid w:val="00682344"/>
    <w:rsid w:val="006862DE"/>
    <w:rsid w:val="0068703D"/>
    <w:rsid w:val="006919E4"/>
    <w:rsid w:val="00693FC6"/>
    <w:rsid w:val="00694FFF"/>
    <w:rsid w:val="006A609B"/>
    <w:rsid w:val="006A6E2C"/>
    <w:rsid w:val="006B6BDF"/>
    <w:rsid w:val="006C01C9"/>
    <w:rsid w:val="006C0976"/>
    <w:rsid w:val="006C1436"/>
    <w:rsid w:val="006C5F64"/>
    <w:rsid w:val="006D04DD"/>
    <w:rsid w:val="006D0DF1"/>
    <w:rsid w:val="006D36B1"/>
    <w:rsid w:val="006D5668"/>
    <w:rsid w:val="006D5AFF"/>
    <w:rsid w:val="006D6D9A"/>
    <w:rsid w:val="006E041A"/>
    <w:rsid w:val="006E3055"/>
    <w:rsid w:val="006E6BF1"/>
    <w:rsid w:val="006E7EE1"/>
    <w:rsid w:val="006F11DA"/>
    <w:rsid w:val="006F1D9E"/>
    <w:rsid w:val="006F6774"/>
    <w:rsid w:val="006F7E2F"/>
    <w:rsid w:val="00701539"/>
    <w:rsid w:val="0070300E"/>
    <w:rsid w:val="00706B24"/>
    <w:rsid w:val="00707D96"/>
    <w:rsid w:val="00710F0B"/>
    <w:rsid w:val="007132AB"/>
    <w:rsid w:val="00722750"/>
    <w:rsid w:val="007229B4"/>
    <w:rsid w:val="00725023"/>
    <w:rsid w:val="00725751"/>
    <w:rsid w:val="00727CD6"/>
    <w:rsid w:val="007328A5"/>
    <w:rsid w:val="00733B72"/>
    <w:rsid w:val="00740D28"/>
    <w:rsid w:val="00745BD3"/>
    <w:rsid w:val="00760E3F"/>
    <w:rsid w:val="00762B37"/>
    <w:rsid w:val="007655AC"/>
    <w:rsid w:val="00765836"/>
    <w:rsid w:val="00767E10"/>
    <w:rsid w:val="00774F0F"/>
    <w:rsid w:val="00780AE1"/>
    <w:rsid w:val="00782705"/>
    <w:rsid w:val="00784D65"/>
    <w:rsid w:val="00785999"/>
    <w:rsid w:val="00785C95"/>
    <w:rsid w:val="00785F7A"/>
    <w:rsid w:val="0078714F"/>
    <w:rsid w:val="00791190"/>
    <w:rsid w:val="0079337D"/>
    <w:rsid w:val="0079432B"/>
    <w:rsid w:val="00796064"/>
    <w:rsid w:val="007A3ADB"/>
    <w:rsid w:val="007B196E"/>
    <w:rsid w:val="007B3A69"/>
    <w:rsid w:val="007B7926"/>
    <w:rsid w:val="007B7DCA"/>
    <w:rsid w:val="007C1095"/>
    <w:rsid w:val="007D2BF7"/>
    <w:rsid w:val="007E1100"/>
    <w:rsid w:val="007E6846"/>
    <w:rsid w:val="007E71B3"/>
    <w:rsid w:val="007F28FF"/>
    <w:rsid w:val="007F319A"/>
    <w:rsid w:val="007F5F7F"/>
    <w:rsid w:val="00800A79"/>
    <w:rsid w:val="00801CC5"/>
    <w:rsid w:val="00802AAB"/>
    <w:rsid w:val="00802F1C"/>
    <w:rsid w:val="00811E06"/>
    <w:rsid w:val="008224D7"/>
    <w:rsid w:val="00824B21"/>
    <w:rsid w:val="00825E27"/>
    <w:rsid w:val="008268D0"/>
    <w:rsid w:val="00827135"/>
    <w:rsid w:val="00831D68"/>
    <w:rsid w:val="0083592E"/>
    <w:rsid w:val="00835FB2"/>
    <w:rsid w:val="008451EC"/>
    <w:rsid w:val="0084615D"/>
    <w:rsid w:val="0084625E"/>
    <w:rsid w:val="008476BF"/>
    <w:rsid w:val="008522A5"/>
    <w:rsid w:val="008524A5"/>
    <w:rsid w:val="008628EA"/>
    <w:rsid w:val="00862E47"/>
    <w:rsid w:val="00864197"/>
    <w:rsid w:val="00873774"/>
    <w:rsid w:val="008820E2"/>
    <w:rsid w:val="008833C6"/>
    <w:rsid w:val="008909CE"/>
    <w:rsid w:val="00891E07"/>
    <w:rsid w:val="00892F1A"/>
    <w:rsid w:val="00893A45"/>
    <w:rsid w:val="00894279"/>
    <w:rsid w:val="008962E2"/>
    <w:rsid w:val="008A003E"/>
    <w:rsid w:val="008A1881"/>
    <w:rsid w:val="008A31CC"/>
    <w:rsid w:val="008A7658"/>
    <w:rsid w:val="008B1443"/>
    <w:rsid w:val="008B250E"/>
    <w:rsid w:val="008B3A2A"/>
    <w:rsid w:val="008B49DA"/>
    <w:rsid w:val="008B68BE"/>
    <w:rsid w:val="008B761A"/>
    <w:rsid w:val="008C258A"/>
    <w:rsid w:val="008C5082"/>
    <w:rsid w:val="008D54F4"/>
    <w:rsid w:val="008E34D1"/>
    <w:rsid w:val="008E4CEA"/>
    <w:rsid w:val="008E52BC"/>
    <w:rsid w:val="008E56AD"/>
    <w:rsid w:val="008F0045"/>
    <w:rsid w:val="008F1700"/>
    <w:rsid w:val="00900E21"/>
    <w:rsid w:val="00903477"/>
    <w:rsid w:val="00903BAB"/>
    <w:rsid w:val="00907D74"/>
    <w:rsid w:val="00911681"/>
    <w:rsid w:val="009124A8"/>
    <w:rsid w:val="00913805"/>
    <w:rsid w:val="0091382F"/>
    <w:rsid w:val="00913BC3"/>
    <w:rsid w:val="009173F4"/>
    <w:rsid w:val="00917B06"/>
    <w:rsid w:val="009200A6"/>
    <w:rsid w:val="00921B7A"/>
    <w:rsid w:val="00922304"/>
    <w:rsid w:val="0092590C"/>
    <w:rsid w:val="009269FA"/>
    <w:rsid w:val="00931934"/>
    <w:rsid w:val="009326E6"/>
    <w:rsid w:val="0094067E"/>
    <w:rsid w:val="00942CD6"/>
    <w:rsid w:val="00946EE8"/>
    <w:rsid w:val="009520D8"/>
    <w:rsid w:val="00952650"/>
    <w:rsid w:val="00952F54"/>
    <w:rsid w:val="00953B8C"/>
    <w:rsid w:val="00954A4A"/>
    <w:rsid w:val="009626D9"/>
    <w:rsid w:val="00975522"/>
    <w:rsid w:val="0097653F"/>
    <w:rsid w:val="009851AC"/>
    <w:rsid w:val="009919B8"/>
    <w:rsid w:val="0099325C"/>
    <w:rsid w:val="00993CC4"/>
    <w:rsid w:val="00995BE6"/>
    <w:rsid w:val="009A1022"/>
    <w:rsid w:val="009A26D6"/>
    <w:rsid w:val="009A3289"/>
    <w:rsid w:val="009A7A61"/>
    <w:rsid w:val="009B0094"/>
    <w:rsid w:val="009B0A91"/>
    <w:rsid w:val="009B3AE8"/>
    <w:rsid w:val="009C0141"/>
    <w:rsid w:val="009C0499"/>
    <w:rsid w:val="009C0BE9"/>
    <w:rsid w:val="009C28DA"/>
    <w:rsid w:val="009C44E1"/>
    <w:rsid w:val="009C51D5"/>
    <w:rsid w:val="009C5880"/>
    <w:rsid w:val="009C744F"/>
    <w:rsid w:val="009C7733"/>
    <w:rsid w:val="009C7F87"/>
    <w:rsid w:val="009D0431"/>
    <w:rsid w:val="009E22DE"/>
    <w:rsid w:val="009E3CD0"/>
    <w:rsid w:val="009E48B4"/>
    <w:rsid w:val="009F1C86"/>
    <w:rsid w:val="009F1F89"/>
    <w:rsid w:val="009F6501"/>
    <w:rsid w:val="009F7641"/>
    <w:rsid w:val="00A0399E"/>
    <w:rsid w:val="00A04ABE"/>
    <w:rsid w:val="00A05FE9"/>
    <w:rsid w:val="00A0689B"/>
    <w:rsid w:val="00A15911"/>
    <w:rsid w:val="00A20326"/>
    <w:rsid w:val="00A204DE"/>
    <w:rsid w:val="00A320A8"/>
    <w:rsid w:val="00A4117F"/>
    <w:rsid w:val="00A42962"/>
    <w:rsid w:val="00A47934"/>
    <w:rsid w:val="00A53761"/>
    <w:rsid w:val="00A55677"/>
    <w:rsid w:val="00A55C33"/>
    <w:rsid w:val="00A56616"/>
    <w:rsid w:val="00A63542"/>
    <w:rsid w:val="00A720FE"/>
    <w:rsid w:val="00A7590C"/>
    <w:rsid w:val="00A80520"/>
    <w:rsid w:val="00A80C5E"/>
    <w:rsid w:val="00A8124A"/>
    <w:rsid w:val="00A83CB4"/>
    <w:rsid w:val="00A84964"/>
    <w:rsid w:val="00A86EAF"/>
    <w:rsid w:val="00A92417"/>
    <w:rsid w:val="00A92544"/>
    <w:rsid w:val="00A93B23"/>
    <w:rsid w:val="00A96646"/>
    <w:rsid w:val="00A9752D"/>
    <w:rsid w:val="00AA1964"/>
    <w:rsid w:val="00AB1593"/>
    <w:rsid w:val="00AC02A0"/>
    <w:rsid w:val="00AC10BB"/>
    <w:rsid w:val="00AC1AF1"/>
    <w:rsid w:val="00AC21C3"/>
    <w:rsid w:val="00AC3C67"/>
    <w:rsid w:val="00AC74FA"/>
    <w:rsid w:val="00AC75FF"/>
    <w:rsid w:val="00AD70E0"/>
    <w:rsid w:val="00AD7886"/>
    <w:rsid w:val="00AE0D0F"/>
    <w:rsid w:val="00AF3E9A"/>
    <w:rsid w:val="00AF79BA"/>
    <w:rsid w:val="00B0207F"/>
    <w:rsid w:val="00B023B7"/>
    <w:rsid w:val="00B02E88"/>
    <w:rsid w:val="00B05BD9"/>
    <w:rsid w:val="00B10B68"/>
    <w:rsid w:val="00B204D1"/>
    <w:rsid w:val="00B242CB"/>
    <w:rsid w:val="00B25D8E"/>
    <w:rsid w:val="00B261A0"/>
    <w:rsid w:val="00B31435"/>
    <w:rsid w:val="00B31ED1"/>
    <w:rsid w:val="00B3222E"/>
    <w:rsid w:val="00B329EB"/>
    <w:rsid w:val="00B357E0"/>
    <w:rsid w:val="00B37887"/>
    <w:rsid w:val="00B403F3"/>
    <w:rsid w:val="00B41A0E"/>
    <w:rsid w:val="00B433B8"/>
    <w:rsid w:val="00B459AE"/>
    <w:rsid w:val="00B45E0E"/>
    <w:rsid w:val="00B50B7F"/>
    <w:rsid w:val="00B571C1"/>
    <w:rsid w:val="00B632F6"/>
    <w:rsid w:val="00B66871"/>
    <w:rsid w:val="00B8059A"/>
    <w:rsid w:val="00B80FA0"/>
    <w:rsid w:val="00B81C4D"/>
    <w:rsid w:val="00B81E36"/>
    <w:rsid w:val="00B852F4"/>
    <w:rsid w:val="00B911CF"/>
    <w:rsid w:val="00B96242"/>
    <w:rsid w:val="00B96821"/>
    <w:rsid w:val="00BA081B"/>
    <w:rsid w:val="00BA2831"/>
    <w:rsid w:val="00BA35A4"/>
    <w:rsid w:val="00BA5FBF"/>
    <w:rsid w:val="00BC4E91"/>
    <w:rsid w:val="00BC70BC"/>
    <w:rsid w:val="00BC7ACB"/>
    <w:rsid w:val="00BD323B"/>
    <w:rsid w:val="00BD46AD"/>
    <w:rsid w:val="00BD4C72"/>
    <w:rsid w:val="00BE1F9F"/>
    <w:rsid w:val="00BE2AE8"/>
    <w:rsid w:val="00BE77BB"/>
    <w:rsid w:val="00BE7E2C"/>
    <w:rsid w:val="00BF06E2"/>
    <w:rsid w:val="00BF1857"/>
    <w:rsid w:val="00BF1E97"/>
    <w:rsid w:val="00BF42FB"/>
    <w:rsid w:val="00BF452B"/>
    <w:rsid w:val="00C14D50"/>
    <w:rsid w:val="00C20947"/>
    <w:rsid w:val="00C228F6"/>
    <w:rsid w:val="00C22DB9"/>
    <w:rsid w:val="00C270E4"/>
    <w:rsid w:val="00C32C28"/>
    <w:rsid w:val="00C331F5"/>
    <w:rsid w:val="00C40339"/>
    <w:rsid w:val="00C418CB"/>
    <w:rsid w:val="00C41A63"/>
    <w:rsid w:val="00C45E60"/>
    <w:rsid w:val="00C516DE"/>
    <w:rsid w:val="00C551DF"/>
    <w:rsid w:val="00C564DC"/>
    <w:rsid w:val="00C56E1D"/>
    <w:rsid w:val="00C679D5"/>
    <w:rsid w:val="00C73C57"/>
    <w:rsid w:val="00C77806"/>
    <w:rsid w:val="00C80B50"/>
    <w:rsid w:val="00C97D05"/>
    <w:rsid w:val="00CA0952"/>
    <w:rsid w:val="00CA0DCC"/>
    <w:rsid w:val="00CA13C1"/>
    <w:rsid w:val="00CA2BFF"/>
    <w:rsid w:val="00CA686C"/>
    <w:rsid w:val="00CA6E6F"/>
    <w:rsid w:val="00CC1FE2"/>
    <w:rsid w:val="00CC5198"/>
    <w:rsid w:val="00CC7512"/>
    <w:rsid w:val="00CD10C3"/>
    <w:rsid w:val="00CD1F80"/>
    <w:rsid w:val="00CD2484"/>
    <w:rsid w:val="00CD24E7"/>
    <w:rsid w:val="00CF0295"/>
    <w:rsid w:val="00CF70E7"/>
    <w:rsid w:val="00D023DF"/>
    <w:rsid w:val="00D046C3"/>
    <w:rsid w:val="00D05872"/>
    <w:rsid w:val="00D068E7"/>
    <w:rsid w:val="00D0722C"/>
    <w:rsid w:val="00D1098F"/>
    <w:rsid w:val="00D150D4"/>
    <w:rsid w:val="00D2536E"/>
    <w:rsid w:val="00D258B8"/>
    <w:rsid w:val="00D25CEE"/>
    <w:rsid w:val="00D30D56"/>
    <w:rsid w:val="00D32EE1"/>
    <w:rsid w:val="00D356FB"/>
    <w:rsid w:val="00D35C5F"/>
    <w:rsid w:val="00D419E1"/>
    <w:rsid w:val="00D44777"/>
    <w:rsid w:val="00D44CBA"/>
    <w:rsid w:val="00D45041"/>
    <w:rsid w:val="00D504EC"/>
    <w:rsid w:val="00D5088F"/>
    <w:rsid w:val="00D50FF4"/>
    <w:rsid w:val="00D55D29"/>
    <w:rsid w:val="00D6135C"/>
    <w:rsid w:val="00D628F8"/>
    <w:rsid w:val="00D62B5B"/>
    <w:rsid w:val="00D640D8"/>
    <w:rsid w:val="00D65C04"/>
    <w:rsid w:val="00D66D42"/>
    <w:rsid w:val="00D709D7"/>
    <w:rsid w:val="00D75BDD"/>
    <w:rsid w:val="00D765C2"/>
    <w:rsid w:val="00D77243"/>
    <w:rsid w:val="00D875A7"/>
    <w:rsid w:val="00D90C4A"/>
    <w:rsid w:val="00D91289"/>
    <w:rsid w:val="00D9383A"/>
    <w:rsid w:val="00D93A51"/>
    <w:rsid w:val="00D94C53"/>
    <w:rsid w:val="00DB24E1"/>
    <w:rsid w:val="00DB68FE"/>
    <w:rsid w:val="00DC1DC8"/>
    <w:rsid w:val="00DC1F27"/>
    <w:rsid w:val="00DC3497"/>
    <w:rsid w:val="00DC5F88"/>
    <w:rsid w:val="00DD054E"/>
    <w:rsid w:val="00DD1B38"/>
    <w:rsid w:val="00DD7617"/>
    <w:rsid w:val="00DD7BAC"/>
    <w:rsid w:val="00DE09FE"/>
    <w:rsid w:val="00DE0ADB"/>
    <w:rsid w:val="00DE2B4B"/>
    <w:rsid w:val="00DE2E30"/>
    <w:rsid w:val="00DE5915"/>
    <w:rsid w:val="00DF25C7"/>
    <w:rsid w:val="00DF67D0"/>
    <w:rsid w:val="00E03BA0"/>
    <w:rsid w:val="00E04CC1"/>
    <w:rsid w:val="00E067F2"/>
    <w:rsid w:val="00E1101E"/>
    <w:rsid w:val="00E2066A"/>
    <w:rsid w:val="00E21E9E"/>
    <w:rsid w:val="00E22C60"/>
    <w:rsid w:val="00E22EFD"/>
    <w:rsid w:val="00E2317F"/>
    <w:rsid w:val="00E27588"/>
    <w:rsid w:val="00E30481"/>
    <w:rsid w:val="00E36596"/>
    <w:rsid w:val="00E4716A"/>
    <w:rsid w:val="00E50173"/>
    <w:rsid w:val="00E54DF3"/>
    <w:rsid w:val="00E578A9"/>
    <w:rsid w:val="00E62501"/>
    <w:rsid w:val="00E70630"/>
    <w:rsid w:val="00E75482"/>
    <w:rsid w:val="00E808E0"/>
    <w:rsid w:val="00E8760C"/>
    <w:rsid w:val="00E91156"/>
    <w:rsid w:val="00E912F1"/>
    <w:rsid w:val="00E92434"/>
    <w:rsid w:val="00E93AA4"/>
    <w:rsid w:val="00EA0B80"/>
    <w:rsid w:val="00EA0DE7"/>
    <w:rsid w:val="00EA2C84"/>
    <w:rsid w:val="00EC0160"/>
    <w:rsid w:val="00EC03BE"/>
    <w:rsid w:val="00EC0C3C"/>
    <w:rsid w:val="00EC4A58"/>
    <w:rsid w:val="00EC4B50"/>
    <w:rsid w:val="00ED0E56"/>
    <w:rsid w:val="00ED524D"/>
    <w:rsid w:val="00ED7BEC"/>
    <w:rsid w:val="00EE11BB"/>
    <w:rsid w:val="00EE15D0"/>
    <w:rsid w:val="00EE4A2D"/>
    <w:rsid w:val="00EE50BC"/>
    <w:rsid w:val="00F03669"/>
    <w:rsid w:val="00F03F6F"/>
    <w:rsid w:val="00F10304"/>
    <w:rsid w:val="00F10767"/>
    <w:rsid w:val="00F15111"/>
    <w:rsid w:val="00F16315"/>
    <w:rsid w:val="00F16D8D"/>
    <w:rsid w:val="00F21AC9"/>
    <w:rsid w:val="00F21BCF"/>
    <w:rsid w:val="00F23F62"/>
    <w:rsid w:val="00F26D69"/>
    <w:rsid w:val="00F40F33"/>
    <w:rsid w:val="00F41D3F"/>
    <w:rsid w:val="00F434FF"/>
    <w:rsid w:val="00F448C0"/>
    <w:rsid w:val="00F46D56"/>
    <w:rsid w:val="00F471FB"/>
    <w:rsid w:val="00F500CF"/>
    <w:rsid w:val="00F5064E"/>
    <w:rsid w:val="00F56B84"/>
    <w:rsid w:val="00F60C7D"/>
    <w:rsid w:val="00F62D16"/>
    <w:rsid w:val="00F6531E"/>
    <w:rsid w:val="00F654F7"/>
    <w:rsid w:val="00F65A42"/>
    <w:rsid w:val="00F6791E"/>
    <w:rsid w:val="00F75BC4"/>
    <w:rsid w:val="00F779A8"/>
    <w:rsid w:val="00F81EEF"/>
    <w:rsid w:val="00F84C28"/>
    <w:rsid w:val="00F85844"/>
    <w:rsid w:val="00F86EE3"/>
    <w:rsid w:val="00F87FFC"/>
    <w:rsid w:val="00F92942"/>
    <w:rsid w:val="00FA160F"/>
    <w:rsid w:val="00FA335C"/>
    <w:rsid w:val="00FA6C1E"/>
    <w:rsid w:val="00FA7034"/>
    <w:rsid w:val="00FB2C68"/>
    <w:rsid w:val="00FB3455"/>
    <w:rsid w:val="00FB49F2"/>
    <w:rsid w:val="00FB56CC"/>
    <w:rsid w:val="00FC602F"/>
    <w:rsid w:val="00FD50C9"/>
    <w:rsid w:val="00FD5A76"/>
    <w:rsid w:val="00FD5C0B"/>
    <w:rsid w:val="00FD653E"/>
    <w:rsid w:val="00FD76DB"/>
    <w:rsid w:val="00FD7C3A"/>
    <w:rsid w:val="00FE0948"/>
    <w:rsid w:val="00FE4006"/>
    <w:rsid w:val="00FE44B9"/>
    <w:rsid w:val="00FE540C"/>
    <w:rsid w:val="00FE6A31"/>
    <w:rsid w:val="00FF02A3"/>
    <w:rsid w:val="00FF0E4D"/>
    <w:rsid w:val="00FF1FD4"/>
    <w:rsid w:val="00FF25B6"/>
    <w:rsid w:val="00FF736C"/>
    <w:rsid w:val="1B24A6C9"/>
    <w:rsid w:val="1F182B19"/>
    <w:rsid w:val="2E64C6EB"/>
    <w:rsid w:val="35F822E3"/>
    <w:rsid w:val="39EFCA80"/>
    <w:rsid w:val="3E9B364F"/>
    <w:rsid w:val="45722854"/>
    <w:rsid w:val="4576A9CD"/>
    <w:rsid w:val="5803D006"/>
    <w:rsid w:val="5BBB79DD"/>
    <w:rsid w:val="60385398"/>
    <w:rsid w:val="650F2F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50CC"/>
  <w15:chartTrackingRefBased/>
  <w15:docId w15:val="{2005F5A2-CAC6-40A3-9AA3-3A7F2296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7C"/>
    <w:rPr>
      <w:rFonts w:ascii="Verdana" w:hAnsi="Verdana"/>
      <w:sz w:val="20"/>
    </w:rPr>
  </w:style>
  <w:style w:type="paragraph" w:styleId="Heading1">
    <w:name w:val="heading 1"/>
    <w:next w:val="BodyText"/>
    <w:link w:val="Heading1Char"/>
    <w:qFormat/>
    <w:rsid w:val="00D9383A"/>
    <w:pPr>
      <w:keepNext/>
      <w:numPr>
        <w:numId w:val="1"/>
      </w:numPr>
      <w:tabs>
        <w:tab w:val="clear" w:pos="742"/>
        <w:tab w:val="num" w:pos="567"/>
      </w:tabs>
      <w:spacing w:after="240" w:line="240" w:lineRule="auto"/>
      <w:ind w:left="567" w:hanging="567"/>
      <w:outlineLvl w:val="0"/>
    </w:pPr>
    <w:rPr>
      <w:rFonts w:ascii="Verdana" w:eastAsia="Times New Roman" w:hAnsi="Verdana" w:cs="Arial"/>
      <w:b/>
      <w:bCs/>
      <w:kern w:val="32"/>
      <w:sz w:val="24"/>
      <w:szCs w:val="32"/>
      <w:lang w:eastAsia="fi-FI"/>
    </w:rPr>
  </w:style>
  <w:style w:type="paragraph" w:styleId="Heading2">
    <w:name w:val="heading 2"/>
    <w:next w:val="BodyText"/>
    <w:link w:val="Heading2Char"/>
    <w:qFormat/>
    <w:rsid w:val="00AF3E9A"/>
    <w:pPr>
      <w:keepNext/>
      <w:numPr>
        <w:ilvl w:val="1"/>
        <w:numId w:val="1"/>
      </w:numPr>
      <w:spacing w:line="240" w:lineRule="auto"/>
      <w:outlineLvl w:val="1"/>
    </w:pPr>
    <w:rPr>
      <w:rFonts w:ascii="Verdana" w:eastAsia="Times New Roman" w:hAnsi="Verdana" w:cs="Arial"/>
      <w:b/>
      <w:bCs/>
      <w:iCs/>
      <w:szCs w:val="28"/>
      <w:lang w:eastAsia="fi-FI"/>
    </w:rPr>
  </w:style>
  <w:style w:type="paragraph" w:styleId="Heading3">
    <w:name w:val="heading 3"/>
    <w:next w:val="BodyText"/>
    <w:link w:val="Heading3Char"/>
    <w:qFormat/>
    <w:rsid w:val="00AF3E9A"/>
    <w:pPr>
      <w:keepNext/>
      <w:numPr>
        <w:ilvl w:val="2"/>
        <w:numId w:val="1"/>
      </w:numPr>
      <w:tabs>
        <w:tab w:val="clear" w:pos="1142"/>
        <w:tab w:val="num" w:pos="1276"/>
      </w:tabs>
      <w:spacing w:after="120" w:line="240" w:lineRule="auto"/>
      <w:ind w:left="1276" w:hanging="1276"/>
      <w:outlineLvl w:val="2"/>
    </w:pPr>
    <w:rPr>
      <w:rFonts w:ascii="Verdana" w:eastAsia="Times New Roman" w:hAnsi="Verdana" w:cs="Arial"/>
      <w:bCs/>
      <w:sz w:val="20"/>
      <w:szCs w:val="26"/>
      <w:lang w:eastAsia="fi-FI"/>
    </w:rPr>
  </w:style>
  <w:style w:type="paragraph" w:styleId="Heading4">
    <w:name w:val="heading 4"/>
    <w:next w:val="BodyText"/>
    <w:link w:val="Heading4Char"/>
    <w:qFormat/>
    <w:rsid w:val="00AF3E9A"/>
    <w:pPr>
      <w:keepNext/>
      <w:numPr>
        <w:ilvl w:val="3"/>
        <w:numId w:val="1"/>
      </w:numPr>
      <w:tabs>
        <w:tab w:val="clear" w:pos="1342"/>
        <w:tab w:val="num" w:pos="1560"/>
      </w:tabs>
      <w:spacing w:after="0" w:line="240" w:lineRule="auto"/>
      <w:ind w:left="1560" w:hanging="1560"/>
      <w:outlineLvl w:val="3"/>
    </w:pPr>
    <w:rPr>
      <w:rFonts w:ascii="Verdana" w:eastAsia="Times New Roman" w:hAnsi="Verdana" w:cs="Times New Roman"/>
      <w:bCs/>
      <w:sz w:val="20"/>
      <w:szCs w:val="28"/>
      <w:lang w:eastAsia="fi-FI"/>
    </w:rPr>
  </w:style>
  <w:style w:type="paragraph" w:styleId="Heading5">
    <w:name w:val="heading 5"/>
    <w:next w:val="BodyText"/>
    <w:link w:val="Heading5Char"/>
    <w:qFormat/>
    <w:rsid w:val="0040546B"/>
    <w:pPr>
      <w:numPr>
        <w:ilvl w:val="4"/>
        <w:numId w:val="1"/>
      </w:numPr>
      <w:spacing w:after="0" w:line="240" w:lineRule="auto"/>
      <w:outlineLvl w:val="4"/>
    </w:pPr>
    <w:rPr>
      <w:rFonts w:ascii="Verdana" w:eastAsia="Times New Roman" w:hAnsi="Verdana" w:cs="Times New Roman"/>
      <w:bCs/>
      <w:iCs/>
      <w:sz w:val="20"/>
      <w:szCs w:val="26"/>
      <w:lang w:eastAsia="fi-FI"/>
    </w:rPr>
  </w:style>
  <w:style w:type="paragraph" w:styleId="Heading6">
    <w:name w:val="heading 6"/>
    <w:next w:val="BodyText"/>
    <w:link w:val="Heading6Char"/>
    <w:qFormat/>
    <w:rsid w:val="0040546B"/>
    <w:pPr>
      <w:numPr>
        <w:ilvl w:val="5"/>
        <w:numId w:val="1"/>
      </w:numPr>
      <w:spacing w:after="0" w:line="240" w:lineRule="auto"/>
      <w:outlineLvl w:val="5"/>
    </w:pPr>
    <w:rPr>
      <w:rFonts w:ascii="Verdana" w:eastAsia="Times New Roman" w:hAnsi="Verdana" w:cs="Times New Roman"/>
      <w:bCs/>
      <w:sz w:val="20"/>
      <w:lang w:eastAsia="fi-FI"/>
    </w:rPr>
  </w:style>
  <w:style w:type="paragraph" w:styleId="Heading7">
    <w:name w:val="heading 7"/>
    <w:basedOn w:val="Normal"/>
    <w:next w:val="Normal"/>
    <w:link w:val="Heading7Char"/>
    <w:uiPriority w:val="9"/>
    <w:semiHidden/>
    <w:unhideWhenUsed/>
    <w:rsid w:val="00DC349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C349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34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B1593"/>
    <w:pPr>
      <w:tabs>
        <w:tab w:val="center" w:pos="4819"/>
        <w:tab w:val="right" w:pos="9638"/>
      </w:tabs>
      <w:spacing w:after="0" w:line="240" w:lineRule="auto"/>
    </w:pPr>
  </w:style>
  <w:style w:type="character" w:customStyle="1" w:styleId="HeaderChar">
    <w:name w:val="Header Char"/>
    <w:basedOn w:val="DefaultParagraphFont"/>
    <w:link w:val="Header"/>
    <w:rsid w:val="00FC602F"/>
    <w:rPr>
      <w:rFonts w:ascii="Verdana" w:hAnsi="Verdana"/>
      <w:sz w:val="20"/>
    </w:rPr>
  </w:style>
  <w:style w:type="paragraph" w:styleId="Footer">
    <w:name w:val="footer"/>
    <w:basedOn w:val="Normal"/>
    <w:link w:val="FooterChar"/>
    <w:uiPriority w:val="99"/>
    <w:rsid w:val="003C769A"/>
    <w:pPr>
      <w:tabs>
        <w:tab w:val="center" w:pos="4819"/>
        <w:tab w:val="right" w:pos="9638"/>
      </w:tabs>
      <w:spacing w:after="0" w:line="240" w:lineRule="auto"/>
    </w:pPr>
    <w:rPr>
      <w:sz w:val="16"/>
    </w:rPr>
  </w:style>
  <w:style w:type="character" w:customStyle="1" w:styleId="FooterChar">
    <w:name w:val="Footer Char"/>
    <w:basedOn w:val="DefaultParagraphFont"/>
    <w:link w:val="Footer"/>
    <w:uiPriority w:val="99"/>
    <w:rsid w:val="003C769A"/>
    <w:rPr>
      <w:rFonts w:ascii="Verdana" w:hAnsi="Verdana"/>
      <w:sz w:val="16"/>
    </w:rPr>
  </w:style>
  <w:style w:type="character" w:styleId="PageNumber">
    <w:name w:val="page number"/>
    <w:semiHidden/>
    <w:rsid w:val="00E578A9"/>
    <w:rPr>
      <w:rFonts w:ascii="Verdana" w:hAnsi="Verdana"/>
      <w:sz w:val="18"/>
    </w:rPr>
  </w:style>
  <w:style w:type="character" w:customStyle="1" w:styleId="Heading1Char">
    <w:name w:val="Heading 1 Char"/>
    <w:basedOn w:val="DefaultParagraphFont"/>
    <w:link w:val="Heading1"/>
    <w:rsid w:val="00D9383A"/>
    <w:rPr>
      <w:rFonts w:ascii="Verdana" w:eastAsia="Times New Roman" w:hAnsi="Verdana" w:cs="Arial"/>
      <w:b/>
      <w:bCs/>
      <w:kern w:val="32"/>
      <w:sz w:val="24"/>
      <w:szCs w:val="32"/>
      <w:lang w:eastAsia="fi-FI"/>
    </w:rPr>
  </w:style>
  <w:style w:type="character" w:customStyle="1" w:styleId="Heading2Char">
    <w:name w:val="Heading 2 Char"/>
    <w:basedOn w:val="DefaultParagraphFont"/>
    <w:link w:val="Heading2"/>
    <w:rsid w:val="00AF3E9A"/>
    <w:rPr>
      <w:rFonts w:ascii="Verdana" w:eastAsia="Times New Roman" w:hAnsi="Verdana" w:cs="Arial"/>
      <w:b/>
      <w:bCs/>
      <w:iCs/>
      <w:szCs w:val="28"/>
      <w:lang w:eastAsia="fi-FI"/>
    </w:rPr>
  </w:style>
  <w:style w:type="character" w:customStyle="1" w:styleId="Heading3Char">
    <w:name w:val="Heading 3 Char"/>
    <w:basedOn w:val="DefaultParagraphFont"/>
    <w:link w:val="Heading3"/>
    <w:rsid w:val="00AF3E9A"/>
    <w:rPr>
      <w:rFonts w:ascii="Verdana" w:eastAsia="Times New Roman" w:hAnsi="Verdana" w:cs="Arial"/>
      <w:bCs/>
      <w:sz w:val="20"/>
      <w:szCs w:val="26"/>
      <w:lang w:eastAsia="fi-FI"/>
    </w:rPr>
  </w:style>
  <w:style w:type="character" w:customStyle="1" w:styleId="Heading4Char">
    <w:name w:val="Heading 4 Char"/>
    <w:basedOn w:val="DefaultParagraphFont"/>
    <w:link w:val="Heading4"/>
    <w:rsid w:val="00AF3E9A"/>
    <w:rPr>
      <w:rFonts w:ascii="Verdana" w:eastAsia="Times New Roman" w:hAnsi="Verdana" w:cs="Times New Roman"/>
      <w:bCs/>
      <w:sz w:val="20"/>
      <w:szCs w:val="28"/>
      <w:lang w:eastAsia="fi-FI"/>
    </w:rPr>
  </w:style>
  <w:style w:type="character" w:customStyle="1" w:styleId="Heading5Char">
    <w:name w:val="Heading 5 Char"/>
    <w:basedOn w:val="DefaultParagraphFont"/>
    <w:link w:val="Heading5"/>
    <w:rsid w:val="0040546B"/>
    <w:rPr>
      <w:rFonts w:ascii="Verdana" w:eastAsia="Times New Roman" w:hAnsi="Verdana" w:cs="Times New Roman"/>
      <w:bCs/>
      <w:iCs/>
      <w:sz w:val="20"/>
      <w:szCs w:val="26"/>
      <w:lang w:eastAsia="fi-FI"/>
    </w:rPr>
  </w:style>
  <w:style w:type="character" w:customStyle="1" w:styleId="Heading6Char">
    <w:name w:val="Heading 6 Char"/>
    <w:basedOn w:val="DefaultParagraphFont"/>
    <w:link w:val="Heading6"/>
    <w:rsid w:val="0040546B"/>
    <w:rPr>
      <w:rFonts w:ascii="Verdana" w:eastAsia="Times New Roman" w:hAnsi="Verdana" w:cs="Times New Roman"/>
      <w:bCs/>
      <w:sz w:val="20"/>
      <w:lang w:eastAsia="fi-FI"/>
    </w:rPr>
  </w:style>
  <w:style w:type="paragraph" w:customStyle="1" w:styleId="TrafiAsiaotsikko">
    <w:name w:val="Trafi_Asiaotsikko"/>
    <w:next w:val="Normal"/>
    <w:semiHidden/>
    <w:qFormat/>
    <w:rsid w:val="00A720FE"/>
    <w:pPr>
      <w:spacing w:after="360" w:line="240" w:lineRule="auto"/>
    </w:pPr>
    <w:rPr>
      <w:rFonts w:ascii="Verdana" w:eastAsia="Times New Roman" w:hAnsi="Verdana" w:cs="Times New Roman"/>
      <w:b/>
      <w:sz w:val="24"/>
      <w:szCs w:val="24"/>
      <w:lang w:eastAsia="fi-FI"/>
    </w:rPr>
  </w:style>
  <w:style w:type="paragraph" w:styleId="BodyText">
    <w:name w:val="Body Text"/>
    <w:basedOn w:val="Normal"/>
    <w:link w:val="BodyTextChar"/>
    <w:uiPriority w:val="99"/>
    <w:qFormat/>
    <w:rsid w:val="00BE77BB"/>
    <w:pPr>
      <w:spacing w:before="120" w:after="240" w:line="240" w:lineRule="auto"/>
      <w:ind w:left="1134"/>
    </w:pPr>
    <w:rPr>
      <w:rFonts w:eastAsia="Times New Roman" w:cs="Times New Roman"/>
      <w:szCs w:val="24"/>
      <w:lang w:eastAsia="fi-FI"/>
    </w:rPr>
  </w:style>
  <w:style w:type="character" w:customStyle="1" w:styleId="BodyTextChar">
    <w:name w:val="Body Text Char"/>
    <w:basedOn w:val="DefaultParagraphFont"/>
    <w:link w:val="BodyText"/>
    <w:uiPriority w:val="99"/>
    <w:rsid w:val="00FC602F"/>
    <w:rPr>
      <w:rFonts w:ascii="Verdana" w:eastAsia="Times New Roman" w:hAnsi="Verdana" w:cs="Times New Roman"/>
      <w:sz w:val="20"/>
      <w:szCs w:val="24"/>
      <w:lang w:eastAsia="fi-FI"/>
    </w:rPr>
  </w:style>
  <w:style w:type="paragraph" w:styleId="List">
    <w:name w:val="List"/>
    <w:basedOn w:val="Normal"/>
    <w:uiPriority w:val="99"/>
    <w:rsid w:val="00ED524D"/>
    <w:pPr>
      <w:numPr>
        <w:numId w:val="15"/>
      </w:numPr>
      <w:tabs>
        <w:tab w:val="left" w:pos="1418"/>
      </w:tabs>
      <w:spacing w:before="60" w:after="60" w:line="240" w:lineRule="auto"/>
    </w:pPr>
    <w:rPr>
      <w:rFonts w:eastAsia="Times New Roman" w:cs="Times New Roman"/>
      <w:szCs w:val="24"/>
      <w:lang w:eastAsia="fi-FI"/>
    </w:rPr>
  </w:style>
  <w:style w:type="paragraph" w:styleId="ListNumber">
    <w:name w:val="List Number"/>
    <w:basedOn w:val="Normal"/>
    <w:uiPriority w:val="99"/>
    <w:qFormat/>
    <w:rsid w:val="00BC7ACB"/>
    <w:pPr>
      <w:numPr>
        <w:numId w:val="8"/>
      </w:numPr>
      <w:tabs>
        <w:tab w:val="clear" w:pos="360"/>
        <w:tab w:val="num" w:pos="1560"/>
      </w:tabs>
      <w:spacing w:before="60" w:after="60" w:line="240" w:lineRule="auto"/>
      <w:ind w:left="1560" w:hanging="426"/>
    </w:pPr>
  </w:style>
  <w:style w:type="paragraph" w:styleId="Signature">
    <w:name w:val="Signature"/>
    <w:basedOn w:val="Normal"/>
    <w:link w:val="SignatureChar"/>
    <w:uiPriority w:val="99"/>
    <w:rsid w:val="006728BE"/>
    <w:pPr>
      <w:spacing w:after="0" w:line="240" w:lineRule="auto"/>
      <w:ind w:left="1134"/>
    </w:pPr>
  </w:style>
  <w:style w:type="paragraph" w:styleId="TOCHeading">
    <w:name w:val="TOC Heading"/>
    <w:basedOn w:val="Heading1"/>
    <w:next w:val="Normal"/>
    <w:uiPriority w:val="39"/>
    <w:unhideWhenUsed/>
    <w:qFormat/>
    <w:rsid w:val="00DD1B38"/>
    <w:pPr>
      <w:keepLines/>
      <w:numPr>
        <w:numId w:val="0"/>
      </w:numPr>
      <w:tabs>
        <w:tab w:val="num" w:pos="742"/>
      </w:tabs>
      <w:spacing w:before="240" w:line="259" w:lineRule="auto"/>
      <w:outlineLvl w:val="9"/>
    </w:pPr>
    <w:rPr>
      <w:rFonts w:eastAsiaTheme="majorEastAsia" w:cstheme="majorBidi"/>
      <w:b w:val="0"/>
      <w:bCs w:val="0"/>
      <w:kern w:val="0"/>
    </w:rPr>
  </w:style>
  <w:style w:type="paragraph" w:styleId="TOC1">
    <w:name w:val="toc 1"/>
    <w:basedOn w:val="Normal"/>
    <w:next w:val="Normal"/>
    <w:autoRedefine/>
    <w:uiPriority w:val="39"/>
    <w:unhideWhenUsed/>
    <w:rsid w:val="0021377D"/>
    <w:pPr>
      <w:tabs>
        <w:tab w:val="left" w:pos="426"/>
        <w:tab w:val="left" w:pos="1560"/>
        <w:tab w:val="right" w:leader="dot" w:pos="9639"/>
      </w:tabs>
      <w:spacing w:after="100"/>
      <w:ind w:left="426" w:hanging="426"/>
    </w:pPr>
    <w:rPr>
      <w:noProof/>
    </w:rPr>
  </w:style>
  <w:style w:type="paragraph" w:styleId="TOC2">
    <w:name w:val="toc 2"/>
    <w:basedOn w:val="Normal"/>
    <w:next w:val="Normal"/>
    <w:autoRedefine/>
    <w:uiPriority w:val="39"/>
    <w:unhideWhenUsed/>
    <w:rsid w:val="00B31ED1"/>
    <w:pPr>
      <w:tabs>
        <w:tab w:val="left" w:pos="1134"/>
        <w:tab w:val="right" w:leader="dot" w:pos="9639"/>
      </w:tabs>
      <w:spacing w:after="100"/>
      <w:ind w:left="1134" w:hanging="708"/>
    </w:pPr>
  </w:style>
  <w:style w:type="paragraph" w:styleId="TOC3">
    <w:name w:val="toc 3"/>
    <w:basedOn w:val="Normal"/>
    <w:next w:val="Normal"/>
    <w:autoRedefine/>
    <w:uiPriority w:val="39"/>
    <w:unhideWhenUsed/>
    <w:rsid w:val="00B31ED1"/>
    <w:pPr>
      <w:tabs>
        <w:tab w:val="left" w:pos="1276"/>
        <w:tab w:val="right" w:leader="dot" w:pos="9639"/>
      </w:tabs>
      <w:spacing w:after="100"/>
      <w:ind w:left="1276" w:hanging="850"/>
    </w:pPr>
  </w:style>
  <w:style w:type="character" w:styleId="Hyperlink">
    <w:name w:val="Hyperlink"/>
    <w:basedOn w:val="DefaultParagraphFont"/>
    <w:uiPriority w:val="99"/>
    <w:unhideWhenUsed/>
    <w:rsid w:val="00DD1B38"/>
    <w:rPr>
      <w:color w:val="0563C1" w:themeColor="hyperlink"/>
      <w:u w:val="single"/>
    </w:rPr>
  </w:style>
  <w:style w:type="character" w:customStyle="1" w:styleId="SignatureChar">
    <w:name w:val="Signature Char"/>
    <w:basedOn w:val="DefaultParagraphFont"/>
    <w:link w:val="Signature"/>
    <w:uiPriority w:val="99"/>
    <w:rsid w:val="006728BE"/>
    <w:rPr>
      <w:rFonts w:ascii="Verdana" w:hAnsi="Verdana"/>
      <w:sz w:val="20"/>
    </w:rPr>
  </w:style>
  <w:style w:type="paragraph" w:styleId="Caption">
    <w:name w:val="caption"/>
    <w:basedOn w:val="BodyText"/>
    <w:next w:val="BodyText"/>
    <w:link w:val="CaptionChar"/>
    <w:uiPriority w:val="35"/>
    <w:unhideWhenUsed/>
    <w:qFormat/>
    <w:rsid w:val="00A63542"/>
    <w:pPr>
      <w:numPr>
        <w:numId w:val="16"/>
      </w:numPr>
      <w:tabs>
        <w:tab w:val="left" w:pos="2127"/>
      </w:tabs>
      <w:spacing w:after="120"/>
      <w:ind w:left="1134" w:firstLine="0"/>
    </w:pPr>
    <w:rPr>
      <w:i/>
    </w:rPr>
  </w:style>
  <w:style w:type="paragraph" w:styleId="TableofFigures">
    <w:name w:val="table of figures"/>
    <w:basedOn w:val="Normal"/>
    <w:next w:val="Normal"/>
    <w:uiPriority w:val="99"/>
    <w:unhideWhenUsed/>
    <w:rsid w:val="00BD4C72"/>
    <w:pPr>
      <w:tabs>
        <w:tab w:val="right" w:pos="992"/>
        <w:tab w:val="right" w:leader="dot" w:pos="9639"/>
      </w:tabs>
      <w:spacing w:after="0"/>
      <w:ind w:left="1417" w:hanging="992"/>
    </w:pPr>
    <w:rPr>
      <w:i/>
    </w:rPr>
  </w:style>
  <w:style w:type="paragraph" w:styleId="IndexHeading">
    <w:name w:val="index heading"/>
    <w:basedOn w:val="Normal"/>
    <w:next w:val="Normal"/>
    <w:uiPriority w:val="99"/>
    <w:unhideWhenUsed/>
    <w:rsid w:val="00913805"/>
    <w:pPr>
      <w:spacing w:before="120" w:after="240" w:line="240" w:lineRule="auto"/>
      <w:ind w:left="1134"/>
    </w:pPr>
    <w:rPr>
      <w:rFonts w:eastAsia="Times New Roman" w:cs="Times New Roman"/>
      <w:i/>
      <w:szCs w:val="24"/>
      <w:lang w:eastAsia="fi-FI"/>
    </w:rPr>
  </w:style>
  <w:style w:type="paragraph" w:customStyle="1" w:styleId="Liiteotsikko">
    <w:name w:val="Liiteotsikko"/>
    <w:basedOn w:val="Taulukko-otsikko"/>
    <w:link w:val="LiiteotsikkoChar"/>
    <w:qFormat/>
    <w:rsid w:val="00A63542"/>
    <w:pPr>
      <w:numPr>
        <w:numId w:val="21"/>
      </w:numPr>
      <w:tabs>
        <w:tab w:val="clear" w:pos="2552"/>
        <w:tab w:val="left" w:pos="993"/>
      </w:tabs>
      <w:ind w:left="993" w:hanging="993"/>
    </w:pPr>
    <w:rPr>
      <w:b/>
      <w:i w:val="0"/>
    </w:rPr>
  </w:style>
  <w:style w:type="paragraph" w:styleId="ListParagraph">
    <w:name w:val="List Paragraph"/>
    <w:basedOn w:val="Normal"/>
    <w:uiPriority w:val="34"/>
    <w:qFormat/>
    <w:rsid w:val="00ED524D"/>
    <w:pPr>
      <w:ind w:left="720"/>
      <w:contextualSpacing/>
    </w:pPr>
  </w:style>
  <w:style w:type="character" w:customStyle="1" w:styleId="LiiteotsikkoChar">
    <w:name w:val="Liiteotsikko Char"/>
    <w:basedOn w:val="DefaultParagraphFont"/>
    <w:link w:val="Liiteotsikko"/>
    <w:rsid w:val="00A63542"/>
    <w:rPr>
      <w:rFonts w:ascii="Verdana" w:eastAsia="Times New Roman" w:hAnsi="Verdana" w:cs="Times New Roman"/>
      <w:b/>
      <w:sz w:val="20"/>
      <w:szCs w:val="24"/>
      <w:lang w:eastAsia="fi-FI"/>
    </w:rPr>
  </w:style>
  <w:style w:type="paragraph" w:customStyle="1" w:styleId="Taulukko-otsikko">
    <w:name w:val="Taulukko-otsikko"/>
    <w:basedOn w:val="Caption"/>
    <w:link w:val="Taulukko-otsikkoChar"/>
    <w:qFormat/>
    <w:rsid w:val="00BE7E2C"/>
    <w:pPr>
      <w:numPr>
        <w:numId w:val="20"/>
      </w:numPr>
      <w:tabs>
        <w:tab w:val="clear" w:pos="2127"/>
        <w:tab w:val="left" w:pos="2552"/>
      </w:tabs>
      <w:ind w:left="1134" w:firstLine="0"/>
    </w:pPr>
  </w:style>
  <w:style w:type="character" w:customStyle="1" w:styleId="CaptionChar">
    <w:name w:val="Caption Char"/>
    <w:basedOn w:val="BodyTextChar"/>
    <w:link w:val="Caption"/>
    <w:uiPriority w:val="35"/>
    <w:rsid w:val="00A63542"/>
    <w:rPr>
      <w:rFonts w:ascii="Verdana" w:eastAsia="Times New Roman" w:hAnsi="Verdana" w:cs="Times New Roman"/>
      <w:i/>
      <w:sz w:val="20"/>
      <w:szCs w:val="24"/>
      <w:lang w:eastAsia="fi-FI"/>
    </w:rPr>
  </w:style>
  <w:style w:type="character" w:customStyle="1" w:styleId="Taulukko-otsikkoChar">
    <w:name w:val="Taulukko-otsikko Char"/>
    <w:basedOn w:val="CaptionChar"/>
    <w:link w:val="Taulukko-otsikko"/>
    <w:rsid w:val="00BE7E2C"/>
    <w:rPr>
      <w:rFonts w:ascii="Verdana" w:eastAsia="Times New Roman" w:hAnsi="Verdana" w:cs="Times New Roman"/>
      <w:i/>
      <w:sz w:val="20"/>
      <w:szCs w:val="24"/>
      <w:lang w:eastAsia="fi-FI"/>
    </w:rPr>
  </w:style>
  <w:style w:type="character" w:customStyle="1" w:styleId="Heading9Char">
    <w:name w:val="Heading 9 Char"/>
    <w:basedOn w:val="DefaultParagraphFont"/>
    <w:link w:val="Heading9"/>
    <w:uiPriority w:val="9"/>
    <w:semiHidden/>
    <w:rsid w:val="00DC3497"/>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DC3497"/>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DC3497"/>
    <w:rPr>
      <w:rFonts w:asciiTheme="majorHAnsi" w:eastAsiaTheme="majorEastAsia" w:hAnsiTheme="majorHAnsi" w:cstheme="majorBidi"/>
      <w:i/>
      <w:iCs/>
      <w:color w:val="1F4D78" w:themeColor="accent1" w:themeShade="7F"/>
      <w:sz w:val="20"/>
    </w:rPr>
  </w:style>
  <w:style w:type="character" w:styleId="CommentReference">
    <w:name w:val="annotation reference"/>
    <w:basedOn w:val="DefaultParagraphFont"/>
    <w:uiPriority w:val="99"/>
    <w:semiHidden/>
    <w:unhideWhenUsed/>
    <w:rsid w:val="00B357E0"/>
    <w:rPr>
      <w:sz w:val="16"/>
      <w:szCs w:val="16"/>
    </w:rPr>
  </w:style>
  <w:style w:type="paragraph" w:styleId="CommentText">
    <w:name w:val="annotation text"/>
    <w:basedOn w:val="Normal"/>
    <w:link w:val="CommentTextChar"/>
    <w:uiPriority w:val="99"/>
    <w:unhideWhenUsed/>
    <w:rsid w:val="00B357E0"/>
    <w:pPr>
      <w:spacing w:line="240" w:lineRule="auto"/>
    </w:pPr>
    <w:rPr>
      <w:szCs w:val="20"/>
    </w:rPr>
  </w:style>
  <w:style w:type="character" w:customStyle="1" w:styleId="CommentTextChar">
    <w:name w:val="Comment Text Char"/>
    <w:basedOn w:val="DefaultParagraphFont"/>
    <w:link w:val="CommentText"/>
    <w:uiPriority w:val="99"/>
    <w:rsid w:val="00B357E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357E0"/>
    <w:rPr>
      <w:b/>
      <w:bCs/>
    </w:rPr>
  </w:style>
  <w:style w:type="character" w:customStyle="1" w:styleId="CommentSubjectChar">
    <w:name w:val="Comment Subject Char"/>
    <w:basedOn w:val="CommentTextChar"/>
    <w:link w:val="CommentSubject"/>
    <w:uiPriority w:val="99"/>
    <w:semiHidden/>
    <w:rsid w:val="00B357E0"/>
    <w:rPr>
      <w:rFonts w:ascii="Verdana" w:hAnsi="Verdana"/>
      <w:b/>
      <w:bCs/>
      <w:sz w:val="20"/>
      <w:szCs w:val="20"/>
    </w:rPr>
  </w:style>
  <w:style w:type="paragraph" w:styleId="BalloonText">
    <w:name w:val="Balloon Text"/>
    <w:basedOn w:val="Normal"/>
    <w:link w:val="BalloonTextChar"/>
    <w:uiPriority w:val="99"/>
    <w:semiHidden/>
    <w:unhideWhenUsed/>
    <w:rsid w:val="00B35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7E0"/>
    <w:rPr>
      <w:rFonts w:ascii="Segoe UI" w:hAnsi="Segoe UI" w:cs="Segoe UI"/>
      <w:sz w:val="18"/>
      <w:szCs w:val="18"/>
    </w:rPr>
  </w:style>
  <w:style w:type="paragraph" w:customStyle="1" w:styleId="Default">
    <w:name w:val="Default"/>
    <w:rsid w:val="00327422"/>
    <w:pPr>
      <w:autoSpaceDE w:val="0"/>
      <w:autoSpaceDN w:val="0"/>
      <w:adjustRightInd w:val="0"/>
      <w:spacing w:after="0" w:line="240" w:lineRule="auto"/>
    </w:pPr>
    <w:rPr>
      <w:rFonts w:ascii="Verdana" w:hAnsi="Verdana" w:cs="Verdana"/>
      <w:color w:val="000000"/>
      <w:sz w:val="24"/>
      <w:szCs w:val="24"/>
    </w:rPr>
  </w:style>
  <w:style w:type="paragraph" w:customStyle="1" w:styleId="LLPerustelujenkappalejako">
    <w:name w:val="LLPerustelujenkappalejako"/>
    <w:rsid w:val="00F21BCF"/>
    <w:pPr>
      <w:spacing w:after="220" w:line="220" w:lineRule="exact"/>
      <w:jc w:val="both"/>
    </w:pPr>
    <w:rPr>
      <w:rFonts w:ascii="Times New Roman" w:eastAsia="Times New Roman" w:hAnsi="Times New Roman" w:cs="Times New Roman"/>
      <w:szCs w:val="24"/>
      <w:lang w:eastAsia="fi-FI"/>
    </w:rPr>
  </w:style>
  <w:style w:type="paragraph" w:styleId="Revision">
    <w:name w:val="Revision"/>
    <w:hidden/>
    <w:uiPriority w:val="99"/>
    <w:semiHidden/>
    <w:rsid w:val="0084625E"/>
    <w:pPr>
      <w:spacing w:after="0" w:line="240" w:lineRule="auto"/>
    </w:pPr>
    <w:rPr>
      <w:rFonts w:ascii="Verdana" w:hAnsi="Verdana"/>
      <w:sz w:val="20"/>
    </w:rPr>
  </w:style>
  <w:style w:type="paragraph" w:customStyle="1" w:styleId="LLMomentinJohdantoKappale">
    <w:name w:val="LLMomentinJohdantoKappale"/>
    <w:basedOn w:val="Normal"/>
    <w:next w:val="LLMomentinKohta"/>
    <w:rsid w:val="0084625E"/>
    <w:pPr>
      <w:spacing w:after="0" w:line="220" w:lineRule="exact"/>
      <w:ind w:firstLine="170"/>
      <w:jc w:val="both"/>
    </w:pPr>
    <w:rPr>
      <w:rFonts w:ascii="Times New Roman" w:eastAsia="Times New Roman" w:hAnsi="Times New Roman" w:cs="Times New Roman"/>
      <w:sz w:val="22"/>
      <w:szCs w:val="24"/>
      <w:lang w:eastAsia="fi-FI"/>
    </w:rPr>
  </w:style>
  <w:style w:type="paragraph" w:customStyle="1" w:styleId="LLMomentinKohta">
    <w:name w:val="LLMomentinKohta"/>
    <w:rsid w:val="0084625E"/>
    <w:pPr>
      <w:spacing w:after="0" w:line="220" w:lineRule="exact"/>
      <w:ind w:firstLine="170"/>
      <w:jc w:val="both"/>
    </w:pPr>
    <w:rPr>
      <w:rFonts w:ascii="Times New Roman" w:eastAsia="Times New Roman" w:hAnsi="Times New Roman" w:cs="Times New Roman"/>
      <w:szCs w:val="24"/>
      <w:lang w:eastAsia="fi-FI"/>
    </w:rPr>
  </w:style>
  <w:style w:type="character" w:styleId="FollowedHyperlink">
    <w:name w:val="FollowedHyperlink"/>
    <w:basedOn w:val="DefaultParagraphFont"/>
    <w:uiPriority w:val="99"/>
    <w:semiHidden/>
    <w:unhideWhenUsed/>
    <w:rsid w:val="006410E1"/>
    <w:rPr>
      <w:color w:val="954F72" w:themeColor="followedHyperlink"/>
      <w:u w:val="single"/>
    </w:rPr>
  </w:style>
  <w:style w:type="paragraph" w:customStyle="1" w:styleId="Fichefinanciretextetable">
    <w:name w:val="Fiche financière texte (table)"/>
    <w:basedOn w:val="Normal"/>
    <w:rsid w:val="006410E1"/>
    <w:pPr>
      <w:spacing w:after="0" w:line="240" w:lineRule="auto"/>
    </w:pPr>
    <w:rPr>
      <w:rFonts w:ascii="Times New Roman" w:eastAsia="Times New Roman" w:hAnsi="Times New Roman" w:cs="Times New Roman"/>
      <w:szCs w:val="20"/>
      <w:lang w:eastAsia="fi-FI"/>
    </w:rPr>
  </w:style>
  <w:style w:type="paragraph" w:styleId="EndnoteText">
    <w:name w:val="endnote text"/>
    <w:basedOn w:val="Normal"/>
    <w:link w:val="EndnoteTextChar"/>
    <w:rsid w:val="006410E1"/>
    <w:pPr>
      <w:spacing w:after="0" w:line="240" w:lineRule="auto"/>
    </w:pPr>
    <w:rPr>
      <w:rFonts w:ascii="Times New Roman" w:eastAsia="Times New Roman" w:hAnsi="Times New Roman" w:cs="Times New Roman"/>
      <w:szCs w:val="20"/>
    </w:rPr>
  </w:style>
  <w:style w:type="character" w:customStyle="1" w:styleId="EndnoteTextChar">
    <w:name w:val="Endnote Text Char"/>
    <w:basedOn w:val="DefaultParagraphFont"/>
    <w:link w:val="EndnoteText"/>
    <w:rsid w:val="006410E1"/>
    <w:rPr>
      <w:rFonts w:ascii="Times New Roman" w:eastAsia="Times New Roman" w:hAnsi="Times New Roman" w:cs="Times New Roman"/>
      <w:sz w:val="20"/>
      <w:szCs w:val="20"/>
    </w:rPr>
  </w:style>
  <w:style w:type="character" w:styleId="EndnoteReference">
    <w:name w:val="endnote reference"/>
    <w:rsid w:val="006410E1"/>
    <w:rPr>
      <w:vertAlign w:val="superscript"/>
    </w:rPr>
  </w:style>
  <w:style w:type="paragraph" w:styleId="FootnoteText">
    <w:name w:val="footnote text"/>
    <w:basedOn w:val="Normal"/>
    <w:link w:val="FootnoteTextChar"/>
    <w:uiPriority w:val="99"/>
    <w:semiHidden/>
    <w:unhideWhenUsed/>
    <w:rsid w:val="009E48B4"/>
    <w:pPr>
      <w:spacing w:after="0" w:line="240" w:lineRule="auto"/>
    </w:pPr>
    <w:rPr>
      <w:szCs w:val="20"/>
    </w:rPr>
  </w:style>
  <w:style w:type="character" w:customStyle="1" w:styleId="FootnoteTextChar">
    <w:name w:val="Footnote Text Char"/>
    <w:basedOn w:val="DefaultParagraphFont"/>
    <w:link w:val="FootnoteText"/>
    <w:uiPriority w:val="99"/>
    <w:semiHidden/>
    <w:rsid w:val="009E48B4"/>
    <w:rPr>
      <w:rFonts w:ascii="Verdana" w:hAnsi="Verdana"/>
      <w:sz w:val="20"/>
      <w:szCs w:val="20"/>
    </w:rPr>
  </w:style>
  <w:style w:type="character" w:styleId="FootnoteReference">
    <w:name w:val="footnote reference"/>
    <w:basedOn w:val="DefaultParagraphFont"/>
    <w:uiPriority w:val="99"/>
    <w:semiHidden/>
    <w:unhideWhenUsed/>
    <w:rsid w:val="009E48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02440">
      <w:bodyDiv w:val="1"/>
      <w:marLeft w:val="0"/>
      <w:marRight w:val="0"/>
      <w:marTop w:val="0"/>
      <w:marBottom w:val="0"/>
      <w:divBdr>
        <w:top w:val="none" w:sz="0" w:space="0" w:color="auto"/>
        <w:left w:val="none" w:sz="0" w:space="0" w:color="auto"/>
        <w:bottom w:val="none" w:sz="0" w:space="0" w:color="auto"/>
        <w:right w:val="none" w:sz="0" w:space="0" w:color="auto"/>
      </w:divBdr>
    </w:div>
    <w:div w:id="496655212">
      <w:bodyDiv w:val="1"/>
      <w:marLeft w:val="0"/>
      <w:marRight w:val="0"/>
      <w:marTop w:val="0"/>
      <w:marBottom w:val="0"/>
      <w:divBdr>
        <w:top w:val="none" w:sz="0" w:space="0" w:color="auto"/>
        <w:left w:val="none" w:sz="0" w:space="0" w:color="auto"/>
        <w:bottom w:val="none" w:sz="0" w:space="0" w:color="auto"/>
        <w:right w:val="none" w:sz="0" w:space="0" w:color="auto"/>
      </w:divBdr>
    </w:div>
    <w:div w:id="726419557">
      <w:bodyDiv w:val="1"/>
      <w:marLeft w:val="0"/>
      <w:marRight w:val="0"/>
      <w:marTop w:val="0"/>
      <w:marBottom w:val="0"/>
      <w:divBdr>
        <w:top w:val="none" w:sz="0" w:space="0" w:color="auto"/>
        <w:left w:val="none" w:sz="0" w:space="0" w:color="auto"/>
        <w:bottom w:val="none" w:sz="0" w:space="0" w:color="auto"/>
        <w:right w:val="none" w:sz="0" w:space="0" w:color="auto"/>
      </w:divBdr>
    </w:div>
    <w:div w:id="986979143">
      <w:bodyDiv w:val="1"/>
      <w:marLeft w:val="0"/>
      <w:marRight w:val="0"/>
      <w:marTop w:val="0"/>
      <w:marBottom w:val="0"/>
      <w:divBdr>
        <w:top w:val="none" w:sz="0" w:space="0" w:color="auto"/>
        <w:left w:val="none" w:sz="0" w:space="0" w:color="auto"/>
        <w:bottom w:val="none" w:sz="0" w:space="0" w:color="auto"/>
        <w:right w:val="none" w:sz="0" w:space="0" w:color="auto"/>
      </w:divBdr>
    </w:div>
    <w:div w:id="1229801867">
      <w:bodyDiv w:val="1"/>
      <w:marLeft w:val="0"/>
      <w:marRight w:val="0"/>
      <w:marTop w:val="0"/>
      <w:marBottom w:val="0"/>
      <w:divBdr>
        <w:top w:val="none" w:sz="0" w:space="0" w:color="auto"/>
        <w:left w:val="none" w:sz="0" w:space="0" w:color="auto"/>
        <w:bottom w:val="none" w:sz="0" w:space="0" w:color="auto"/>
        <w:right w:val="none" w:sz="0" w:space="0" w:color="auto"/>
      </w:divBdr>
    </w:div>
    <w:div w:id="1238440910">
      <w:bodyDiv w:val="1"/>
      <w:marLeft w:val="0"/>
      <w:marRight w:val="0"/>
      <w:marTop w:val="0"/>
      <w:marBottom w:val="0"/>
      <w:divBdr>
        <w:top w:val="none" w:sz="0" w:space="0" w:color="auto"/>
        <w:left w:val="none" w:sz="0" w:space="0" w:color="auto"/>
        <w:bottom w:val="none" w:sz="0" w:space="0" w:color="auto"/>
        <w:right w:val="none" w:sz="0" w:space="0" w:color="auto"/>
      </w:divBdr>
    </w:div>
    <w:div w:id="1283685100">
      <w:bodyDiv w:val="1"/>
      <w:marLeft w:val="0"/>
      <w:marRight w:val="0"/>
      <w:marTop w:val="0"/>
      <w:marBottom w:val="0"/>
      <w:divBdr>
        <w:top w:val="none" w:sz="0" w:space="0" w:color="auto"/>
        <w:left w:val="none" w:sz="0" w:space="0" w:color="auto"/>
        <w:bottom w:val="none" w:sz="0" w:space="0" w:color="auto"/>
        <w:right w:val="none" w:sz="0" w:space="0" w:color="auto"/>
      </w:divBdr>
      <w:divsChild>
        <w:div w:id="606500364">
          <w:marLeft w:val="0"/>
          <w:marRight w:val="0"/>
          <w:marTop w:val="0"/>
          <w:marBottom w:val="0"/>
          <w:divBdr>
            <w:top w:val="none" w:sz="0" w:space="0" w:color="auto"/>
            <w:left w:val="none" w:sz="0" w:space="0" w:color="auto"/>
            <w:bottom w:val="none" w:sz="0" w:space="0" w:color="auto"/>
            <w:right w:val="none" w:sz="0" w:space="0" w:color="auto"/>
          </w:divBdr>
          <w:divsChild>
            <w:div w:id="183324582">
              <w:marLeft w:val="0"/>
              <w:marRight w:val="0"/>
              <w:marTop w:val="0"/>
              <w:marBottom w:val="0"/>
              <w:divBdr>
                <w:top w:val="none" w:sz="0" w:space="0" w:color="auto"/>
                <w:left w:val="none" w:sz="0" w:space="0" w:color="auto"/>
                <w:bottom w:val="none" w:sz="0" w:space="0" w:color="auto"/>
                <w:right w:val="none" w:sz="0" w:space="0" w:color="auto"/>
              </w:divBdr>
              <w:divsChild>
                <w:div w:id="1928728544">
                  <w:marLeft w:val="0"/>
                  <w:marRight w:val="0"/>
                  <w:marTop w:val="0"/>
                  <w:marBottom w:val="0"/>
                  <w:divBdr>
                    <w:top w:val="none" w:sz="0" w:space="0" w:color="auto"/>
                    <w:left w:val="none" w:sz="0" w:space="0" w:color="auto"/>
                    <w:bottom w:val="none" w:sz="0" w:space="0" w:color="auto"/>
                    <w:right w:val="none" w:sz="0" w:space="0" w:color="auto"/>
                  </w:divBdr>
                  <w:divsChild>
                    <w:div w:id="875581759">
                      <w:marLeft w:val="0"/>
                      <w:marRight w:val="0"/>
                      <w:marTop w:val="0"/>
                      <w:marBottom w:val="0"/>
                      <w:divBdr>
                        <w:top w:val="none" w:sz="0" w:space="0" w:color="auto"/>
                        <w:left w:val="none" w:sz="0" w:space="0" w:color="auto"/>
                        <w:bottom w:val="none" w:sz="0" w:space="0" w:color="auto"/>
                        <w:right w:val="none" w:sz="0" w:space="0" w:color="auto"/>
                      </w:divBdr>
                      <w:divsChild>
                        <w:div w:id="1554854076">
                          <w:marLeft w:val="0"/>
                          <w:marRight w:val="0"/>
                          <w:marTop w:val="0"/>
                          <w:marBottom w:val="0"/>
                          <w:divBdr>
                            <w:top w:val="none" w:sz="0" w:space="0" w:color="auto"/>
                            <w:left w:val="none" w:sz="0" w:space="0" w:color="auto"/>
                            <w:bottom w:val="none" w:sz="0" w:space="0" w:color="auto"/>
                            <w:right w:val="none" w:sz="0" w:space="0" w:color="auto"/>
                          </w:divBdr>
                          <w:divsChild>
                            <w:div w:id="1495802688">
                              <w:marLeft w:val="0"/>
                              <w:marRight w:val="0"/>
                              <w:marTop w:val="0"/>
                              <w:marBottom w:val="0"/>
                              <w:divBdr>
                                <w:top w:val="none" w:sz="0" w:space="0" w:color="auto"/>
                                <w:left w:val="none" w:sz="0" w:space="0" w:color="auto"/>
                                <w:bottom w:val="none" w:sz="0" w:space="0" w:color="auto"/>
                                <w:right w:val="none" w:sz="0" w:space="0" w:color="auto"/>
                              </w:divBdr>
                              <w:divsChild>
                                <w:div w:id="1680961336">
                                  <w:marLeft w:val="0"/>
                                  <w:marRight w:val="0"/>
                                  <w:marTop w:val="0"/>
                                  <w:marBottom w:val="0"/>
                                  <w:divBdr>
                                    <w:top w:val="none" w:sz="0" w:space="0" w:color="auto"/>
                                    <w:left w:val="none" w:sz="0" w:space="0" w:color="auto"/>
                                    <w:bottom w:val="none" w:sz="0" w:space="0" w:color="auto"/>
                                    <w:right w:val="none" w:sz="0" w:space="0" w:color="auto"/>
                                  </w:divBdr>
                                  <w:divsChild>
                                    <w:div w:id="1303540376">
                                      <w:marLeft w:val="0"/>
                                      <w:marRight w:val="0"/>
                                      <w:marTop w:val="0"/>
                                      <w:marBottom w:val="0"/>
                                      <w:divBdr>
                                        <w:top w:val="none" w:sz="0" w:space="0" w:color="auto"/>
                                        <w:left w:val="none" w:sz="0" w:space="0" w:color="auto"/>
                                        <w:bottom w:val="none" w:sz="0" w:space="0" w:color="auto"/>
                                        <w:right w:val="none" w:sz="0" w:space="0" w:color="auto"/>
                                      </w:divBdr>
                                      <w:divsChild>
                                        <w:div w:id="471946485">
                                          <w:marLeft w:val="0"/>
                                          <w:marRight w:val="0"/>
                                          <w:marTop w:val="0"/>
                                          <w:marBottom w:val="0"/>
                                          <w:divBdr>
                                            <w:top w:val="none" w:sz="0" w:space="0" w:color="auto"/>
                                            <w:left w:val="none" w:sz="0" w:space="0" w:color="auto"/>
                                            <w:bottom w:val="none" w:sz="0" w:space="0" w:color="auto"/>
                                            <w:right w:val="none" w:sz="0" w:space="0" w:color="auto"/>
                                          </w:divBdr>
                                          <w:divsChild>
                                            <w:div w:id="272829878">
                                              <w:marLeft w:val="0"/>
                                              <w:marRight w:val="0"/>
                                              <w:marTop w:val="0"/>
                                              <w:marBottom w:val="0"/>
                                              <w:divBdr>
                                                <w:top w:val="none" w:sz="0" w:space="0" w:color="auto"/>
                                                <w:left w:val="none" w:sz="0" w:space="0" w:color="auto"/>
                                                <w:bottom w:val="none" w:sz="0" w:space="0" w:color="auto"/>
                                                <w:right w:val="none" w:sz="0" w:space="0" w:color="auto"/>
                                              </w:divBdr>
                                              <w:divsChild>
                                                <w:div w:id="762410853">
                                                  <w:marLeft w:val="0"/>
                                                  <w:marRight w:val="0"/>
                                                  <w:marTop w:val="0"/>
                                                  <w:marBottom w:val="0"/>
                                                  <w:divBdr>
                                                    <w:top w:val="single" w:sz="6" w:space="0" w:color="ABABAB"/>
                                                    <w:left w:val="single" w:sz="6" w:space="0" w:color="ABABAB"/>
                                                    <w:bottom w:val="none" w:sz="0" w:space="0" w:color="auto"/>
                                                    <w:right w:val="single" w:sz="6" w:space="0" w:color="ABABAB"/>
                                                  </w:divBdr>
                                                  <w:divsChild>
                                                    <w:div w:id="1926189143">
                                                      <w:marLeft w:val="0"/>
                                                      <w:marRight w:val="0"/>
                                                      <w:marTop w:val="0"/>
                                                      <w:marBottom w:val="0"/>
                                                      <w:divBdr>
                                                        <w:top w:val="none" w:sz="0" w:space="0" w:color="auto"/>
                                                        <w:left w:val="none" w:sz="0" w:space="0" w:color="auto"/>
                                                        <w:bottom w:val="none" w:sz="0" w:space="0" w:color="auto"/>
                                                        <w:right w:val="none" w:sz="0" w:space="0" w:color="auto"/>
                                                      </w:divBdr>
                                                      <w:divsChild>
                                                        <w:div w:id="1792239773">
                                                          <w:marLeft w:val="0"/>
                                                          <w:marRight w:val="0"/>
                                                          <w:marTop w:val="0"/>
                                                          <w:marBottom w:val="0"/>
                                                          <w:divBdr>
                                                            <w:top w:val="none" w:sz="0" w:space="0" w:color="auto"/>
                                                            <w:left w:val="none" w:sz="0" w:space="0" w:color="auto"/>
                                                            <w:bottom w:val="none" w:sz="0" w:space="0" w:color="auto"/>
                                                            <w:right w:val="none" w:sz="0" w:space="0" w:color="auto"/>
                                                          </w:divBdr>
                                                          <w:divsChild>
                                                            <w:div w:id="445539107">
                                                              <w:marLeft w:val="0"/>
                                                              <w:marRight w:val="0"/>
                                                              <w:marTop w:val="0"/>
                                                              <w:marBottom w:val="0"/>
                                                              <w:divBdr>
                                                                <w:top w:val="none" w:sz="0" w:space="0" w:color="auto"/>
                                                                <w:left w:val="none" w:sz="0" w:space="0" w:color="auto"/>
                                                                <w:bottom w:val="none" w:sz="0" w:space="0" w:color="auto"/>
                                                                <w:right w:val="none" w:sz="0" w:space="0" w:color="auto"/>
                                                              </w:divBdr>
                                                              <w:divsChild>
                                                                <w:div w:id="491531555">
                                                                  <w:marLeft w:val="0"/>
                                                                  <w:marRight w:val="0"/>
                                                                  <w:marTop w:val="0"/>
                                                                  <w:marBottom w:val="0"/>
                                                                  <w:divBdr>
                                                                    <w:top w:val="none" w:sz="0" w:space="0" w:color="auto"/>
                                                                    <w:left w:val="none" w:sz="0" w:space="0" w:color="auto"/>
                                                                    <w:bottom w:val="none" w:sz="0" w:space="0" w:color="auto"/>
                                                                    <w:right w:val="none" w:sz="0" w:space="0" w:color="auto"/>
                                                                  </w:divBdr>
                                                                  <w:divsChild>
                                                                    <w:div w:id="508761107">
                                                                      <w:marLeft w:val="0"/>
                                                                      <w:marRight w:val="0"/>
                                                                      <w:marTop w:val="0"/>
                                                                      <w:marBottom w:val="0"/>
                                                                      <w:divBdr>
                                                                        <w:top w:val="none" w:sz="0" w:space="0" w:color="auto"/>
                                                                        <w:left w:val="none" w:sz="0" w:space="0" w:color="auto"/>
                                                                        <w:bottom w:val="none" w:sz="0" w:space="0" w:color="auto"/>
                                                                        <w:right w:val="none" w:sz="0" w:space="0" w:color="auto"/>
                                                                      </w:divBdr>
                                                                      <w:divsChild>
                                                                        <w:div w:id="1347172230">
                                                                          <w:marLeft w:val="0"/>
                                                                          <w:marRight w:val="0"/>
                                                                          <w:marTop w:val="0"/>
                                                                          <w:marBottom w:val="0"/>
                                                                          <w:divBdr>
                                                                            <w:top w:val="none" w:sz="0" w:space="0" w:color="auto"/>
                                                                            <w:left w:val="none" w:sz="0" w:space="0" w:color="auto"/>
                                                                            <w:bottom w:val="none" w:sz="0" w:space="0" w:color="auto"/>
                                                                            <w:right w:val="none" w:sz="0" w:space="0" w:color="auto"/>
                                                                          </w:divBdr>
                                                                          <w:divsChild>
                                                                            <w:div w:id="534848592">
                                                                              <w:marLeft w:val="0"/>
                                                                              <w:marRight w:val="0"/>
                                                                              <w:marTop w:val="0"/>
                                                                              <w:marBottom w:val="0"/>
                                                                              <w:divBdr>
                                                                                <w:top w:val="none" w:sz="0" w:space="0" w:color="auto"/>
                                                                                <w:left w:val="none" w:sz="0" w:space="0" w:color="auto"/>
                                                                                <w:bottom w:val="none" w:sz="0" w:space="0" w:color="auto"/>
                                                                                <w:right w:val="none" w:sz="0" w:space="0" w:color="auto"/>
                                                                              </w:divBdr>
                                                                            </w:div>
                                                                            <w:div w:id="7316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012453">
      <w:bodyDiv w:val="1"/>
      <w:marLeft w:val="0"/>
      <w:marRight w:val="0"/>
      <w:marTop w:val="0"/>
      <w:marBottom w:val="0"/>
      <w:divBdr>
        <w:top w:val="none" w:sz="0" w:space="0" w:color="auto"/>
        <w:left w:val="none" w:sz="0" w:space="0" w:color="auto"/>
        <w:bottom w:val="none" w:sz="0" w:space="0" w:color="auto"/>
        <w:right w:val="none" w:sz="0" w:space="0" w:color="auto"/>
      </w:divBdr>
    </w:div>
    <w:div w:id="1515849466">
      <w:bodyDiv w:val="1"/>
      <w:marLeft w:val="0"/>
      <w:marRight w:val="0"/>
      <w:marTop w:val="0"/>
      <w:marBottom w:val="0"/>
      <w:divBdr>
        <w:top w:val="none" w:sz="0" w:space="0" w:color="auto"/>
        <w:left w:val="none" w:sz="0" w:space="0" w:color="auto"/>
        <w:bottom w:val="none" w:sz="0" w:space="0" w:color="auto"/>
        <w:right w:val="none" w:sz="0" w:space="0" w:color="auto"/>
      </w:divBdr>
    </w:div>
    <w:div w:id="1683703033">
      <w:bodyDiv w:val="1"/>
      <w:marLeft w:val="0"/>
      <w:marRight w:val="0"/>
      <w:marTop w:val="0"/>
      <w:marBottom w:val="0"/>
      <w:divBdr>
        <w:top w:val="none" w:sz="0" w:space="0" w:color="auto"/>
        <w:left w:val="none" w:sz="0" w:space="0" w:color="auto"/>
        <w:bottom w:val="none" w:sz="0" w:space="0" w:color="auto"/>
        <w:right w:val="none" w:sz="0" w:space="0" w:color="auto"/>
      </w:divBdr>
      <w:divsChild>
        <w:div w:id="423693047">
          <w:marLeft w:val="240"/>
          <w:marRight w:val="0"/>
          <w:marTop w:val="0"/>
          <w:marBottom w:val="0"/>
          <w:divBdr>
            <w:top w:val="none" w:sz="0" w:space="0" w:color="auto"/>
            <w:left w:val="none" w:sz="0" w:space="0" w:color="auto"/>
            <w:bottom w:val="none" w:sz="0" w:space="0" w:color="auto"/>
            <w:right w:val="none" w:sz="0" w:space="0" w:color="auto"/>
          </w:divBdr>
        </w:div>
        <w:div w:id="686565112">
          <w:marLeft w:val="240"/>
          <w:marRight w:val="0"/>
          <w:marTop w:val="0"/>
          <w:marBottom w:val="0"/>
          <w:divBdr>
            <w:top w:val="none" w:sz="0" w:space="0" w:color="auto"/>
            <w:left w:val="none" w:sz="0" w:space="0" w:color="auto"/>
            <w:bottom w:val="none" w:sz="0" w:space="0" w:color="auto"/>
            <w:right w:val="none" w:sz="0" w:space="0" w:color="auto"/>
          </w:divBdr>
        </w:div>
        <w:div w:id="256408569">
          <w:marLeft w:val="240"/>
          <w:marRight w:val="0"/>
          <w:marTop w:val="0"/>
          <w:marBottom w:val="0"/>
          <w:divBdr>
            <w:top w:val="none" w:sz="0" w:space="0" w:color="auto"/>
            <w:left w:val="none" w:sz="0" w:space="0" w:color="auto"/>
            <w:bottom w:val="none" w:sz="0" w:space="0" w:color="auto"/>
            <w:right w:val="none" w:sz="0" w:space="0" w:color="auto"/>
          </w:divBdr>
        </w:div>
        <w:div w:id="694430609">
          <w:marLeft w:val="240"/>
          <w:marRight w:val="0"/>
          <w:marTop w:val="0"/>
          <w:marBottom w:val="0"/>
          <w:divBdr>
            <w:top w:val="none" w:sz="0" w:space="0" w:color="auto"/>
            <w:left w:val="none" w:sz="0" w:space="0" w:color="auto"/>
            <w:bottom w:val="none" w:sz="0" w:space="0" w:color="auto"/>
            <w:right w:val="none" w:sz="0" w:space="0" w:color="auto"/>
          </w:divBdr>
        </w:div>
      </w:divsChild>
    </w:div>
    <w:div w:id="189962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6746b9-21ea-4a10-94d5-c7e2d54bbe5a">
      <Value>98</Value>
      <Value>99</Value>
      <Value>1</Value>
    </TaxCatchAll>
    <p39f2945831442ffb2b72677709d8610 xmlns="986746b9-21ea-4a10-94d5-c7e2d54bbe5a">
      <Terms xmlns="http://schemas.microsoft.com/office/infopath/2007/PartnerControls"/>
    </p39f2945831442ffb2b72677709d8610>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Kevyt tavarankuljetinmääräys</TermName>
          <TermId xmlns="http://schemas.microsoft.com/office/infopath/2007/PartnerControls">da0cf0c7-7896-4099-a6b9-60e8183eddb7</TermId>
        </TermInfo>
      </Terms>
    </g947cab29b3b46f18713a0acc4648f6c>
    <a9215f07bdd34c12927c30fd8ee294e2 xmlns="986746b9-21ea-4a10-94d5-c7e2d54bbe5a">
      <Terms xmlns="http://schemas.microsoft.com/office/infopath/2007/PartnerControls"/>
    </a9215f07bdd34c12927c30fd8ee294e2>
    <SaTyTosDocumentType xmlns="fc816ae0-20fa-42d3-8a0b-1ea1cf281df2">Esitys</SaTyTosDocumentType>
    <SaTyDocumentStatus xmlns="fc816ae0-20fa-42d3-8a0b-1ea1cf281df2">Luonnos</SaTyDocumentStatus>
    <SaTyTosIssueGroup xmlns="fc816ae0-20fa-42d3-8a0b-1ea1cf281df2">Tieliikennemääräykset</SaTyTosIssueGroup>
    <SaTyTosDocumentTypeId xmlns="fc816ae0-20fa-42d3-8a0b-1ea1cf281df2">Esitys</SaTyTosDocumentTypeId>
    <SaTyTosPreservation xmlns="fc816ae0-20fa-42d3-8a0b-1ea1cf281df2"> v</SaTyTosPreservation>
    <SaTyDocumentYear xmlns="fc816ae0-20fa-42d3-8a0b-1ea1cf281df2">2023</SaTyDocumentYear>
    <SaTyDocumentArchive xmlns="fc816ae0-20fa-42d3-8a0b-1ea1cf281df2">false</SaTyDocumentArchive>
    <SaTyTosPublicity xmlns="fc816ae0-20fa-42d3-8a0b-1ea1cf281df2">Julkinen</SaTyTosPublicity>
    <SaTyTosTaskGroup xmlns="fc816ae0-20fa-42d3-8a0b-1ea1cf281df2">Tieliikenteen määräykset</SaTyTosTaskGroup>
    <SaTyTosTaskGroupId xmlns="fc816ae0-20fa-42d3-8a0b-1ea1cf281df2">03.04.03</SaTyTosTaskGroupId>
    <SaTyTosIssueGroupId xmlns="fc816ae0-20fa-42d3-8a0b-1ea1cf281df2">03.04.03.00</SaTyTosIssueGroupId>
    <SaTyDocumentUserData xmlns="fc816ae0-20fa-42d3-8a0b-1ea1cf281df2">false</SaTyDocumentUserData>
    <SaTyDynastyDocumentGuid xmlns="986746b9-21ea-4a10-94d5-c7e2d54bbe5a">4aaa8df8-907a-4761-8500-fac7550445cc</SaTyDynastyDocumentGuid>
    <SaTyTosSecurityPeriodRuleId xmlns="986746b9-21ea-4a10-94d5-c7e2d54bbe5a">10</SaTyTosSecurityPeriodRuleId>
    <SaTyDynastyDocumentUrl xmlns="986746b9-21ea-4a10-94d5-c7e2d54bbe5a" xsi:nil="true"/>
    <SaTyTosSecurityPeriodRule xmlns="986746b9-21ea-4a10-94d5-c7e2d54bbe5a">Asiakirjan valmistuminen</SaTyTosSecurityPeriodRule>
    <SaTyTosUserDataRule xmlns="986746b9-21ea-4a10-94d5-c7e2d54bbe5a" xsi:nil="true"/>
    <SaTyTosUserDataRuleId xmlns="986746b9-21ea-4a10-94d5-c7e2d54bbe5a" xsi:nil="true"/>
    <SaTyTosSecurityReason xmlns="986746b9-21ea-4a10-94d5-c7e2d54bbe5a" xsi:nil="true"/>
    <SaTyDynastyIntStatus xmlns="986746b9-21ea-4a10-94d5-c7e2d54bbe5a">Document folderPermissions updated? False</SaTyDynastyIntStatus>
    <SaTyTosSecurityPeriod xmlns="986746b9-21ea-4a10-94d5-c7e2d54bbe5a">0 v v</SaTyTosSecurityPeriod>
    <SaTyTosSecurityReasonId xmlns="986746b9-21ea-4a10-94d5-c7e2d54bbe5a" xsi:nil="true"/>
    <SaTyDynastyDirection xmlns="986746b9-21ea-4a10-94d5-c7e2d54bbe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5.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19FF819C3E544C48AEC9323C399E6FCA" ma:contentTypeVersion="44" ma:contentTypeDescription="" ma:contentTypeScope="" ma:versionID="b73651b6cb8ba0898ccfca5cf290e9c5">
  <xsd:schema xmlns:xsd="http://www.w3.org/2001/XMLSchema" xmlns:xs="http://www.w3.org/2001/XMLSchema" xmlns:p="http://schemas.microsoft.com/office/2006/metadata/properties" xmlns:ns2="fc816ae0-20fa-42d3-8a0b-1ea1cf281df2" xmlns:ns3="986746b9-21ea-4a10-94d5-c7e2d54bbe5a" targetNamespace="http://schemas.microsoft.com/office/2006/metadata/properties" ma:root="true" ma:fieldsID="dc677e4f89bc103018f9f9580a6543a7" ns2:_="" ns3:_="">
    <xsd:import namespace="fc816ae0-20fa-42d3-8a0b-1ea1cf281df2"/>
    <xsd:import namespace="986746b9-21ea-4a10-94d5-c7e2d54bbe5a"/>
    <xsd:element name="properties">
      <xsd:complexType>
        <xsd:sequence>
          <xsd:element name="documentManagement">
            <xsd:complexType>
              <xsd:all>
                <xsd:element ref="ns2:SaTyDocumentArchive" minOccurs="0"/>
                <xsd:element ref="ns2:SaTyTosTaskGroup"/>
                <xsd:element ref="ns2:SaTyTosTaskGroupId" minOccurs="0"/>
                <xsd:element ref="ns2:SaTyTosIssueGroup"/>
                <xsd:element ref="ns2:SaTyTosIssueGroupId" minOccurs="0"/>
                <xsd:element ref="ns2:SaTyTosDocumentType"/>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16ae0-20fa-42d3-8a0b-1ea1cf281df2"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ma:displayName="Dokumenttityyppi" ma:indexed="true" ma:internalName="SaTyTosDocumentType" ma:readOnly="fals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5750cba-f165-4aab-93ea-95b749a5cca2}" ma:internalName="TaxCatchAll" ma:showField="CatchAllData" ma:web="fc816ae0-20fa-42d3-8a0b-1ea1cf281df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5750cba-f165-4aab-93ea-95b749a5cca2}" ma:internalName="TaxCatchAllLabel" ma:readOnly="true" ma:showField="CatchAllDataLabel" ma:web="fc816ae0-20fa-42d3-8a0b-1ea1cf281df2">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E5B24-A5F9-4E16-B665-0A85E01020D8}">
  <ds:schemaRefs>
    <ds:schemaRef ds:uri="http://schemas.microsoft.com/office/2006/metadata/properties"/>
    <ds:schemaRef ds:uri="http://schemas.microsoft.com/office/infopath/2007/PartnerControls"/>
    <ds:schemaRef ds:uri="986746b9-21ea-4a10-94d5-c7e2d54bbe5a"/>
    <ds:schemaRef ds:uri="fc816ae0-20fa-42d3-8a0b-1ea1cf281df2"/>
  </ds:schemaRefs>
</ds:datastoreItem>
</file>

<file path=customXml/itemProps2.xml><?xml version="1.0" encoding="utf-8"?>
<ds:datastoreItem xmlns:ds="http://schemas.openxmlformats.org/officeDocument/2006/customXml" ds:itemID="{F96C191C-D0CC-4B4D-913C-886F08B69105}">
  <ds:schemaRefs>
    <ds:schemaRef ds:uri="http://schemas.microsoft.com/sharepoint/v3/contenttype/forms"/>
  </ds:schemaRefs>
</ds:datastoreItem>
</file>

<file path=customXml/itemProps3.xml><?xml version="1.0" encoding="utf-8"?>
<ds:datastoreItem xmlns:ds="http://schemas.openxmlformats.org/officeDocument/2006/customXml" ds:itemID="{D846D2C0-5C92-476A-B66F-52B1300001DB}">
  <ds:schemaRefs>
    <ds:schemaRef ds:uri="http://schemas.openxmlformats.org/officeDocument/2006/bibliography"/>
  </ds:schemaRefs>
</ds:datastoreItem>
</file>

<file path=customXml/itemProps4.xml><?xml version="1.0" encoding="utf-8"?>
<ds:datastoreItem xmlns:ds="http://schemas.openxmlformats.org/officeDocument/2006/customXml" ds:itemID="{EC934663-86E4-49DF-A74C-EDF34204CCCD}">
  <ds:schemaRefs>
    <ds:schemaRef ds:uri="Microsoft.SharePoint.Taxonomy.ContentTypeSync"/>
  </ds:schemaRefs>
</ds:datastoreItem>
</file>

<file path=customXml/itemProps5.xml><?xml version="1.0" encoding="utf-8"?>
<ds:datastoreItem xmlns:ds="http://schemas.openxmlformats.org/officeDocument/2006/customXml" ds:itemID="{2C4DF6D8-DBEB-40BF-A1FE-231236318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16ae0-20fa-42d3-8a0b-1ea1cf281df2"/>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5499</Words>
  <Characters>31345</Characters>
  <Application>Microsoft Office Word</Application>
  <DocSecurity>0</DocSecurity>
  <Lines>261</Lines>
  <Paragraphs>73</Paragraphs>
  <ScaleCrop>false</ScaleCrop>
  <HeadingPairs>
    <vt:vector size="2" baseType="variant">
      <vt:variant>
        <vt:lpstr>Otsikko</vt:lpstr>
      </vt:variant>
      <vt:variant>
        <vt:i4>1</vt:i4>
      </vt:variant>
    </vt:vector>
  </HeadingPairs>
  <TitlesOfParts>
    <vt:vector size="1" baseType="lpstr">
      <vt:lpstr/>
    </vt:vector>
  </TitlesOfParts>
  <Company>Trafi</Company>
  <LinksUpToDate>false</LinksUpToDate>
  <CharactersWithSpaces>36771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Uotila Elina</dc:creator>
  <cp:keywords/>
  <dc:description/>
  <cp:lastModifiedBy>Liana Brili</cp:lastModifiedBy>
  <cp:revision>5</cp:revision>
  <dcterms:created xsi:type="dcterms:W3CDTF">2023-04-24T11:42:00Z</dcterms:created>
  <dcterms:modified xsi:type="dcterms:W3CDTF">2023-05-15T11:04:00Z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82ff796f8549e7b48b0e43c70930a6">
    <vt:lpwstr>Suomi|88d960e6-e76c-48a2-b607-f1600797b640</vt:lpwstr>
  </property>
  <property fmtid="{D5CDD505-2E9C-101B-9397-08002B2CF9AE}" pid="3" name="SaTyDocumentQuartal">
    <vt:lpwstr/>
  </property>
  <property fmtid="{D5CDD505-2E9C-101B-9397-08002B2CF9AE}" pid="4" name="ContentTypeId">
    <vt:lpwstr>0x0101000EC482A17D284AEE8290D09FC0D2D6D200C589622A2BFC49F09A63EB8A040062500019FF819C3E544C48AEC9323C399E6FCA</vt:lpwstr>
  </property>
  <property fmtid="{D5CDD505-2E9C-101B-9397-08002B2CF9AE}" pid="5" name="SaTyDocumentOrganisation">
    <vt:lpwstr/>
  </property>
  <property fmtid="{D5CDD505-2E9C-101B-9397-08002B2CF9AE}" pid="6" name="SaTyDocumentMonth">
    <vt:lpwstr/>
  </property>
  <property fmtid="{D5CDD505-2E9C-101B-9397-08002B2CF9AE}" pid="7" name="eb88049090c34051aae092bae2056bc2">
    <vt:lpwstr>määräysluonnos|bfba283e-4fe5-4bf3-852f-03bd96083c7d</vt:lpwstr>
  </property>
  <property fmtid="{D5CDD505-2E9C-101B-9397-08002B2CF9AE}" pid="8" name="SaTyTosKeywords">
    <vt:lpwstr>99;#määräysluonnos|bfba283e-4fe5-4bf3-852f-03bd96083c7d</vt:lpwstr>
  </property>
  <property fmtid="{D5CDD505-2E9C-101B-9397-08002B2CF9AE}" pid="9" name="SaTyDocumentLanguage">
    <vt:lpwstr>1;#Suomi|88d960e6-e76c-48a2-b607-f1600797b640</vt:lpwstr>
  </property>
  <property fmtid="{D5CDD505-2E9C-101B-9397-08002B2CF9AE}" pid="10" name="SaTyDocumentOtherTag">
    <vt:lpwstr>98;#Kevyt tavarankuljetinmääräys|da0cf0c7-7896-4099-a6b9-60e8183eddb7</vt:lpwstr>
  </property>
</Properties>
</file>