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KAPITEL 4: Tilgængelighed i transportmidler</w:t>
      </w:r>
    </w:p>
    <w:p w14:paraId="456422CC" w14:textId="551AF3E3" w:rsidR="00CC0ADF" w:rsidRPr="00CC0ADF" w:rsidRDefault="00CC0ADF" w:rsidP="000F4434">
      <w:pPr>
        <w:pStyle w:val="ListParagraph"/>
        <w:numPr>
          <w:ilvl w:val="1"/>
          <w:numId w:val="2"/>
        </w:numPr>
        <w:ind w:left="709"/>
        <w:jc w:val="both"/>
        <w:outlineLvl w:val="3"/>
        <w:rPr>
          <w:rFonts w:cs="Arial"/>
          <w:bCs/>
          <w:sz w:val="22"/>
          <w:szCs w:val="22"/>
        </w:rPr>
      </w:pPr>
      <w:r>
        <w:rPr>
          <w:sz w:val="22"/>
        </w:rPr>
        <w:t>Når en taxatjeneste tilbydes med telefonreservation, skal denne tjeneste udvide mulighederne for henvendelse via nye teknologier, applikationer, internettet, sms, fax eller lignende midler, således at alle brugere, herunder dem, der har nedsat hørelse, selv kan anmode om tjenesten.</w:t>
      </w:r>
    </w:p>
    <w:p w14:paraId="2D97C4D3" w14:textId="77777777" w:rsidR="00CC0ADF" w:rsidRPr="000F0A63" w:rsidRDefault="00CC0ADF" w:rsidP="000F4434">
      <w:pPr>
        <w:pStyle w:val="ListParagraph"/>
        <w:numPr>
          <w:ilvl w:val="1"/>
          <w:numId w:val="2"/>
        </w:numPr>
        <w:ind w:left="709"/>
        <w:jc w:val="both"/>
        <w:outlineLvl w:val="3"/>
        <w:rPr>
          <w:rFonts w:cs="Arial"/>
          <w:bCs/>
          <w:sz w:val="22"/>
          <w:szCs w:val="22"/>
        </w:rPr>
      </w:pPr>
      <w:r>
        <w:rPr>
          <w:sz w:val="22"/>
        </w:rPr>
        <w:t xml:space="preserve">Når "taxi on demand"-tjenesten har et websted, skal den som minimum være tilgængelig på AA-niveau i WCAG 2.1-retningslinjerne. </w:t>
      </w:r>
    </w:p>
    <w:p w14:paraId="4AEFA1EE" w14:textId="2FEB6DE3" w:rsidR="00CC0ADF" w:rsidRDefault="00CC0ADF" w:rsidP="000F4434">
      <w:pPr>
        <w:pStyle w:val="ListParagraph"/>
        <w:numPr>
          <w:ilvl w:val="1"/>
          <w:numId w:val="3"/>
        </w:numPr>
        <w:ind w:left="709" w:hanging="709"/>
        <w:jc w:val="both"/>
        <w:outlineLvl w:val="3"/>
        <w:rPr>
          <w:rFonts w:cs="Arial"/>
          <w:bCs/>
          <w:sz w:val="22"/>
          <w:szCs w:val="22"/>
        </w:rPr>
      </w:pPr>
      <w:r>
        <w:rPr>
          <w:sz w:val="22"/>
        </w:rPr>
        <w:t>Booking af en taxa, der er tilgængelig for bevægelseshæmmede personer via telefon, internet eller mobilapplikation, kan ikke gøres til genstand for forventede efterspørgselstillæg. Handicapkortet fungerer som bevis, hvis der anmodes om det.</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KAPITEL 5: Tilgængelighed i produkter</w:t>
      </w:r>
    </w:p>
    <w:p w14:paraId="183BC7CF" w14:textId="76471CF5" w:rsidR="00CC0ADF" w:rsidRPr="000F0A63" w:rsidRDefault="00CC0ADF" w:rsidP="00CC0ADF">
      <w:pPr>
        <w:keepNext/>
        <w:jc w:val="both"/>
        <w:outlineLvl w:val="2"/>
        <w:rPr>
          <w:rFonts w:cs="Arial"/>
          <w:bCs/>
          <w:sz w:val="22"/>
          <w:szCs w:val="22"/>
        </w:rPr>
      </w:pPr>
      <w:bookmarkStart w:id="0" w:name="_Ref447791242"/>
      <w:r>
        <w:rPr>
          <w:sz w:val="22"/>
        </w:rPr>
        <w:t>Artikel 116</w:t>
      </w:r>
      <w:r>
        <w:rPr>
          <w:sz w:val="22"/>
        </w:rPr>
        <w:tab/>
        <w:t>Forbrugerprodukter</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rFonts w:cs="Arial"/>
          <w:bCs/>
          <w:sz w:val="22"/>
          <w:szCs w:val="22"/>
        </w:rPr>
      </w:pPr>
      <w:r>
        <w:rPr>
          <w:sz w:val="22"/>
        </w:rPr>
        <w:t>Et produkt anses for tilgængeligt, når det opfylder følgende betingelser:</w:t>
      </w:r>
    </w:p>
    <w:p w14:paraId="197D9229"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Det har et tilgængeligt mærke, der svarer til dets egenskaber, og som gør det muligt at identificere det med sit navn og de mest relevante oplysninger.</w:t>
      </w:r>
    </w:p>
    <w:p w14:paraId="015CE9DE"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Dets design følger universelle designkriterier, med passende anvendelses- og sikkerhedsbetingelser for enhver bruger.</w:t>
      </w:r>
    </w:p>
    <w:p w14:paraId="64849B40"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Yderligere oplysninger, instrukser eller prospekter kan findes via internettet, enhedsapplikationer og anvendelse af nye teknologier med tilgængeligt indhold, der opfylder betingelserne i stk. 25 og 26 i bilag 5a.</w:t>
      </w:r>
    </w:p>
    <w:p w14:paraId="4E44C98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Virksomheder, der markedsfører et produkt, er ansvarlige for at sikre, at de adgangsbetingelser, der gælder for det, er opfyldt.</w:t>
      </w:r>
    </w:p>
    <w:p w14:paraId="3FF43F32"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Lægemidler og farlige produkter skal indeholde dataelementer og -systemer, således at blinde eller døveblinde har adgang til følgende oplysninger: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Identifikation af produktets navn på emballagen ved hjælp af blindeskrift og ikonografi.</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 xml:space="preserve">Udløbsdatoen på emballagen ved hjælp af blindeskrift og ikonografi eller andre alternative ressourcer med samme egenskaber.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rFonts w:cs="Arial"/>
          <w:i/>
          <w:sz w:val="22"/>
          <w:szCs w:val="22"/>
        </w:rPr>
      </w:pPr>
      <w:r>
        <w:rPr>
          <w:sz w:val="22"/>
        </w:rPr>
        <w:t xml:space="preserve">Produktets vigtigste egenskaber, såsom dets sammensætning og bevarelse, bl.a. gennem lydsøgning via internettet eller på andre måder, der tillader nye teknologier med samme effektivitet, efter anmodning fra sammenslutninger for personer med synshandicap. </w:t>
      </w:r>
    </w:p>
    <w:p w14:paraId="4F2A53F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Supermarkedskæder og hele eller delvise fødevarevirksomheder skal alle steder, hvor de har lokaliteter på over 250 m² nyttigt areal til offentlig brug, efter anmodning fra en blind person eller en slægtning til denne, garantere følgende betingelser:</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Mindst én af virksomhederne foretager i virksomheden selv mærkning af betegnelser og udløbsdatoer i blindeskrift på letfordærvelige produkter eller produkter, der kan skabe forveksling, ved hjælp af printere eller systemer, der tillader en sådan mærkning i blindeskrift</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At produkter, der sælges online og leveres hjemme, også er mærket i blindeskrift som angivet i punktet ovenfor</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Den kommercielle formidling, der finder sted via internettet eller på anden måde, giver i et tilgængeligt format oplysninger om, hvilke virksomheder, der i hvilke lokaliteter giver mulighed for at mærke produkter i blindeskrift.</w:t>
      </w:r>
    </w:p>
    <w:p w14:paraId="5332F12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I kommuner med mere end 50.000 indbyggere anses hvert kvarter for at være et nyt territorialt område og sidestilles med en lokalitet med henblik på anvendelsen af det foregående stykke. </w:t>
      </w:r>
    </w:p>
    <w:p w14:paraId="6459331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Centraladministrationen skal gradvist udvikle tekniske instruktioner, der inkorporerer nye teknologiske fremskridt, og fastlægge specifikationer, frister, karakteristika og kriterier for tilgængelig mærkning, og de universelle retningslinjer for design, der gælder for produkterne i de forskellige kommercielle sektorer. </w:t>
      </w:r>
    </w:p>
    <w:p w14:paraId="4D08CFD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Forbrugere med synshandicap og døvblindhed har uafhængigt, normalt, let, umiddelbart og på lige vilkår ret til at få adgang til de samme produktoplysninger, som alle forbrugere og </w:t>
      </w:r>
      <w:r>
        <w:rPr>
          <w:sz w:val="22"/>
        </w:rPr>
        <w:lastRenderedPageBreak/>
        <w:t>brugere har i deres mærkning. Til dette formål skal tilgængelig mærkning opfylde følgende betingelser:</w:t>
      </w:r>
    </w:p>
    <w:p w14:paraId="661B566E"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Den skal give så mange oplysninger som muligt og give handicappede forbrugere lige vilkår som for andre forbrugere.</w:t>
      </w:r>
    </w:p>
    <w:p w14:paraId="41CFB18C"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Den skal gøre det muligt at indhente oplysninger uafhængigt, hurtigt, bekvemt, direkte og på en standardiseret måde, uden at det kræver stor teknisk viden eller brug af teknologiske midler.</w:t>
      </w:r>
    </w:p>
    <w:p w14:paraId="57DB1DC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Den må ikke udgøre en ekstra omkostning for handicappede forbrugere.</w:t>
      </w:r>
    </w:p>
    <w:p w14:paraId="0C13286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Den behøver ikke at generere uoverkommelige omkostninger for virksomhederne.</w:t>
      </w:r>
    </w:p>
    <w:p w14:paraId="5602A71A"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 forpligtede virksomheder, der tilbyder elektroniske salgstjenester, skal på det respektive websted inkludere muligheden for, at produkter, der købes på denne måde, leveres med den tilgængelige mærkning.</w:t>
      </w:r>
    </w:p>
    <w:p w14:paraId="3ED1718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Forbrugervoldgiftssystemet og dets procedurer og processer skal være tilgængelige for personer med handicap.</w:t>
      </w:r>
    </w:p>
    <w:p w14:paraId="03FE17A7"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Offentlige og private forbrugertjenester skal træffe tilstrækkelige støtteforanstaltninger til at lette adgangen til kommunikation for døve, der kommunikerer på tegnsprog og mundtligt. Desuden skal de have en teleslynge installeret i 20 % af de offentlige servicekontorer, og deres personale skal være parat til at give oplysninger til personer med handicap af enhver art inden for en periode på højst tre år efter ikrafttræden af denne kodeks.</w:t>
      </w:r>
    </w:p>
    <w:p w14:paraId="178D066A" w14:textId="77777777" w:rsidR="00CC0ADF" w:rsidRDefault="00CC0ADF">
      <w:pPr>
        <w:rPr>
          <w:lang w:val="es-ES"/>
        </w:rPr>
      </w:pPr>
    </w:p>
    <w:p w14:paraId="3EF53236" w14:textId="476D7F11" w:rsidR="00E526B5" w:rsidRDefault="00B670F2">
      <w:r>
        <w:rPr>
          <w:sz w:val="22"/>
        </w:rPr>
        <w:t>KAPITEL 6: Tilgængelighed i tjenester</w:t>
      </w:r>
    </w:p>
    <w:p w14:paraId="7DEC37FB" w14:textId="27CCD605" w:rsidR="00CC0ADF" w:rsidRPr="00CC0ADF" w:rsidRDefault="00CC0ADF" w:rsidP="000F4434">
      <w:pPr>
        <w:pStyle w:val="ListParagraph"/>
        <w:numPr>
          <w:ilvl w:val="1"/>
          <w:numId w:val="9"/>
        </w:numPr>
        <w:ind w:left="0" w:firstLine="0"/>
        <w:jc w:val="both"/>
        <w:outlineLvl w:val="3"/>
        <w:rPr>
          <w:rFonts w:cs="Arial"/>
          <w:bCs/>
          <w:sz w:val="22"/>
          <w:szCs w:val="22"/>
        </w:rPr>
      </w:pPr>
      <w:r>
        <w:rPr>
          <w:sz w:val="22"/>
        </w:rPr>
        <w:t>Offentlige tjenester, der har websteder, der er tilgængelige for offentligheden, skal oplyse om tilgængeligheden af disse tjenester og om deres afhængighed, faciliteter og procedurer.</w:t>
      </w:r>
    </w:p>
    <w:p w14:paraId="6A2C95FC" w14:textId="77777777" w:rsidR="00CC0ADF" w:rsidRPr="000F0A63" w:rsidRDefault="00CC0ADF" w:rsidP="000F4434">
      <w:pPr>
        <w:pStyle w:val="ListParagraph"/>
        <w:numPr>
          <w:ilvl w:val="1"/>
          <w:numId w:val="9"/>
        </w:numPr>
        <w:ind w:left="0" w:firstLine="0"/>
        <w:jc w:val="both"/>
        <w:outlineLvl w:val="3"/>
        <w:rPr>
          <w:rFonts w:cs="Arial"/>
          <w:bCs/>
          <w:sz w:val="22"/>
          <w:szCs w:val="22"/>
        </w:rPr>
      </w:pPr>
      <w:r>
        <w:rPr>
          <w:sz w:val="22"/>
        </w:rPr>
        <w:t xml:space="preserve">Websteder, applikationer til mobile enheder og andre informations- og kommunikationsteknologiske produkter og tjenester, der tilbydes af offentlige tjenester, skal opfylde betingelserne i bilag 5a til denne kodeks og standard UNE-EN 301549:2022 eller den, der erstatter den, i overensstemmelse med Europa-Parlamentets og Rådets direktiv (EU) 2016/2102 og gennemførelsen ved kongeligt dekret 112/2018 af 7. september 2018 om tilgængeligheden af websteder og applikationer til mobile enheder i den offentlige sektor, uden at dette berører det kompetente organs regulering af dette i Catalonien.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rFonts w:cs="Arial"/>
          <w:sz w:val="22"/>
          <w:szCs w:val="22"/>
        </w:rPr>
      </w:pPr>
      <w:r>
        <w:rPr>
          <w:sz w:val="22"/>
        </w:rPr>
        <w:t>Websteder og mobilapplikationer for supermarkedskæder og hele eller delvise fødevarevirksomheder med et nyttigt område til offentlig brug på over 500 m², der giver mulighed for at købe online og modtage produkter gennem levering til hjemmet, skal være tilgængelige i overensstemmelse med betingelserne i stk. 25 og 26 i bilag 5a og mindst opnå det dobbelte A (AA) tilgængelighedsniveau i overensstemmelse med WCAG 2.1-retningslinjerne i følgende situationer:</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 xml:space="preserve">Når det gælder nyoprettede websider eller applikationer.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Når de eksisterende websider eller applikationer ændres.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Når fristerne i stk. 4 i bilag 6b overholdes ved at tilpasse de eksisterende websider og applikationer.</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rFonts w:cs="Arial"/>
          <w:bCs/>
          <w:sz w:val="22"/>
          <w:szCs w:val="22"/>
        </w:rPr>
      </w:pPr>
      <w:r>
        <w:rPr>
          <w:sz w:val="22"/>
        </w:rPr>
        <w:t>Websider og applikationer til mobile enheder, som muliggør bankvirksomhed, kontraktindgåelse eller enhver anden form for håndtering eller konsultation vedrørende produkter, der er indgået kontrakt med på et fysisk kontor, skal være tilgængelige i overensstemmelse med betingelserne i stk. 25 og 26 i bilag 5a og mindst opnå det dobbelte A (AA) tilgængelighedsniveau i overensstemmelse med WCAG 2.1-retningslinjerne i følgende situationer:</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 xml:space="preserve">Når det gælder nyoprettede websider eller applikationer.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Når de eksisterende websider eller applikationer ændres.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Når fristerne i stk. 5 i bilag 6b overholdes ved at tilpasse de eksisterende websider og applikationer.</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rFonts w:cs="Arial"/>
          <w:bCs/>
          <w:sz w:val="22"/>
          <w:szCs w:val="22"/>
        </w:rPr>
      </w:pPr>
      <w:r>
        <w:rPr>
          <w:sz w:val="22"/>
        </w:rPr>
        <w:t>Websteder og mobilapplikationer i hotelkæder og -virksomheder med en kapacitet på mere end 100 pladser, som muliggør onlinetjenester og aftaler om indkvartering, skal være tilgængelige i overensstemmelse med betingelserne i stk. 25 og 26 i bilag 5a og mindst opnå det dobbelte A (AA) tilgængelighedsniveau i overensstemmelse med WCAG 2.1-retningslinjerne i følgende situationer:</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 xml:space="preserve">Når det gælder nyoprettede websider eller applikationer.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Når de eksisterende websider eller applikationer ændres.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Når de frister, der er fastsat i stk. 7 i bilag 6b til tilpasning af eksisterende websider og applikationer, overholdes.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rFonts w:cs="Arial"/>
          <w:sz w:val="22"/>
          <w:szCs w:val="22"/>
        </w:rPr>
      </w:pPr>
      <w:r>
        <w:rPr>
          <w:sz w:val="22"/>
        </w:rPr>
        <w:t>Virksomheders eller virksomhedssammenslutningers websteder og mobilapplikationer skal være tilgængelige i overensstemmelse med betingelserne i stk. 25 og 26 i bilag 5a. Opnåelse af mindst det dobbelte A (AA) tilgængelighedsniveau i overensstemmelse med WCAG 2.1-retningslinjerne og give de oplysninger, der er anført i de foregående stykker, i følgende situationer:</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 xml:space="preserve">Når det gælder nyoprettede websider eller applikationer.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Når de eksisterende websider eller applikationer ændres.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Når de frister, der er fastsat i stk. 3 i bilag 6b til tilpasning af eksisterende websider og applikationer, overholdes.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rFonts w:cs="Arial"/>
          <w:bCs/>
          <w:sz w:val="22"/>
          <w:szCs w:val="22"/>
        </w:rPr>
      </w:pPr>
      <w:r>
        <w:rPr>
          <w:sz w:val="22"/>
        </w:rPr>
        <w:t>Websteder og mobilapplikationer for sportsvirksomheder og -klubber, der tilbyder billetsalg til arrangementer på deres spillested, skal være tilgængelige og give de nødvendige oplysninger på de samme betingelser som fastsat i artikel 133 for tjenester i forbindelse med scenekunst.</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rFonts w:cs="Arial"/>
          <w:bCs/>
          <w:sz w:val="22"/>
          <w:szCs w:val="22"/>
        </w:rPr>
      </w:pPr>
      <w:r>
        <w:rPr>
          <w:sz w:val="22"/>
        </w:rPr>
        <w:t>Websteder og mobilapplikationer for uddannelsesinstitutioner, der udbyder formel uddannelse, skal være tilgængelige i overensstemmelse med betingelserne i stk. 25 og 26 i bilag 5a og mindst opnå det dobbelte A (AA) tilgængelighedsniveau i overensstemmelse med WCAG 2.1-retningslinjerne i følgende situationer:</w:t>
      </w:r>
    </w:p>
    <w:p w14:paraId="46144290"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 xml:space="preserve">Når det gælder nyoprettede websider eller applikationer. </w:t>
      </w:r>
    </w:p>
    <w:p w14:paraId="124A7079"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Når de eksisterende websider eller applikationer ændres.</w:t>
      </w:r>
    </w:p>
    <w:p w14:paraId="4CC9837C"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Når fristerne i stk. 8 i bilag 6b overholdes ved at tilpasse de eksisterende websider og applikationer.</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rFonts w:cs="Arial"/>
          <w:bCs/>
          <w:sz w:val="22"/>
          <w:szCs w:val="22"/>
        </w:rPr>
      </w:pPr>
      <w:bookmarkStart w:id="1" w:name="_Ref447800574"/>
      <w:r>
        <w:rPr>
          <w:sz w:val="22"/>
        </w:rPr>
        <w:t>Artikel 138</w:t>
      </w:r>
      <w:r>
        <w:rPr>
          <w:sz w:val="22"/>
        </w:rPr>
        <w:tab/>
        <w:t xml:space="preserve">Væsentlige tjenester, tjenester af almen interesse eller offentligt finansierede tjenester </w:t>
      </w:r>
      <w:bookmarkEnd w:id="1"/>
    </w:p>
    <w:p w14:paraId="7D137DE4" w14:textId="752BD128" w:rsidR="003920DF" w:rsidRPr="003920DF" w:rsidRDefault="003920DF" w:rsidP="000F4434">
      <w:pPr>
        <w:pStyle w:val="ListParagraph"/>
        <w:numPr>
          <w:ilvl w:val="1"/>
          <w:numId w:val="23"/>
        </w:numPr>
        <w:ind w:left="0" w:firstLine="0"/>
        <w:jc w:val="both"/>
        <w:outlineLvl w:val="3"/>
        <w:rPr>
          <w:rFonts w:cs="Arial"/>
          <w:bCs/>
          <w:sz w:val="22"/>
          <w:szCs w:val="22"/>
        </w:rPr>
      </w:pPr>
      <w:r>
        <w:rPr>
          <w:sz w:val="22"/>
        </w:rPr>
        <w:t>Websteder for den catalanske offentlige sektor og offentligretlige selskaber samt alle websteder, der iværksættes med finansiering fra den offentlige forvaltning, og websteder fra enheder eller virksomheder, der leverer offentlige tjenester ved koncession eller på kontraktbasis med den offentlige forvaltning, skal opfylde kravene i stk. 25 i bilag 5a og opnå det dobbelte A (AA) tilgængelighedsniveau i overensstemmelse med WCAG 2.1-retningslinjerne, uden at dette berører det kompetente organs regulering af dette i Catalonien i overensstemmelse med kongeligt dekret 1112/2018 af 7. september 2018 om tilgængelighed af websteder og applikationer til mobile enheder i den offentlige sektor.</w:t>
      </w:r>
    </w:p>
    <w:p w14:paraId="6FD18B43"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Websteder tilhørende private virksomheder, der leverer væsentlige tjenester eller tjenester af almen interesse, herunder elektricitet, vand eller gas og telekommunikation, samt sundhedsydelser, post- og banktjenester, skal også opfylde kravene i stk. 25 i bilag 5a og det dobbelte A-niveau for tilgængelighed i overensstemmelse med WCAG 2.1-retningslinjerne. </w:t>
      </w:r>
    </w:p>
    <w:p w14:paraId="54D877DC" w14:textId="68D622D4"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lastRenderedPageBreak/>
        <w:t>Applikationerne til mobile enheder i den offentlige sektor og de virksomheder, der er nævnt i stk. 138.1 og 138.2 ovenfor, skal opfylde tilgængelighedskravene i stk. 26 i bilag 5a, uden at dette berører det kompetente organs regulering af dette i Catalonien.</w:t>
      </w:r>
    </w:p>
    <w:p w14:paraId="0F7B09C4" w14:textId="77777777" w:rsidR="003920DF" w:rsidRPr="000F0A63" w:rsidRDefault="003920DF" w:rsidP="000F4434">
      <w:pPr>
        <w:pStyle w:val="ListParagraph"/>
        <w:numPr>
          <w:ilvl w:val="1"/>
          <w:numId w:val="23"/>
        </w:numPr>
        <w:ind w:left="0" w:firstLine="0"/>
        <w:jc w:val="both"/>
        <w:outlineLvl w:val="3"/>
        <w:rPr>
          <w:rFonts w:cs="Arial"/>
          <w:sz w:val="22"/>
          <w:szCs w:val="22"/>
        </w:rPr>
      </w:pPr>
      <w:r>
        <w:rPr>
          <w:sz w:val="22"/>
        </w:rPr>
        <w:t>De tilgængelighedskrav for websteder og mobilapplikationer, der er fastsat i denne artikel, finder anvendelse, forudsat at de ikke pålægger den virksomhed, der skal anvende dem, en uforholdsmæssig stor byrde i overensstemmelse med følgende omstændigheder:</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Den pågældende virksomheds dimensioner, ressourcer og art.</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 xml:space="preserve">Virksomhedens omkostninger og fordele samt de anslåede fordele for brugerne under hensyntagen til hyppigheden og varigheden af brugen af det pågældende websted eller den pågældende applikation.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De diskriminerende virkninger for personer med handicap, hvis webstedet eller applikationen ikke er tilgængelig i tilfælde af, at der på markedet er websteder eller alternative applikationer, der tilbyder de samme funktioner og betingelser.</w:t>
      </w:r>
    </w:p>
    <w:p w14:paraId="7EAD681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Den offentlige sektor eller enhed, der gør brug af undtagelsen i stk. 138.4 ovenfor, skal forklare, hvilke tilgængelighedskrav der ikke kunne opfyldes i webstedets eller applikationens tilgængelighedserklæring, og skal tilbyde tilgængelige alternativer.</w:t>
      </w:r>
    </w:p>
    <w:p w14:paraId="5D7ECF09"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Websider og mobilapplikationer skal overholde de tilgængelighedsbetingelser, der er fastsat i de foregående stykker, inden de endelige frister, der er fastsat i stk. 2 i bilag 6b.</w:t>
      </w:r>
    </w:p>
    <w:p w14:paraId="64D96B3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Tjenesteudbydere og producenter, der leverer IT-udstyr og -software til den offentlige sektor i Catalonien og de enheder, der er omhandlet i stk. 138.1, skal omfatte de yderligere tilgængelighedselementer og -funktioner, der er nødvendige for at give personer med handicap adgang til digitalt indhold. </w:t>
      </w:r>
    </w:p>
    <w:p w14:paraId="03F2890E"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Offentlige og private tv-selskaber i Catalonien skal udvikle planer for tilgængeligheden af deres indhold for gradvist at gøre deres programmer tilgængelige for personer med sensorisk og mentalt handicap. Disse planer skal gøre det muligt at nå følgende mål inden for en periode på højst tre år efter ikrafttræden af denne kodeks:</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Offentlige tv-selskaber: Alle programmer skal have undertekster og der skal udsendes mindst 15 timers ugentligt indhold med lydbeskrivelse og 10 timer ugentligt på catalansk tegnsprog.</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Private tv-selskaber: 75 % af programmerne skal have undertekster og der skal udsendes mindst 10 timers ugentligt indhold med lydbeskrivelse og 7 timer ugentligt på catalansk tegnsprog.</w:t>
      </w:r>
    </w:p>
    <w:p w14:paraId="221F24A7"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Programmer med catalansk tegnsprog skal omfatte nyhedsprogrammer og børneprogrammer, der er tilgængelige som forudindspillet visning, når denne tjeneste er tilgængelig. Disse programmer skal dække alle ugens dage. </w:t>
      </w:r>
    </w:p>
    <w:p w14:paraId="1FCDD2A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Virksomheder, der distribuerer film og audiovisuelle værker, skal tilbyde undertekstning, lydbeskrivelse og lydnavigationssystemer og helst i udenlandske og indenlandske film, der har solgt mange billetter eller har modtaget nationale eller internationale priser, og således gøre dem tilgængelige via DVD eller lignende systemer med disse funktioner.</w:t>
      </w:r>
    </w:p>
    <w:p w14:paraId="0F3986EB" w14:textId="77777777" w:rsidR="003920DF" w:rsidRDefault="003920DF">
      <w:pPr>
        <w:rPr>
          <w:lang w:val="es-ES"/>
        </w:rPr>
      </w:pPr>
    </w:p>
    <w:p w14:paraId="44244122" w14:textId="3BAB5CCF" w:rsidR="00E526B5" w:rsidRDefault="00B670F2">
      <w:r>
        <w:rPr>
          <w:sz w:val="22"/>
        </w:rPr>
        <w:t>KAPITEL 11: Kvalitetsmærke for tilgængelighed</w:t>
      </w:r>
    </w:p>
    <w:p w14:paraId="5E23591F" w14:textId="30E33DFC" w:rsidR="00E526B5" w:rsidRPr="000F0A63" w:rsidRDefault="00E526B5" w:rsidP="000F4434">
      <w:pPr>
        <w:pStyle w:val="Heading4"/>
        <w:keepNext w:val="0"/>
        <w:numPr>
          <w:ilvl w:val="1"/>
          <w:numId w:val="24"/>
        </w:numPr>
        <w:spacing w:before="0" w:after="0"/>
        <w:ind w:left="0" w:firstLine="0"/>
        <w:jc w:val="both"/>
        <w:rPr>
          <w:rFonts w:cs="Arial"/>
          <w:sz w:val="22"/>
          <w:szCs w:val="22"/>
        </w:rPr>
      </w:pPr>
      <w:r>
        <w:rPr>
          <w:sz w:val="22"/>
        </w:rPr>
        <w:t>Offentlig høring af virksomheder og offentlige enheder, der har kvalitetsmærket, skal være mulig, i det mindste via internettet, med forbehold af andre måder, der kan være hensigtsmæssige.</w:t>
      </w:r>
    </w:p>
    <w:p w14:paraId="6CBE5DDA" w14:textId="77777777" w:rsidR="00E526B5" w:rsidRDefault="00E526B5">
      <w:pPr>
        <w:rPr>
          <w:lang w:val="es-ES"/>
        </w:rPr>
      </w:pPr>
    </w:p>
    <w:p w14:paraId="3BFAD248" w14:textId="66A7955A" w:rsidR="00E526B5" w:rsidRDefault="00CF1E0D">
      <w:r>
        <w:rPr>
          <w:sz w:val="22"/>
        </w:rPr>
        <w:t>Bilag 5a: Standarder for produkttilgængelighed</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rFonts w:cs="Arial"/>
          <w:bCs/>
          <w:iCs/>
          <w:sz w:val="22"/>
          <w:szCs w:val="22"/>
        </w:rPr>
      </w:pPr>
      <w:bookmarkStart w:id="2" w:name="_Ref447796406"/>
      <w:r>
        <w:rPr>
          <w:sz w:val="22"/>
        </w:rPr>
        <w:t>Tilgængelige websider</w:t>
      </w:r>
      <w:bookmarkEnd w:id="2"/>
      <w:r>
        <w:rPr>
          <w:sz w:val="22"/>
        </w:rPr>
        <w:t xml:space="preserve"> </w:t>
      </w:r>
    </w:p>
    <w:p w14:paraId="2592043C" w14:textId="77777777" w:rsidR="00E526B5" w:rsidRPr="000F0A63" w:rsidRDefault="00E526B5" w:rsidP="00E526B5">
      <w:pPr>
        <w:tabs>
          <w:tab w:val="num" w:pos="0"/>
          <w:tab w:val="left" w:pos="284"/>
        </w:tabs>
        <w:jc w:val="both"/>
        <w:rPr>
          <w:rFonts w:cs="Arial"/>
          <w:sz w:val="22"/>
          <w:szCs w:val="22"/>
        </w:rPr>
      </w:pPr>
      <w:r>
        <w:rPr>
          <w:sz w:val="22"/>
        </w:rPr>
        <w:t xml:space="preserve">De retningslinjer, der skal følges ved design og oprettelse af et websted, og betingelserne for, at det er tilgængeligt, er følgende: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Konfigurere indholdet, så det kan tilpasses til en anderledes software, enheder og supportprodukter uden at miste information eller struktur.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Angive tekstalternativer eller beskrivende identifikation for ikketekstbaseret indhold (billeder, grafik, multimedieindhold).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lastRenderedPageBreak/>
        <w:t xml:space="preserve">Inkludere undertekster og lydbeskrivelse for multimedieindhold, når det er nødvendigt for korrekt forståelse af indholdet.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Tilbyde mekanismer, der gør det muligt at slå lyden fra og regulere lydstyrken.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Ingen brug af farve som den eneste metode til at formidle information, angive en handling eller skelne et element.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Tekst og billeder skal have en tilstrækkelig kontrast til baggrunden og en størrelse, der giver dem mulighed for nem læsning.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Tekstens størrelse skal kunne justeres fra selve siden uden hjælp af supportprodukter og uden at miste indhold eller funktionalitet.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Give adgang via tastaturet til alle funktionerne på siden, med en løsning, der ikke er i konflikt med skærmlæsere og forstørrelsesglas.</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Tillade brugeren at styre de oplysninger eller objekter, der automatisk flyttes eller opdateres, og være i stand til at stoppe dem og skjule eller styre frekvensen.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bookmarkStart w:id="3" w:name="_Ref488129626"/>
      <w:r>
        <w:rPr>
          <w:sz w:val="22"/>
        </w:rPr>
        <w:t xml:space="preserve">Lette navigationen ved at strukturere indholdet i en sammenhængende rækkefølge og tilvejebringe klare navigationsmekanismer.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Inkludere vejledningsoplysninger for at hjælpe brugerne med at forstå komplekse elementer og tilvejebringe mekanismer til at opdage og forhindre fejl i dataindtastningen fra brugernes side.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Identificere det sprog, der anvendes i hvert stykke eller dokument på webstedet, så skærmlæsere og talesyntetisatorer automatisk kan registrere og ændre sproget. </w:t>
      </w:r>
    </w:p>
    <w:p w14:paraId="02F86763" w14:textId="684E4BC8"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Bruge et klart og forståeligt sprog for at gøre indholdet let forståeligt og inkludere definitionen af de mest usædvanlige ord og betydningen af akronymer og forkortelser.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Maksimere kompatibilitet med applikationer, software og enheder, som brugere kan have, herunder supportprodukter.</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Sikre, at dokumenter, der offentliggøres på internettet, også er tilgængelige og læselige for skærmlæsere.</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Tilbyde andre tilgængelige kommunikationskanaler end telefon i form af e-mail, SMS eller formularer med en håndteringstid, der ikke er diskriminerende i forhold til et telefonopkald.</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 xml:space="preserve">Opfylde kriterierne i henhold til WCAG 2.1-retningslinjerne på et af deres niveauer med de betingelser, der er fastsat i standard UNE 139803:2012 eller den, der erstatter den, undtagen i de situationer, hvor denne kodeks kræver et højere niveau.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rFonts w:cs="Arial"/>
          <w:sz w:val="22"/>
          <w:szCs w:val="22"/>
        </w:rPr>
      </w:pPr>
      <w:bookmarkStart w:id="4" w:name="_Ref504990560"/>
      <w:r>
        <w:rPr>
          <w:sz w:val="22"/>
        </w:rPr>
        <w:t>Tilgængelige applikationer</w:t>
      </w:r>
      <w:bookmarkEnd w:id="3"/>
      <w:bookmarkEnd w:id="4"/>
    </w:p>
    <w:p w14:paraId="7EB099BF" w14:textId="77777777" w:rsidR="00E526B5" w:rsidRPr="000F0A63" w:rsidRDefault="00E526B5" w:rsidP="00E526B5">
      <w:pPr>
        <w:tabs>
          <w:tab w:val="left" w:pos="284"/>
          <w:tab w:val="left" w:pos="426"/>
        </w:tabs>
        <w:jc w:val="both"/>
        <w:rPr>
          <w:rFonts w:cs="Arial"/>
          <w:sz w:val="22"/>
          <w:szCs w:val="22"/>
        </w:rPr>
      </w:pPr>
      <w:r>
        <w:rPr>
          <w:sz w:val="22"/>
        </w:rPr>
        <w:t xml:space="preserve">Applikationer tilgængelige via mobil skal opfylde betingelserne i standard UNE 139803:2012 eller den, der erstatter den, og skal følge følgende generelle kriterier: </w:t>
      </w:r>
    </w:p>
    <w:p w14:paraId="580725D4"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Alle meddelelser, hjælpesystemer og tekster skal skrives i et klart og enkelt sprog.</w:t>
      </w:r>
    </w:p>
    <w:p w14:paraId="2543102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Teksten skal være forståelig med en størrelse og skrifttype, der letter læsningen.</w:t>
      </w:r>
    </w:p>
    <w:p w14:paraId="18CF95B7"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Elementernes farvekontrast i forhold til baggrunden skal være tilstrækkelig. </w:t>
      </w:r>
    </w:p>
    <w:p w14:paraId="6EAF5662"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Kontrolelementer, objekter, ikoner og billeder skal kunne identificeres, være lette at bruge og have tilhørende alternativ tekst, der angiver deres funktion eller betydning. </w:t>
      </w:r>
    </w:p>
    <w:p w14:paraId="5791E3B0"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Advarsler skal have visuelle eller vibrationelle alternativer. </w:t>
      </w:r>
    </w:p>
    <w:p w14:paraId="12D8BAF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Processen med at få adgang til tjenesten skal være nem og hurtig.</w:t>
      </w:r>
    </w:p>
    <w:p w14:paraId="1F898261"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Applikationen skal være kompatibel med supportprodukter såsom skærmlæsere, forstørrelsesglas og stemmekommandoer.</w:t>
      </w:r>
    </w:p>
    <w:p w14:paraId="795B853F"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Applikationen skal være kompatibel med operativsystemets tilgængelighedsværktøjer.</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rFonts w:cs="Arial"/>
          <w:bCs/>
          <w:sz w:val="22"/>
          <w:szCs w:val="22"/>
        </w:rPr>
      </w:pPr>
      <w:r>
        <w:rPr>
          <w:sz w:val="22"/>
        </w:rPr>
        <w:lastRenderedPageBreak/>
        <w:t>Bilag 6b: Frister for tilpasning af eksisterende tjenester til de fastsatte betingelser</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5" w:name="_Ref505083170"/>
      <w:r>
        <w:rPr>
          <w:sz w:val="22"/>
        </w:rPr>
        <w:t>Kompatibilitet med andre krævede betingelser</w:t>
      </w:r>
      <w:bookmarkEnd w:id="5"/>
      <w:r>
        <w:rPr>
          <w:sz w:val="22"/>
        </w:rPr>
        <w:t xml:space="preserve"> </w:t>
      </w:r>
    </w:p>
    <w:p w14:paraId="1C074B90" w14:textId="77777777" w:rsidR="00E526B5" w:rsidRPr="000F0A63" w:rsidRDefault="00E526B5" w:rsidP="00E526B5">
      <w:pPr>
        <w:keepNext/>
        <w:keepLines/>
        <w:tabs>
          <w:tab w:val="left" w:pos="284"/>
        </w:tabs>
        <w:jc w:val="both"/>
        <w:rPr>
          <w:rFonts w:cs="Arial"/>
          <w:sz w:val="22"/>
          <w:szCs w:val="22"/>
        </w:rPr>
      </w:pPr>
      <w:r>
        <w:rPr>
          <w:sz w:val="22"/>
        </w:rPr>
        <w:t xml:space="preserve">Betingelserne i dette bilag 6b berører ikke forpligtelsen til at overholde de fastsatte frister for de krævede tilgængelighedsbetingelser i tilfælde af ændring af eksisterende elementer eller ressourcer.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6" w:name="_Ref505083210"/>
      <w:r>
        <w:rPr>
          <w:sz w:val="22"/>
        </w:rPr>
        <w:t>Catalansk offentlig sektor, offentligretlige selskaber og offentlige tjenesteydere</w:t>
      </w:r>
      <w:bookmarkEnd w:id="6"/>
    </w:p>
    <w:p w14:paraId="76077B47" w14:textId="77777777" w:rsidR="00E526B5" w:rsidRPr="000F0A63" w:rsidRDefault="00E526B5" w:rsidP="00E526B5">
      <w:pPr>
        <w:tabs>
          <w:tab w:val="left" w:pos="284"/>
        </w:tabs>
        <w:jc w:val="both"/>
        <w:rPr>
          <w:rFonts w:cs="Arial"/>
          <w:bCs/>
          <w:iCs/>
          <w:sz w:val="22"/>
          <w:szCs w:val="22"/>
        </w:rPr>
      </w:pPr>
      <w:r>
        <w:rPr>
          <w:sz w:val="22"/>
        </w:rPr>
        <w:t>Følgende endelige frister er fastsat for websteder og mobilapplikationer for den catalanske offentlige sektor, offentligretlige selskaber og enheder eller virksomheder, der leverer offentlige tjenester via koncession eller på kontrakt med den offentlige forvaltning, for at være tilgængelige og opfylde betingelserne i artikel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1 år efter ikrafttræden af denne kodeks:</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rFonts w:cs="Arial"/>
          <w:sz w:val="22"/>
          <w:szCs w:val="22"/>
        </w:rPr>
      </w:pPr>
      <w:r>
        <w:rPr>
          <w:sz w:val="22"/>
        </w:rPr>
        <w:t>Websteder i den catalanske offentlig sektor og offentligretlige selskaber.</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2 år efter ikrafttræden af denne kodeks:</w:t>
      </w:r>
    </w:p>
    <w:p w14:paraId="04EB1B39" w14:textId="77777777" w:rsidR="00E526B5" w:rsidRPr="000F0A63" w:rsidRDefault="00E526B5" w:rsidP="000F4434">
      <w:pPr>
        <w:numPr>
          <w:ilvl w:val="0"/>
          <w:numId w:val="33"/>
        </w:numPr>
        <w:tabs>
          <w:tab w:val="left" w:pos="426"/>
        </w:tabs>
        <w:ind w:left="0" w:firstLine="0"/>
        <w:jc w:val="both"/>
        <w:rPr>
          <w:rFonts w:cs="Arial"/>
          <w:sz w:val="22"/>
          <w:szCs w:val="22"/>
        </w:rPr>
      </w:pPr>
      <w:r>
        <w:rPr>
          <w:sz w:val="22"/>
        </w:rPr>
        <w:t>Applikationer til mobile enheder i den catalanske offentlige sektor og offentligretlige selskaber.</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rFonts w:cs="Arial"/>
          <w:bCs/>
          <w:sz w:val="22"/>
          <w:szCs w:val="22"/>
        </w:rPr>
      </w:pPr>
      <w:r>
        <w:rPr>
          <w:sz w:val="22"/>
        </w:rPr>
        <w:t xml:space="preserve">3 år efter ikrafttræden af denne kodeks: </w:t>
      </w:r>
    </w:p>
    <w:p w14:paraId="2BC909CB" w14:textId="77777777" w:rsidR="00E526B5" w:rsidRPr="000F0A63" w:rsidRDefault="00E526B5" w:rsidP="000F4434">
      <w:pPr>
        <w:numPr>
          <w:ilvl w:val="0"/>
          <w:numId w:val="50"/>
        </w:numPr>
        <w:tabs>
          <w:tab w:val="left" w:pos="426"/>
        </w:tabs>
        <w:ind w:left="0" w:firstLine="0"/>
        <w:jc w:val="both"/>
        <w:rPr>
          <w:rFonts w:cs="Arial"/>
          <w:sz w:val="22"/>
          <w:szCs w:val="22"/>
        </w:rPr>
      </w:pPr>
      <w:r>
        <w:rPr>
          <w:sz w:val="22"/>
        </w:rPr>
        <w:t>Websteder og applikationer til mobile enheder tilhørende enheder eller virksomheder, der leverer offentlige tjenester via koncession eller på kontrakt med den offentlige forvaltning.</w:t>
      </w:r>
    </w:p>
    <w:p w14:paraId="5A897CB9" w14:textId="77777777" w:rsidR="00E526B5" w:rsidRPr="000F0A63" w:rsidRDefault="00E526B5" w:rsidP="00E526B5">
      <w:pPr>
        <w:tabs>
          <w:tab w:val="left" w:pos="284"/>
          <w:tab w:val="num" w:pos="426"/>
        </w:tabs>
        <w:jc w:val="both"/>
        <w:rPr>
          <w:rFonts w:cs="Arial"/>
          <w:sz w:val="22"/>
          <w:szCs w:val="22"/>
        </w:rPr>
      </w:pPr>
      <w:r>
        <w:rPr>
          <w:sz w:val="22"/>
        </w:rPr>
        <w:t xml:space="preserve">De angivne frister berører ikke overholdelsen af de mest krævende krav til tjenestens karakteristika i overensstemmelse med øvrige stykker i dette bilag eller andre bestemmelser, der regulerer den.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7" w:name="_Ref505083224"/>
      <w:r>
        <w:rPr>
          <w:sz w:val="22"/>
        </w:rPr>
        <w:t>Aktiviteter i forbindelse med scenekunst, biografer og sportsbegivenheder</w:t>
      </w:r>
      <w:bookmarkEnd w:id="7"/>
    </w:p>
    <w:p w14:paraId="6E9E2B04" w14:textId="77777777" w:rsidR="00E526B5" w:rsidRPr="000F0A63" w:rsidRDefault="00E526B5" w:rsidP="00E526B5">
      <w:pPr>
        <w:tabs>
          <w:tab w:val="left" w:pos="284"/>
        </w:tabs>
        <w:jc w:val="both"/>
        <w:rPr>
          <w:rFonts w:cs="Arial"/>
          <w:bCs/>
          <w:sz w:val="22"/>
          <w:szCs w:val="22"/>
        </w:rPr>
      </w:pPr>
      <w:r>
        <w:rPr>
          <w:sz w:val="22"/>
        </w:rPr>
        <w:t>Følgende endelige frister er fastsat, således at virksomhedens websteder og elektroniske billetsalgskanaler kan være tilgængelige og opfylde betingelserne i artikel 133:</w:t>
      </w:r>
    </w:p>
    <w:p w14:paraId="44E529E5"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2 år efter ikrafttræden af denne kodeks:</w:t>
      </w:r>
    </w:p>
    <w:p w14:paraId="26851055"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Websteder og mobilapplikationer for virksomheder, der har en kapacitet på mindst 2.000 pladser.</w:t>
      </w:r>
    </w:p>
    <w:p w14:paraId="59D0540F"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Websteder og mobilapplikationer for onlinebilletplatforme, der håndterer salget for mere end én virksomhed med en kombineret kapacitet på 2.000 pladser eller derover.</w:t>
      </w:r>
    </w:p>
    <w:p w14:paraId="2835B2B8"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3 år efter ikrafttræden af denne kodeks:</w:t>
      </w:r>
    </w:p>
    <w:p w14:paraId="2F160C92" w14:textId="77777777" w:rsidR="00E526B5" w:rsidRPr="000F0A63" w:rsidRDefault="00E526B5" w:rsidP="000F4434">
      <w:pPr>
        <w:numPr>
          <w:ilvl w:val="0"/>
          <w:numId w:val="36"/>
        </w:numPr>
        <w:tabs>
          <w:tab w:val="left" w:pos="567"/>
        </w:tabs>
        <w:ind w:left="0" w:firstLine="0"/>
        <w:jc w:val="both"/>
        <w:rPr>
          <w:rFonts w:cs="Arial"/>
          <w:sz w:val="22"/>
          <w:szCs w:val="22"/>
        </w:rPr>
      </w:pPr>
      <w:r>
        <w:rPr>
          <w:sz w:val="22"/>
        </w:rPr>
        <w:t xml:space="preserve">Websteder og mobilapplikationer for onlinebilletplatforme, der håndterer salget for mere end én virksomhed med en kombineret kapacitet på mindre end 2.000 pladser. </w:t>
      </w:r>
    </w:p>
    <w:p w14:paraId="7BECFAB4" w14:textId="77777777" w:rsidR="00E526B5" w:rsidRPr="000F0A63" w:rsidRDefault="00E526B5" w:rsidP="000F4434">
      <w:pPr>
        <w:keepNext/>
        <w:numPr>
          <w:ilvl w:val="0"/>
          <w:numId w:val="34"/>
        </w:numPr>
        <w:tabs>
          <w:tab w:val="left" w:pos="284"/>
        </w:tabs>
        <w:ind w:left="0" w:firstLine="0"/>
        <w:jc w:val="both"/>
        <w:rPr>
          <w:rFonts w:cs="Arial"/>
          <w:sz w:val="22"/>
          <w:szCs w:val="22"/>
        </w:rPr>
      </w:pPr>
      <w:r>
        <w:rPr>
          <w:sz w:val="22"/>
        </w:rPr>
        <w:t>4 år efter ikrafttræden af denne kodeks:</w:t>
      </w:r>
    </w:p>
    <w:p w14:paraId="4D5AB809" w14:textId="77777777" w:rsidR="00E526B5" w:rsidRPr="000F0A63" w:rsidRDefault="00E526B5" w:rsidP="000F4434">
      <w:pPr>
        <w:numPr>
          <w:ilvl w:val="0"/>
          <w:numId w:val="35"/>
        </w:numPr>
        <w:tabs>
          <w:tab w:val="left" w:pos="567"/>
        </w:tabs>
        <w:ind w:left="0" w:firstLine="0"/>
        <w:jc w:val="both"/>
        <w:rPr>
          <w:rFonts w:cs="Arial"/>
          <w:sz w:val="22"/>
          <w:szCs w:val="22"/>
        </w:rPr>
      </w:pPr>
      <w:r>
        <w:rPr>
          <w:sz w:val="22"/>
        </w:rPr>
        <w:t xml:space="preserve">Websteder og mobilapplikationer for virksomheder med en kapacitet på under 2.000 pladser.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8" w:name="_Ref505083249"/>
      <w:r>
        <w:rPr>
          <w:sz w:val="22"/>
        </w:rPr>
        <w:t>Kommercielle tjenester</w:t>
      </w:r>
      <w:bookmarkEnd w:id="8"/>
    </w:p>
    <w:p w14:paraId="3609046E" w14:textId="77777777" w:rsidR="00E526B5" w:rsidRPr="000F0A63" w:rsidRDefault="00E526B5" w:rsidP="00E526B5">
      <w:pPr>
        <w:keepLines/>
        <w:tabs>
          <w:tab w:val="left" w:pos="284"/>
        </w:tabs>
        <w:jc w:val="both"/>
        <w:rPr>
          <w:rFonts w:cs="Arial"/>
          <w:bCs/>
          <w:sz w:val="22"/>
          <w:szCs w:val="22"/>
        </w:rPr>
      </w:pPr>
      <w:r>
        <w:rPr>
          <w:sz w:val="22"/>
        </w:rPr>
        <w:t>Følgende endelige frister er fastsat, således at websteder og mobilapplikationer, der tilbyder onlineshopping samt for supermarkedskæder og hele eller delvise fødevarevirksomheder, skal være tilgængelige og opfylde betingelserne i artikel 126:</w:t>
      </w:r>
    </w:p>
    <w:p w14:paraId="12FBBAE4"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2 år efter ikrafttræden af denne kodeks:</w:t>
      </w:r>
    </w:p>
    <w:p w14:paraId="5E3D88E1" w14:textId="77777777" w:rsidR="00E526B5" w:rsidRPr="000F0A63" w:rsidRDefault="00E526B5" w:rsidP="000F4434">
      <w:pPr>
        <w:numPr>
          <w:ilvl w:val="1"/>
          <w:numId w:val="34"/>
        </w:numPr>
        <w:tabs>
          <w:tab w:val="clear" w:pos="1440"/>
          <w:tab w:val="num" w:pos="567"/>
        </w:tabs>
        <w:ind w:left="0" w:firstLine="0"/>
        <w:jc w:val="both"/>
        <w:rPr>
          <w:rFonts w:cs="Arial"/>
          <w:bCs/>
          <w:iCs/>
          <w:sz w:val="22"/>
          <w:szCs w:val="22"/>
        </w:rPr>
      </w:pPr>
      <w:r>
        <w:rPr>
          <w:sz w:val="22"/>
        </w:rPr>
        <w:t>Websteder og applikationer til mobile enheder for supermarkedskæder, der består af 10 eller flere virksomheder og har lokaliteter på over 500 m² nyttigt areal til offentlig brug.</w:t>
      </w:r>
    </w:p>
    <w:p w14:paraId="79B90796"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3 år efter ikrafttræden af denne kodeks:</w:t>
      </w:r>
    </w:p>
    <w:p w14:paraId="4A64FC41" w14:textId="77777777" w:rsidR="00E526B5" w:rsidRPr="000F0A63" w:rsidRDefault="00E526B5" w:rsidP="000F4434">
      <w:pPr>
        <w:numPr>
          <w:ilvl w:val="0"/>
          <w:numId w:val="37"/>
        </w:numPr>
        <w:tabs>
          <w:tab w:val="left" w:pos="567"/>
        </w:tabs>
        <w:ind w:left="0" w:firstLine="0"/>
        <w:jc w:val="both"/>
        <w:rPr>
          <w:rFonts w:cs="Arial"/>
          <w:bCs/>
          <w:iCs/>
          <w:sz w:val="22"/>
          <w:szCs w:val="22"/>
        </w:rPr>
      </w:pPr>
      <w:r>
        <w:rPr>
          <w:sz w:val="22"/>
        </w:rPr>
        <w:t>Websteder og applikationer til mobile enheder for supermarkedskæder, der består af mellem 5 og 9 virksomheder og har lokaliteter på over 500 m² nyttigt areal til offentlig brug.</w:t>
      </w:r>
    </w:p>
    <w:p w14:paraId="1F2E1FB5" w14:textId="77777777" w:rsidR="00E526B5" w:rsidRPr="000F0A63" w:rsidRDefault="00E526B5" w:rsidP="000F4434">
      <w:pPr>
        <w:numPr>
          <w:ilvl w:val="0"/>
          <w:numId w:val="32"/>
        </w:numPr>
        <w:tabs>
          <w:tab w:val="left" w:pos="284"/>
        </w:tabs>
        <w:ind w:left="0" w:firstLine="0"/>
        <w:jc w:val="both"/>
        <w:rPr>
          <w:rFonts w:cs="Arial"/>
          <w:sz w:val="22"/>
          <w:szCs w:val="22"/>
        </w:rPr>
      </w:pPr>
      <w:r>
        <w:rPr>
          <w:sz w:val="22"/>
        </w:rPr>
        <w:t>4 år efter ikrafttræden af denne kodeks:</w:t>
      </w:r>
    </w:p>
    <w:p w14:paraId="47833147" w14:textId="77777777" w:rsidR="00E526B5" w:rsidRPr="000F0A63" w:rsidRDefault="00E526B5" w:rsidP="000F4434">
      <w:pPr>
        <w:numPr>
          <w:ilvl w:val="0"/>
          <w:numId w:val="38"/>
        </w:numPr>
        <w:tabs>
          <w:tab w:val="left" w:pos="567"/>
        </w:tabs>
        <w:ind w:left="0" w:firstLine="0"/>
        <w:jc w:val="both"/>
        <w:rPr>
          <w:rFonts w:cs="Arial"/>
          <w:bCs/>
          <w:iCs/>
          <w:sz w:val="22"/>
          <w:szCs w:val="22"/>
        </w:rPr>
      </w:pPr>
      <w:r>
        <w:rPr>
          <w:sz w:val="22"/>
        </w:rPr>
        <w:lastRenderedPageBreak/>
        <w:t>Websteder og applikationer til mobile enheder for supermarkedskæder og hele eller delvise fødevarevirksomheder, der har lokaliteter på over 500 m² nyttigt areal til offentlig brug.</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9" w:name="_Ref505083279"/>
      <w:r>
        <w:rPr>
          <w:sz w:val="22"/>
        </w:rPr>
        <w:t>Finans- og forsikringstjenester</w:t>
      </w:r>
      <w:bookmarkEnd w:id="9"/>
    </w:p>
    <w:p w14:paraId="6258DBF3" w14:textId="77777777" w:rsidR="00E526B5" w:rsidRPr="000F0A63" w:rsidRDefault="00E526B5" w:rsidP="00E526B5">
      <w:pPr>
        <w:keepLines/>
        <w:tabs>
          <w:tab w:val="left" w:pos="284"/>
        </w:tabs>
        <w:jc w:val="both"/>
        <w:rPr>
          <w:rFonts w:cs="Arial"/>
          <w:sz w:val="22"/>
          <w:szCs w:val="22"/>
        </w:rPr>
      </w:pPr>
      <w:r>
        <w:rPr>
          <w:sz w:val="22"/>
        </w:rPr>
        <w:t>Følgende endelige frister er fastsat, således at websteder og applikationer til mobile enheder, der gør det muligt at udføre banktransaktioner, indgå kontrakter, konsultere lægeråd eller enhver anden form for håndtering eller konsultation vedrørende de produkter, der er indgået kontrakt med enheden om, skal være tilgængelige og opfylde betingelserne i artikel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1 år efter ikrafttræden af denne kodeks:</w:t>
      </w:r>
    </w:p>
    <w:p w14:paraId="05594252" w14:textId="77777777" w:rsidR="00E526B5" w:rsidRPr="000F0A63" w:rsidRDefault="00E526B5" w:rsidP="000F4434">
      <w:pPr>
        <w:numPr>
          <w:ilvl w:val="0"/>
          <w:numId w:val="40"/>
        </w:numPr>
        <w:tabs>
          <w:tab w:val="clear" w:pos="1440"/>
          <w:tab w:val="num" w:pos="567"/>
        </w:tabs>
        <w:ind w:left="0" w:firstLine="0"/>
        <w:jc w:val="both"/>
        <w:rPr>
          <w:rFonts w:cs="Arial"/>
          <w:sz w:val="22"/>
          <w:szCs w:val="22"/>
        </w:rPr>
      </w:pPr>
      <w:r>
        <w:rPr>
          <w:sz w:val="22"/>
        </w:rPr>
        <w:t xml:space="preserve">Websteder.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2 år efter ikrafttræden af denne kodeks:</w:t>
      </w:r>
    </w:p>
    <w:p w14:paraId="7D3D57C1" w14:textId="77777777" w:rsidR="00E526B5" w:rsidRPr="000F0A63" w:rsidRDefault="00E526B5" w:rsidP="000F4434">
      <w:pPr>
        <w:numPr>
          <w:ilvl w:val="0"/>
          <w:numId w:val="41"/>
        </w:numPr>
        <w:tabs>
          <w:tab w:val="left" w:pos="567"/>
        </w:tabs>
        <w:ind w:left="0" w:firstLine="0"/>
        <w:jc w:val="both"/>
        <w:rPr>
          <w:rFonts w:cs="Arial"/>
          <w:sz w:val="22"/>
          <w:szCs w:val="22"/>
        </w:rPr>
      </w:pPr>
      <w:r>
        <w:rPr>
          <w:sz w:val="22"/>
        </w:rPr>
        <w:t>Applikationer til mobile enheder.</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0" w:name="_Ref505083294"/>
      <w:r>
        <w:rPr>
          <w:sz w:val="22"/>
        </w:rPr>
        <w:t>Tjenester i forbindelse med privat transport.</w:t>
      </w:r>
      <w:bookmarkEnd w:id="10"/>
    </w:p>
    <w:p w14:paraId="0C12C9D0" w14:textId="77777777" w:rsidR="00E526B5" w:rsidRPr="000F0A63" w:rsidRDefault="00E526B5" w:rsidP="00E526B5">
      <w:pPr>
        <w:tabs>
          <w:tab w:val="left" w:pos="284"/>
        </w:tabs>
        <w:jc w:val="both"/>
        <w:rPr>
          <w:rFonts w:cs="Arial"/>
          <w:bCs/>
          <w:sz w:val="22"/>
          <w:szCs w:val="22"/>
        </w:rPr>
      </w:pPr>
      <w:r>
        <w:rPr>
          <w:sz w:val="22"/>
        </w:rPr>
        <w:t xml:space="preserve">Følgende endelige frister er fastsat, således at virksomheder, der tilbyder selvkørende biludlejningstjenester med en bilpark på mere end 100 køretøjer, og virksomheder, der tilbyder en biludlejningstjeneste med chauffør og med en bilpark på mere end 50 køretøjer, skal opfylde betingelserne i artikel 128: </w:t>
      </w:r>
    </w:p>
    <w:p w14:paraId="47D4E7EF"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1 år efter ikrafttræden af denne kodeks: </w:t>
      </w:r>
    </w:p>
    <w:p w14:paraId="4DD29E94" w14:textId="37067D80" w:rsidR="00E526B5" w:rsidRPr="000F0A63" w:rsidRDefault="00E526B5" w:rsidP="00E526B5">
      <w:pPr>
        <w:widowControl w:val="0"/>
        <w:tabs>
          <w:tab w:val="left" w:pos="426"/>
        </w:tabs>
        <w:jc w:val="both"/>
        <w:rPr>
          <w:rFonts w:cs="Arial"/>
          <w:sz w:val="22"/>
          <w:szCs w:val="22"/>
        </w:rPr>
      </w:pPr>
      <w:r>
        <w:rPr>
          <w:sz w:val="22"/>
        </w:rPr>
        <w:t>a1.</w:t>
      </w:r>
      <w:r>
        <w:rPr>
          <w:sz w:val="22"/>
        </w:rPr>
        <w:tab/>
        <w:t xml:space="preserve">Disse skal have køretøjer, der er i stand til at transportere passagerer i kørestole, svarende til eller større end 1 % af deres bilpark. </w:t>
      </w:r>
    </w:p>
    <w:p w14:paraId="241A7D0B" w14:textId="07973EFE" w:rsidR="00E526B5" w:rsidRPr="000F0A63" w:rsidRDefault="00E526B5" w:rsidP="00B670F2">
      <w:pPr>
        <w:widowControl w:val="0"/>
        <w:tabs>
          <w:tab w:val="left" w:pos="426"/>
        </w:tabs>
        <w:jc w:val="both"/>
        <w:rPr>
          <w:rFonts w:cs="Arial"/>
          <w:sz w:val="22"/>
          <w:szCs w:val="22"/>
        </w:rPr>
      </w:pPr>
      <w:r>
        <w:rPr>
          <w:sz w:val="22"/>
        </w:rPr>
        <w:t>a2.</w:t>
      </w:r>
      <w:r>
        <w:rPr>
          <w:sz w:val="22"/>
        </w:rPr>
        <w:tab/>
        <w:t xml:space="preserve">Disse skal have køretøjer til bevægelseshæmmede førere svarende til eller større end 0,5 % af deres bilpark. </w:t>
      </w:r>
    </w:p>
    <w:p w14:paraId="273BCA57" w14:textId="19D21C18" w:rsidR="00E526B5" w:rsidRPr="000F0A63" w:rsidRDefault="00E526B5" w:rsidP="00B670F2">
      <w:pPr>
        <w:widowControl w:val="0"/>
        <w:tabs>
          <w:tab w:val="left" w:pos="426"/>
        </w:tabs>
        <w:jc w:val="both"/>
        <w:rPr>
          <w:rFonts w:cs="Arial"/>
          <w:sz w:val="22"/>
          <w:szCs w:val="22"/>
        </w:rPr>
      </w:pPr>
      <w:r>
        <w:rPr>
          <w:sz w:val="22"/>
        </w:rPr>
        <w:t>a3.</w:t>
      </w:r>
      <w:r>
        <w:rPr>
          <w:sz w:val="22"/>
        </w:rPr>
        <w:tab/>
        <w:t>Kravene anført i de foregående punkter, kan opfyldes ved hjælp af egne køretøjer eller gennem aftaler med andre operatører, der garanterer tilstrækkelig tilgængelighed</w:t>
      </w:r>
    </w:p>
    <w:p w14:paraId="3BCE400D"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3 år efter ikrafttræden af denne kodeks: </w:t>
      </w:r>
    </w:p>
    <w:p w14:paraId="727C0165" w14:textId="23D3973D" w:rsidR="00E526B5" w:rsidRPr="000F0A63" w:rsidRDefault="00E526B5" w:rsidP="00B670F2">
      <w:pPr>
        <w:widowControl w:val="0"/>
        <w:tabs>
          <w:tab w:val="left" w:pos="426"/>
        </w:tabs>
        <w:jc w:val="both"/>
        <w:rPr>
          <w:rFonts w:cs="Arial"/>
          <w:sz w:val="22"/>
          <w:szCs w:val="22"/>
        </w:rPr>
      </w:pPr>
      <w:r>
        <w:rPr>
          <w:sz w:val="22"/>
        </w:rPr>
        <w:t>b1.</w:t>
      </w:r>
      <w:r>
        <w:rPr>
          <w:sz w:val="22"/>
        </w:rPr>
        <w:tab/>
        <w:t xml:space="preserve">Mindst 0,5 % af køretøjerne i deres egen bilpark skal have mulighed for at medbringe passagerer i kørestole. </w:t>
      </w:r>
    </w:p>
    <w:p w14:paraId="1A4E7542" w14:textId="77777777" w:rsidR="00E526B5" w:rsidRPr="000F0A63" w:rsidRDefault="00E526B5" w:rsidP="000F4434">
      <w:pPr>
        <w:keepNext/>
        <w:numPr>
          <w:ilvl w:val="0"/>
          <w:numId w:val="31"/>
        </w:numPr>
        <w:tabs>
          <w:tab w:val="left" w:pos="284"/>
        </w:tabs>
        <w:ind w:left="0" w:firstLine="0"/>
        <w:jc w:val="both"/>
        <w:rPr>
          <w:rFonts w:cs="Arial"/>
          <w:sz w:val="22"/>
          <w:szCs w:val="22"/>
        </w:rPr>
      </w:pPr>
      <w:r>
        <w:rPr>
          <w:sz w:val="22"/>
        </w:rPr>
        <w:t xml:space="preserve">6 år efter ikrafttræden af denne kodeks: </w:t>
      </w:r>
    </w:p>
    <w:p w14:paraId="4EF5184D" w14:textId="39EC3E47" w:rsidR="00E526B5" w:rsidRPr="000F0A63" w:rsidRDefault="00E526B5" w:rsidP="00B670F2">
      <w:pPr>
        <w:widowControl w:val="0"/>
        <w:tabs>
          <w:tab w:val="left" w:pos="426"/>
        </w:tabs>
        <w:jc w:val="both"/>
        <w:rPr>
          <w:rFonts w:cs="Arial"/>
          <w:sz w:val="22"/>
          <w:szCs w:val="22"/>
        </w:rPr>
      </w:pPr>
      <w:r>
        <w:rPr>
          <w:sz w:val="22"/>
        </w:rPr>
        <w:t>c1.</w:t>
      </w:r>
      <w:r>
        <w:rPr>
          <w:sz w:val="22"/>
        </w:rPr>
        <w:tab/>
        <w:t>Mindst 2 % af køretøjerne i deres egen bilpark skal have mulighed for at medbringe passagerer i kørestole.</w:t>
      </w:r>
    </w:p>
    <w:p w14:paraId="2BB22C13" w14:textId="169DA298" w:rsidR="00E526B5" w:rsidRPr="000F0A63" w:rsidRDefault="00E526B5" w:rsidP="00B670F2">
      <w:pPr>
        <w:widowControl w:val="0"/>
        <w:tabs>
          <w:tab w:val="left" w:pos="426"/>
        </w:tabs>
        <w:jc w:val="both"/>
        <w:rPr>
          <w:rFonts w:cs="Arial"/>
          <w:sz w:val="22"/>
          <w:szCs w:val="22"/>
        </w:rPr>
      </w:pPr>
      <w:r>
        <w:rPr>
          <w:sz w:val="22"/>
        </w:rPr>
        <w:t>c2.</w:t>
      </w:r>
      <w:r>
        <w:rPr>
          <w:sz w:val="22"/>
        </w:rPr>
        <w:tab/>
        <w:t xml:space="preserve">Mindst 0,5 % af køretøjerne i deres egen bilpark skal tilpasses bevægelseshæmmede førere.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1" w:name="_Ref505095784"/>
      <w:r>
        <w:rPr>
          <w:sz w:val="22"/>
        </w:rPr>
        <w:t>Tjenester i forbindelse med indkvartering af turister</w:t>
      </w:r>
      <w:bookmarkEnd w:id="11"/>
      <w:r>
        <w:rPr>
          <w:sz w:val="22"/>
        </w:rPr>
        <w:t xml:space="preserve"> </w:t>
      </w:r>
    </w:p>
    <w:p w14:paraId="4E8242D0" w14:textId="77777777" w:rsidR="00E526B5" w:rsidRPr="000F0A63" w:rsidRDefault="00E526B5" w:rsidP="00E526B5">
      <w:pPr>
        <w:tabs>
          <w:tab w:val="left" w:pos="284"/>
        </w:tabs>
        <w:jc w:val="both"/>
        <w:rPr>
          <w:rFonts w:cs="Arial"/>
          <w:bCs/>
          <w:sz w:val="22"/>
          <w:szCs w:val="22"/>
        </w:rPr>
      </w:pPr>
      <w:r>
        <w:rPr>
          <w:sz w:val="22"/>
        </w:rPr>
        <w:t>Følgende endelige frister er fastsat, således at websteder og mobilapplikationer, der gør det muligt at booke online m.m., for hotelkæder og -virksomheder med en kapacitet på over 100 værelser, skal være tilgængelige og opfylde betingelserne i artikel 130:</w:t>
      </w:r>
    </w:p>
    <w:p w14:paraId="764A0265"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2 år efter ikrafttræden af denne kodeks:</w:t>
      </w:r>
    </w:p>
    <w:p w14:paraId="104ADEEC" w14:textId="77777777" w:rsidR="00E526B5" w:rsidRPr="000F0A63" w:rsidRDefault="00E526B5" w:rsidP="000F4434">
      <w:pPr>
        <w:numPr>
          <w:ilvl w:val="0"/>
          <w:numId w:val="43"/>
        </w:numPr>
        <w:tabs>
          <w:tab w:val="clear" w:pos="1440"/>
          <w:tab w:val="num" w:pos="567"/>
        </w:tabs>
        <w:ind w:left="0" w:firstLine="0"/>
        <w:jc w:val="both"/>
        <w:rPr>
          <w:rFonts w:cs="Arial"/>
          <w:bCs/>
          <w:iCs/>
          <w:sz w:val="22"/>
          <w:szCs w:val="22"/>
        </w:rPr>
      </w:pPr>
      <w:r>
        <w:rPr>
          <w:sz w:val="22"/>
        </w:rPr>
        <w:t>Websteder og mobile applikationer for hotelkæder, der består af fem eller flere virksomheder og samlet har mere end 500 værelser.</w:t>
      </w:r>
    </w:p>
    <w:p w14:paraId="2356AB86"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3 år efter ikrafttræden af denne kodeks:</w:t>
      </w:r>
    </w:p>
    <w:p w14:paraId="4EFEF877"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Websteder og mobile applikationer for hotelkæder, der består af op til fire virksomheder og samlet har mere end 500 værelser.</w:t>
      </w:r>
    </w:p>
    <w:p w14:paraId="268EBD55"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Websteder og mobile applikationer for virksomheder med 500 eller flere værelser.</w:t>
      </w:r>
    </w:p>
    <w:p w14:paraId="4D022006" w14:textId="77777777" w:rsidR="00E526B5" w:rsidRPr="000F0A63" w:rsidRDefault="00E526B5" w:rsidP="000F4434">
      <w:pPr>
        <w:numPr>
          <w:ilvl w:val="0"/>
          <w:numId w:val="42"/>
        </w:numPr>
        <w:tabs>
          <w:tab w:val="left" w:pos="284"/>
        </w:tabs>
        <w:ind w:left="0" w:firstLine="0"/>
        <w:jc w:val="both"/>
        <w:rPr>
          <w:rFonts w:cs="Arial"/>
          <w:sz w:val="22"/>
          <w:szCs w:val="22"/>
        </w:rPr>
      </w:pPr>
      <w:r>
        <w:rPr>
          <w:sz w:val="22"/>
        </w:rPr>
        <w:t>4 år efter ikrafttræden af denne kodeks:</w:t>
      </w:r>
    </w:p>
    <w:p w14:paraId="65935E38" w14:textId="77777777" w:rsidR="00E526B5" w:rsidRPr="000F0A63" w:rsidRDefault="00E526B5" w:rsidP="000F4434">
      <w:pPr>
        <w:numPr>
          <w:ilvl w:val="0"/>
          <w:numId w:val="45"/>
        </w:numPr>
        <w:tabs>
          <w:tab w:val="left" w:pos="567"/>
        </w:tabs>
        <w:ind w:left="0" w:firstLine="0"/>
        <w:jc w:val="both"/>
        <w:rPr>
          <w:rFonts w:cs="Arial"/>
          <w:bCs/>
          <w:iCs/>
          <w:sz w:val="22"/>
          <w:szCs w:val="22"/>
        </w:rPr>
      </w:pPr>
      <w:r>
        <w:rPr>
          <w:sz w:val="22"/>
        </w:rPr>
        <w:t>Websteder og mobile applikationer for hotelkæder, der samlet har mellem 100 og 500 værelser</w:t>
      </w:r>
    </w:p>
    <w:p w14:paraId="61927497" w14:textId="77777777" w:rsidR="00E526B5" w:rsidRPr="000F0A63" w:rsidRDefault="00E526B5" w:rsidP="000F4434">
      <w:pPr>
        <w:numPr>
          <w:ilvl w:val="0"/>
          <w:numId w:val="45"/>
        </w:numPr>
        <w:tabs>
          <w:tab w:val="left" w:pos="284"/>
          <w:tab w:val="left" w:pos="567"/>
        </w:tabs>
        <w:ind w:left="0" w:firstLine="0"/>
        <w:jc w:val="both"/>
        <w:rPr>
          <w:rFonts w:cs="Arial"/>
          <w:bCs/>
          <w:iCs/>
          <w:sz w:val="22"/>
          <w:szCs w:val="22"/>
        </w:rPr>
      </w:pPr>
      <w:r>
        <w:rPr>
          <w:sz w:val="22"/>
        </w:rPr>
        <w:t>Websteder og applikationer til mobile enheder i virksomheder, der har mellem 50 og 500 værelser.</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12" w:name="_Ref63848315"/>
      <w:r>
        <w:rPr>
          <w:sz w:val="22"/>
        </w:rPr>
        <w:lastRenderedPageBreak/>
        <w:t>Uddannelsesmæssige tjenester</w:t>
      </w:r>
      <w:bookmarkEnd w:id="12"/>
    </w:p>
    <w:p w14:paraId="355384ED" w14:textId="77777777" w:rsidR="00E526B5" w:rsidRPr="000F0A63" w:rsidRDefault="00E526B5" w:rsidP="00E526B5">
      <w:pPr>
        <w:tabs>
          <w:tab w:val="left" w:pos="284"/>
        </w:tabs>
        <w:jc w:val="both"/>
        <w:rPr>
          <w:rFonts w:cs="Arial"/>
          <w:bCs/>
          <w:sz w:val="22"/>
          <w:szCs w:val="22"/>
        </w:rPr>
      </w:pPr>
      <w:r>
        <w:rPr>
          <w:sz w:val="22"/>
        </w:rPr>
        <w:t>Følgende endelige frister er fastsat, således at websteder og mobilapplikationer for uddannelsesinstitutioner, der udbyder formel uddannelse, skal være tilgængelige og opfylde betingelserne i artikel 135:</w:t>
      </w:r>
    </w:p>
    <w:p w14:paraId="601F3FE1"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2 år efter ikrafttræden af denne kodeks:</w:t>
      </w:r>
    </w:p>
    <w:p w14:paraId="29E27507" w14:textId="77777777" w:rsidR="00E526B5" w:rsidRPr="000F0A63" w:rsidRDefault="00E526B5" w:rsidP="000F4434">
      <w:pPr>
        <w:numPr>
          <w:ilvl w:val="0"/>
          <w:numId w:val="47"/>
        </w:numPr>
        <w:tabs>
          <w:tab w:val="clear" w:pos="1440"/>
          <w:tab w:val="num" w:pos="567"/>
        </w:tabs>
        <w:ind w:left="0" w:firstLine="0"/>
        <w:jc w:val="both"/>
        <w:rPr>
          <w:rFonts w:cs="Arial"/>
          <w:bCs/>
          <w:iCs/>
          <w:sz w:val="22"/>
          <w:szCs w:val="22"/>
        </w:rPr>
      </w:pPr>
      <w:r>
        <w:rPr>
          <w:sz w:val="22"/>
        </w:rPr>
        <w:t>Websider og applikationer til mobile enheder, der gør det muligt at søge efter akademisk erfaring, fakturahåndtering eller andre onlineprocesser.</w:t>
      </w:r>
    </w:p>
    <w:p w14:paraId="6FB062A9"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3 år efter ikrafttræden af denne kodeks:</w:t>
      </w:r>
    </w:p>
    <w:p w14:paraId="5CC5D46B" w14:textId="77777777" w:rsidR="00E526B5" w:rsidRPr="000F0A63" w:rsidRDefault="00E526B5" w:rsidP="000F4434">
      <w:pPr>
        <w:numPr>
          <w:ilvl w:val="0"/>
          <w:numId w:val="48"/>
        </w:numPr>
        <w:tabs>
          <w:tab w:val="clear" w:pos="1440"/>
          <w:tab w:val="num" w:pos="567"/>
        </w:tabs>
        <w:ind w:left="0" w:firstLine="0"/>
        <w:jc w:val="both"/>
        <w:rPr>
          <w:rFonts w:cs="Arial"/>
          <w:bCs/>
          <w:sz w:val="22"/>
          <w:szCs w:val="22"/>
        </w:rPr>
      </w:pPr>
      <w:r>
        <w:rPr>
          <w:sz w:val="22"/>
        </w:rPr>
        <w:t>Websteder og applikationer til mobile enheder, der giver oplysninger om skolen, faciliteterne og de uddannelsesmæssige tilbud.</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r>
        <w:rPr>
          <w:sz w:val="22"/>
        </w:rPr>
        <w:t>Sundhedstjenester</w:t>
      </w:r>
    </w:p>
    <w:p w14:paraId="62E28D59" w14:textId="77777777" w:rsidR="00E526B5" w:rsidRPr="000F0A63" w:rsidRDefault="00E526B5" w:rsidP="00E526B5">
      <w:pPr>
        <w:tabs>
          <w:tab w:val="left" w:pos="284"/>
        </w:tabs>
        <w:jc w:val="both"/>
        <w:rPr>
          <w:rFonts w:cs="Arial"/>
          <w:bCs/>
          <w:sz w:val="22"/>
          <w:szCs w:val="22"/>
        </w:rPr>
      </w:pPr>
      <w:r>
        <w:rPr>
          <w:sz w:val="22"/>
        </w:rPr>
        <w:t xml:space="preserve">Sundhedscentre med 50 senge eller derover skal overholde følgende frister og betingelser: </w:t>
      </w:r>
    </w:p>
    <w:p w14:paraId="28557BD4" w14:textId="77777777" w:rsidR="00E526B5" w:rsidRPr="000F0A63" w:rsidRDefault="00E526B5" w:rsidP="000F4434">
      <w:pPr>
        <w:numPr>
          <w:ilvl w:val="0"/>
          <w:numId w:val="49"/>
        </w:numPr>
        <w:tabs>
          <w:tab w:val="left" w:pos="284"/>
        </w:tabs>
        <w:ind w:left="0" w:firstLine="0"/>
        <w:jc w:val="both"/>
        <w:rPr>
          <w:rFonts w:cs="Arial"/>
          <w:bCs/>
          <w:iCs/>
          <w:sz w:val="22"/>
          <w:szCs w:val="22"/>
        </w:rPr>
      </w:pPr>
      <w:r>
        <w:rPr>
          <w:sz w:val="22"/>
        </w:rPr>
        <w:t>3 år efter ikrafttræden af denne kodeks:</w:t>
      </w:r>
    </w:p>
    <w:p w14:paraId="727C4E74" w14:textId="77777777" w:rsidR="00E526B5" w:rsidRPr="000F0A63" w:rsidRDefault="00E526B5" w:rsidP="00E526B5">
      <w:pPr>
        <w:tabs>
          <w:tab w:val="left" w:pos="284"/>
        </w:tabs>
        <w:jc w:val="both"/>
        <w:rPr>
          <w:rFonts w:cs="Arial"/>
          <w:sz w:val="22"/>
          <w:szCs w:val="22"/>
        </w:rPr>
      </w:pPr>
      <w:r>
        <w:rPr>
          <w:sz w:val="22"/>
        </w:rPr>
        <w:t>Skal tilbyde infrastruktur, mobile enheder og protokoller til at betjene døve mennesker gennem catalansk tegnsprog ved hjælp af fjerntolkningsteknologi, der dækker mindst 2 % af sengepladserne.</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6004B5"/>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4</cp:revision>
  <dcterms:created xsi:type="dcterms:W3CDTF">2023-04-26T07:42:00Z</dcterms:created>
  <dcterms:modified xsi:type="dcterms:W3CDTF">2023-05-05T11:44:00Z</dcterms:modified>
</cp:coreProperties>
</file>