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POGLAVLJE 4.:</w:t>
      </w:r>
      <w:r>
        <w:rPr>
          <w:sz w:val="22"/>
        </w:rPr>
        <w:t xml:space="preserve"> </w:t>
      </w:r>
      <w:r>
        <w:rPr>
          <w:sz w:val="22"/>
        </w:rPr>
        <w:t xml:space="preserve">Pristupačnost prijevoznih sredstava</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Kada se usluga taksija nudi putem telefonskih rezervacija, ta usluga mora proširiti načine podnošenja zahtjeva za uslugu korištenjem novih tehnologija, aplikacija, interneta, tekstualnih poruka, telefaksa ili sličnih sredstava kako bi svi korisnici, uključujući i one koji imaju oštećenje sluha, mogli samostalno zatražiti uslugu.</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Kada usluga „taksija na zahtjev” ima internetsku stranicu, ona mora biti dostupna, barem na razini usklađenosti AA Smjernica o pristupačnosti internetskog sadržaja 2.1 (WCAG 2.1).</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Naručivanje taksija koje je dostupno osobama sa smanjenom pokretljivošću putem telefona, interneta ili aplikacije za mobilne uređaje ne može biti predmet bilo kakvog unaprijed predviđenog dodatka.</w:t>
      </w:r>
      <w:r>
        <w:rPr>
          <w:sz w:val="22"/>
        </w:rPr>
        <w:t xml:space="preserve"> </w:t>
      </w:r>
      <w:r>
        <w:rPr>
          <w:sz w:val="22"/>
        </w:rPr>
        <w:t xml:space="preserve">Iskaznica za osobe s invaliditetom služi kao dokaz u slučaju da je zatražena.</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POGLAVLJE 5.:</w:t>
      </w:r>
      <w:r>
        <w:rPr>
          <w:sz w:val="22"/>
        </w:rPr>
        <w:t xml:space="preserve"> </w:t>
      </w:r>
      <w:r>
        <w:rPr>
          <w:sz w:val="22"/>
        </w:rPr>
        <w:t xml:space="preserve">Pristupačnost proizvoda</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Članak 116.</w:t>
      </w:r>
      <w:r>
        <w:rPr>
          <w:sz w:val="22"/>
        </w:rPr>
        <w:tab/>
      </w:r>
      <w:r>
        <w:rPr>
          <w:sz w:val="22"/>
        </w:rPr>
        <w:t xml:space="preserve">Potrošački proizvodi</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Proizvod se smatra pristupačnim ako ispunjava sljedeće uvjete:</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Ima pristupačnu oznaku primjerenu svojim karakteristikama, koja omogućuje identifikaciju proizvoda, a sadrži naziv proizvoda i najvažnije informacije.</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Izrada slijedi univerzalne kriterije izrade, s odgovarajućim uvjetima korištenja i sigurnosnim uvjetima za svakog korisnika.</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Dodatne informacije, upute ili prospekti mogu se pregledati putem interneta, aplikacija na uređajima i uporabom novih tehnologija, pri čemu pristupačni sadržaj ispunjava uvjete iz stavaka 25. i 26. Priloga 5.a.</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Poduzeća koja stavljaju proizvod na tržište odgovorna su osigurati ispunjavanje primjenjivih zahtjeva za pristupačnost.</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Lijekovi i opasni proizvodi moraju sadržavati podatkovne elemente i sustave kojima se slijepim ili gluhoslijepim osobama omogućuje pristup sljedećim informacijama:</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Identifikaciji naziva proizvoda na pakiranju pomoću Brailleovog pisma i ikonografije.</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Datumu isteka valjanosti na pakiranju pomoću Brailleovog pisma i ikonografije ili drugim alternativnim izvorima jednakih karakteristika.</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Glavnim značajkama proizvoda kao što su njegov sastav i način čuvanja, među ostalim, putem audio pretraživanja na internetu ili drugim sredstvima koja omogućuju nove tehnologije s istom učinkovitošću, na zahtjev udruga za osobe s oštećenjem vida.</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Lanci supermarketa i trgovine hranom ili mješovitom robom na svim lokacijama na kojima imaju prostore korisne površine veće od 250 m² za javnu uporabu, na zahtjev slijepe osobe ili osobe u pratnji, moraju jamčiti sljedeće uvjete:</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Barem jedan od objekata na lokaciji nudi označavanje naziva i datuma isteka na Brailleovu pismu, na pokvarljivim proizvodima ili proizvodima koji mogu dovesti do zabune, s pomoću pisača ili sustava koji omogućuju takvo označivanje na Brailleovu pismu u samom objektu.</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Proizvodi koji se prodaju na internetu i isporučuju također su označeni na Brailleovu pismu, kako je navedeno u prethodnoj točki.</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Komercijalna prodaja koja se provodi putem interneta ili na drugi način u pristupačnom obliku pruža informacije o tome koji prostori nude mogućnost označivanja proizvoda na Brailleovu pismu.</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U općinama s više od 50 000 stanovnika svaka se četvrt smatra različitim teritorijalnim područjem i izjednačena je s lokacijom u svrhu primjene prethodnog stavka.</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Uprava Autonomne zajednice mora postupno razvijati tehničke upute koje uključuju nova tehnološka dostignuća i utvrditi specifikacije, rokove, karakteristike i kriterije dostupnog označivanja te univerzalne smjernice za izradu koje se primjenjuju na proizvode u različitim komercijalnim sektorima.</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Potrošači s oštećenjem vida i gluhoslijepi potrošači imaju pravo neovisno, uobičajeno, jednostavno, odmah i pod jednakim uvjetima pristupiti informacijama o proizvodu navedenim na oznakama za sve potrošače i korisnike.</w:t>
      </w:r>
      <w:r>
        <w:rPr>
          <w:sz w:val="22"/>
        </w:rPr>
        <w:t xml:space="preserve"> </w:t>
      </w:r>
      <w:r>
        <w:rPr>
          <w:sz w:val="22"/>
        </w:rPr>
        <w:t xml:space="preserve">U tu svrhu pristupačno označivanje mora biti ispunjavati sljedeće uvjete:</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Pruža što više informacija, osiguravajući potrošačima s invaliditetom jednake uvjete kao i za druge potrošače.</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Omogućava da se informacije dobiju neovisno, brzo, praktično, izravno i na standardiziran način, bez potrebe za velikim tehničkim znanjem ili uporabom tehnoloških sredstava.</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Ne predstavlja dodatan trošak za potrošače s invaliditetom.</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Ne stvara neprihvatljive troškove za poduzeća.</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Poduzeća koja nude usluge elektroničke prodaje moraju na odgovarajućim internetskim stranicama uključiti mogućnost da se tako kupljeni proizvodi isporučuju s pristupačnim oznakama.</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Arbitražni sustav za potrošače i njegove procedure i postupci moraju biti pristupačni osobama s invaliditetom.</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Javni i privatni uredi službi za zaštitu potrošača moraju poduzeti mjere za olakšavanje pristupačnosti komunikacije gluhim osobama koje komuniciraju na znakovnom jeziku i usmeno, uz dostatna sredstva potpore.</w:t>
      </w:r>
      <w:r>
        <w:rPr>
          <w:sz w:val="22"/>
        </w:rPr>
        <w:t xml:space="preserve"> </w:t>
      </w:r>
      <w:r>
        <w:rPr>
          <w:sz w:val="22"/>
        </w:rPr>
        <w:t xml:space="preserve">Osim toga, moraju imati postavljenu induktivnu petlju u 20 % javnih službi za podršku, a njihovo osoblje mora biti spremno pružiti informacije osobama s invaliditetom bilo koje vrste, u roku od najviše tri godine od stupanja na snagu ovog Zakonika.</w:t>
      </w:r>
    </w:p>
    <w:p w14:paraId="178D066A" w14:textId="77777777" w:rsidR="00CC0ADF" w:rsidRDefault="00CC0ADF">
      <w:pPr>
        <w:rPr>
          <w:lang w:val="es-ES"/>
        </w:rPr>
      </w:pPr>
    </w:p>
    <w:p w14:paraId="3EF53236" w14:textId="476D7F11" w:rsidR="00E526B5" w:rsidRDefault="00B670F2">
      <w:r>
        <w:rPr>
          <w:sz w:val="22"/>
        </w:rPr>
        <w:t xml:space="preserve">POGLAVLJE 6.:</w:t>
      </w:r>
      <w:r>
        <w:rPr>
          <w:sz w:val="22"/>
        </w:rPr>
        <w:t xml:space="preserve"> </w:t>
      </w:r>
      <w:r>
        <w:rPr>
          <w:sz w:val="22"/>
        </w:rPr>
        <w:t xml:space="preserve">Pristupačnost usluga</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Javne službe koje imaju internetske stranice otvorene za javnost moraju pružiti informacije o pristupačnosti tih usluga te o njihovim prostorima, objektima i postupcima.</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Internetske stranice, aplikacije za mobilne uređaje i drugi proizvodi i usluge informacijske i komunikacijske tehnologije koje se nude u okviru javnih usluga moraju biti u skladu s uvjetima utvrđenima u Prilogu 5.a ovog Zakonika i normom UNE-EN 301549:2022 ili onom koja je zamjenjuje, u skladu s Direktivom (EU) 2016/2102 Europskog parlamenta i Vijeća koja je prenesena Kraljevskom uredbom 112/2018 od 7. rujna 2018. o pristupačnosti internetskih stranica i aplikacija za mobilne uređaje u javnom sektoru, ne dovodeći u pitanje propise nadležnog tijela u Kataloniji.</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Internetske stranice i aplikacije za mobilne uređaje trgovačkih lanaca i trgovina hranom i mješovitom robom s korisnom površinom za javnu uporabu većom od 500 m², koji nude mogućnost kupnje proizvoda putem interneta i primanja proizvoda putem dostave na kućnu adresu, moraju biti pristupačne, u skladu sa zahtjevima iz stavaka 25. i 26. Priloga 5.a, i postići barem dvostruku razinu usklađenosti A (AA) u skladu sa smjernicama WCAG 2.1, u sljedećim situacijama:</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Kada je riječ o novo izrađenim stranicama ili aplikacijama.</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Kada se postojeće stranice ili aplikacije mijenjaju.</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Kada su rokovi utvrđeni u stavku 4. Priloga 6.b ispunjeni prilagodbom postojećih stranica i aplikacija.</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Internetske stranice i aplikacije za mobilne uređaje, koje omogućuju bankarstvo, ugovaranje ili bilo koju drugu vrstu upravljanja ili savjetovanja u vezi s proizvodima ugovorenima u fizičkom uredu, moraju biti pristupačne, u skladu sa zahtjevima iz stavaka 25. i 26. Priloga 5.a, i postići barem dvostruku razinu usklađenosti A (AA) u skladu sa smjernicama WCAG 2.1, u sljedećim situacijama:</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Kada je riječ o novo izrađenim stranicama ili aplikacijama.</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Kada se postojeće stranice ili aplikacije mijenjaju.</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Kada su rokovi utvrđeni u stavku 5. Priloga 6.b ispunjeni prilagodbom postojećih stranica i aplikacija.</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Internetske stranice i aplikacije za mobilne uređaje hotelskih lanaca i objekata s kapacitetom većim od 100 mjesta, koji omogućuju ugovaranje smještaja i internetske usluge, moraju biti pristupačne, u skladu sa zahtjevima iz stavaka 25. i 26. Priloga 5.a, i postići barem dvostruku razinu usklađenosti A (AA) u skladu sa smjernicama WCAG 2.1, u sljedećim situacijama:</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Kada je riječ o novo izrađenim stranicama ili aplikacijama.</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Kada se postojeće stranice ili aplikacije mijenjaju.</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Kada su ispunjeni rokovi utvrđeni u stavku 7. Priloga 6.b za prilagodbu postojećih stranica i aplikacija.</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Internetske stranice i aplikacije za mobilne uređaje ustanova ili podružnica ustanova moraju biti pristupačne u skladu sa zahtjevima iz stavaka 25. i 26. Priloga 5.a;</w:t>
      </w:r>
      <w:r>
        <w:rPr>
          <w:sz w:val="22"/>
        </w:rPr>
        <w:t xml:space="preserve"> </w:t>
      </w:r>
      <w:r>
        <w:rPr>
          <w:sz w:val="22"/>
        </w:rPr>
        <w:t xml:space="preserve">postići barem dvostruku razinu usklađenosti A (AA) u skladu sa smjernicama WCAG 2.1 i pružiti informacije navedene u prethodnim stavcima u sljedećim situacijama:</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Kada je riječ o novo izrađenim stranicama ili aplikacijama.</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Kada se postojeće stranice ili aplikacije mijenjaju.</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Kada su ispunjeni rokovi utvrđeni u stavku 3. Priloga 6.b za prilagodbu postojećih stranica i aplikacija.</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Internetske stranice i aplikacije za mobilne uređaje sportskih objekata i klubova koji nude prodaju karata na svojim mjestima trgovanja moraju biti pristupačne i pružati potrebne informacije pod istim uvjetima utvrđenima u članku 133. za usluge povezane s izvođačkim umjetnostima.</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Internetske stranice i aplikacije za mobilne uređaje obrazovnih ustanova koje pružaju formalno obrazovanje moraju biti pristupačne, u skladu s zahtjevima iz stavaka 25. i 26. Priloga 5.a, te moraju postići barem dvostruku razinu usklađenosti A (AA) u skladu sa smjernicama WCAG 2.1 u sljedećim situacijama:</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Kada je riječ o novo izrađenim stranicama ili aplikacijama.</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Kada se postojeće stranice ili aplikacije mijenjaju.</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Kada su rokovi utvrđeni u stavku 8. Priloga 6.b ispunjeni prilagodbom postojećih stranica i aplikacija.</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Članak 138.</w:t>
      </w:r>
      <w:r>
        <w:rPr>
          <w:sz w:val="22"/>
        </w:rPr>
        <w:tab/>
      </w:r>
      <w:r>
        <w:rPr>
          <w:sz w:val="22"/>
        </w:rPr>
        <w:t xml:space="preserve">Ključne usluge, usluge od općeg interesa ili javno financirane usluge</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Internetske stranice katalonskog javnog sektora i javnopravnih društva, kao i sve one koje su pokrenute financiranjem iz javne uprave i tijela ili poduzeća koja pružaju javne usluge koncesijom ili na osnovi ugovora s javnom upravom, moraju ispuniti zahtjeve iz stavka 25. Priloga 5.a i postići dvostruku razinu usklađenosti A (AA) u skladu sa smjernicama WCAG 2.1, ne dovodeći u pitanje propis nadležnog tijela u Kataloniji u skladu s Kraljevskom uredbom 1112/2018 od 7. rujna 2018. o pristupačnosti internetskih stranica i aplikacija za mobilne uređaje u javnom sektoru.</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Internetske stranice privatnih subjekata koji pružaju ključne usluge ili usluge od općeg interesa, uključujući električnu energiju, vodu ili plin i telekomunikacije, kao i zdravstvene, poštanske i bankarske usluge, također moraju ispuniti zahtjeve iz stavka 25. Priloga 5.a i postići dvostruku razinu usklađenosti A (AA) u skladu sa smjernicama WCAG 2.1.</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Aplikacije za mobilne uređaje u javnom sektoru i subjekti navedeni u stavcima 138.1. i 138.2. moraju ispuniti zahtjeve za pristupačnost iz stavka 26. Priloga 5.a, ne dovodeći u pitanje propis nadležnog tijela u Kataloniji.</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Zahtjevi za pristupačnost internetskih stranica i aplikacija za mobilne uređaje utvrđeni u ovom članku primjenjuju se pod uvjetom da ne predstavljaju nerazmjerno opterećenje za subjekt koji ih mora primjenjivati, uzimajući u obzir sljedeće:</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Veličine, resurse i prirodu određenog subjekta.</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Troškove i korist subjekta te procijenjene koristi za korisnike, uzimajući u obzir učestalost i trajanje korištenja te internetske stranice ili aplikacije.</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Diskriminatorne učinke na osobe s invaliditetom ako internetska stranica ili aplikacija nije pristupačna u slučaju da na tržištu postoje internetske stranice ili alternativne aplikacije koje nude istu funkcionalnost i uvjete.</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Javni sektor ili subjekt koji se koristi izuzećem iz stavka 138.4. mora u izjavi o pristupačnosti internetske stranice ili aplikacije objasniti koji zahtjevi za pristupačnost nisu mogli biti ispunjeni i mora ponuditi pristupačne alternative u okviru mogućnosti.</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Internetske stranice i aplikacije za mobilne uređaje moraju biti u skladu s uvjetima pristupačnosti utvrđenima u prethodnim stavcima prije konačnih rokova utvrđenih u stavku 2. Priloga 6.b.</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Pružatelji usluga i proizvođači koji katalonskom javnom sektoru i subjektima iz stavka 138.1. isporučuju informatičku opremu i softver moraju u njih uključiti dodatne elemente i značajke pristupačnosti potrebne kako bi se osobama s invaliditetom omogućio pristup digitalnom sadržaju.</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Javne i privatne televizijske mreže u Kataloniji moraju izraditi planove za pristupačnost svojim sadržajima kako bi postupno učinile svoje programe pristupačnim osobama s osjetilnim i intelektualnim poteškoćama.</w:t>
      </w:r>
      <w:r>
        <w:rPr>
          <w:sz w:val="22"/>
        </w:rPr>
        <w:t xml:space="preserve"> </w:t>
      </w:r>
      <w:r>
        <w:rPr>
          <w:sz w:val="22"/>
        </w:rPr>
        <w:t xml:space="preserve">Ti planovi moraju omogućiti postizanje sljedećih ciljeva u roku od najviše tri godine od stupanja na snagu ovog Zakonika:</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Javne televizijske mreže:</w:t>
      </w:r>
      <w:r>
        <w:rPr>
          <w:sz w:val="22"/>
        </w:rPr>
        <w:t xml:space="preserve"> </w:t>
      </w:r>
      <w:r>
        <w:rPr>
          <w:sz w:val="22"/>
        </w:rPr>
        <w:t xml:space="preserve">Moraju imati 100 % programa s titlovima i osigurati najmanje 15 tjednih sati sadržaja sa zvučnim opisom i 10 tjednih sati na katalonskom znakovnom jeziku.</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Privatne televizijske mreže:</w:t>
      </w:r>
      <w:r>
        <w:rPr>
          <w:sz w:val="22"/>
        </w:rPr>
        <w:t xml:space="preserve"> </w:t>
      </w:r>
      <w:r>
        <w:rPr>
          <w:sz w:val="22"/>
        </w:rPr>
        <w:t xml:space="preserve">Moraju imati 75 % programa s titlovima i osigurati najmanje 10 tjednih sati sadržaja sa zvučnim opisom i 7 tjednih sati na katalonskom znakovnom jeziku.</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Programi s katalonskim znakovnim jezikom moraju uključivati informativne programe i dječje programe dostupne u ponudi gledanja prethodno snimljenog sadržaja ako je ta usluga dostupna.</w:t>
      </w:r>
      <w:r>
        <w:rPr>
          <w:sz w:val="22"/>
        </w:rPr>
        <w:t xml:space="preserve"> </w:t>
      </w:r>
      <w:r>
        <w:rPr>
          <w:sz w:val="22"/>
        </w:rPr>
        <w:t xml:space="preserve">Ovaj program mora pokriti svaki dan u tjednu.</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Poduzeća koja distribuiraju kinematografska i audiovizualna djela moraju u njih uključiti titlove, sustave audiodekriptiranja i audionavigacije, po mogućnosti za strane i domaće filmove koji imaju bolju gledanost ili su im dodijeljene nacionalne ili međunarodne nagrade, na način da su dostupni putem podrške za DVD ili sličnih sustava s tim značajkama.</w:t>
      </w:r>
    </w:p>
    <w:p w14:paraId="0F3986EB" w14:textId="77777777" w:rsidR="003920DF" w:rsidRDefault="003920DF">
      <w:pPr>
        <w:rPr>
          <w:lang w:val="es-ES"/>
        </w:rPr>
      </w:pPr>
    </w:p>
    <w:p w14:paraId="44244122" w14:textId="3BAB5CCF" w:rsidR="00E526B5" w:rsidRDefault="00B670F2">
      <w:r>
        <w:rPr>
          <w:sz w:val="22"/>
        </w:rPr>
        <w:t xml:space="preserve">POGLAVLJE 11.:</w:t>
      </w:r>
      <w:r>
        <w:rPr>
          <w:sz w:val="22"/>
        </w:rPr>
        <w:t xml:space="preserve"> </w:t>
      </w:r>
      <w:r>
        <w:rPr>
          <w:sz w:val="22"/>
        </w:rPr>
        <w:t xml:space="preserve">Oznaka kvalitete pristupačnosti</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Javno savjetovanje s ustanovama, zgradama i javnim subjektima koji imaju oznaku kvalitete mora biti moguće barem putem interneta, ne dovodeći u pitanje druga sredstva koja se mogu smatrati primjerenima.</w:t>
      </w:r>
    </w:p>
    <w:p w14:paraId="6CBE5DDA" w14:textId="77777777" w:rsidR="00E526B5" w:rsidRDefault="00E526B5">
      <w:pPr>
        <w:rPr>
          <w:lang w:val="es-ES"/>
        </w:rPr>
      </w:pPr>
    </w:p>
    <w:p w14:paraId="3BFAD248" w14:textId="66A7955A" w:rsidR="00E526B5" w:rsidRDefault="00CF1E0D">
      <w:r>
        <w:rPr>
          <w:sz w:val="22"/>
        </w:rPr>
        <w:t xml:space="preserve">Prilog 5.a:</w:t>
      </w:r>
      <w:r>
        <w:rPr>
          <w:sz w:val="22"/>
        </w:rPr>
        <w:t xml:space="preserve"> </w:t>
      </w:r>
      <w:r>
        <w:rPr>
          <w:sz w:val="22"/>
        </w:rPr>
        <w:t xml:space="preserve">Standardi pristupačnosti proizvoda</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Pristupačne internetske stranice</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Smjernice koje se moraju slijediti pri osmišljavanju i izradi internetske stranice te uvjeti za njihovu pristupačnost su sljedeći:</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Sadržaj je konfiguriran na način da se može prilagoditi različitim softverima, uređajima i proizvodima podrške bez gubitka informacija ili strukture.</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Navedene su tekstualne zamjene ili opisne identifikacije netekstualnog sadržaja (slike, grafike, multimedijski sadržaj).</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Uključeni su titlovi i audio opis multimedijskog sadržaja kada je to potrebno za pravilno razumijevanje poruke.</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Osigurani su mehanizmi koji omogućuju isključivanje i reguliranje glasnoće zvuka.</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Boja se ne koristi kao jedino sredstvo za prenošenje informacija, označavanje radnje ili razlikovanje elementa.</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Tekst i slike imaju dovoljan kontrast u odnosu na pozadinu i veličinu koja omogućava dobro čitanje.</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Veličina teksta mora se moći prilagoditi sa same stranice bez pomoći proizvoda za podršku i bez gubitka sadržaja ili funkcionalnosti.</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Omogućen je pristup svim funkcijama stranice s pomoću tipkovnice, a izvedeno rješenje nije u sukobu s čitačima zaslona i povećalima.</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Korisniku je omogućeno da kontrolira informacije ili objekte koji se automatski premještaju ili ažuriraju, kako bi ih mogao zaustaviti, sakriti ili kontrolirati frekvenciju.</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Navigacija je olakšana strukturiranjem sadržaja u koherentnom redoslijedu i pružanjem jasnih navigacijskih mehanizama.</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Uključene su informativne smjernice koje korisnicima olakšavaju razumijevanje složenih elemenata i uključeni su mehanizmi za otkrivanje i sprečavanje pogrešaka kada korisnici unose podatke.</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Jezik koji se koristi u svakom odlomku ili dokumentu internetske stranice može se identificirati kako bi čitači zaslona i govorni reproduktori mogli automatski otkriti i promijeniti jezik.</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Koristi se jasan i razumljiv jezik kako bi sadržaj bio lako razumljiv i uključene su definicije najneobičnijih riječi i značenje akronima i kratica.</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Povećana je kompatibilnost s aplikacijama, softverom i uređajima koje korisnici mogu imati, uključujući proizvode za podršku.</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Osigurano je da su dokumenti objavljeni na internetu dostupni i čitljivi i za čitače zaslona.</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Pristupačni komunikacijski kanali, osim telefona, osigurani su putem e-pošte, SMS-a ili obrazaca, s vremenom obrade koje nije diskriminirajuće u odnosu na vrijeme telefonskog poziva.</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Ispunjeni su kriteriji u skladu sa smjernicama WCAG 2.1 za jednu od razina usklađenosti, u skladu s uvjetima utvrđenim normom UNE 139803:2012 ili normom koja je zamjenjuje, osim u situacijama u kojima ovaj Zakonik zahtijeva višu razinu usklađenosti.</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Pristupačne aplikacije</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Aplikacije za mobilne uređaje moraju biti u skladu sa zahtjevima utvrđenim normom UNE 139803:2012 ili normom koja je zamjenjuje i ispunjavaju sljedeće opće kriterije:</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Sve poruke, sustavi pomoći i tekstovi moraju biti napisani jasnim i jednostavnim jezikom.</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Tekst je razumljiv, u veličini i fontu koji olakšavaju čitanje.</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Kontrast boje elemenata s pozadinom je zadovoljavajući.</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Kontrole, objekti, ikone i slike su prepoznatljivi, jednostavni za korištenje i imaju pridruženi alternativni tekst koji opisuje njihovu funkciju ili značenje.</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Zvukovi upozorenja imaju imati vizualne ili vibracijske alternative.</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Postupak pristupa usluzi je neometan i brz.</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Aplikacija je kompatibilna s proizvodima za podršku kao što su čitači zaslona, povećala i glasovne naredbe.</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Aplikacija je kompatibilna s alatima za pristupačnost operativnog sustava.</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Prilog 6.b:</w:t>
      </w:r>
      <w:r>
        <w:rPr>
          <w:sz w:val="22"/>
        </w:rPr>
        <w:t xml:space="preserve"> </w:t>
      </w:r>
      <w:r>
        <w:rPr>
          <w:sz w:val="22"/>
        </w:rPr>
        <w:t xml:space="preserve">Rokovi za prilagodbu postojećih usluga propisanim zahtjevima</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Usklađenost s drugim propisanim zahtjevima</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Zahtjevima iz ovog Priloga 6.b ne dovodi se u pitanje obveza usklađivanja prije navedenih rokova propisanih zahtjeva za pristupačnost u slučaju izmjene postojećih elemenata ili resursa.</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Katalonski javni sektor, javnopravna društva i subjekti koji pružaju javne usluge</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Sljedeći konačni rokovi utvrđeni su za pristupačnost i ispunjavanje zahtjeva iz članka 138. za internetske stranice i aplikacije za mobilne uređaje u katalonskom javnom sektoru, za javnopravna društva i subjekte ili poduzeća koja pružaju javne usluge putem koncesije ili na temelju ugovora s javnom upravom:</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Godinu dana od stupanja na snagu ovog Zakonika:</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Internetske stranice katalonskog javnog sektora i javnopravnih društava.</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Dvije godine od stupanja na snagu ovog Zakonika:</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Aplikacije za mobilne uređaje u katalonskom javnom sektoru i za javnopravna društva.</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Tri godine od stupanja na snagu ovog Zakonika:</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Internetske stranice i aplikacije za mobilne uređaje subjekata ili poduzeća koji pružaju javne usluge koncesijom ili na temelju ugovora s javnom upravom.</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Navedeni rokovi utvrđeni su ne dovodeći u pitanje usklađenost s onima najzahtjevnijim prema značajkama usluge u skladu s ostalim stavcima ovog Priloga ili drugim propisima kojima su uređeni.</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Usluge povezane s izvođačkim umjetnostima, kinima i sportskim događanjima</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Sljedeći konačni rokovi utvrđeni su za pristupačnost i ispunjavanje zahtjeva iz članka 133. za internetske stranice objekta i kanale za elektroničku prodaju karata:</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Dvije godine od stupanja na snagu ovog Zakonika:</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Internetske stranice i aplikacije za mobilne uređaje objekata koji imaju kapacitet jednak ili veći od 2 000 mjesta u cijelom prostoru.</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Internetske stranice i aplikacije za mobilne uređaje internetskih platformi za izdavanje karata koje upravljaju s više objekata ukupnog kapaciteta od 2 000 mjesta ili više.</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Tri godine od stupanja na snagu ovog Zakonika:</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Internetske stranice i aplikacije za mobilne uređaje internetskih platformi za izdavanje karata koje upravljaju s više objekata ukupnog kapaciteta manjeg od 2 000 mjesta.</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Četiri godine od stupanja na snagu ovog Zakonika:</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Internetske stranice i aplikacije za mobilne uređaje objekata koji imaju kapacitet manji od 2 000 mjesta u cijelom prostoru.</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Komercijalne usluge</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Sljedeći konačni rokovi utvrđeni su za pristupačnost i ispunjavanje zahtjeva iz članka 126. za internetske stranice i aplikacije za mobilne uređaje koje nude mogućnost internetske kupovine kao i za trgovačke lance i trgovine hranom ili mješovitom robom:</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Dvije godine od stupanja na snagu ovog Zakonika:</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Internetske stranice i aplikacije za mobilne uređaje trgovačkih lanaca koji imaju 10 ili više objekata i prostore s više od 500 m² korisne površine za javnu uporabu.</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Tri godine od stupanja na snagu ovog Zakonika:</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Internetske stranice i aplikacije za mobilne uređaje trgovačkih lanaca koji imaju od 5 do 9 objekata i prostore s više od 500 m² korisne površine za javnu uporabu.</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Četiri godine od stupanja na snagu ovog Zakonika:</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Internetske stranice i aplikacije za mobilne uređaje trgovačkih lanaca i trgovina hranom ili mješovitom robom koji imaju prostore s više od 500 m² korisne površine za javnu uporabu.</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Financijske usluge i usluge osiguranja</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Sljedeći konačni rokovi utvrđeni su za pristupačnost i ispunjavanje zahtjeva iz članka 127. za internetske stranice i aplikacije za mobilne uređaje, koje omogućuju obavljanje bankarskog poslovanja, ugovaranja, savjetovanja s medicinskim odborima ili bilo koje druge vrste upravljanja ili savjetovanja u vezi s proizvodima ugovorenima sa subjektom:</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Godinu dana od stupanja na snagu ovog Zakonika:</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Internetske stranice</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Dvije godine od stupanja na snagu ovog Zakonika:</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Aplikacije za mobilne uređaje.</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Usluge povezane s privatnim prijevozom</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Sljedeći konačni rokovi utvrđeni su za pristupačnost i ispunjavanje zahtjeva iz članka 128. za poduzeća koja nude uslugu iznajmljivanja vozila bez vozača, s voznim parkom većim od 100 vozila, i poduzeća koja nude uslugu iznajmljivanja automobila s vozačem, s voznim parkom većim od 50 vozila:</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Godinu dana od stupanja na snagu ovog Zakonika:</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Moraju imati ponudu vozila koja mogu prevoziti nevozače u invalidskim kolicima koja je jednaka ili veća od 1 % voznog parka kojim upravljaju.</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Za vozače smanjene pokretljivosti moraju imati ponudu prilagođenih vozila jednaku 0,5 % ili više voznog parka kojim upravljaju.</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Ponuda vozila navedena u prethodnim točkama može se osigurati vlastitim vozilima ili ugovorima s drugim operaterima kojima se jamči dostatna pristupačnost.</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Tri godine od stupanja na snagu ovog Zakonika:</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Najmanje 0,5 % vozila u vlastitom voznom parku mora imati mogućnost prijevoza nevozača u invalidskim kolicima.</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Šest godina od stupanja na snagu ovog Zakonika:</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Najmanje 2 % vozila u vlastitom voznom parku mora imati mogućnost prijevoza nevozača u invalidskim kolicima.</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Najmanje 0,5 % vozila u vlastitom voznom parku mora biti prilagođeno vozačima smanjene pokretljivosti.</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Usluge povezane s turističkim smještajem</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Sljedeći konačni rokovi utvrđeni su za pristupačnost i ispunjavanje zahtjeva iz članka 130. za internetske stranice i aplikacije za mobilne uređaje hotelskih lanaca i objekata s kapacitetom većim od 100 soba, koji omogućuju rezervaciju smještaja i internetske usluge:</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Dvije godine od stupanja na snagu ovog Zakonika:</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Internetske stranice i aplikacije za mobilne uređaje hotelskih lanaca koji imaju 5 ili više objekata i zajedno imaju u ponudi više od 500 soba.</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Tri godine od stupanja na snagu ovog Zakonika:</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Internetske stranice i aplikacije za mobilne uređaje hotelskih lanaca koji imaju do 4 objekta i zajedno imaju u ponudi više od 500 soba.</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Internetske stranice i aplikacije za mobilne uređaje objekata s 500 ili više soba.</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Četiri godine od stupanja na snagu ovog Zakonika:</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Internetske stranice i aplikacije za mobilne uređaje hotelskih lanaca koji zajedno imaju u ponudi od 100 do 500 soba</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Internetske stranice i aplikacije za mobilne uređaje objekata koji imaju od 50 do 500 soba.</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Edukacijske usluge</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Sljedeći konačni rokovi utvrđeni su za pristupačnost i ispunjavanje zahtjeva iz članka 135. za internetske stranice i aplikacije za mobilne uređaje obrazovnih ustanova koje pružaju formalno obrazovanje:</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Dvije godine od stupanja na snagu ovog Zakonika:</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Internetske stranice i aplikacije za mobilne uređaje koje omogućavaju pretraživanje akademskih evidencija, upravljanje računima ili druge mrežne procese.</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Tri godine od stupanja na snagu ovog Zakonika:</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Internetske stranice i aplikacije za mobilne uređaje koje pružaju informacije o školi, objektima i obrazovnim ponudama.</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Zdravstvene usluge</w:t>
      </w:r>
    </w:p>
    <w:p w14:paraId="62E28D59" w14:textId="77777777" w:rsidR="00E526B5" w:rsidRPr="000F0A63" w:rsidRDefault="00E526B5" w:rsidP="00E526B5">
      <w:pPr>
        <w:tabs>
          <w:tab w:val="left" w:pos="284"/>
        </w:tabs>
        <w:jc w:val="both"/>
        <w:rPr>
          <w:bCs/>
          <w:sz w:val="22"/>
          <w:szCs w:val="22"/>
          <w:rFonts w:cs="Arial"/>
        </w:rPr>
      </w:pPr>
      <w:r>
        <w:rPr>
          <w:sz w:val="22"/>
        </w:rPr>
        <w:t xml:space="preserve">Zdravstveni centri s brojem kreveta jednakim ili većim od 50 moraju ispuniti sljedeće rokove i zahtjeve:</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Tri godine od stupanja na snagu ovog Zakonika:</w:t>
      </w:r>
    </w:p>
    <w:p w14:paraId="727C4E74" w14:textId="77777777" w:rsidR="00E526B5" w:rsidRPr="000F0A63" w:rsidRDefault="00E526B5" w:rsidP="00E526B5">
      <w:pPr>
        <w:tabs>
          <w:tab w:val="left" w:pos="284"/>
        </w:tabs>
        <w:jc w:val="both"/>
        <w:rPr>
          <w:sz w:val="22"/>
          <w:szCs w:val="22"/>
          <w:rFonts w:cs="Arial"/>
        </w:rPr>
      </w:pPr>
      <w:r>
        <w:rPr>
          <w:sz w:val="22"/>
        </w:rPr>
        <w:t xml:space="preserve">Imaju infrastrukturu, mobilne uređaje i protokole za pružanje usluga gluhim osobama putem katalonskog znakovnog jezika s pomoću tehnologije daljinskog prevođenja, kapaciteta od najmanje 2 % kreveta.</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