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14B6" w14:textId="63C93123" w:rsidR="005074AB" w:rsidRPr="00EA32C0" w:rsidRDefault="005074AB" w:rsidP="00EA32C0">
      <w:pPr>
        <w:jc w:val="both"/>
        <w:rPr>
          <w:rFonts w:cstheme="minorHAnsi"/>
          <w:b/>
        </w:rPr>
      </w:pPr>
      <w:r>
        <w:rPr>
          <w:b/>
        </w:rPr>
        <w:t>Проект на кралски указ от</w:t>
      </w:r>
      <w:r>
        <w:rPr>
          <w:b/>
        </w:rPr>
        <w:tab/>
      </w:r>
      <w:r>
        <w:rPr>
          <w:b/>
        </w:rPr>
        <w:tab/>
        <w:t xml:space="preserve">    за изменение на Техническия строителен кодекс, одобрен с Кралски указ 314/2006 от 17. март</w:t>
      </w:r>
    </w:p>
    <w:p w14:paraId="42548872" w14:textId="172DDCC5" w:rsidR="005074AB" w:rsidRPr="003934E5" w:rsidRDefault="005074AB" w:rsidP="005074AB">
      <w:pPr>
        <w:jc w:val="both"/>
        <w:rPr>
          <w:rFonts w:cstheme="minorHAnsi"/>
        </w:rPr>
      </w:pPr>
      <w:r>
        <w:t>Закон 38/1999 от 5 ноември относно строителните наредби определя Техническия строителен кодекс (ТСК) като регулаторна рамка, която установява основните изисквания за качество на сградите и техните инсталации и която позволява спазването на основните изисквания, установени в член 3. Техническият строителен кодекс (ТСК), предвиден в този закон, е одобрен с Кралски указ 314/2006 от 17 март. Основните документи, които съставляват част II от КТИ, определят и, когато е целесъобразно, количествено изразяват основните изисквания, заложени в част I, чрез определяне на целеви равнища или граници на изпълнение или други параметри. По-специално в основния документ на DB-HE „Икономии на енергия“ се определят и определят количествено изискванията за енергийна ефективност, на които трябва да отговарят новопостроените сгради, както и интервенциите по отношение на съществуващи сгради.</w:t>
      </w:r>
    </w:p>
    <w:p w14:paraId="400360D8" w14:textId="77777777" w:rsidR="005074AB" w:rsidRPr="003934E5" w:rsidRDefault="005074AB" w:rsidP="005074AB">
      <w:pPr>
        <w:jc w:val="both"/>
        <w:rPr>
          <w:rFonts w:cstheme="minorHAnsi"/>
        </w:rPr>
      </w:pPr>
      <w:r>
        <w:t>На 30 май 2018 г. беше приета Директива (ЕС) 2018/844 на Европейския парламент и на Съвета за изменение на Директива 2010/31/ЕС относно енергийните характеристики на сградите и Директива 2012/27/ЕС относно енергийната ефективност.</w:t>
      </w:r>
    </w:p>
    <w:p w14:paraId="0B5B2276" w14:textId="142A5C6B" w:rsidR="005A6E61" w:rsidRPr="003934E5" w:rsidRDefault="005074AB" w:rsidP="005A6E61">
      <w:pPr>
        <w:jc w:val="both"/>
        <w:rPr>
          <w:rFonts w:cstheme="minorHAnsi"/>
        </w:rPr>
      </w:pPr>
      <w:r>
        <w:t>Настоящата директива установява условията за развитие на минималната инфраструктура, необходима за интелигентно зареждане на електрически превозни средства в паркинги в сгради. По този начин както строителният сектор, така и секторът на мобилността са стратегически области за цялостната декарбонизация на икономиката с регулаторна рамка, която има за цел да стимулира иновациите, устойчивостта и енергийната ефективност в тези сектори.</w:t>
      </w:r>
    </w:p>
    <w:p w14:paraId="4245C855" w14:textId="1828DE90" w:rsidR="005A6E61" w:rsidRPr="003934E5" w:rsidRDefault="005A6E61" w:rsidP="005A6E61">
      <w:pPr>
        <w:jc w:val="both"/>
        <w:rPr>
          <w:rFonts w:cstheme="minorHAnsi"/>
        </w:rPr>
      </w:pPr>
      <w:r>
        <w:t>От своя страна, развитието на инфраструктурата за интелигентно зареждане на електрически превозни средства ще допринесе за управлението на енергията и гъвкавостта, използването на възобновяеми енергийни източници и подобряването на качеството на въздуха, а енергийната ефективност ще бъде оптимизирана чрез превръщането на сградите в по-дигитални и въвеждането на нови технологии в тази област.</w:t>
      </w:r>
    </w:p>
    <w:p w14:paraId="45A016F5" w14:textId="74A214E6" w:rsidR="005A6E61" w:rsidRPr="003934E5" w:rsidRDefault="005A6E61" w:rsidP="005A6E61">
      <w:pPr>
        <w:jc w:val="both"/>
        <w:rPr>
          <w:rFonts w:cstheme="minorHAnsi"/>
        </w:rPr>
      </w:pPr>
      <w:r>
        <w:t xml:space="preserve">От своя страна интегрираният национален план в областта на енергетиката и климата за периода 2021—2030 г. (PNIEC), представен от Испания на Европейската комисия, предвижда насърчаването на електрическата мобилност като мярка за намаляване на потреблението на енергия и емисиите от превозните средства чрез регулаторно адаптиране и включване на правото на Европейския съюз, което позволява разгръщането на инфраструктура за зареждане на електрически превозни средства в съответствие с развитието на електрификацията на автомобилния парк, както и чрез други механизми за насърчаване и подкрепа. </w:t>
      </w:r>
    </w:p>
    <w:p w14:paraId="3BF925DC" w14:textId="3FA9F544" w:rsidR="00A75681" w:rsidRPr="000E4F56" w:rsidRDefault="00C33374" w:rsidP="00A75681">
      <w:pPr>
        <w:jc w:val="both"/>
        <w:rPr>
          <w:rFonts w:cstheme="minorHAnsi"/>
        </w:rPr>
      </w:pPr>
      <w:r>
        <w:t xml:space="preserve">За да се постигнат тези цели и за да се транспонира частично директивата в това отношение, с настоящия кралски указ в Техническия строителен кодекс се въвежда ново основно изискване за икономия на енергия, свързано с минималните разпределения за инфраструктурата за зареждане на електрически превозни средства, което се разработва в новия раздел HE 6 "Минимални съоръжения за инфраструктурата за зареждане на електрически превозни средства" от основния документ за икономия на енергия. За да се </w:t>
      </w:r>
      <w:r>
        <w:lastRenderedPageBreak/>
        <w:t>осигурят условия за достъпност на точките за зареждане на достъпни места за паркиране, основният документ DB-SUA "Безопасност на използването и достъпност" се изменя.</w:t>
      </w:r>
    </w:p>
    <w:p w14:paraId="7140FEE8" w14:textId="77777777" w:rsidR="00A75681" w:rsidRPr="000E4F56" w:rsidRDefault="00A75681" w:rsidP="00A75681">
      <w:pPr>
        <w:jc w:val="both"/>
      </w:pPr>
    </w:p>
    <w:p w14:paraId="3F754C26" w14:textId="778AE3BE" w:rsidR="00A75681" w:rsidRPr="000E4F56" w:rsidRDefault="00A75681" w:rsidP="00A75681">
      <w:pPr>
        <w:jc w:val="both"/>
        <w:rPr>
          <w:rFonts w:cstheme="minorHAnsi"/>
        </w:rPr>
      </w:pPr>
      <w:r>
        <w:t xml:space="preserve">От своя страна и в съответствие с разпоредбите на Закон 7/2021 от 20 май относно изменението на климата и енергийния преход, една-единствена допълнителна разпоредба от Кралски указ 314/2006 от 17 март, с който се одобрява Кодексът за техническо строителство, установява следните изисквания за минимални разпоредби за инфраструктурата за зареждане на електрически превозни средства в съществуващи сгради, предназначени за употреба, различна от частното жилищно ползване, които имат паркомясто с повече от двадесет паркоместа, както вътре, така и в определено външно пространство, и които не са включени в приложното поле на раздел HE6 от Основния документ за енергоспестяване. Закон 7/2021 от 20 май за изменението на климата и енергийния преход установява задължението тази разпоредба да бъде включена в Техническия строителен кодекс преди 1 януари 2023 г. </w:t>
      </w:r>
    </w:p>
    <w:p w14:paraId="1192FDEB" w14:textId="77777777" w:rsidR="005074AB" w:rsidRPr="009064BC" w:rsidRDefault="005074AB" w:rsidP="005074AB">
      <w:pPr>
        <w:jc w:val="both"/>
        <w:rPr>
          <w:rFonts w:cstheme="minorHAnsi"/>
        </w:rPr>
      </w:pPr>
      <w:r>
        <w:t>И накрая, за да се завърши регулирането на инфраструктурите за зареждане на електрически превозни средства, се изменя допълнителната техническа инструкция (ДТИ) BT-52 на Регламента за електротехниката за ниско напрежение, одобрена с Кралски указ 1053/2014 от 12 декември, и се изменят други допълнителни технически инструкции за тях.</w:t>
      </w:r>
    </w:p>
    <w:p w14:paraId="53205125" w14:textId="62D4F2A6" w:rsidR="005A6E61" w:rsidRPr="009064BC" w:rsidRDefault="005074AB" w:rsidP="005A6E61">
      <w:pPr>
        <w:jc w:val="both"/>
        <w:rPr>
          <w:rFonts w:cstheme="minorHAnsi"/>
        </w:rPr>
      </w:pPr>
      <w:r>
        <w:t xml:space="preserve">Освен това, като мярка за насърчаване на енергията от възобновяеми източници, подобряване на конкурентоспособността на производствените сектори и стимулиране на потребителите да се ангажират в по-голяма степен в управлението на тяхната енергия, в PNIEC се предвижда развитие на собственото потребление с енергия от възобновяеми източници и разпределено производство в жилищни и бизнес райони. </w:t>
      </w:r>
    </w:p>
    <w:p w14:paraId="4F23D1D3" w14:textId="56BE7436" w:rsidR="005074AB" w:rsidRPr="009064BC" w:rsidRDefault="005A6E61" w:rsidP="005074AB">
      <w:pPr>
        <w:jc w:val="both"/>
        <w:rPr>
          <w:rFonts w:cstheme="minorHAnsi"/>
        </w:rPr>
      </w:pPr>
      <w:r>
        <w:t xml:space="preserve">В това отношение одобряването на Кралски указ № 244/2019 от 5 април, който урежда административните, техническите и икономическите условия за собствено потребление на електроенергия, позволи, наред с други аспекти, колективното потребление на собствена електроенергия и същевременно намали административните процедури за осъществяване на собственото потребление. Поради това се счита, че настоящата правна рамка позволява да се разшири обхватът на основното изискване HE 5, свързано с минималното производство на електроенергия, както като то стане приложимо в сгради за частно жилищно ползване, така и като се намали прагът на застроената площ в сгради с всякакво предназначение, от които се прилага изискването. </w:t>
      </w:r>
    </w:p>
    <w:p w14:paraId="2C3560FF" w14:textId="60FA6548" w:rsidR="005074AB" w:rsidRDefault="005074AB" w:rsidP="005074AB">
      <w:pPr>
        <w:jc w:val="both"/>
        <w:rPr>
          <w:rFonts w:cstheme="minorHAnsi"/>
        </w:rPr>
      </w:pPr>
      <w:r>
        <w:t>Освен това, след като бяха забелязани грешки и грешки в Кралски указ 732/2019 от 20 декември за изменение на Кодекса за техническото строителство, одобрен с Кралски указ 314/2006 от 17 март, публикуван в „BOE“ № 311 от 27 декември 2019 г., с настоящото се правят съответните корекции. На свой ред, за да се изясни начинът на прилагане на основния документ DB-HE относно „Икономия на енергия“ след актуализирането му с горепосочения Кралски указ 732/2019, се счита за необходимо да се измени формулировката на някои раздели от раздел HE 1 относно условията за контрол на търсенето на енергия и приложение А относно терминологията на горепосочения основен документ.</w:t>
      </w:r>
    </w:p>
    <w:p w14:paraId="010C68C8" w14:textId="6D1CCB96" w:rsidR="00E26B23" w:rsidRDefault="00E26B23" w:rsidP="00B65F28">
      <w:pPr>
        <w:jc w:val="both"/>
        <w:rPr>
          <w:rFonts w:cstheme="minorHAnsi"/>
          <w:bCs/>
        </w:rPr>
      </w:pPr>
      <w:r>
        <w:lastRenderedPageBreak/>
        <w:t xml:space="preserve">Изменението на Техническия кодекс във връзка с включването на новия раздел HE 6 „Минимални разпоредби за инфраструктурата за зареждане на електрически превозни средства“ от основния документ относно енергоспестяването, както и изменението на Кралски указ 1053/2014 от 12 декември, с който се одобрява нова допълнителна техническа инструкция (ДТИ) BT 52, включена в първата заключителна разпоредба, и единствената допълнителна разпоредба към Кралски указ 314/2006 от 17 март, с който се одобрява Кодексът за техническо строителство, са част от правните реформи, предвидени в Плана за възстановяване, трансформация и устойчивост (ПВТУ). По-специално компонент 1 на ПВТУ „Устойчив, безопасен и свързан план за шокова мобилност в градска и столична среда“ включва одобрението на този кралски указ за прилагане на гореспоменатите правни реформи в рамките на реформата C1.R1, наречена „План за разгръщане на инфраструктура за зареждане и насърчаване на електрически превозни средства“.  Реформата на C1.R1 е замислена като законова, регулаторна и стратегическа рамка за улесняване на разгръщането на инфраструктура за зареждане с цел насърчаване на електрическите превозни средства в Испания и има два основни етапа. Първият от тях е съставен със Заповед TMA/178/2020 от 19 февруари за изменение на Наредбата от 16 декември 1997 г., с която се урежда достъпът до държавни пътища, обслужващи пътища и изграждане на обслужващи съоръжения, и с Кралски указ 23/2020 от 23 юни, с който се одобряват мерки в областта на енергетиката и други области за икономическо възобновяване. Вторият етап от реформата на C1.R1 включва одобрението на настоящия Кралски указ за изменение на Кодекса за техническо строителство и Кралски указ 1053/2014 от 12 декември, с който се одобрява нова допълнителна техническа инструкция (ДТИ) BT 52.  Реформа C1.R1. е свързана с инвестиция C1.I2 „План за стимулиране на инсталирането на зарядни точки, придобиването на електрически превозни средства и превозни средства с горивни клетки и иновациите в областта на електромобилността, зареждането и зеления водород.“ Тази инвестиция включва линии на помощ за инсталирането на станции за зареждане, посочени в Кралски указ 266/2021 от 13 април, с който се одобрява прякото предоставяне на помощ на автономните области и градовете Сеута и Мелила за изпълнението на програми за стимулиране, свързани с електрическата мобилност (MOVES III) в рамките на ПВТУ. </w:t>
      </w:r>
    </w:p>
    <w:p w14:paraId="65C24996" w14:textId="1073EF13" w:rsidR="003F7C25" w:rsidRPr="001C78CB" w:rsidRDefault="003F7C25" w:rsidP="005074AB">
      <w:pPr>
        <w:jc w:val="both"/>
        <w:rPr>
          <w:rFonts w:cstheme="minorHAnsi"/>
          <w:bCs/>
          <w:i/>
          <w:iCs/>
        </w:rPr>
      </w:pPr>
      <w:r>
        <w:t xml:space="preserve">Настоящият кралски указ зачита (принципа за ненанасяне на значителни вреди) и условията за климатично и цифрово етикетиране, в съответствие с разпоредбите на ПВТУ, Регламент (ЕС) 2021/241 на Европейския парламент и на Съвета от 12 февруари 2021 г. за създаване на Механизъм за устойчивост и възстановяване и законодателството за неговото прилагане, и по-специално Съобщението на Комисията „Технически насоки относно прилагането на принципа за ненанасяне на значителни вреди съгласно Регламента за механизма за устойчивост и възстановяване“, както и изискванията на решението за изпълнение на Съвета за одобряване на оценката на испанския план за възстановяване, трансформация и устойчивост. Това включва спазването на специфичните условия, посочени в Компонент 1, както и в Реформа 1, в която е включен настоящият кралски указ, както по отношение на принципа DNSH, така и по отношение на климатичното и цифровото етикетиране, и по-специално тези, посочени в раздели 3, 6 и 8 от документа за Компонент ПВТУ. Инвестициите в ПВТУ C1.I2, свързани с реформа C1.R1, също спазват принципа за ненанасяне на значителни вреди за околната среда и условията за климатично и цифрово етикетиране. </w:t>
      </w:r>
    </w:p>
    <w:p w14:paraId="16D6EC35" w14:textId="6F02251C" w:rsidR="005074AB" w:rsidRPr="009064BC" w:rsidRDefault="005074AB" w:rsidP="005074AB">
      <w:pPr>
        <w:ind w:left="13"/>
        <w:jc w:val="both"/>
        <w:rPr>
          <w:rFonts w:cstheme="minorHAnsi"/>
        </w:rPr>
      </w:pPr>
      <w:r>
        <w:lastRenderedPageBreak/>
        <w:t>Настоящият кралски указ е в съответствие с принципите на необходимост, ефективност, пропорционалност, правна сигурност, прозрачност и ефикасност, установени в член 129 от Закон 39/2015 от 1 октомври относно общата административна процедура на публичните администрации. Що се отнася до принципите на необходимост и ефективност, законът отговаря на задължението за транспониране на европейските директиви в националното законодателство и е в съответствие с цели от общ интерес, като адаптирането на строителната инфраструктура с цел насърчаване на устойчивата мобилност и използването на енергия от възобновяеми източници. Това ще доведе до повишаване на благосъстоянието на обществото и до опазване на околната среда. Този кралски указ също така е в съответствие с принципа на пропорционалност, тъй като предоставя необходимите и достатъчни средства за изпълнение на правния мандат, предвиден в директивата, но не изисква нововъведение, което може да бъде ненужно или надхвърлящо законовите изисквания, нито води до ограничаване на правата на гражданите. Този регламент отговаря на принципа на правна сигурност, тъй като е разработен в съответствие с процедурите, определени в Закон 50/1997 на правителството от 27 ноември 1997 г., и принципа на прозрачност, тъй като ясно определя целта си, а публично достъпният обяснителен меморандум обяснява изцяло съдържанието му. И накрая, той отговаря и на принципа на ефективност, тъй като не налага никаква административна тежест.</w:t>
      </w:r>
    </w:p>
    <w:p w14:paraId="4E30715D" w14:textId="77777777" w:rsidR="005074AB" w:rsidRPr="009064BC" w:rsidRDefault="005074AB" w:rsidP="005074AB">
      <w:pPr>
        <w:jc w:val="both"/>
        <w:rPr>
          <w:rFonts w:cstheme="minorHAnsi"/>
        </w:rPr>
      </w:pPr>
      <w:r>
        <w:t>Тази обща разпоредба е предмет на информационната процедура в областта на техническите регламенти и правила относно услугите на информационното общество, предвидена в Директива (ЕС) 2015/1535 на Европейския парламент и на Съвета от 9 септември 2015 г., както и в Кралски указ 1337/1999 от 31 юли 1999 г.</w:t>
      </w:r>
    </w:p>
    <w:p w14:paraId="533AAB8D" w14:textId="741A459B" w:rsidR="003C546E" w:rsidRDefault="003C546E" w:rsidP="003C546E">
      <w:pPr>
        <w:jc w:val="both"/>
        <w:rPr>
          <w:rFonts w:cstheme="minorHAnsi"/>
        </w:rPr>
      </w:pPr>
      <w:r>
        <w:t>По силата на това, по предложение на министъра на транспорта, мобилността и програмата за градовете и третия заместник министър-председател на правителството и министър на екологичния преход и демографското предизвикателство, със съгласието на Държавния съвет и след обсъждане от Министерския съвет на неговото заседание на</w:t>
      </w:r>
    </w:p>
    <w:p w14:paraId="72CBBED7" w14:textId="7C56F995" w:rsidR="003C546E" w:rsidRPr="009064BC" w:rsidRDefault="003C546E" w:rsidP="005074AB">
      <w:pPr>
        <w:jc w:val="both"/>
        <w:rPr>
          <w:rFonts w:cstheme="minorHAnsi"/>
        </w:rPr>
      </w:pPr>
    </w:p>
    <w:p w14:paraId="02FFC445" w14:textId="386EF3CB" w:rsidR="005074AB" w:rsidRPr="00487123" w:rsidRDefault="005074AB" w:rsidP="005074AB">
      <w:pPr>
        <w:jc w:val="center"/>
        <w:rPr>
          <w:rFonts w:cstheme="minorHAnsi"/>
          <w:spacing w:val="26"/>
        </w:rPr>
      </w:pPr>
      <w:r w:rsidRPr="00487123">
        <w:rPr>
          <w:spacing w:val="26"/>
        </w:rPr>
        <w:t>СЕ ПОСТАНОВЯВА СЛЕДНОТО:</w:t>
      </w:r>
    </w:p>
    <w:p w14:paraId="29194849" w14:textId="17EA67F9" w:rsidR="005074AB" w:rsidRPr="0033081E" w:rsidRDefault="002A5A94" w:rsidP="005074AB">
      <w:pPr>
        <w:jc w:val="both"/>
        <w:rPr>
          <w:rFonts w:cstheme="minorHAnsi"/>
          <w:bCs/>
          <w:i/>
          <w:iCs/>
        </w:rPr>
      </w:pPr>
      <w:r>
        <w:t xml:space="preserve">Единичен член. </w:t>
      </w:r>
      <w:r>
        <w:rPr>
          <w:i/>
        </w:rPr>
        <w:t>Изменение на Техническия строителен кодекс (ТСК), одобрено с Кралски указ 314/2006 от 17 март 2006 г.</w:t>
      </w:r>
    </w:p>
    <w:p w14:paraId="49F6DB5C" w14:textId="77777777" w:rsidR="005074AB" w:rsidRPr="009064BC" w:rsidRDefault="005074AB" w:rsidP="005074AB">
      <w:pPr>
        <w:jc w:val="both"/>
        <w:rPr>
          <w:rFonts w:cstheme="minorHAnsi"/>
        </w:rPr>
      </w:pPr>
      <w:r>
        <w:t>Кралски указ 314/2006 от 17 март 2006 г. за одобряване на Техническия строителен кодекс (ТСК) се изменя, както следва:</w:t>
      </w:r>
    </w:p>
    <w:p w14:paraId="1E4A23CD" w14:textId="3CA20F16" w:rsidR="005074AB" w:rsidRPr="009064BC" w:rsidRDefault="005074AB" w:rsidP="005074AB">
      <w:pPr>
        <w:ind w:left="567" w:hanging="567"/>
        <w:jc w:val="both"/>
        <w:rPr>
          <w:rFonts w:cstheme="minorHAnsi"/>
        </w:rPr>
      </w:pPr>
      <w:r>
        <w:t>Едно. Част I от Техническия строителен кодекс се изменя, както следва:</w:t>
      </w:r>
    </w:p>
    <w:p w14:paraId="7B36765A" w14:textId="6C7BF234" w:rsidR="006B44D8" w:rsidRPr="009064BC" w:rsidRDefault="006B44D8" w:rsidP="0033081E">
      <w:pPr>
        <w:ind w:left="142" w:hanging="142"/>
        <w:jc w:val="both"/>
        <w:rPr>
          <w:rFonts w:cstheme="minorHAnsi"/>
        </w:rPr>
      </w:pPr>
      <w:r>
        <w:t>— В съдържанието наименованието „15.6. Основно изискване HE5: Минимално производство на електроенергия“ се чете, както следва:</w:t>
      </w:r>
    </w:p>
    <w:p w14:paraId="750B02FB" w14:textId="5E773080" w:rsidR="006B44D8" w:rsidRPr="009064BC" w:rsidRDefault="006B44D8" w:rsidP="00F11565">
      <w:pPr>
        <w:ind w:left="426"/>
        <w:jc w:val="both"/>
        <w:rPr>
          <w:rFonts w:cstheme="minorHAnsi"/>
        </w:rPr>
      </w:pPr>
      <w:r>
        <w:t>„15.6. Основно изискване НЕ 5: Раздел HE5 Минимално производство на електроенергия от възобновяеми източници.“</w:t>
      </w:r>
    </w:p>
    <w:p w14:paraId="0B75EAC4" w14:textId="77777777" w:rsidR="006B44D8" w:rsidRPr="009064BC" w:rsidRDefault="006B44D8" w:rsidP="006B44D8">
      <w:pPr>
        <w:numPr>
          <w:ilvl w:val="0"/>
          <w:numId w:val="9"/>
        </w:numPr>
        <w:ind w:left="142" w:hanging="142"/>
        <w:jc w:val="both"/>
        <w:rPr>
          <w:rFonts w:cstheme="minorHAnsi"/>
        </w:rPr>
      </w:pPr>
      <w:r>
        <w:t>В позоваването на член 15 от индекса се добавя допълнителна точка със следния текст:</w:t>
      </w:r>
    </w:p>
    <w:p w14:paraId="1C1AB680" w14:textId="1D8C7D23" w:rsidR="006B44D8" w:rsidRPr="009064BC" w:rsidRDefault="007E461E" w:rsidP="00F11565">
      <w:pPr>
        <w:ind w:left="426"/>
        <w:jc w:val="both"/>
        <w:rPr>
          <w:rFonts w:cstheme="minorHAnsi"/>
        </w:rPr>
      </w:pPr>
      <w:r>
        <w:lastRenderedPageBreak/>
        <w:t>15.7. Основно изискване HE6: Минимално оборудване на инфраструктурата за зареждане на електрически превозни средства.</w:t>
      </w:r>
    </w:p>
    <w:p w14:paraId="03B3513D" w14:textId="1133ED17" w:rsidR="001E31F3" w:rsidRPr="002C30D6" w:rsidRDefault="005074AB" w:rsidP="005074AB">
      <w:pPr>
        <w:numPr>
          <w:ilvl w:val="0"/>
          <w:numId w:val="9"/>
        </w:numPr>
        <w:ind w:left="142" w:hanging="142"/>
        <w:jc w:val="both"/>
        <w:rPr>
          <w:rFonts w:cstheme="minorHAnsi"/>
        </w:rPr>
      </w:pPr>
      <w:r>
        <w:t>В глава 3, член 15, точка 15.6 се изменя, както следва:</w:t>
      </w:r>
    </w:p>
    <w:p w14:paraId="1E36A006" w14:textId="3C6E29CB" w:rsidR="001E31F3" w:rsidRPr="009064BC" w:rsidRDefault="00F11565" w:rsidP="00F11565">
      <w:pPr>
        <w:pStyle w:val="ListParagraph"/>
        <w:ind w:left="426"/>
        <w:jc w:val="both"/>
        <w:rPr>
          <w:rFonts w:cstheme="minorHAnsi"/>
        </w:rPr>
      </w:pPr>
      <w:r>
        <w:t>Основно изискване НЕ 5: Минимално производство на електроенергия от възобновяеми източници.</w:t>
      </w:r>
    </w:p>
    <w:p w14:paraId="4799EB9C" w14:textId="22AE3D4A" w:rsidR="001E31F3" w:rsidRPr="009064BC" w:rsidRDefault="001B0467" w:rsidP="00F11565">
      <w:pPr>
        <w:ind w:left="426"/>
        <w:jc w:val="both"/>
        <w:rPr>
          <w:rFonts w:cstheme="minorHAnsi"/>
        </w:rPr>
      </w:pPr>
      <w:r>
        <w:t>Сградите трябва да разполагат със системи за производство на електроенергия от възобновяеми източници за собствена употреба или за захранване на електропреносната мрежа.“</w:t>
      </w:r>
    </w:p>
    <w:p w14:paraId="799517C6" w14:textId="6A449415" w:rsidR="005074AB" w:rsidRPr="009064BC" w:rsidRDefault="001E31F3" w:rsidP="005074AB">
      <w:pPr>
        <w:numPr>
          <w:ilvl w:val="0"/>
          <w:numId w:val="9"/>
        </w:numPr>
        <w:ind w:left="142" w:hanging="142"/>
        <w:jc w:val="both"/>
        <w:rPr>
          <w:rFonts w:cstheme="minorHAnsi"/>
        </w:rPr>
      </w:pPr>
      <w:r>
        <w:t>В края на член 15 се добавя следното:</w:t>
      </w:r>
    </w:p>
    <w:p w14:paraId="67BDEE2E" w14:textId="77777777" w:rsidR="005074AB" w:rsidRPr="009064BC" w:rsidRDefault="005074AB" w:rsidP="00F11565">
      <w:pPr>
        <w:ind w:left="426"/>
        <w:jc w:val="both"/>
        <w:rPr>
          <w:rFonts w:cstheme="minorHAnsi"/>
        </w:rPr>
      </w:pPr>
      <w:r>
        <w:t>„15.7 Основно изискване НЕ 6: Минимално оборудване на инфраструктурата за зареждане на електрически превозни средства.</w:t>
      </w:r>
    </w:p>
    <w:p w14:paraId="7C67403C" w14:textId="535BDE0B" w:rsidR="005074AB" w:rsidRDefault="005074AB" w:rsidP="00F11565">
      <w:pPr>
        <w:ind w:left="426"/>
        <w:jc w:val="both"/>
        <w:rPr>
          <w:rFonts w:cstheme="minorHAnsi"/>
        </w:rPr>
      </w:pPr>
      <w:r>
        <w:t>Сградите трябва да имат минимална инфраструктура, позволяваща зареждането на електрически превозни средства.“</w:t>
      </w:r>
    </w:p>
    <w:p w14:paraId="6F674517" w14:textId="77777777" w:rsidR="002A5A94" w:rsidRPr="000E4F56" w:rsidRDefault="002A5A94" w:rsidP="002A5A94">
      <w:pPr>
        <w:pStyle w:val="ListParagraph"/>
        <w:numPr>
          <w:ilvl w:val="0"/>
          <w:numId w:val="9"/>
        </w:numPr>
        <w:ind w:left="142" w:hanging="142"/>
        <w:jc w:val="both"/>
        <w:rPr>
          <w:rFonts w:cstheme="minorHAnsi"/>
        </w:rPr>
      </w:pPr>
      <w:r>
        <w:t>Добавя се следната допълнителна разпоредба:</w:t>
      </w:r>
    </w:p>
    <w:p w14:paraId="2417D1DC" w14:textId="3DAEE52F" w:rsidR="002A5A94" w:rsidRPr="0033081E" w:rsidRDefault="002A5A94" w:rsidP="002A5A94">
      <w:pPr>
        <w:ind w:left="426"/>
        <w:jc w:val="both"/>
        <w:rPr>
          <w:rFonts w:cstheme="minorHAnsi"/>
          <w:bCs/>
          <w:i/>
          <w:iCs/>
        </w:rPr>
      </w:pPr>
      <w:r>
        <w:t xml:space="preserve">"Единствена допълнителна разпоредба. </w:t>
      </w:r>
      <w:r>
        <w:rPr>
          <w:i/>
        </w:rPr>
        <w:t>Минимална инфраструктура за зареждане на електрически превозни средства в сгради за цели, различни от частни жилищни сгради с повече от двадесет паркоместа.</w:t>
      </w:r>
    </w:p>
    <w:p w14:paraId="71CE31DD" w14:textId="72E1754E" w:rsidR="0067270E" w:rsidRPr="008F4D49" w:rsidRDefault="0067270E" w:rsidP="0067270E">
      <w:pPr>
        <w:ind w:left="426"/>
        <w:jc w:val="both"/>
      </w:pPr>
      <w:r>
        <w:t>В съответствие с разпоредбите на Закон 7/2021 от 20 май относно изменението на климата и енергийния преход, преди 1 януари 2023 г. всички сгради, предназначени за ползване, различни от частното жилищно ползване, които имат зона за паркиране с повече от двадесет паркоместа, както вътре, така и в определено външно пространство, трябва да разполагат със следните минимални съоръжения за инфраструктура за зареждане на електрически превозни средства:</w:t>
      </w:r>
    </w:p>
    <w:p w14:paraId="2339A7CE" w14:textId="2F683544" w:rsidR="0067270E" w:rsidRPr="00DC3EE9" w:rsidRDefault="0067270E" w:rsidP="00675D0E">
      <w:pPr>
        <w:ind w:left="426"/>
        <w:jc w:val="both"/>
        <w:rPr>
          <w:rFonts w:cstheme="minorHAnsi"/>
        </w:rPr>
      </w:pPr>
      <w:r>
        <w:t>— по принцип се инсталира една станция за зареждане на всеки 40 паркоместа или еквивалентни на тях до 1000 места, и една допълнителна зарядна станция за всеки допълнителни 100 места или еквивалентни на тях места. Като алтернатива се изисква общинският лиценз или разрешение за извършване на дейностите, необходими за изпълнението на тази инфраструктура за зареждане, или, в случай че собственикът на сградата е субект на Закон 9/2017 от 8 ноември за договорите в публичния сектор, с който в испанското право се транспонират директивите на Европейския парламент и на Съвета 2014/23/ЕС и 2014/24/ЕС от 26 февруари 2014 г., тръжната процедура за въпросните строителни работи или проектът или техническият документ, необходим за определяне на същото, се инициират чрез обявление на съответната платформа за възлагане на обществени поръчки</w:t>
      </w:r>
      <w:bookmarkStart w:id="0" w:name="_Hlk74840570"/>
      <w:r>
        <w:t xml:space="preserve">. Строителните работи, извършени по заявление за издаване на общинско разрешително или разрешение, трябва да започнат в рамките на максималния срок на действие на разрешението съгласно съответните разпоредби, а при липса на такова — в срок от шест месеца от датата на издаване на разрешението. Строителните работи, които са извършени официално с началото на тръжната процедура или на тръжната процедура за проекта или техническия документ, който ги определя, трябва да започнат в рамките на максималния срок на </w:t>
      </w:r>
      <w:r>
        <w:lastRenderedPageBreak/>
        <w:t>действие на разрешителното, общинско разрешение или еквивалентно на него, или, ако това не е възможно, в срок от шест месеца от датата на издаването им.</w:t>
      </w:r>
    </w:p>
    <w:bookmarkEnd w:id="0"/>
    <w:p w14:paraId="58AB7358" w14:textId="65977551" w:rsidR="00F90C96" w:rsidRPr="008F4D49" w:rsidRDefault="0067270E" w:rsidP="00EA32C0">
      <w:pPr>
        <w:ind w:left="426"/>
        <w:jc w:val="both"/>
        <w:rPr>
          <w:rFonts w:cstheme="minorHAnsi"/>
        </w:rPr>
      </w:pPr>
      <w:r>
        <w:t>- в сгради, собственост на държавната администрация или на публични органи, свързани с нея или принадлежащи към нея, се инсталира една зарядна станция за всеки 20 паркоместа или еквивалент до 500 места и една допълнителна зарядна станция за всеки допълнителни 100 места или еквивалент, или алтернативно тръжната процедура за работите или проектът или техническият документ, необходим за определяне на работите, се открива чрез обявление в съответната платформа за обществени поръчки. Строителните работи, които са извършени официално с началото на тръжната процедура или на тръжната процедура за проекта или техническия документ, който ги определя, трябва да започнат в рамките на максималния срок на действие на разрешителното, общинско разрешение или еквивалентно на него, или, ако това не е възможно, в срок от шест месеца от датата на издаването им.</w:t>
      </w:r>
    </w:p>
    <w:p w14:paraId="354182C6" w14:textId="54A09FDC" w:rsidR="002A5A94" w:rsidRPr="00BA4C0D" w:rsidRDefault="002A5A94" w:rsidP="00210EA2">
      <w:pPr>
        <w:ind w:left="426"/>
        <w:jc w:val="both"/>
      </w:pPr>
      <w:r>
        <w:t>Официално защитените сгради са изключени от тези задължения, тъй като са част от декларирана околна среда или поради специфичната си архитектурна или историческа стойност, доколкото спазването на изискването би могло необосновано да промени техния характер или външен вид, и официалният орган за защита определя непроменимите елементи.</w:t>
      </w:r>
    </w:p>
    <w:p w14:paraId="0662362C" w14:textId="0FC45639" w:rsidR="002A5A94" w:rsidRPr="0062182D" w:rsidRDefault="002A5A94" w:rsidP="0062182D">
      <w:pPr>
        <w:pStyle w:val="ListParagraph"/>
        <w:ind w:left="426"/>
        <w:jc w:val="both"/>
        <w:rPr>
          <w:rFonts w:cstheme="minorHAnsi"/>
        </w:rPr>
      </w:pPr>
      <w:r>
        <w:t>Тази инфраструктура за зареждане на електрически превозни средства ще отговаря на разпоредбите на Кралски указ 842/2002 от 2 август, с който се одобрява Електротехническият регламент за ниско напрежение и допълнителната техническа инструкция (ДТИ) BT 52 „Инсталации за специални цели“. Инфраструктура за зареждане на електрически превозни средства“, както и разпоредбите на раздел 4. „Обосновка на изискването“ и точка 5. „Строителство, техническо обслужване и поддръжка“ на раздел HE 6 „Минимални съоръжения за инфраструктура за зареждане на електрически превозни средства“ от основния документ DB-HE „Икономии на енергия“.“</w:t>
      </w:r>
    </w:p>
    <w:p w14:paraId="0769E30E" w14:textId="6A51451B" w:rsidR="0033081E" w:rsidRPr="008F4D49" w:rsidRDefault="005074AB" w:rsidP="00D47CC2">
      <w:pPr>
        <w:jc w:val="both"/>
        <w:rPr>
          <w:rFonts w:cstheme="minorHAnsi"/>
        </w:rPr>
      </w:pPr>
      <w:r>
        <w:t xml:space="preserve">Две. Основният документ DB-HE „Икономия на енергия", включен в част II на Техническия строителен кодекс, се изменя, като се включва раздел HE 6 "Минимални инфраструктурни съоръжения за зареждане на електрически превозни средства", който е включен като приложение I към настоящия Кралски указ. </w:t>
      </w:r>
    </w:p>
    <w:p w14:paraId="5DC46FAC" w14:textId="4A465EFF" w:rsidR="005074AB" w:rsidRPr="008F4D49" w:rsidRDefault="005074AB" w:rsidP="005074AB">
      <w:pPr>
        <w:spacing w:after="162"/>
        <w:ind w:left="13"/>
        <w:jc w:val="both"/>
        <w:rPr>
          <w:rFonts w:cstheme="minorHAnsi"/>
        </w:rPr>
      </w:pPr>
      <w:r>
        <w:t>В основния документ DB-HE се правят и следните изменения:</w:t>
      </w:r>
    </w:p>
    <w:p w14:paraId="53FD09BA" w14:textId="1FBEE4B0" w:rsidR="005074AB" w:rsidRPr="009064BC" w:rsidRDefault="005074AB" w:rsidP="006424FF">
      <w:pPr>
        <w:numPr>
          <w:ilvl w:val="0"/>
          <w:numId w:val="13"/>
        </w:numPr>
        <w:spacing w:after="162"/>
        <w:ind w:left="720" w:hanging="295"/>
        <w:jc w:val="both"/>
        <w:rPr>
          <w:rFonts w:cstheme="minorHAnsi"/>
        </w:rPr>
      </w:pPr>
      <w:r>
        <w:t>В първата алинея на раздел „I Предмет“ на „Въведение“ в изречението „Раздели от настоящия DB съответстват на основните изисквания от НЕ 0 а до НЕ 5“, вместо „HE 5“, „HE 6“.</w:t>
      </w:r>
    </w:p>
    <w:p w14:paraId="7957EC48" w14:textId="441BEE49" w:rsidR="006F5E38" w:rsidRPr="009064BC" w:rsidRDefault="006F5E38" w:rsidP="006424FF">
      <w:pPr>
        <w:numPr>
          <w:ilvl w:val="0"/>
          <w:numId w:val="13"/>
        </w:numPr>
        <w:spacing w:after="162"/>
        <w:ind w:left="720" w:hanging="295"/>
        <w:jc w:val="both"/>
        <w:rPr>
          <w:rFonts w:cstheme="minorHAnsi"/>
        </w:rPr>
      </w:pPr>
      <w:r>
        <w:t>В раздел  I „Предмет“ на „Въведение“ позоваването на член 15.6 от част I на СТЕ се изменя, както следва:</w:t>
      </w:r>
    </w:p>
    <w:p w14:paraId="5F1636DD" w14:textId="77777777" w:rsidR="006F5E38" w:rsidRPr="009064BC" w:rsidRDefault="006F5E38" w:rsidP="009064BC">
      <w:pPr>
        <w:pStyle w:val="ListParagraph"/>
        <w:ind w:left="709"/>
        <w:contextualSpacing w:val="0"/>
        <w:jc w:val="both"/>
        <w:rPr>
          <w:rFonts w:cstheme="minorHAnsi"/>
        </w:rPr>
      </w:pPr>
      <w:r>
        <w:t>„15.6 Основно изискване НЕ 5: Минимално производство на електроенергия от възобновяеми източници.</w:t>
      </w:r>
    </w:p>
    <w:p w14:paraId="6BB983CA" w14:textId="72439AD8" w:rsidR="006F5E38" w:rsidRPr="009064BC" w:rsidRDefault="006F5E38" w:rsidP="009064BC">
      <w:pPr>
        <w:pStyle w:val="ListParagraph"/>
        <w:spacing w:after="162"/>
        <w:ind w:left="709"/>
        <w:contextualSpacing w:val="0"/>
        <w:jc w:val="both"/>
        <w:rPr>
          <w:rFonts w:cstheme="minorHAnsi"/>
        </w:rPr>
      </w:pPr>
      <w:r>
        <w:lastRenderedPageBreak/>
        <w:t>Сградите трябва да разполагат със системи за производство на електроенергия от възобновяеми източници за собствена употреба или за захранване на електропреносната мрежа.“</w:t>
      </w:r>
    </w:p>
    <w:p w14:paraId="2D6B0228" w14:textId="7AFD12CA" w:rsidR="005074AB" w:rsidRPr="009064BC" w:rsidRDefault="005074AB" w:rsidP="006424FF">
      <w:pPr>
        <w:numPr>
          <w:ilvl w:val="0"/>
          <w:numId w:val="13"/>
        </w:numPr>
        <w:spacing w:after="162"/>
        <w:ind w:left="720" w:hanging="295"/>
        <w:jc w:val="both"/>
        <w:rPr>
          <w:rFonts w:cstheme="minorHAnsi"/>
        </w:rPr>
      </w:pPr>
      <w:r>
        <w:t>В раздел I „Предмет“ на „Въведение“ се добавя допълнителна точка във препратката към член 15 от част I на СТЕ в края на СТЕ, със следния текст:</w:t>
      </w:r>
    </w:p>
    <w:p w14:paraId="7D3E8D59" w14:textId="77777777" w:rsidR="005074AB" w:rsidRPr="009064BC" w:rsidRDefault="005074AB" w:rsidP="006424FF">
      <w:pPr>
        <w:ind w:left="709"/>
        <w:jc w:val="both"/>
        <w:rPr>
          <w:rFonts w:cstheme="minorHAnsi"/>
        </w:rPr>
      </w:pPr>
      <w:r>
        <w:t>15.7. Основно изискване НЕ 6: Минимално оборудване на инфраструктурата за зареждане на електрически превозни средства.</w:t>
      </w:r>
    </w:p>
    <w:p w14:paraId="63C180D9" w14:textId="77777777" w:rsidR="005074AB" w:rsidRPr="009064BC" w:rsidRDefault="005074AB" w:rsidP="006424FF">
      <w:pPr>
        <w:ind w:left="709"/>
        <w:jc w:val="both"/>
        <w:rPr>
          <w:rFonts w:cstheme="minorHAnsi"/>
        </w:rPr>
      </w:pPr>
      <w:r>
        <w:t>Сградите трябва да имат минимална инфраструктура, позволяваща зареждането на електрически превозни средства.“</w:t>
      </w:r>
    </w:p>
    <w:p w14:paraId="2CCB9F35" w14:textId="1C8D3E4F" w:rsidR="001B0467" w:rsidRPr="009064BC" w:rsidRDefault="001B0467" w:rsidP="006424FF">
      <w:pPr>
        <w:numPr>
          <w:ilvl w:val="0"/>
          <w:numId w:val="13"/>
        </w:numPr>
        <w:ind w:left="720" w:hanging="294"/>
        <w:jc w:val="both"/>
        <w:rPr>
          <w:rFonts w:cstheme="minorHAnsi"/>
        </w:rPr>
      </w:pPr>
      <w:r>
        <w:t>В съдържанието заглавието на раздел HE 5 се изменя, за да гласи:</w:t>
      </w:r>
    </w:p>
    <w:p w14:paraId="7DC0F11B" w14:textId="4E9858DC" w:rsidR="001B0467" w:rsidRPr="009064BC" w:rsidRDefault="001B0467" w:rsidP="001B0467">
      <w:pPr>
        <w:pStyle w:val="ListParagraph"/>
        <w:ind w:left="709"/>
        <w:jc w:val="both"/>
        <w:rPr>
          <w:rFonts w:cstheme="minorHAnsi"/>
        </w:rPr>
      </w:pPr>
      <w:r>
        <w:t>„Раздел HE 5 Минимално производство на електроенергия от възобновяеми източници.“</w:t>
      </w:r>
    </w:p>
    <w:p w14:paraId="1178E5DE" w14:textId="4953BECD" w:rsidR="005074AB" w:rsidRPr="009064BC" w:rsidRDefault="005074AB" w:rsidP="006424FF">
      <w:pPr>
        <w:numPr>
          <w:ilvl w:val="0"/>
          <w:numId w:val="13"/>
        </w:numPr>
        <w:ind w:left="720" w:hanging="294"/>
        <w:jc w:val="both"/>
        <w:rPr>
          <w:rFonts w:cstheme="minorHAnsi"/>
        </w:rPr>
      </w:pPr>
      <w:r>
        <w:t>В позоваването на член 15 от индекса се добавя допълнителна точка със следния текст:</w:t>
      </w:r>
    </w:p>
    <w:p w14:paraId="661731BD" w14:textId="00E0C515" w:rsidR="005074AB" w:rsidRPr="009064BC" w:rsidRDefault="00982E58" w:rsidP="00982E58">
      <w:pPr>
        <w:tabs>
          <w:tab w:val="left" w:pos="7938"/>
        </w:tabs>
        <w:ind w:left="1134" w:hanging="425"/>
        <w:contextualSpacing/>
        <w:jc w:val="both"/>
        <w:rPr>
          <w:rFonts w:cstheme="minorHAnsi"/>
        </w:rPr>
      </w:pPr>
      <w:r>
        <w:t>„Раздел HE 6 Минимални съоръжения на инфраструктурата за зареждане на електрически превозни средства.................................................................</w:t>
      </w:r>
      <w:r>
        <w:tab/>
        <w:t>33</w:t>
      </w:r>
    </w:p>
    <w:p w14:paraId="22DC136D" w14:textId="49F557E6" w:rsidR="005074AB" w:rsidRPr="009064BC" w:rsidRDefault="005074AB" w:rsidP="00982E58">
      <w:pPr>
        <w:numPr>
          <w:ilvl w:val="0"/>
          <w:numId w:val="10"/>
        </w:numPr>
        <w:tabs>
          <w:tab w:val="left" w:pos="7938"/>
        </w:tabs>
        <w:ind w:left="1134" w:hanging="425"/>
        <w:contextualSpacing/>
        <w:jc w:val="both"/>
        <w:rPr>
          <w:rFonts w:cstheme="minorHAnsi"/>
        </w:rPr>
      </w:pPr>
      <w:r>
        <w:t>Приложно поле.....................................................................................</w:t>
      </w:r>
      <w:r>
        <w:tab/>
        <w:t>33</w:t>
      </w:r>
    </w:p>
    <w:p w14:paraId="6FE2086C" w14:textId="5F45FF18" w:rsidR="005074AB" w:rsidRPr="009064BC" w:rsidRDefault="005074AB" w:rsidP="00982E58">
      <w:pPr>
        <w:numPr>
          <w:ilvl w:val="0"/>
          <w:numId w:val="10"/>
        </w:numPr>
        <w:tabs>
          <w:tab w:val="left" w:pos="7938"/>
        </w:tabs>
        <w:ind w:left="1134" w:hanging="425"/>
        <w:contextualSpacing/>
        <w:jc w:val="both"/>
        <w:rPr>
          <w:rFonts w:cstheme="minorHAnsi"/>
        </w:rPr>
      </w:pPr>
      <w:r>
        <w:t>Описание на изискването……………………………………………………………………</w:t>
      </w:r>
      <w:r>
        <w:tab/>
        <w:t>34</w:t>
      </w:r>
    </w:p>
    <w:p w14:paraId="4D6A108B" w14:textId="1B29531C" w:rsidR="005074AB" w:rsidRPr="009064BC" w:rsidRDefault="005074AB" w:rsidP="00982E58">
      <w:pPr>
        <w:numPr>
          <w:ilvl w:val="0"/>
          <w:numId w:val="10"/>
        </w:numPr>
        <w:tabs>
          <w:tab w:val="left" w:pos="7938"/>
        </w:tabs>
        <w:ind w:left="1134" w:hanging="425"/>
        <w:contextualSpacing/>
        <w:jc w:val="both"/>
        <w:rPr>
          <w:rFonts w:cstheme="minorHAnsi"/>
        </w:rPr>
      </w:pPr>
      <w:r>
        <w:t>Количествено определяне на изискването.................................................</w:t>
      </w:r>
      <w:r>
        <w:tab/>
        <w:t>34</w:t>
      </w:r>
    </w:p>
    <w:p w14:paraId="79098154" w14:textId="4DBE57AC" w:rsidR="005074AB" w:rsidRPr="009064BC" w:rsidRDefault="005074AB" w:rsidP="00982E58">
      <w:pPr>
        <w:numPr>
          <w:ilvl w:val="0"/>
          <w:numId w:val="10"/>
        </w:numPr>
        <w:tabs>
          <w:tab w:val="left" w:pos="7938"/>
        </w:tabs>
        <w:ind w:left="1134" w:hanging="425"/>
        <w:contextualSpacing/>
        <w:jc w:val="both"/>
        <w:rPr>
          <w:rFonts w:cstheme="minorHAnsi"/>
        </w:rPr>
      </w:pPr>
      <w:r>
        <w:t>Обосновка на изискването……………………………………………………………………</w:t>
      </w:r>
      <w:r>
        <w:tab/>
        <w:t>34</w:t>
      </w:r>
    </w:p>
    <w:p w14:paraId="7CB375BD" w14:textId="1075A6CF" w:rsidR="005074AB" w:rsidRPr="009064BC" w:rsidRDefault="005074AB" w:rsidP="00982E58">
      <w:pPr>
        <w:numPr>
          <w:ilvl w:val="0"/>
          <w:numId w:val="10"/>
        </w:numPr>
        <w:tabs>
          <w:tab w:val="left" w:pos="7938"/>
        </w:tabs>
        <w:ind w:left="1134" w:hanging="425"/>
        <w:contextualSpacing/>
        <w:jc w:val="both"/>
        <w:rPr>
          <w:rFonts w:cstheme="minorHAnsi"/>
        </w:rPr>
      </w:pPr>
      <w:r>
        <w:t>Строителство, техническо обслужване и поддръжка……………………………....35</w:t>
      </w:r>
    </w:p>
    <w:p w14:paraId="0BB8C82D" w14:textId="2FD43AD4" w:rsidR="005074AB" w:rsidRPr="009064BC" w:rsidRDefault="006424FF" w:rsidP="00982E58">
      <w:pPr>
        <w:tabs>
          <w:tab w:val="left" w:pos="7938"/>
        </w:tabs>
        <w:ind w:left="1843" w:hanging="425"/>
        <w:contextualSpacing/>
        <w:jc w:val="both"/>
        <w:rPr>
          <w:rFonts w:cstheme="minorHAnsi"/>
        </w:rPr>
      </w:pPr>
      <w:r>
        <w:t>5.1</w:t>
      </w:r>
      <w:r>
        <w:tab/>
        <w:t>Изпълнение………………………………………………………………</w:t>
      </w:r>
      <w:r w:rsidR="00487123">
        <w:t>………………</w:t>
      </w:r>
      <w:r>
        <w:t>.</w:t>
      </w:r>
      <w:r>
        <w:tab/>
        <w:t>35</w:t>
      </w:r>
    </w:p>
    <w:p w14:paraId="4AE42B35" w14:textId="17669CE2" w:rsidR="005074AB" w:rsidRPr="009064BC" w:rsidRDefault="005074AB" w:rsidP="00982E58">
      <w:pPr>
        <w:tabs>
          <w:tab w:val="left" w:pos="7938"/>
        </w:tabs>
        <w:ind w:left="1843" w:hanging="425"/>
        <w:contextualSpacing/>
        <w:jc w:val="both"/>
        <w:rPr>
          <w:rFonts w:cstheme="minorHAnsi"/>
        </w:rPr>
      </w:pPr>
      <w:r>
        <w:t>5.2</w:t>
      </w:r>
      <w:r>
        <w:tab/>
        <w:t>Мониторинг на изпълнението на строителните работи………………..35</w:t>
      </w:r>
    </w:p>
    <w:p w14:paraId="2E5A6752" w14:textId="42B7C249" w:rsidR="005074AB" w:rsidRPr="009064BC" w:rsidRDefault="005074AB" w:rsidP="00982E58">
      <w:pPr>
        <w:tabs>
          <w:tab w:val="left" w:pos="7938"/>
        </w:tabs>
        <w:ind w:left="1843" w:hanging="436"/>
        <w:contextualSpacing/>
        <w:jc w:val="both"/>
        <w:rPr>
          <w:rFonts w:cstheme="minorHAnsi"/>
        </w:rPr>
      </w:pPr>
      <w:r>
        <w:t>5.3</w:t>
      </w:r>
      <w:r>
        <w:tab/>
        <w:t>Проверка на завършената работа.........................................</w:t>
      </w:r>
      <w:r w:rsidR="00487123">
        <w:rPr>
          <w:lang w:val="el-GR"/>
        </w:rPr>
        <w:t>..........</w:t>
      </w:r>
      <w:r>
        <w:tab/>
        <w:t>35</w:t>
      </w:r>
    </w:p>
    <w:p w14:paraId="5D3A912D" w14:textId="4A15B0D4" w:rsidR="005074AB" w:rsidRPr="009064BC" w:rsidRDefault="005074AB" w:rsidP="00982E58">
      <w:pPr>
        <w:tabs>
          <w:tab w:val="left" w:pos="7938"/>
        </w:tabs>
        <w:ind w:left="1843" w:hanging="425"/>
        <w:contextualSpacing/>
        <w:jc w:val="both"/>
        <w:rPr>
          <w:rFonts w:cstheme="minorHAnsi"/>
        </w:rPr>
      </w:pPr>
      <w:r>
        <w:t>5.4</w:t>
      </w:r>
      <w:r>
        <w:tab/>
        <w:t>Техническо обслужване и поддръжка на сградата ........................</w:t>
      </w:r>
      <w:r w:rsidR="00487123" w:rsidRPr="00487123">
        <w:t>.</w:t>
      </w:r>
      <w:r>
        <w:t>35</w:t>
      </w:r>
    </w:p>
    <w:p w14:paraId="2AE043C4" w14:textId="77777777" w:rsidR="005074AB" w:rsidRPr="009064BC" w:rsidRDefault="005074AB" w:rsidP="005074AB">
      <w:pPr>
        <w:ind w:left="1418"/>
        <w:contextualSpacing/>
        <w:jc w:val="both"/>
        <w:rPr>
          <w:rFonts w:cstheme="minorHAnsi"/>
        </w:rPr>
      </w:pPr>
    </w:p>
    <w:p w14:paraId="3A1C5505" w14:textId="4B9D9EA3" w:rsidR="0026457E" w:rsidRDefault="0026457E" w:rsidP="0026457E">
      <w:pPr>
        <w:numPr>
          <w:ilvl w:val="0"/>
          <w:numId w:val="13"/>
        </w:numPr>
        <w:ind w:left="720" w:hanging="295"/>
        <w:jc w:val="both"/>
        <w:rPr>
          <w:rFonts w:cstheme="minorHAnsi"/>
        </w:rPr>
      </w:pPr>
      <w:r>
        <w:t>В раздел HE 0 „Граници за консумация на енергия“, в раздел 4.1 „Процедура за изчисляване“, в параграф 9 думите „признат документ“ се заменят с „признат документ за енергийно сертифициране на сгради“.</w:t>
      </w:r>
    </w:p>
    <w:p w14:paraId="3222E360" w14:textId="2F90CB7E" w:rsidR="0067340E" w:rsidRPr="0067340E" w:rsidRDefault="006C16B4" w:rsidP="0026457E">
      <w:pPr>
        <w:numPr>
          <w:ilvl w:val="0"/>
          <w:numId w:val="13"/>
        </w:numPr>
        <w:ind w:left="720" w:hanging="295"/>
        <w:jc w:val="both"/>
        <w:rPr>
          <w:rFonts w:cstheme="minorHAnsi"/>
        </w:rPr>
      </w:pPr>
      <w:r>
        <w:t>В раздел HE 0 „Ограничения на консумацията на енергия“ в раздел 4.1 „Процедура за изчисляване“ параграф 9 става параграф 11 и се добавят следните алинеи:</w:t>
      </w:r>
    </w:p>
    <w:p w14:paraId="3392DEB4" w14:textId="73112890" w:rsidR="0067340E" w:rsidRDefault="0067340E" w:rsidP="0067340E">
      <w:pPr>
        <w:ind w:left="1134" w:hanging="425"/>
        <w:contextualSpacing/>
        <w:jc w:val="both"/>
        <w:rPr>
          <w:rFonts w:cstheme="minorHAnsi"/>
        </w:rPr>
      </w:pPr>
      <w:r>
        <w:t>9</w:t>
      </w:r>
      <w:r>
        <w:tab/>
        <w:t>Изчисляването на енергийния баланс, необходим за проверката на изискванията на настоящия BD, се извършва в съответствие с UNE-EN ISO 52000—1:2019: Цялостна оценка на енергийните характеристики на сградите. Част 1: обща рамка и процедури, като се използва експортен фактор K</w:t>
      </w:r>
      <w:r>
        <w:rPr>
          <w:vertAlign w:val="subscript"/>
        </w:rPr>
        <w:t>exp</w:t>
      </w:r>
      <w:r>
        <w:t xml:space="preserve"> = 0."</w:t>
      </w:r>
    </w:p>
    <w:p w14:paraId="744E1B50" w14:textId="4419E002" w:rsidR="00B233D0" w:rsidRDefault="00B233D0" w:rsidP="0026457E">
      <w:pPr>
        <w:ind w:left="1134" w:hanging="425"/>
        <w:jc w:val="both"/>
        <w:rPr>
          <w:rFonts w:cstheme="minorHAnsi"/>
        </w:rPr>
      </w:pPr>
      <w:r>
        <w:t>10</w:t>
      </w:r>
      <w:r>
        <w:tab/>
        <w:t>За целите на разпределянето на различните услуги разпределението на електроенергията, произведена на място, за всеки интервал от време се изчислява пропорционално на консумацията на електроенергия от съответното потребление (отопление, охлаждане, вентилация, ACS и за третично ползване, освен това осветление).“</w:t>
      </w:r>
    </w:p>
    <w:p w14:paraId="78947690" w14:textId="66930B3C" w:rsidR="005074AB" w:rsidRPr="009064BC" w:rsidRDefault="005074AB" w:rsidP="0026457E">
      <w:pPr>
        <w:numPr>
          <w:ilvl w:val="0"/>
          <w:numId w:val="13"/>
        </w:numPr>
        <w:ind w:left="720" w:hanging="294"/>
        <w:jc w:val="both"/>
        <w:rPr>
          <w:rFonts w:cstheme="minorHAnsi"/>
        </w:rPr>
      </w:pPr>
      <w:r>
        <w:lastRenderedPageBreak/>
        <w:t>В раздел HE 1 "Условия за контрол на потреблението на енергия", в раздел 3.1.1 "Пропускливост на топлоизолационната обвивка" се добавя следната алинея:</w:t>
      </w:r>
    </w:p>
    <w:p w14:paraId="729573A3" w14:textId="05413AE2" w:rsidR="005074AB" w:rsidRPr="009064BC" w:rsidRDefault="005074AB" w:rsidP="006424FF">
      <w:pPr>
        <w:ind w:left="1134" w:hanging="425"/>
        <w:jc w:val="both"/>
        <w:rPr>
          <w:rFonts w:cstheme="minorHAnsi"/>
        </w:rPr>
      </w:pPr>
      <w:r>
        <w:t>„6</w:t>
      </w:r>
      <w:r>
        <w:tab/>
        <w:t>Като алтернатива, сградите или, в случай на частична намеса върху съществуващи сгради, части от сгради, върху които се извършват интервенции, чиито нужди от отопление и охлаждане са по-малки и в двата случая, от 15 kWh/m</w:t>
      </w:r>
      <w:r>
        <w:rPr>
          <w:vertAlign w:val="superscript"/>
        </w:rPr>
        <w:t>2</w:t>
      </w:r>
      <w:r>
        <w:t xml:space="preserve"> могат да бъдат изключени от спазването на изискванията на</w:t>
      </w:r>
      <w:r>
        <w:rPr>
          <w:i/>
        </w:rPr>
        <w:t>общия коефициент на топлопреминаване през топлинната обвивка (K)</w:t>
      </w:r>
      <w:r>
        <w:t>.“</w:t>
      </w:r>
    </w:p>
    <w:p w14:paraId="49941342" w14:textId="77777777" w:rsidR="00802B87" w:rsidRDefault="005074AB" w:rsidP="00802B87">
      <w:pPr>
        <w:numPr>
          <w:ilvl w:val="0"/>
          <w:numId w:val="13"/>
        </w:numPr>
        <w:ind w:left="709" w:hanging="283"/>
        <w:contextualSpacing/>
        <w:jc w:val="both"/>
        <w:rPr>
          <w:rFonts w:cstheme="minorHAnsi"/>
        </w:rPr>
      </w:pPr>
      <w:r>
        <w:t>В раздел HE 1 "Условия за контрол на потреблението на енергия", в раздел 3.1.3 "Въздухопропускливост на топлоизолационната обвивка" се добавя следният нов параграф 3:</w:t>
      </w:r>
    </w:p>
    <w:p w14:paraId="1D58DEB1" w14:textId="0D8F3294" w:rsidR="005074AB" w:rsidRPr="00802B87" w:rsidRDefault="005074AB" w:rsidP="00802B87">
      <w:pPr>
        <w:ind w:left="709"/>
        <w:contextualSpacing/>
        <w:jc w:val="both"/>
        <w:rPr>
          <w:rFonts w:cstheme="minorHAnsi"/>
        </w:rPr>
      </w:pPr>
      <w:r>
        <w:t xml:space="preserve">„В случай на изменения таблица 3.1.3.a-HE1 по-горе се прилага само за онези елементи на </w:t>
      </w:r>
      <w:r>
        <w:rPr>
          <w:i/>
        </w:rPr>
        <w:t>топлоизолационната обвивка</w:t>
      </w:r>
      <w:r>
        <w:t>, които са заменени, вградени или съществено изменени;“</w:t>
      </w:r>
    </w:p>
    <w:p w14:paraId="7563FEDE" w14:textId="74826D79" w:rsidR="005074AB" w:rsidRDefault="005074AB" w:rsidP="00836E07">
      <w:pPr>
        <w:ind w:left="709"/>
        <w:jc w:val="both"/>
        <w:rPr>
          <w:rFonts w:cstheme="minorHAnsi"/>
        </w:rPr>
      </w:pPr>
      <w:r>
        <w:t>Номерацията на настоящите параграфи 3 и 4 от раздел 3.1.3 „Въздухопропускливост на топлоизолационната обвивка“ се заменя съответно с 4 и 5.</w:t>
      </w:r>
    </w:p>
    <w:p w14:paraId="50F02663" w14:textId="6089A86E" w:rsidR="00E57D62" w:rsidRDefault="00E57D62" w:rsidP="0085697E">
      <w:pPr>
        <w:pStyle w:val="ListParagraph"/>
        <w:numPr>
          <w:ilvl w:val="0"/>
          <w:numId w:val="20"/>
        </w:numPr>
        <w:spacing w:line="257" w:lineRule="auto"/>
        <w:ind w:left="709" w:hanging="283"/>
        <w:contextualSpacing w:val="0"/>
        <w:jc w:val="both"/>
        <w:rPr>
          <w:rFonts w:cstheme="minorHAnsi"/>
        </w:rPr>
      </w:pPr>
      <w:r>
        <w:t>В раздел HE 3 Условия на осветителните инсталации, в таблица 3.1-HE3 граничната стойност на ефективност на инсталацията (VEEI</w:t>
      </w:r>
      <w:r>
        <w:rPr>
          <w:vertAlign w:val="subscript"/>
        </w:rPr>
        <w:t>lim</w:t>
      </w:r>
      <w:r>
        <w:t xml:space="preserve">) думите „магазини и малки магазини“ се заменят с „магазини и малки магазини </w:t>
      </w:r>
      <w:r>
        <w:rPr>
          <w:rFonts w:ascii="Calibri" w:hAnsi="Calibri"/>
          <w:vertAlign w:val="subscript"/>
        </w:rPr>
        <w:t>(10)</w:t>
      </w:r>
      <w:r>
        <w:t>“ и се добавя следната бележка под линия:</w:t>
      </w:r>
    </w:p>
    <w:p w14:paraId="149506FB" w14:textId="5E891A3B" w:rsidR="00C40409" w:rsidRDefault="00E57D62" w:rsidP="00C40409">
      <w:pPr>
        <w:pStyle w:val="ListParagraph"/>
        <w:spacing w:line="257" w:lineRule="auto"/>
        <w:ind w:left="709"/>
        <w:contextualSpacing w:val="0"/>
        <w:jc w:val="both"/>
        <w:rPr>
          <w:rFonts w:eastAsia="Arial" w:cstheme="minorHAnsi"/>
          <w:kern w:val="2"/>
          <w:szCs w:val="24"/>
        </w:rPr>
      </w:pPr>
      <w:r>
        <w:t>„</w:t>
      </w:r>
      <w:r>
        <w:rPr>
          <w:vertAlign w:val="superscript"/>
        </w:rPr>
        <w:t>(10)</w:t>
      </w:r>
      <w:r>
        <w:t xml:space="preserve"> Терминът магазин се отнася както за малки независими магазини, така и за частта за търговска употреба, която не се използва често в търговските центрове.“</w:t>
      </w:r>
    </w:p>
    <w:p w14:paraId="00451B2B" w14:textId="20875D3F" w:rsidR="00C40409" w:rsidRDefault="00C40409" w:rsidP="00154A68">
      <w:pPr>
        <w:pStyle w:val="ListParagraph"/>
        <w:numPr>
          <w:ilvl w:val="0"/>
          <w:numId w:val="20"/>
        </w:numPr>
        <w:spacing w:line="257" w:lineRule="auto"/>
        <w:ind w:left="709" w:hanging="283"/>
        <w:jc w:val="both"/>
        <w:rPr>
          <w:rFonts w:eastAsia="Arial" w:cstheme="minorHAnsi"/>
          <w:kern w:val="2"/>
          <w:szCs w:val="24"/>
        </w:rPr>
      </w:pPr>
      <w:r>
        <w:t>В раздел HE 4 Минимален принос на енергията от възобновяеми източници за задоволяване на нуждите на топла вода за битови нужди, раздел 2 „Описание на изискването“, член 1 се чете, както следва:</w:t>
      </w:r>
    </w:p>
    <w:p w14:paraId="14B0818B" w14:textId="77777777" w:rsidR="00C40409" w:rsidRPr="00C40409" w:rsidRDefault="00C40409" w:rsidP="00C40409">
      <w:pPr>
        <w:pStyle w:val="ListParagraph"/>
        <w:spacing w:line="257" w:lineRule="auto"/>
        <w:ind w:left="709"/>
        <w:jc w:val="both"/>
        <w:rPr>
          <w:rFonts w:eastAsia="Arial" w:cstheme="minorHAnsi"/>
          <w:kern w:val="2"/>
          <w:szCs w:val="24"/>
          <w:lang w:eastAsia="zh-CN" w:bidi="hi-IN"/>
        </w:rPr>
      </w:pPr>
    </w:p>
    <w:p w14:paraId="4CC04391" w14:textId="1C9A9342" w:rsidR="00C40409" w:rsidRPr="00C40409" w:rsidRDefault="00C40409" w:rsidP="00C40409">
      <w:pPr>
        <w:pStyle w:val="ListParagraph"/>
        <w:spacing w:line="257" w:lineRule="auto"/>
        <w:ind w:left="1134" w:hanging="425"/>
        <w:contextualSpacing w:val="0"/>
        <w:jc w:val="both"/>
        <w:rPr>
          <w:rFonts w:eastAsia="Arial" w:cstheme="minorHAnsi"/>
          <w:kern w:val="2"/>
          <w:szCs w:val="24"/>
        </w:rPr>
      </w:pPr>
      <w:r>
        <w:t>„1</w:t>
      </w:r>
      <w:r>
        <w:tab/>
        <w:t>Сградите трябва да задоволяват нуждите си от ACS и отопление на вода за отопляеми закрити басейни, като използват или възобновяеми процеси на когенерация в голяма степен; или генерирани в самата сграда, или чрез свързване към централна отоплителна система."</w:t>
      </w:r>
    </w:p>
    <w:p w14:paraId="4E4E1F9B" w14:textId="2DA4132B" w:rsidR="00836E07" w:rsidRPr="00E57D62" w:rsidRDefault="00836E07" w:rsidP="009064BC">
      <w:pPr>
        <w:pStyle w:val="ListParagraph"/>
        <w:numPr>
          <w:ilvl w:val="0"/>
          <w:numId w:val="13"/>
        </w:numPr>
        <w:ind w:left="709" w:hanging="283"/>
        <w:contextualSpacing w:val="0"/>
        <w:jc w:val="both"/>
        <w:rPr>
          <w:rFonts w:cstheme="minorHAnsi"/>
        </w:rPr>
      </w:pPr>
      <w:r>
        <w:t>В раздел HE 5 Минимално производство на електрическа енергия, заглавието става:</w:t>
      </w:r>
    </w:p>
    <w:p w14:paraId="1835914C" w14:textId="7892C477" w:rsidR="005074AB" w:rsidRPr="009064BC" w:rsidRDefault="00836E07" w:rsidP="006F5E38">
      <w:pPr>
        <w:pStyle w:val="ListParagraph"/>
        <w:ind w:left="709"/>
        <w:contextualSpacing w:val="0"/>
        <w:jc w:val="both"/>
        <w:rPr>
          <w:rFonts w:cstheme="minorHAnsi"/>
        </w:rPr>
      </w:pPr>
      <w:r>
        <w:t>„Раздел HE 5 Минимално производство на електроенергия от възобновяеми източници.“</w:t>
      </w:r>
    </w:p>
    <w:p w14:paraId="5A13D3D2" w14:textId="6E7AA8ED" w:rsidR="005074AB" w:rsidRPr="009064BC" w:rsidRDefault="005074AB" w:rsidP="00CC005A">
      <w:pPr>
        <w:numPr>
          <w:ilvl w:val="0"/>
          <w:numId w:val="13"/>
        </w:numPr>
        <w:ind w:left="720" w:hanging="294"/>
        <w:jc w:val="both"/>
        <w:rPr>
          <w:rFonts w:cstheme="minorHAnsi"/>
        </w:rPr>
      </w:pPr>
      <w:r>
        <w:t xml:space="preserve">В раздел HE 5 Минимално производство на електроенергия раздел 1 „Обхват“ гласи следното: </w:t>
      </w:r>
    </w:p>
    <w:p w14:paraId="45B1F681" w14:textId="77777777" w:rsidR="005074AB" w:rsidRPr="009064BC" w:rsidRDefault="005074AB" w:rsidP="00CC005A">
      <w:pPr>
        <w:ind w:left="1134" w:hanging="425"/>
        <w:jc w:val="both"/>
        <w:rPr>
          <w:rFonts w:cstheme="minorHAnsi"/>
        </w:rPr>
      </w:pPr>
      <w:r>
        <w:t>„1</w:t>
      </w:r>
      <w:r>
        <w:tab/>
        <w:t xml:space="preserve">Настоящият раздел се прилага в следните случаи: </w:t>
      </w:r>
    </w:p>
    <w:p w14:paraId="10C39280" w14:textId="4335D1B7" w:rsidR="002F2BD0" w:rsidRPr="003934E5" w:rsidRDefault="005074AB" w:rsidP="002F2BD0">
      <w:pPr>
        <w:numPr>
          <w:ilvl w:val="0"/>
          <w:numId w:val="8"/>
        </w:numPr>
        <w:ind w:left="1418" w:hanging="284"/>
        <w:contextualSpacing/>
        <w:jc w:val="both"/>
        <w:rPr>
          <w:rFonts w:cstheme="minorHAnsi"/>
        </w:rPr>
      </w:pPr>
      <w:r>
        <w:t>новопостроени сгради, когато те надвишават 1 000 m</w:t>
      </w:r>
      <w:r>
        <w:rPr>
          <w:vertAlign w:val="superscript"/>
        </w:rPr>
        <w:t>2</w:t>
      </w:r>
      <w:r>
        <w:t xml:space="preserve"> застроена площ;</w:t>
      </w:r>
    </w:p>
    <w:p w14:paraId="288E1AFC" w14:textId="6CE90E6C" w:rsidR="002F2BD0" w:rsidRPr="003934E5" w:rsidRDefault="002F2BD0" w:rsidP="002F2BD0">
      <w:pPr>
        <w:numPr>
          <w:ilvl w:val="0"/>
          <w:numId w:val="8"/>
        </w:numPr>
        <w:ind w:left="1418" w:hanging="284"/>
        <w:contextualSpacing/>
        <w:jc w:val="both"/>
        <w:rPr>
          <w:rFonts w:cstheme="minorHAnsi"/>
        </w:rPr>
      </w:pPr>
      <w:r>
        <w:t>разширения на съществуващи сгради, когато застроената площ се увеличава с повече от 1 000 m</w:t>
      </w:r>
      <w:r>
        <w:rPr>
          <w:vertAlign w:val="superscript"/>
        </w:rPr>
        <w:t>2</w:t>
      </w:r>
      <w:r>
        <w:t>.</w:t>
      </w:r>
    </w:p>
    <w:p w14:paraId="647D0A9C" w14:textId="63F54BFD" w:rsidR="005074AB" w:rsidRPr="009064BC" w:rsidRDefault="005074AB" w:rsidP="005074AB">
      <w:pPr>
        <w:numPr>
          <w:ilvl w:val="0"/>
          <w:numId w:val="8"/>
        </w:numPr>
        <w:ind w:left="1418" w:hanging="284"/>
        <w:contextualSpacing/>
        <w:jc w:val="both"/>
        <w:rPr>
          <w:rFonts w:cstheme="minorHAnsi"/>
        </w:rPr>
      </w:pPr>
      <w:r>
        <w:lastRenderedPageBreak/>
        <w:t>съществуващи сгради, които са напълно обновени, или при промяна на предназначението им, когато те надвишават 1000</w:t>
      </w:r>
      <w:r>
        <w:rPr>
          <w:vertAlign w:val="superscript"/>
        </w:rPr>
        <w:t>m2</w:t>
      </w:r>
      <w:r>
        <w:t xml:space="preserve"> застроена площ.</w:t>
      </w:r>
    </w:p>
    <w:p w14:paraId="2BDE8293" w14:textId="74B0ACD8" w:rsidR="001B0467" w:rsidRPr="003934E5" w:rsidRDefault="00D76296" w:rsidP="001B0467">
      <w:pPr>
        <w:ind w:left="1134"/>
        <w:jc w:val="both"/>
        <w:rPr>
          <w:rFonts w:cstheme="minorHAnsi"/>
        </w:rPr>
      </w:pPr>
      <w:r>
        <w:t xml:space="preserve">Счита се, че застроената площ включва площта на зоните за паркиране вътре в сградата и изключва общите открити площи.“ </w:t>
      </w:r>
    </w:p>
    <w:p w14:paraId="067F87BA" w14:textId="3B6D1449" w:rsidR="005074AB" w:rsidRPr="003934E5" w:rsidRDefault="001B0467" w:rsidP="001B0467">
      <w:pPr>
        <w:pStyle w:val="ListParagraph"/>
        <w:numPr>
          <w:ilvl w:val="0"/>
          <w:numId w:val="13"/>
        </w:numPr>
        <w:ind w:left="709" w:hanging="284"/>
        <w:contextualSpacing w:val="0"/>
        <w:jc w:val="both"/>
        <w:rPr>
          <w:rFonts w:cstheme="minorHAnsi"/>
        </w:rPr>
      </w:pPr>
      <w:r>
        <w:t>В раздел HE 5 „Минимално производство на електроенергия“ първата алинея от раздел 2 „Характеристика на изискването“ гласи следното:</w:t>
      </w:r>
    </w:p>
    <w:p w14:paraId="477CF5F6" w14:textId="719B0DCE" w:rsidR="001B0467" w:rsidRPr="003934E5" w:rsidRDefault="003934E5" w:rsidP="003934E5">
      <w:pPr>
        <w:pStyle w:val="ListParagraph"/>
        <w:ind w:left="1134" w:hanging="425"/>
        <w:contextualSpacing w:val="0"/>
        <w:jc w:val="both"/>
        <w:rPr>
          <w:rFonts w:cstheme="minorHAnsi"/>
        </w:rPr>
      </w:pPr>
      <w:r>
        <w:t>„1</w:t>
      </w:r>
      <w:r>
        <w:tab/>
        <w:t>Сградите трябва да разполагат със системи за производство на електроенергия от възобновяеми източници за собствена употреба или за захранване на електропреносната мрежа.“</w:t>
      </w:r>
    </w:p>
    <w:p w14:paraId="6586AED4" w14:textId="66518836" w:rsidR="005074AB" w:rsidRPr="003934E5" w:rsidRDefault="005074AB" w:rsidP="00262992">
      <w:pPr>
        <w:pStyle w:val="ListParagraph"/>
        <w:numPr>
          <w:ilvl w:val="0"/>
          <w:numId w:val="13"/>
        </w:numPr>
        <w:ind w:left="709" w:hanging="283"/>
        <w:jc w:val="both"/>
        <w:rPr>
          <w:rFonts w:cstheme="minorHAnsi"/>
        </w:rPr>
      </w:pPr>
      <w:r>
        <w:t>В раздел HE 5 „Минимално производство на електроенергия“ раздел 3 „Количествена оценка на изискването“ гласи следното:</w:t>
      </w:r>
    </w:p>
    <w:p w14:paraId="7AEDE70F" w14:textId="4971BFFF" w:rsidR="005074AB" w:rsidRPr="003934E5" w:rsidRDefault="005074AB" w:rsidP="00CC005A">
      <w:pPr>
        <w:spacing w:before="60"/>
        <w:ind w:left="1134" w:hanging="425"/>
        <w:jc w:val="both"/>
        <w:rPr>
          <w:rFonts w:eastAsia="Arial" w:cstheme="minorHAnsi"/>
          <w:kern w:val="2"/>
          <w:szCs w:val="24"/>
        </w:rPr>
      </w:pPr>
      <w:r>
        <w:t>„1</w:t>
      </w:r>
      <w:r>
        <w:tab/>
        <w:t xml:space="preserve">Минималната </w:t>
      </w:r>
      <w:r>
        <w:rPr>
          <w:i/>
        </w:rPr>
        <w:t>мощност за инсталиране</w:t>
      </w:r>
      <w:r>
        <w:t xml:space="preserve"> P</w:t>
      </w:r>
      <w:r>
        <w:rPr>
          <w:vertAlign w:val="subscript"/>
        </w:rPr>
        <w:t>min</w:t>
      </w:r>
      <w:r>
        <w:t xml:space="preserve"> трябва да бъде най-ниската стойност на резултата от следните две уравнения: </w:t>
      </w:r>
    </w:p>
    <w:p w14:paraId="13C627CF" w14:textId="4FFC04B6" w:rsidR="005074AB" w:rsidRPr="003934E5" w:rsidRDefault="001E31F3" w:rsidP="005074AB">
      <w:pPr>
        <w:spacing w:before="60"/>
        <w:ind w:left="2127" w:hanging="993"/>
        <w:jc w:val="both"/>
        <w:rPr>
          <w:rFonts w:eastAsia="Arial" w:cstheme="minorHAnsi"/>
          <w:kern w:val="2"/>
          <w:szCs w:val="24"/>
        </w:rPr>
      </w:pPr>
      <w:r>
        <w:t>P</w:t>
      </w:r>
      <w:r>
        <w:rPr>
          <w:vertAlign w:val="subscript"/>
        </w:rPr>
        <w:t>1</w:t>
      </w:r>
      <w:r>
        <w:t xml:space="preserve"> = F</w:t>
      </w:r>
      <w:r>
        <w:rPr>
          <w:vertAlign w:val="subscript"/>
        </w:rPr>
        <w:t>pr;el</w:t>
      </w:r>
      <w:r>
        <w:t xml:space="preserve"> · S</w:t>
      </w:r>
    </w:p>
    <w:p w14:paraId="667B6FED" w14:textId="0FB9ED9C" w:rsidR="001E31F3" w:rsidRPr="008E713D" w:rsidRDefault="001E31F3" w:rsidP="005074AB">
      <w:pPr>
        <w:spacing w:before="60"/>
        <w:ind w:left="2127" w:hanging="993"/>
        <w:jc w:val="both"/>
        <w:rPr>
          <w:rFonts w:eastAsia="Arial" w:cstheme="minorHAnsi"/>
          <w:kern w:val="2"/>
          <w:szCs w:val="24"/>
        </w:rPr>
      </w:pPr>
      <w:r>
        <w:t>P</w:t>
      </w:r>
      <w:r>
        <w:rPr>
          <w:vertAlign w:val="subscript"/>
        </w:rPr>
        <w:t>2</w:t>
      </w:r>
      <w:r>
        <w:t xml:space="preserve"> = 0,1 · (0,5· S</w:t>
      </w:r>
      <w:r>
        <w:rPr>
          <w:vertAlign w:val="subscript"/>
        </w:rPr>
        <w:t>c</w:t>
      </w:r>
      <w:r>
        <w:t xml:space="preserve"> — S</w:t>
      </w:r>
      <w:r>
        <w:rPr>
          <w:vertAlign w:val="subscript"/>
        </w:rPr>
        <w:t>oc.</w:t>
      </w:r>
      <w:r>
        <w:t>)</w:t>
      </w:r>
    </w:p>
    <w:p w14:paraId="33F1DF55" w14:textId="77777777" w:rsidR="005074AB" w:rsidRPr="00C249FB" w:rsidRDefault="005074AB" w:rsidP="005074AB">
      <w:pPr>
        <w:spacing w:before="60"/>
        <w:ind w:left="1134"/>
        <w:jc w:val="both"/>
        <w:rPr>
          <w:rFonts w:eastAsia="Arial" w:cstheme="minorHAnsi"/>
          <w:kern w:val="2"/>
          <w:szCs w:val="24"/>
        </w:rPr>
      </w:pPr>
      <w:r>
        <w:t>където:</w:t>
      </w:r>
    </w:p>
    <w:p w14:paraId="61117D05" w14:textId="670BE156" w:rsidR="005074AB" w:rsidRDefault="005074AB" w:rsidP="005074AB">
      <w:pPr>
        <w:spacing w:before="60"/>
        <w:ind w:left="2126" w:hanging="567"/>
        <w:contextualSpacing/>
        <w:jc w:val="both"/>
        <w:rPr>
          <w:rFonts w:eastAsia="Arial" w:cstheme="minorHAnsi"/>
          <w:kern w:val="2"/>
          <w:szCs w:val="24"/>
        </w:rPr>
      </w:pPr>
      <w:r>
        <w:t xml:space="preserve">P </w:t>
      </w:r>
      <w:r>
        <w:rPr>
          <w:vertAlign w:val="subscript"/>
        </w:rPr>
        <w:t xml:space="preserve"> min </w:t>
      </w:r>
      <w:r>
        <w:t xml:space="preserve"> </w:t>
      </w:r>
      <w:r>
        <w:tab/>
        <w:t xml:space="preserve"> </w:t>
      </w:r>
      <w:r>
        <w:rPr>
          <w:i/>
        </w:rPr>
        <w:t xml:space="preserve"> мощност за инсталиране </w:t>
      </w:r>
      <w:r>
        <w:t xml:space="preserve"> [kW];</w:t>
      </w:r>
    </w:p>
    <w:p w14:paraId="4DD09CC6" w14:textId="0B7C6032" w:rsidR="00D45636" w:rsidRPr="003934E5" w:rsidRDefault="00D45636" w:rsidP="005074AB">
      <w:pPr>
        <w:spacing w:before="60"/>
        <w:ind w:left="2126" w:hanging="567"/>
        <w:contextualSpacing/>
        <w:jc w:val="both"/>
        <w:rPr>
          <w:rFonts w:eastAsia="Arial" w:cstheme="minorHAnsi"/>
          <w:kern w:val="2"/>
          <w:szCs w:val="24"/>
        </w:rPr>
      </w:pPr>
      <w:r>
        <w:t>F</w:t>
      </w:r>
      <w:r>
        <w:rPr>
          <w:vertAlign w:val="subscript"/>
        </w:rPr>
        <w:t>pr;el</w:t>
      </w:r>
      <w:r>
        <w:t xml:space="preserve"> фактор за производство на електроенергия, който взема стойност 0,005 за частно жилищно ползване и 0,010 за други употреби [kW/m</w:t>
      </w:r>
      <w:r>
        <w:rPr>
          <w:vertAlign w:val="superscript"/>
        </w:rPr>
        <w:t>2</w:t>
      </w:r>
      <w:r>
        <w:t>];</w:t>
      </w:r>
    </w:p>
    <w:p w14:paraId="76F60B0B" w14:textId="4CB9482B" w:rsidR="005074AB" w:rsidRPr="003934E5" w:rsidRDefault="005074AB" w:rsidP="005074AB">
      <w:pPr>
        <w:spacing w:before="60"/>
        <w:ind w:left="2126" w:hanging="567"/>
        <w:contextualSpacing/>
        <w:jc w:val="both"/>
        <w:rPr>
          <w:rFonts w:eastAsia="Arial" w:cstheme="minorHAnsi"/>
          <w:kern w:val="2"/>
          <w:szCs w:val="24"/>
        </w:rPr>
      </w:pPr>
      <w:r>
        <w:t>S стойност на застроената площ на сградата [m</w:t>
      </w:r>
      <w:r>
        <w:rPr>
          <w:vertAlign w:val="superscript"/>
        </w:rPr>
        <w:t>2</w:t>
      </w:r>
      <w:r>
        <w:t>];</w:t>
      </w:r>
    </w:p>
    <w:p w14:paraId="22E0EB96" w14:textId="1BEA5C90" w:rsidR="00262992" w:rsidRPr="003934E5" w:rsidRDefault="00262992" w:rsidP="00262992">
      <w:pPr>
        <w:spacing w:before="60"/>
        <w:ind w:left="2126" w:hanging="567"/>
        <w:contextualSpacing/>
        <w:jc w:val="both"/>
        <w:rPr>
          <w:rFonts w:cstheme="minorHAnsi"/>
        </w:rPr>
      </w:pPr>
      <w:r>
        <w:rPr>
          <w:vertAlign w:val="subscript"/>
        </w:rPr>
        <w:t>Sc</w:t>
      </w:r>
      <w:r>
        <w:tab/>
        <w:t>площ на покрива, който не е предназначен за движение или е достъпен само за поддръжка [</w:t>
      </w:r>
      <w:r>
        <w:rPr>
          <w:vertAlign w:val="superscript"/>
        </w:rPr>
        <w:t>m2</w:t>
      </w:r>
      <w:r>
        <w:t>];</w:t>
      </w:r>
    </w:p>
    <w:p w14:paraId="3D939F32" w14:textId="65BA2EC5" w:rsidR="00A515D1" w:rsidRPr="009064BC" w:rsidRDefault="00262992" w:rsidP="00262992">
      <w:pPr>
        <w:spacing w:before="60"/>
        <w:ind w:left="2127" w:hanging="567"/>
        <w:jc w:val="both"/>
        <w:rPr>
          <w:rFonts w:eastAsia="Arial" w:cstheme="minorHAnsi"/>
          <w:kern w:val="2"/>
          <w:szCs w:val="24"/>
        </w:rPr>
      </w:pPr>
      <w:r>
        <w:rPr>
          <w:vertAlign w:val="subscript"/>
        </w:rPr>
        <w:t>Soc</w:t>
      </w:r>
      <w:r>
        <w:tab/>
        <w:t>площ на покрива, който не е предназначен за движение или е достъпен за поддръжка и е зает само от термични слънчеви колектори [</w:t>
      </w:r>
      <w:r>
        <w:rPr>
          <w:vertAlign w:val="superscript"/>
        </w:rPr>
        <w:t>m2</w:t>
      </w:r>
      <w:r>
        <w:t>].</w:t>
      </w:r>
    </w:p>
    <w:p w14:paraId="539F8AB0" w14:textId="583A6FA1" w:rsidR="005074AB" w:rsidRPr="009064BC" w:rsidRDefault="007769F1" w:rsidP="00CC005A">
      <w:pPr>
        <w:ind w:left="1134" w:hanging="425"/>
        <w:jc w:val="both"/>
        <w:rPr>
          <w:rFonts w:eastAsia="Arial" w:cstheme="minorHAnsi"/>
          <w:kern w:val="2"/>
          <w:szCs w:val="24"/>
        </w:rPr>
      </w:pPr>
      <w:r>
        <w:t>2</w:t>
      </w:r>
      <w:r>
        <w:tab/>
        <w:t xml:space="preserve">В сгради, в които, поради причини, свързани с градската или архитектурната архитектура, или защото те са официално защитени сгради, където органът, предоставящ официалната защита, определя непроменимите елементи, не може да бъде достигната минималната мощност </w:t>
      </w:r>
      <w:r>
        <w:rPr>
          <w:i/>
        </w:rPr>
        <w:t>за инсталиране</w:t>
      </w:r>
      <w:r>
        <w:t>, тази невъзможност се обосновава чрез анализ на различните алтернативи и се приема решението, което достига максималната възможна мощност.“</w:t>
      </w:r>
    </w:p>
    <w:p w14:paraId="2A986A64" w14:textId="7E05FC12" w:rsidR="005074AB" w:rsidRPr="003934E5" w:rsidRDefault="005074AB" w:rsidP="009064BC">
      <w:pPr>
        <w:pStyle w:val="ListParagraph"/>
        <w:numPr>
          <w:ilvl w:val="0"/>
          <w:numId w:val="13"/>
        </w:numPr>
        <w:spacing w:before="60"/>
        <w:ind w:left="709" w:hanging="283"/>
        <w:jc w:val="both"/>
        <w:rPr>
          <w:rFonts w:eastAsia="Arial" w:cstheme="minorHAnsi"/>
          <w:kern w:val="2"/>
          <w:szCs w:val="24"/>
        </w:rPr>
      </w:pPr>
      <w:r>
        <w:t>В раздел 4 „Обосновка на изискването“ в раздел 4 „Минимално производство на електроенергия“ се добавя следното:</w:t>
      </w:r>
    </w:p>
    <w:p w14:paraId="1F522FCD" w14:textId="0464CEFA" w:rsidR="005074AB" w:rsidRPr="003934E5" w:rsidRDefault="00CC005A" w:rsidP="00982E58">
      <w:pPr>
        <w:ind w:left="1134" w:hanging="425"/>
        <w:jc w:val="both"/>
        <w:rPr>
          <w:rFonts w:cstheme="minorHAnsi"/>
        </w:rPr>
      </w:pPr>
      <w:r>
        <w:t>в)</w:t>
      </w:r>
      <w:r>
        <w:tab/>
        <w:t xml:space="preserve">когато е целесъобразно, причини, които възпрепятстват достигането на минимално изискваната </w:t>
      </w:r>
      <w:r>
        <w:rPr>
          <w:i/>
        </w:rPr>
        <w:t>мощност за инсталиране</w:t>
      </w:r>
      <w:r>
        <w:t>, анализ на алтернативите и на приетото решение за постигане на максималната възможна инсталирана мощност.“</w:t>
      </w:r>
    </w:p>
    <w:p w14:paraId="2F009607" w14:textId="478B8572" w:rsidR="005074AB" w:rsidRPr="003934E5" w:rsidRDefault="005074AB" w:rsidP="009064BC">
      <w:pPr>
        <w:pStyle w:val="ListParagraph"/>
        <w:numPr>
          <w:ilvl w:val="0"/>
          <w:numId w:val="13"/>
        </w:numPr>
        <w:ind w:left="709" w:hanging="283"/>
        <w:jc w:val="both"/>
        <w:rPr>
          <w:rFonts w:cstheme="minorHAnsi"/>
        </w:rPr>
      </w:pPr>
      <w:r>
        <w:t>В приложение А „Терминология“ се правят следните изменения:</w:t>
      </w:r>
    </w:p>
    <w:p w14:paraId="44885A1E" w14:textId="0F9B0783" w:rsidR="005074AB" w:rsidRPr="009064BC" w:rsidRDefault="005074AB" w:rsidP="005074AB">
      <w:pPr>
        <w:ind w:left="709" w:hanging="142"/>
        <w:jc w:val="both"/>
        <w:rPr>
          <w:rFonts w:cstheme="minorHAnsi"/>
        </w:rPr>
      </w:pPr>
      <w:r>
        <w:lastRenderedPageBreak/>
        <w:t>— В определението на термина „слънчев контрол (q</w:t>
      </w:r>
      <w:r>
        <w:rPr>
          <w:vertAlign w:val="subscript"/>
        </w:rPr>
        <w:t>sol;jul</w:t>
      </w:r>
      <w:r>
        <w:t>)“, точката в края на определението на компонента на формулата „H</w:t>
      </w:r>
      <w:r>
        <w:rPr>
          <w:vertAlign w:val="subscript"/>
        </w:rPr>
        <w:t>sol;jul</w:t>
      </w:r>
      <w:r>
        <w:t>“ се заменя с точка и запетая и се добавя определението за друг компонент на формулата, както следва:</w:t>
      </w:r>
    </w:p>
    <w:p w14:paraId="3DF606FE" w14:textId="65F10CC5" w:rsidR="005074AB" w:rsidRPr="009064BC" w:rsidRDefault="005074AB" w:rsidP="00A5780E">
      <w:pPr>
        <w:ind w:left="709"/>
        <w:jc w:val="both"/>
        <w:rPr>
          <w:rFonts w:cstheme="minorHAnsi"/>
        </w:rPr>
      </w:pPr>
      <w:r>
        <w:t xml:space="preserve">"Зона </w:t>
      </w:r>
      <w:r>
        <w:rPr>
          <w:vertAlign w:val="subscript"/>
        </w:rPr>
        <w:t xml:space="preserve"> на полезност, </w:t>
      </w:r>
      <w:r>
        <w:t xml:space="preserve"> считана за в съответствие с точка 4.6 от HE 0."</w:t>
      </w:r>
    </w:p>
    <w:p w14:paraId="22770CCD" w14:textId="56BB680A" w:rsidR="005074AB" w:rsidRPr="009064BC" w:rsidRDefault="005074AB" w:rsidP="005074AB">
      <w:pPr>
        <w:ind w:left="709" w:hanging="142"/>
        <w:jc w:val="both"/>
        <w:rPr>
          <w:rFonts w:cstheme="minorHAnsi"/>
        </w:rPr>
      </w:pPr>
      <w:r>
        <w:t>- В определението на понятието "крайна енергия" текстът "Това е тази, която се закупува от потребителите под формата на електричество, горива или други горива, които се използват директно" се заменя с "Това е тази, която се доставя на сградните системи за предоставяне на услуги". Тази доставка обикновено се осигурява чрез горива, производство на място или специфични мрежи (електроенергия, газ, централно топлоснабдяване или охлаждане и т.н.)“.</w:t>
      </w:r>
    </w:p>
    <w:p w14:paraId="4C32D5BC" w14:textId="77777777" w:rsidR="005074AB" w:rsidRPr="009064BC" w:rsidRDefault="005074AB" w:rsidP="005074AB">
      <w:pPr>
        <w:ind w:left="709" w:hanging="142"/>
        <w:jc w:val="both"/>
        <w:rPr>
          <w:rFonts w:cstheme="minorHAnsi"/>
        </w:rPr>
      </w:pPr>
      <w:r>
        <w:t>- В определението на термина "коефициент на топлопреминаване (U)" в края на определението се добавя следното изречение:</w:t>
      </w:r>
    </w:p>
    <w:p w14:paraId="553E6F27" w14:textId="77777777" w:rsidR="005074AB" w:rsidRPr="009064BC" w:rsidRDefault="005074AB" w:rsidP="00A5780E">
      <w:pPr>
        <w:ind w:left="709"/>
        <w:jc w:val="both"/>
        <w:rPr>
          <w:rFonts w:cstheme="minorHAnsi"/>
        </w:rPr>
      </w:pPr>
      <w:r>
        <w:t>„Изразено в W/m</w:t>
      </w:r>
      <w:r>
        <w:rPr>
          <w:vertAlign w:val="superscript"/>
        </w:rPr>
        <w:t>2</w:t>
      </w:r>
      <w:r>
        <w:t>K.“</w:t>
      </w:r>
    </w:p>
    <w:p w14:paraId="573B0D8C" w14:textId="4E8B3B75" w:rsidR="005074AB" w:rsidRPr="009064BC" w:rsidRDefault="005074AB" w:rsidP="009064BC">
      <w:pPr>
        <w:pStyle w:val="ListParagraph"/>
        <w:numPr>
          <w:ilvl w:val="0"/>
          <w:numId w:val="13"/>
        </w:numPr>
        <w:ind w:left="709" w:hanging="283"/>
        <w:jc w:val="both"/>
        <w:rPr>
          <w:rFonts w:cstheme="minorHAnsi"/>
        </w:rPr>
      </w:pPr>
      <w:r>
        <w:t>В приложение А „Терминология“ са включени следните термини:</w:t>
      </w:r>
    </w:p>
    <w:p w14:paraId="0F83A0A9" w14:textId="31436021" w:rsidR="005074AB" w:rsidRPr="003934E5" w:rsidRDefault="005074AB" w:rsidP="00CC005A">
      <w:pPr>
        <w:spacing w:before="200" w:after="120" w:line="240" w:lineRule="auto"/>
        <w:ind w:left="709"/>
        <w:jc w:val="both"/>
        <w:rPr>
          <w:rFonts w:eastAsia="Arial" w:cstheme="minorHAnsi"/>
          <w:kern w:val="2"/>
          <w:szCs w:val="24"/>
        </w:rPr>
      </w:pPr>
      <w:r>
        <w:t>„</w:t>
      </w:r>
      <w:r>
        <w:rPr>
          <w:b/>
          <w:i/>
        </w:rPr>
        <w:t>Спомагателно оборудване</w:t>
      </w:r>
      <w:r>
        <w:t>: електрическо или електронно оборудване, свързано със светлината, различно за всеки тип</w:t>
      </w:r>
      <w:r>
        <w:rPr>
          <w:i/>
        </w:rPr>
        <w:t xml:space="preserve"> светлина</w:t>
      </w:r>
      <w:r>
        <w:t>, чиято функция е запалването и управлението на работните условия. Това спомагателно оборудване, освен ако е електронно, се образува от комбинация от стартер, баласт и кондензатор.</w:t>
      </w:r>
    </w:p>
    <w:p w14:paraId="47B71CFB" w14:textId="447664D0" w:rsidR="005074AB" w:rsidRPr="00431D05" w:rsidRDefault="00547307" w:rsidP="00CC005A">
      <w:pPr>
        <w:spacing w:before="200" w:after="100" w:line="240" w:lineRule="auto"/>
        <w:ind w:left="709"/>
        <w:jc w:val="both"/>
        <w:rPr>
          <w:rFonts w:eastAsia="Arial" w:cstheme="minorHAnsi"/>
          <w:bCs/>
          <w:iCs/>
          <w:kern w:val="2"/>
        </w:rPr>
      </w:pPr>
      <w:r>
        <w:t>„</w:t>
      </w:r>
      <w:r>
        <w:rPr>
          <w:b/>
          <w:i/>
        </w:rPr>
        <w:t>Зарядна станция</w:t>
      </w:r>
      <w:r>
        <w:t xml:space="preserve">: набор от елементи, необходими за свързване на </w:t>
      </w:r>
      <w:r>
        <w:rPr>
          <w:i/>
        </w:rPr>
        <w:t>електрическо превозно средство</w:t>
      </w:r>
      <w:r>
        <w:t xml:space="preserve"> към фиксираната електрическа инсталация, необходима за зареждане. </w:t>
      </w:r>
      <w:r>
        <w:rPr>
          <w:i/>
        </w:rPr>
        <w:t>Зарядните станции</w:t>
      </w:r>
      <w:r>
        <w:t xml:space="preserve"> се класифицират като:</w:t>
      </w:r>
    </w:p>
    <w:p w14:paraId="56DF9BC1" w14:textId="77777777" w:rsidR="005074AB" w:rsidRPr="00431D05" w:rsidRDefault="005074AB" w:rsidP="005074AB">
      <w:pPr>
        <w:spacing w:before="200" w:after="100" w:line="240" w:lineRule="auto"/>
        <w:ind w:left="1418" w:hanging="284"/>
        <w:jc w:val="both"/>
        <w:rPr>
          <w:rFonts w:eastAsia="Arial" w:cstheme="minorHAnsi"/>
          <w:bCs/>
          <w:iCs/>
          <w:kern w:val="2"/>
        </w:rPr>
      </w:pPr>
      <w:r>
        <w:t>1.</w:t>
      </w:r>
      <w:r>
        <w:tab/>
        <w:t xml:space="preserve">Единична зарядна точка, състояща се от необходимите защити, едно или повече контакти, които не са специфични за </w:t>
      </w:r>
      <w:r>
        <w:rPr>
          <w:i/>
        </w:rPr>
        <w:t>превозното средство</w:t>
      </w:r>
      <w:r>
        <w:t xml:space="preserve"> и, когато е приложимо, за обвивката.</w:t>
      </w:r>
    </w:p>
    <w:p w14:paraId="5B671B65" w14:textId="3FFFFEF0" w:rsidR="005074AB" w:rsidRPr="00431D05" w:rsidRDefault="005074AB" w:rsidP="005074AB">
      <w:pPr>
        <w:spacing w:before="200" w:after="100" w:line="240" w:lineRule="auto"/>
        <w:ind w:left="1418" w:hanging="284"/>
        <w:jc w:val="both"/>
        <w:rPr>
          <w:rFonts w:eastAsia="Arial" w:cstheme="minorHAnsi"/>
          <w:b/>
          <w:bCs/>
          <w:i/>
          <w:iCs/>
          <w:kern w:val="2"/>
        </w:rPr>
      </w:pPr>
      <w:r>
        <w:t>2.</w:t>
      </w:r>
      <w:r>
        <w:tab/>
        <w:t>Зарядна точка тип ССЕЕПС</w:t>
      </w:r>
      <w:r>
        <w:rPr>
          <w:i/>
        </w:rPr>
        <w:t xml:space="preserve"> (специфична система за електрозахранване на електрически превозни средства)</w:t>
      </w:r>
      <w:r>
        <w:t>.“</w:t>
      </w:r>
    </w:p>
    <w:p w14:paraId="1D92DB31" w14:textId="44506109" w:rsidR="005074AB" w:rsidRPr="003934E5" w:rsidRDefault="00547307" w:rsidP="00CC005A">
      <w:pPr>
        <w:spacing w:before="200" w:after="100" w:line="240" w:lineRule="auto"/>
        <w:ind w:left="709"/>
        <w:jc w:val="both"/>
        <w:rPr>
          <w:rFonts w:eastAsia="Arial" w:cstheme="minorHAnsi"/>
          <w:kern w:val="2"/>
        </w:rPr>
      </w:pPr>
      <w:r>
        <w:t>„</w:t>
      </w:r>
      <w:r>
        <w:rPr>
          <w:b/>
          <w:i/>
        </w:rPr>
        <w:t>Инфраструктура за зареждане на електрически превозни средства:</w:t>
      </w:r>
      <w:r>
        <w:t xml:space="preserve"> набор от физически и логически устройства, предназначени за зареждане на </w:t>
      </w:r>
      <w:r>
        <w:rPr>
          <w:i/>
        </w:rPr>
        <w:t>електрически превозни средства</w:t>
      </w:r>
      <w:r>
        <w:t xml:space="preserve"> отговарящи на изискванията за безопасност и достъпност, предвидени за всеки отделен случай от Електротехническия регламент за ниско напрежение, способни да осигурят пълно и цялостно зареждане. Тя включва </w:t>
      </w:r>
      <w:r>
        <w:rPr>
          <w:i/>
        </w:rPr>
        <w:t>зарядни станции</w:t>
      </w:r>
      <w:r>
        <w:t>, системата за управление, електрическите тръбопроводи, електрическите табла за управление и защита и измервателното оборудване, когато те са изключително за зареждане на електрически превозни средства.“</w:t>
      </w:r>
    </w:p>
    <w:p w14:paraId="5C699291" w14:textId="5BE34863" w:rsidR="005074AB" w:rsidRPr="003934E5" w:rsidRDefault="00547307" w:rsidP="00547307">
      <w:pPr>
        <w:spacing w:before="200" w:after="100" w:line="240" w:lineRule="auto"/>
        <w:ind w:left="709"/>
        <w:jc w:val="both"/>
        <w:rPr>
          <w:rFonts w:eastAsia="Arial" w:cstheme="minorHAnsi"/>
          <w:kern w:val="2"/>
        </w:rPr>
      </w:pPr>
      <w:r>
        <w:t>"</w:t>
      </w:r>
      <w:r>
        <w:rPr>
          <w:b/>
          <w:i/>
        </w:rPr>
        <w:t>Специфична система за захранване на електрическо превозно средство" (SAVE</w:t>
      </w:r>
      <w:r>
        <w:t xml:space="preserve">): комплект от оборудване, сглобено за осигуряване на електрическа енергия за зареждане на </w:t>
      </w:r>
      <w:r>
        <w:rPr>
          <w:i/>
        </w:rPr>
        <w:t>електрическо превозно средство</w:t>
      </w:r>
      <w:r>
        <w:t xml:space="preserve">, включващ защити на зарядната станция, свързващия кабел (с фазови, нулеви и защитни проводници) основата на контакта или съединителя и, когато е приложимо, променливотоков преобразувател. Тази система трябва, когато е целесъобразно, да позволява </w:t>
      </w:r>
      <w:r>
        <w:lastRenderedPageBreak/>
        <w:t xml:space="preserve">комуникация между </w:t>
      </w:r>
      <w:r>
        <w:rPr>
          <w:i/>
        </w:rPr>
        <w:t>електрическото превозно средство</w:t>
      </w:r>
      <w:r>
        <w:t xml:space="preserve"> и неподвижната инсталация.“</w:t>
      </w:r>
    </w:p>
    <w:p w14:paraId="5928BE95" w14:textId="4E74D790" w:rsidR="005074AB" w:rsidRPr="003934E5" w:rsidRDefault="00547307" w:rsidP="00CC005A">
      <w:pPr>
        <w:spacing w:before="200" w:after="100" w:line="240" w:lineRule="auto"/>
        <w:ind w:left="709"/>
        <w:jc w:val="both"/>
        <w:rPr>
          <w:rFonts w:eastAsia="Arial" w:cstheme="minorHAnsi"/>
          <w:strike/>
          <w:kern w:val="2"/>
        </w:rPr>
      </w:pPr>
      <w:r>
        <w:t>„</w:t>
      </w:r>
      <w:r>
        <w:rPr>
          <w:b/>
          <w:i/>
        </w:rPr>
        <w:t>Частно жилищно ползване</w:t>
      </w:r>
      <w:r>
        <w:t>: Сграда или площ, предназначена за постоянно пребиваване, независимо от вида на сградата: еднофамилна къща, жилищна сграда и т.н., както за публично, така и за частно строителство</w:t>
      </w:r>
    </w:p>
    <w:p w14:paraId="0B244847" w14:textId="4B38DAFA" w:rsidR="005074AB" w:rsidRDefault="00547307" w:rsidP="00CC005A">
      <w:pPr>
        <w:spacing w:before="200" w:after="100" w:line="240" w:lineRule="auto"/>
        <w:ind w:left="709"/>
        <w:jc w:val="both"/>
        <w:rPr>
          <w:rFonts w:eastAsia="Arial" w:cstheme="minorHAnsi"/>
          <w:kern w:val="2"/>
          <w:szCs w:val="24"/>
        </w:rPr>
      </w:pPr>
      <w:r>
        <w:t>„</w:t>
      </w:r>
      <w:r>
        <w:rPr>
          <w:b/>
          <w:i/>
        </w:rPr>
        <w:t>Електрическо превозно средство</w:t>
      </w:r>
      <w:r>
        <w:t>: моторно превозно средство, оборудвано с група задвижване с поне един непериферен електрически механизъм, работещ като преобразувател на енергия, и оборудвано с презаредима система за натрупване на електроенергия, която може да се презарежда отвън.“</w:t>
      </w:r>
    </w:p>
    <w:p w14:paraId="5F3597CA" w14:textId="51707A46" w:rsidR="0026457E" w:rsidRPr="0026457E" w:rsidRDefault="0026457E" w:rsidP="0026457E">
      <w:pPr>
        <w:pStyle w:val="ListParagraph"/>
        <w:numPr>
          <w:ilvl w:val="0"/>
          <w:numId w:val="13"/>
        </w:numPr>
        <w:spacing w:before="200" w:after="100" w:line="240" w:lineRule="auto"/>
        <w:ind w:left="641" w:hanging="357"/>
        <w:contextualSpacing w:val="0"/>
        <w:jc w:val="both"/>
        <w:rPr>
          <w:rFonts w:eastAsia="Arial" w:cstheme="minorHAnsi"/>
          <w:kern w:val="2"/>
          <w:szCs w:val="24"/>
        </w:rPr>
      </w:pPr>
      <w:r>
        <w:t>В приложение Г, параграф 4 текстът „Признат документ“ се заменя с „Признат документ за енергийно сертифициране на сгради“.</w:t>
      </w:r>
    </w:p>
    <w:p w14:paraId="5FD4478D" w14:textId="2E4A3E9F" w:rsidR="00033600" w:rsidRPr="00033600" w:rsidRDefault="00033600" w:rsidP="0026457E">
      <w:pPr>
        <w:pStyle w:val="ListParagraph"/>
        <w:numPr>
          <w:ilvl w:val="0"/>
          <w:numId w:val="13"/>
        </w:numPr>
        <w:spacing w:before="200" w:after="100" w:line="240" w:lineRule="auto"/>
        <w:ind w:left="641" w:hanging="357"/>
        <w:contextualSpacing w:val="0"/>
        <w:jc w:val="both"/>
        <w:rPr>
          <w:rFonts w:eastAsia="Arial" w:cstheme="minorHAnsi"/>
          <w:kern w:val="2"/>
        </w:rPr>
      </w:pPr>
      <w:r>
        <w:t>В приложение З Определяне на въздухопропускливостта на сградата, след заглавието на раздела, формулировката „Определяне на въздухопропускливостта на сградата трябва да се извърши по един от следните методи“ и в раздел 1 Определяне чрез изпитване, формулировката „Стойността на съотношението на изменението на въздуха при 50 Pa, n50, може да се получи чрез изпитване по метод B на UNE-EN 13829:2002 Определяне на херметичността на въздуха в сградите. Метод на създаване на налягане с помощта на вентилатор.“ се заменя със следното: „Стойността на коефициента на изменение на въздуха при 50 Pa, n50 чрез изпитване се получава по метод 1 или 2 на UNE-EN ISO 9972: 2019 Термични характеристики на сградите. Определяне на въздухопропускливостта на сгради. Метод на създаване на налягане с помощта на вентилатор.“.</w:t>
      </w:r>
    </w:p>
    <w:p w14:paraId="153946FB" w14:textId="274D0F0F" w:rsidR="001E0B70" w:rsidRPr="003934E5" w:rsidRDefault="001E0B70" w:rsidP="005074AB">
      <w:pPr>
        <w:ind w:left="13"/>
        <w:jc w:val="both"/>
        <w:rPr>
          <w:rFonts w:cstheme="minorHAnsi"/>
        </w:rPr>
      </w:pPr>
      <w:r>
        <w:t>Три.</w:t>
      </w:r>
      <w:r>
        <w:rPr>
          <w:b/>
        </w:rPr>
        <w:t xml:space="preserve"> </w:t>
      </w:r>
      <w:r>
        <w:t xml:space="preserve">В основния документ DB-SUA "Безопасност при употреба и достъпност", включен в част II на Техническия строителен кодекс, са въведени следните изменения: </w:t>
      </w:r>
    </w:p>
    <w:p w14:paraId="05134A28" w14:textId="08B7B404" w:rsidR="00A5780E" w:rsidRDefault="001E0B70" w:rsidP="00D722CA">
      <w:pPr>
        <w:ind w:left="13"/>
        <w:jc w:val="both"/>
        <w:rPr>
          <w:rFonts w:cstheme="minorHAnsi"/>
        </w:rPr>
      </w:pPr>
      <w:r>
        <w:t>В раздел SUA 9 „Достъпност“ в приложение А „Терминология“ определението за „достъпно място за паркиране“ вече включва тире с текста:</w:t>
      </w:r>
    </w:p>
    <w:p w14:paraId="791B9B63" w14:textId="2AEB4586" w:rsidR="00D722CA" w:rsidRPr="009064BC" w:rsidRDefault="0078611E" w:rsidP="0078611E">
      <w:pPr>
        <w:ind w:left="709"/>
        <w:jc w:val="both"/>
        <w:rPr>
          <w:rFonts w:cstheme="minorHAnsi"/>
        </w:rPr>
      </w:pPr>
      <w:r>
        <w:t>„- В случай че достъпното място за паркиране разполага със станция за зареждане на електрически превозни средства, достъпен маршрут обхваща и тази станция за зареждане. Електрическите контакти и съединителите на тези станции за зареждане трябва да бъдат хроматично контрастиращи с околната среда, поставени на височина между 80 и 120 cm, а разстоянието от ъглите трябва да бъде най-малко 35 cm</w:t>
      </w:r>
    </w:p>
    <w:p w14:paraId="09F57FB9" w14:textId="78225EA3" w:rsidR="005074AB" w:rsidRPr="009064BC" w:rsidRDefault="00DF5914" w:rsidP="005074AB">
      <w:pPr>
        <w:ind w:left="13"/>
        <w:jc w:val="both"/>
        <w:rPr>
          <w:rFonts w:cstheme="minorHAnsi"/>
        </w:rPr>
      </w:pPr>
      <w:r>
        <w:t>Четвърто. В основния документ DB-HS "Здравеопазване", включен в част II на Техническия строителен кодекс, е въведено следното изменение:</w:t>
      </w:r>
    </w:p>
    <w:p w14:paraId="6B818CBA" w14:textId="77777777" w:rsidR="002E7342" w:rsidRDefault="005074AB" w:rsidP="002E7342">
      <w:pPr>
        <w:pStyle w:val="ListParagraph"/>
        <w:numPr>
          <w:ilvl w:val="0"/>
          <w:numId w:val="22"/>
        </w:numPr>
        <w:jc w:val="both"/>
        <w:rPr>
          <w:rFonts w:cstheme="minorHAnsi"/>
        </w:rPr>
      </w:pPr>
      <w:r>
        <w:t>В раздел HS 4 „Водоснабдяване“, в раздел 3.2.2.1, точка 2, изречението „минималният принос на слънчевата енергия за производството на топла вода за битови нужди“ се заменя с изречението „минималният принос на енергията от възобновяеми източници за покриване на нуждите на топла вода за битови нужди“.</w:t>
      </w:r>
    </w:p>
    <w:p w14:paraId="49ACE665" w14:textId="4B95E48B" w:rsidR="005074AB" w:rsidRPr="003934E5" w:rsidRDefault="002F25C7" w:rsidP="009064BC">
      <w:pPr>
        <w:jc w:val="both"/>
        <w:rPr>
          <w:rFonts w:eastAsia="Arial" w:cstheme="minorHAnsi"/>
          <w:kern w:val="2"/>
        </w:rPr>
      </w:pPr>
      <w:r>
        <w:t>Пето. Направени са следните корекции на грешки и нередности, отбелязани в основния документ DB-HE „Икономии на енергия“, включен в част II на Техническия строителен кодекс:</w:t>
      </w:r>
    </w:p>
    <w:p w14:paraId="67BFDFA6" w14:textId="6609A07E" w:rsidR="00D612CE" w:rsidRPr="007F1589" w:rsidRDefault="002A5A94" w:rsidP="00D612CE">
      <w:pPr>
        <w:numPr>
          <w:ilvl w:val="0"/>
          <w:numId w:val="15"/>
        </w:numPr>
        <w:spacing w:before="200" w:after="100" w:line="240" w:lineRule="auto"/>
        <w:jc w:val="both"/>
        <w:rPr>
          <w:rFonts w:eastAsia="Arial" w:cstheme="minorHAnsi"/>
          <w:kern w:val="2"/>
        </w:rPr>
      </w:pPr>
      <w:r>
        <w:lastRenderedPageBreak/>
        <w:t>В раздел НЕ 0, раздел 1 Обхват, параграф 1, който гласи: „... когато общата разширена полезна площ надвишава 50 m</w:t>
      </w:r>
      <w:r>
        <w:rPr>
          <w:vertAlign w:val="superscript"/>
        </w:rPr>
        <w:t>2</w:t>
      </w:r>
      <w:r>
        <w:t>;“, тя следва да се чете „... където разширената използваема площ надвишава 50 m</w:t>
      </w:r>
      <w:r>
        <w:rPr>
          <w:vertAlign w:val="superscript"/>
        </w:rPr>
        <w:t>2</w:t>
      </w:r>
      <w:r>
        <w:t>;“.</w:t>
      </w:r>
    </w:p>
    <w:p w14:paraId="1C45277B" w14:textId="4D7F13E0" w:rsidR="007F1589" w:rsidRDefault="00033444" w:rsidP="00D612CE">
      <w:pPr>
        <w:numPr>
          <w:ilvl w:val="0"/>
          <w:numId w:val="15"/>
        </w:numPr>
        <w:spacing w:before="200" w:after="100" w:line="240" w:lineRule="auto"/>
        <w:jc w:val="both"/>
        <w:rPr>
          <w:rFonts w:eastAsia="Arial" w:cstheme="minorHAnsi"/>
          <w:kern w:val="2"/>
        </w:rPr>
      </w:pPr>
      <w:r>
        <w:t>В раздел HE 0, раздел 3 Количествено определяне на изискването, раздел 3.1 Консумация на първична енергия от невъзобновяеми източници, параграф 2, където гласи: „... C</w:t>
      </w:r>
      <w:r>
        <w:rPr>
          <w:vertAlign w:val="subscript"/>
        </w:rPr>
        <w:t>ep’nren,lim</w:t>
      </w:r>
      <w:r>
        <w:t>...“, трябва да се чете „... C</w:t>
      </w:r>
      <w:r>
        <w:rPr>
          <w:vertAlign w:val="subscript"/>
        </w:rPr>
        <w:t>ep,nren,lim</w:t>
      </w:r>
      <w:r>
        <w:t>...“.</w:t>
      </w:r>
    </w:p>
    <w:p w14:paraId="154CDFEF" w14:textId="5322C794" w:rsidR="00E87B89" w:rsidRPr="00C40409" w:rsidRDefault="00E87B89" w:rsidP="00E87B89">
      <w:pPr>
        <w:numPr>
          <w:ilvl w:val="0"/>
          <w:numId w:val="15"/>
        </w:numPr>
        <w:spacing w:before="200" w:after="100" w:line="240" w:lineRule="auto"/>
        <w:jc w:val="both"/>
        <w:rPr>
          <w:rFonts w:eastAsia="Arial" w:cstheme="minorHAnsi"/>
          <w:kern w:val="2"/>
        </w:rPr>
      </w:pPr>
      <w:r>
        <w:t>В раздел HE 0, раздел 3 „Количествено определяне на изискването“, раздел 3.1 Общо първично енергопотребление, параграф 2, където гласи: “... C</w:t>
      </w:r>
      <w:r>
        <w:rPr>
          <w:vertAlign w:val="subscript"/>
        </w:rPr>
        <w:t>ep’tot</w:t>
      </w:r>
      <w:r>
        <w:t>...“, трябва да се чете: „... C</w:t>
      </w:r>
      <w:r>
        <w:rPr>
          <w:vertAlign w:val="subscript"/>
        </w:rPr>
        <w:t>ep,tot</w:t>
      </w:r>
      <w:r>
        <w:t>...“.</w:t>
      </w:r>
    </w:p>
    <w:p w14:paraId="090F812B" w14:textId="4B3E0C74" w:rsidR="005074AB" w:rsidRPr="00E87B89" w:rsidRDefault="00033444" w:rsidP="005074AB">
      <w:pPr>
        <w:numPr>
          <w:ilvl w:val="0"/>
          <w:numId w:val="15"/>
        </w:numPr>
        <w:spacing w:before="200" w:after="100" w:line="240" w:lineRule="auto"/>
        <w:jc w:val="both"/>
        <w:rPr>
          <w:rFonts w:eastAsia="Arial" w:cstheme="minorHAnsi"/>
          <w:kern w:val="2"/>
        </w:rPr>
      </w:pPr>
      <w:r>
        <w:t>В раздел HE 0, раздел 3 „Количествено определяне на изискването“, раздел 3.2 Общо първично енергопотребление, параграф 2, където гласи: „... C</w:t>
      </w:r>
      <w:r>
        <w:rPr>
          <w:vertAlign w:val="subscript"/>
        </w:rPr>
        <w:t>ep,tot</w:t>
      </w:r>
      <w:r>
        <w:t>...“, трябва да се чете: „... C</w:t>
      </w:r>
      <w:r>
        <w:rPr>
          <w:vertAlign w:val="subscript"/>
        </w:rPr>
        <w:t>ep,tot</w:t>
      </w:r>
      <w:r>
        <w:t>...“.</w:t>
      </w:r>
    </w:p>
    <w:p w14:paraId="3E0C5510" w14:textId="77777777" w:rsidR="00E87B89" w:rsidRPr="00E87B89" w:rsidRDefault="00E87B89" w:rsidP="00E87B89">
      <w:pPr>
        <w:numPr>
          <w:ilvl w:val="0"/>
          <w:numId w:val="15"/>
        </w:numPr>
        <w:spacing w:before="200" w:after="100" w:line="240" w:lineRule="auto"/>
        <w:jc w:val="both"/>
        <w:rPr>
          <w:rFonts w:eastAsia="Arial" w:cstheme="minorHAnsi"/>
          <w:kern w:val="2"/>
        </w:rPr>
      </w:pPr>
      <w:r>
        <w:t>В раздел HE 0, таблици 3.1.a-HE0 и 3.2.a-HE0 терминът „</w:t>
      </w:r>
      <w:r>
        <w:rPr>
          <w:i/>
        </w:rPr>
        <w:t>Частно жилищно ползване</w:t>
      </w:r>
      <w:r>
        <w:t>“ следва да е в курсив. В раздели 3.1 Първично енергопотребление от невъзобновяеми източници, раздел 2 и 3.2 Общо първично енергопотребление, раздел 2, терминът „</w:t>
      </w:r>
      <w:r>
        <w:rPr>
          <w:i/>
        </w:rPr>
        <w:t>частно жилищно потребление</w:t>
      </w:r>
      <w:r>
        <w:t>“ следва да бъде в курсив.</w:t>
      </w:r>
    </w:p>
    <w:p w14:paraId="7A281569" w14:textId="77777777" w:rsidR="00E87B89" w:rsidRPr="00E87B89" w:rsidRDefault="00E87B89" w:rsidP="00E87B89">
      <w:pPr>
        <w:numPr>
          <w:ilvl w:val="0"/>
          <w:numId w:val="15"/>
        </w:numPr>
        <w:spacing w:before="200" w:after="100" w:line="240" w:lineRule="auto"/>
        <w:jc w:val="both"/>
        <w:rPr>
          <w:rFonts w:eastAsia="Arial" w:cstheme="minorHAnsi"/>
          <w:kern w:val="2"/>
        </w:rPr>
      </w:pPr>
      <w:r>
        <w:t>В раздел НЕ 0, раздел 4.3 Вътрешни заявки и оперативни условия, раздел 2, терминът „</w:t>
      </w:r>
      <w:r>
        <w:rPr>
          <w:i/>
        </w:rPr>
        <w:t>частно жилищно ползване</w:t>
      </w:r>
      <w:r>
        <w:t>“ следва да бъде в курсив.</w:t>
      </w:r>
    </w:p>
    <w:p w14:paraId="26708F84" w14:textId="52569E21" w:rsidR="00E87B89" w:rsidRPr="00E87B89" w:rsidRDefault="00E87B89" w:rsidP="00E87B89">
      <w:pPr>
        <w:numPr>
          <w:ilvl w:val="0"/>
          <w:numId w:val="15"/>
        </w:numPr>
        <w:spacing w:before="200" w:after="100" w:line="240" w:lineRule="auto"/>
        <w:jc w:val="both"/>
        <w:rPr>
          <w:rFonts w:eastAsia="Arial" w:cstheme="minorHAnsi"/>
          <w:kern w:val="2"/>
        </w:rPr>
      </w:pPr>
      <w:r>
        <w:t>В раздел HE 0, раздел 4.5 Референтни системи в частни жилищни сгради терминът "</w:t>
      </w:r>
      <w:r>
        <w:rPr>
          <w:i/>
        </w:rPr>
        <w:t>частни жилищни сгради</w:t>
      </w:r>
      <w:r>
        <w:t>" трябва да бъде изписан с курсив както в заглавието, така и в параграф 1.</w:t>
      </w:r>
    </w:p>
    <w:p w14:paraId="1F72D64C" w14:textId="6874C4DE" w:rsidR="00C40409" w:rsidRDefault="00C40409" w:rsidP="00A06D23">
      <w:pPr>
        <w:pStyle w:val="ListParagraph"/>
        <w:numPr>
          <w:ilvl w:val="0"/>
          <w:numId w:val="15"/>
        </w:numPr>
        <w:contextualSpacing w:val="0"/>
        <w:jc w:val="both"/>
        <w:rPr>
          <w:rFonts w:eastAsia="Arial" w:cstheme="minorHAnsi"/>
          <w:kern w:val="2"/>
        </w:rPr>
      </w:pPr>
      <w:r>
        <w:t>В раздел НЕ 1, раздел 3 Количествена оценка на изискването, раздел 3.11. Топлопреминаване на обвивката, терминът „компактност“ в таблици 3.1.1.б-HE1 и таблици 3.1.1.c-HE1, следва да бъде в курсив.</w:t>
      </w:r>
    </w:p>
    <w:p w14:paraId="25EC06BF" w14:textId="5171D538" w:rsidR="00861802" w:rsidRDefault="009A285F" w:rsidP="00861802">
      <w:pPr>
        <w:pStyle w:val="ListParagraph"/>
        <w:numPr>
          <w:ilvl w:val="0"/>
          <w:numId w:val="15"/>
        </w:numPr>
        <w:contextualSpacing w:val="0"/>
        <w:jc w:val="both"/>
        <w:rPr>
          <w:rFonts w:eastAsia="Arial" w:cstheme="minorHAnsi"/>
          <w:kern w:val="2"/>
        </w:rPr>
      </w:pPr>
      <w:r>
        <w:t>В раздел НЕ 1, раздел 3 Количествена оценка на изискването, раздел 3.11. Топлопреминаване на обвивката, терминът „компактност“ в бележките под линия 3.1.1.b-HE1 и таблици 3.1.1.c-HE1 и терминът „компактност“ в бележката под линия в таблица 3.1.1.в-HE1 следва да бъдат в курсив.</w:t>
      </w:r>
    </w:p>
    <w:p w14:paraId="170DB451" w14:textId="250D994A" w:rsidR="00AB7DDB" w:rsidRDefault="00AB7DDB" w:rsidP="00861802">
      <w:pPr>
        <w:pStyle w:val="ListParagraph"/>
        <w:numPr>
          <w:ilvl w:val="0"/>
          <w:numId w:val="15"/>
        </w:numPr>
        <w:contextualSpacing w:val="0"/>
        <w:jc w:val="both"/>
        <w:rPr>
          <w:rFonts w:eastAsia="Arial" w:cstheme="minorHAnsi"/>
          <w:kern w:val="2"/>
        </w:rPr>
      </w:pPr>
      <w:r>
        <w:t>В раздел НЕ 1, раздел 3 Количествена оценка на изискването, раздел 3.1.1. Топлопреминаване на обвивката, раздел 3, терминът „</w:t>
      </w:r>
      <w:r>
        <w:rPr>
          <w:i/>
        </w:rPr>
        <w:t>Частно жилищно ползване</w:t>
      </w:r>
      <w:r>
        <w:t>“ следва да бъде в курсив както в параграф 3, така и в таблица 3.1.1.б-HE1.</w:t>
      </w:r>
    </w:p>
    <w:p w14:paraId="2D388CBC" w14:textId="0E99E67B" w:rsidR="00D3439E" w:rsidRPr="00D3439E" w:rsidRDefault="00D3439E" w:rsidP="00D3439E">
      <w:pPr>
        <w:pStyle w:val="ListParagraph"/>
        <w:numPr>
          <w:ilvl w:val="0"/>
          <w:numId w:val="15"/>
        </w:numPr>
        <w:contextualSpacing w:val="0"/>
        <w:jc w:val="both"/>
        <w:rPr>
          <w:rFonts w:eastAsia="Arial" w:cstheme="minorHAnsi"/>
          <w:kern w:val="2"/>
        </w:rPr>
      </w:pPr>
      <w:r>
        <w:t>В раздел НЕ 1, раздел 3 Количествена оценка на изискването, раздел 3.1.1. Топлопреминаван на обвивката, терминът „топлоизолационна обвивка“ в таблица 3.1.1.c-HE1, следва да бъде в курсив.</w:t>
      </w:r>
    </w:p>
    <w:p w14:paraId="73A3DBC7" w14:textId="3265FAE2" w:rsidR="00840E76" w:rsidRDefault="009A285F" w:rsidP="00C06D5A">
      <w:pPr>
        <w:pStyle w:val="ListParagraph"/>
        <w:numPr>
          <w:ilvl w:val="0"/>
          <w:numId w:val="15"/>
        </w:numPr>
        <w:ind w:left="714" w:hanging="357"/>
        <w:contextualSpacing w:val="0"/>
        <w:jc w:val="both"/>
        <w:rPr>
          <w:rFonts w:eastAsia="Arial" w:cstheme="minorHAnsi"/>
          <w:kern w:val="2"/>
        </w:rPr>
      </w:pPr>
      <w:r>
        <w:t>В раздел HE 1, раздел 3 „Количествено определяне на изискването“, раздел 3.1.2 „Слънчево управление на топлоизолационната обвивка“, където той гласи: „Таблица 3.1.2-HE1 Гранична стойност на параметъра за управление на слънчевата енергия QSOL;jul,lim [KWh/m</w:t>
      </w:r>
      <w:r>
        <w:rPr>
          <w:vertAlign w:val="superscript"/>
        </w:rPr>
        <w:t>2</w:t>
      </w:r>
      <w:r>
        <w:t>·mes]“, да се чете, с „sun;jul,lim“ като индекс: „Таблица 3.1.2-HE1 Гранична стойност на параметъра за управление на слънчевата енергия q</w:t>
      </w:r>
      <w:r>
        <w:rPr>
          <w:vertAlign w:val="subscript"/>
        </w:rPr>
        <w:t>sol;jul,lim</w:t>
      </w:r>
      <w:r>
        <w:t xml:space="preserve"> [KWh/m</w:t>
      </w:r>
      <w:r>
        <w:rPr>
          <w:vertAlign w:val="superscript"/>
        </w:rPr>
        <w:t>2</w:t>
      </w:r>
      <w:r>
        <w:t>·mes]“.</w:t>
      </w:r>
    </w:p>
    <w:p w14:paraId="0D568F6A" w14:textId="54EC4798" w:rsidR="00080851" w:rsidRDefault="00080851" w:rsidP="00080851">
      <w:pPr>
        <w:pStyle w:val="ListParagraph"/>
        <w:numPr>
          <w:ilvl w:val="0"/>
          <w:numId w:val="15"/>
        </w:numPr>
        <w:contextualSpacing w:val="0"/>
        <w:jc w:val="both"/>
        <w:rPr>
          <w:rFonts w:eastAsia="Arial" w:cstheme="minorHAnsi"/>
          <w:kern w:val="2"/>
        </w:rPr>
      </w:pPr>
      <w:r>
        <w:lastRenderedPageBreak/>
        <w:t>В раздел HE 1, раздел 3 Количествено определяне на изискването, раздел 3.1.3 Въздухопропускливост на топлоизолационната обвивка, терминът „топлоизолационна обвивка“ трябва да бъде в курсив.</w:t>
      </w:r>
    </w:p>
    <w:p w14:paraId="6C69F09F" w14:textId="174D853F" w:rsidR="00C06D5A" w:rsidRDefault="003E1EAB" w:rsidP="003F6E54">
      <w:pPr>
        <w:pStyle w:val="ListParagraph"/>
        <w:numPr>
          <w:ilvl w:val="0"/>
          <w:numId w:val="15"/>
        </w:numPr>
        <w:contextualSpacing w:val="0"/>
        <w:jc w:val="both"/>
        <w:rPr>
          <w:rFonts w:eastAsia="Arial" w:cstheme="minorHAnsi"/>
          <w:kern w:val="2"/>
        </w:rPr>
      </w:pPr>
      <w:r>
        <w:t>В раздел HE 1, раздел 3 Количествена оценка на изискването, раздел 3.1.3 Въздухопропускливост на топлоизолационната обвивка, терминът „компактност“ в таблица 3.1.3.б-HE1, терминът „компактност“ в таблицата в таблица 3.1.3.б-HE1 и терминът „частно жилищно ползване“ в параграф 3 следва да бъдат в курсив.</w:t>
      </w:r>
    </w:p>
    <w:p w14:paraId="6B53827F" w14:textId="3E4A46B4" w:rsidR="001C0414" w:rsidRPr="001C0414" w:rsidRDefault="003E1EAB" w:rsidP="003F6E54">
      <w:pPr>
        <w:pStyle w:val="ListParagraph"/>
        <w:numPr>
          <w:ilvl w:val="0"/>
          <w:numId w:val="15"/>
        </w:numPr>
        <w:contextualSpacing w:val="0"/>
        <w:jc w:val="both"/>
        <w:rPr>
          <w:rFonts w:eastAsia="Arial" w:cstheme="minorHAnsi"/>
          <w:kern w:val="2"/>
        </w:rPr>
      </w:pPr>
      <w:r>
        <w:t>В раздел HE 1, раздел 4 Обосноваване на изискването, терминът „компактност“ в раздел 4.1.б) и терминът „частно жилищно ползване“ в раздел 4.1.ж) следва да бъдат в курсив.</w:t>
      </w:r>
    </w:p>
    <w:p w14:paraId="32DB053F" w14:textId="46389233" w:rsidR="005074AB" w:rsidRPr="003934E5" w:rsidRDefault="005074AB" w:rsidP="005074AB">
      <w:pPr>
        <w:numPr>
          <w:ilvl w:val="0"/>
          <w:numId w:val="15"/>
        </w:numPr>
        <w:spacing w:before="200" w:after="100" w:line="240" w:lineRule="auto"/>
        <w:jc w:val="both"/>
        <w:rPr>
          <w:rFonts w:eastAsia="Arial" w:cstheme="minorHAnsi"/>
          <w:kern w:val="2"/>
        </w:rPr>
      </w:pPr>
      <w:r>
        <w:t>В раздел НЕ 4, раздел 3 „Количествена оценка на изискването“, раздел 3.1 Минимален принос от възобновяеми източници за отопление на DHW и/или басейн, параграф 4, където се казва: „...повече от 2,5 при електрическо задействане и по-голямо от 1,15 при работа с топлинна енергия...“ следва да се чете „... равно на или по-голямо от 2,5 при електрически режим на работа и равно на или по-голямо от 1,15 при работа с топлинна енергия...“.</w:t>
      </w:r>
    </w:p>
    <w:p w14:paraId="17650553" w14:textId="65DABA62" w:rsidR="005074AB" w:rsidRPr="003934E5" w:rsidRDefault="003E1EAB" w:rsidP="005074AB">
      <w:pPr>
        <w:numPr>
          <w:ilvl w:val="0"/>
          <w:numId w:val="15"/>
        </w:numPr>
        <w:spacing w:before="200" w:after="100" w:line="240" w:lineRule="auto"/>
        <w:jc w:val="both"/>
        <w:rPr>
          <w:rFonts w:eastAsia="Arial" w:cstheme="minorHAnsi"/>
          <w:kern w:val="2"/>
        </w:rPr>
      </w:pPr>
      <w:r>
        <w:t>В раздел НЕ 4, раздел 3 „Количествена оценка на изискването“, раздел 3.1 Минимален принос от възобновяеми източници за отопление на DHW и/или басейн, параграф 5, където се казва: „... жилищни сгради...“ трябва да се чете „... сгради за частно жилищно ползване...“</w:t>
      </w:r>
    </w:p>
    <w:p w14:paraId="198A06EA" w14:textId="307304FC" w:rsidR="005074AB" w:rsidRPr="009064BC" w:rsidRDefault="003E1EAB" w:rsidP="00547307">
      <w:pPr>
        <w:numPr>
          <w:ilvl w:val="0"/>
          <w:numId w:val="15"/>
        </w:numPr>
        <w:ind w:left="714" w:hanging="357"/>
        <w:jc w:val="both"/>
        <w:rPr>
          <w:rFonts w:cstheme="minorHAnsi"/>
        </w:rPr>
      </w:pPr>
      <w:r>
        <w:t xml:space="preserve">В раздел НЕ 4, преди раздел „5.1. „Изпълнение“ се добавя следното: „5. Строителство, техническо обслужване и поддръжка“ като заглавие. </w:t>
      </w:r>
    </w:p>
    <w:p w14:paraId="5F37F69A" w14:textId="6CD803CA" w:rsidR="005074AB" w:rsidRPr="00840E76" w:rsidRDefault="005074AB" w:rsidP="00547307">
      <w:pPr>
        <w:numPr>
          <w:ilvl w:val="0"/>
          <w:numId w:val="15"/>
        </w:numPr>
        <w:spacing w:before="200" w:after="100" w:line="240" w:lineRule="auto"/>
        <w:ind w:left="714" w:hanging="357"/>
        <w:jc w:val="both"/>
        <w:rPr>
          <w:rFonts w:eastAsia="Arial" w:cstheme="minorHAnsi"/>
          <w:kern w:val="2"/>
        </w:rPr>
      </w:pPr>
      <w:r>
        <w:t>На страница 140553, приложение А Терминология в определението за „Общ коефициент на топлопредаване (през топлоизолационната обвивка на сградата) (K)“, където гласи: „... K = X Hx/Aint...“ да се чете с „x“, „x“ и „int“ като индекс: „... K = Σ</w:t>
      </w:r>
      <w:r>
        <w:rPr>
          <w:vertAlign w:val="subscript"/>
        </w:rPr>
        <w:t>x</w:t>
      </w:r>
      <w:r>
        <w:t xml:space="preserve"> H</w:t>
      </w:r>
      <w:r>
        <w:rPr>
          <w:vertAlign w:val="subscript"/>
        </w:rPr>
        <w:t>x</w:t>
      </w:r>
      <w:r>
        <w:t xml:space="preserve"> / A</w:t>
      </w:r>
      <w:r>
        <w:rPr>
          <w:vertAlign w:val="subscript"/>
        </w:rPr>
        <w:t>int</w:t>
      </w:r>
      <w:r>
        <w:t>...».</w:t>
      </w:r>
    </w:p>
    <w:p w14:paraId="36164C8D" w14:textId="457C8028" w:rsidR="00840E76" w:rsidRDefault="003E1EAB" w:rsidP="00840E76">
      <w:pPr>
        <w:numPr>
          <w:ilvl w:val="0"/>
          <w:numId w:val="15"/>
        </w:numPr>
        <w:spacing w:before="200" w:after="100" w:line="240" w:lineRule="auto"/>
        <w:jc w:val="both"/>
        <w:rPr>
          <w:rFonts w:eastAsia="Arial" w:cstheme="minorHAnsi"/>
          <w:kern w:val="2"/>
        </w:rPr>
      </w:pPr>
      <w:r>
        <w:t>В приложение А Терминология в определението за „компактност“ думата „компактност“ във втория параграф следва да бъде в курсив.</w:t>
      </w:r>
    </w:p>
    <w:p w14:paraId="544D530D" w14:textId="09FE0403" w:rsidR="003F6E54" w:rsidRPr="003934E5" w:rsidRDefault="003F6E54" w:rsidP="003F6E54">
      <w:pPr>
        <w:numPr>
          <w:ilvl w:val="0"/>
          <w:numId w:val="15"/>
        </w:numPr>
        <w:spacing w:before="200" w:after="100" w:line="240" w:lineRule="auto"/>
        <w:jc w:val="both"/>
        <w:rPr>
          <w:rFonts w:eastAsia="Arial" w:cstheme="minorHAnsi"/>
          <w:kern w:val="2"/>
        </w:rPr>
      </w:pPr>
      <w:r>
        <w:t>В приложение А Терминология в определението за „оперативни условия“ терминът „частно жилищно ползване“ следва да бъде в курсив.</w:t>
      </w:r>
    </w:p>
    <w:p w14:paraId="00FC699C" w14:textId="7DE692E3" w:rsidR="005074AB" w:rsidRPr="003934E5" w:rsidRDefault="003E1EAB" w:rsidP="005074AB">
      <w:pPr>
        <w:numPr>
          <w:ilvl w:val="0"/>
          <w:numId w:val="15"/>
        </w:numPr>
        <w:spacing w:before="200" w:after="100" w:line="240" w:lineRule="auto"/>
        <w:jc w:val="both"/>
        <w:rPr>
          <w:rFonts w:eastAsia="Arial" w:cstheme="minorHAnsi"/>
          <w:kern w:val="2"/>
        </w:rPr>
      </w:pPr>
      <w:r>
        <w:t>В приложение А Терминология в определението за „Първично енергопотребление от невъзобновяеми източници“, където гласи: „... Първично енергопотребление от невъзобновяеми източници...“ следва да се чете с „ep,nren“ в индекса: „... Първично енергопотребление от невъзобновяеми източници (C</w:t>
      </w:r>
      <w:r>
        <w:rPr>
          <w:vertAlign w:val="subscript"/>
        </w:rPr>
        <w:t>ep,nren</w:t>
      </w:r>
      <w:r>
        <w:t>)...първично енергопотребление.</w:t>
      </w:r>
    </w:p>
    <w:p w14:paraId="6E6C3C38" w14:textId="5B03794E" w:rsidR="005074AB" w:rsidRPr="003934E5" w:rsidRDefault="003E1EAB" w:rsidP="005074AB">
      <w:pPr>
        <w:numPr>
          <w:ilvl w:val="0"/>
          <w:numId w:val="15"/>
        </w:numPr>
        <w:spacing w:before="200" w:after="100" w:line="240" w:lineRule="auto"/>
        <w:jc w:val="both"/>
        <w:rPr>
          <w:rFonts w:eastAsia="Arial" w:cstheme="minorHAnsi"/>
          <w:kern w:val="2"/>
        </w:rPr>
      </w:pPr>
      <w:r>
        <w:t>В приложение А Терминология, в определението за „Общо първично енергопотребление“, където то гласи: „... Общо първично енергопотребление...“ следва да се чете с „ep,tot“ в индекса: „... Общо първично енергопотребление (C</w:t>
      </w:r>
      <w:r>
        <w:rPr>
          <w:vertAlign w:val="subscript"/>
        </w:rPr>
        <w:t>ep,tot</w:t>
      </w:r>
      <w:r>
        <w:t>)...“.</w:t>
      </w:r>
    </w:p>
    <w:p w14:paraId="7D78A910" w14:textId="4F934047" w:rsidR="00171BC6" w:rsidRPr="003F6E54" w:rsidRDefault="003E1EAB" w:rsidP="00FB3F17">
      <w:pPr>
        <w:numPr>
          <w:ilvl w:val="0"/>
          <w:numId w:val="15"/>
        </w:numPr>
        <w:spacing w:before="200" w:after="100" w:line="240" w:lineRule="auto"/>
        <w:jc w:val="both"/>
        <w:rPr>
          <w:rFonts w:eastAsia="Arial" w:cstheme="minorHAnsi"/>
          <w:kern w:val="2"/>
        </w:rPr>
      </w:pPr>
      <w:r>
        <w:lastRenderedPageBreak/>
        <w:t>В приложение А Терминология, в определението за „слънчево управление (q</w:t>
      </w:r>
      <w:r>
        <w:rPr>
          <w:vertAlign w:val="subscript"/>
        </w:rPr>
        <w:t>sol;ju</w:t>
      </w:r>
      <w:r>
        <w:t>)“, където се чете: "... полезната площ на пространствата..." трябва да се чете: "... полезната площ на жилищните помещения...".</w:t>
      </w:r>
    </w:p>
    <w:p w14:paraId="5F15C0C7" w14:textId="0371978A" w:rsidR="003F6E54" w:rsidRDefault="003F6E54" w:rsidP="003F6E54">
      <w:pPr>
        <w:numPr>
          <w:ilvl w:val="0"/>
          <w:numId w:val="15"/>
        </w:numPr>
        <w:spacing w:before="200" w:after="100" w:line="240" w:lineRule="auto"/>
        <w:jc w:val="both"/>
        <w:rPr>
          <w:rFonts w:eastAsia="Arial" w:cstheme="minorHAnsi"/>
          <w:kern w:val="2"/>
        </w:rPr>
      </w:pPr>
      <w:r>
        <w:t>В приложение А "Терминология", в определението за "климатизирано жилищно пространство", терминът "частно жилищно ползване" трябва да бъде в курсив.</w:t>
      </w:r>
    </w:p>
    <w:p w14:paraId="37CF326B" w14:textId="7A62E78A" w:rsidR="003F6E54" w:rsidRDefault="003F6E54" w:rsidP="003F6E54">
      <w:pPr>
        <w:numPr>
          <w:ilvl w:val="0"/>
          <w:numId w:val="15"/>
        </w:numPr>
        <w:spacing w:before="200" w:after="100" w:line="240" w:lineRule="auto"/>
        <w:jc w:val="both"/>
        <w:rPr>
          <w:rFonts w:eastAsia="Arial" w:cstheme="minorHAnsi"/>
          <w:kern w:val="2"/>
        </w:rPr>
      </w:pPr>
      <w:r>
        <w:t>В приложение А Терминология в определението за „период на използване“ терминът „частно жилищно ползване“ във втория параграф следва да бъде в курсив.</w:t>
      </w:r>
    </w:p>
    <w:p w14:paraId="3F599B22" w14:textId="2380EDD2" w:rsidR="003F6E54" w:rsidRDefault="003F6E54" w:rsidP="003F6E54">
      <w:pPr>
        <w:numPr>
          <w:ilvl w:val="0"/>
          <w:numId w:val="15"/>
        </w:numPr>
        <w:spacing w:before="200" w:after="100" w:line="240" w:lineRule="auto"/>
        <w:jc w:val="both"/>
        <w:rPr>
          <w:rFonts w:eastAsia="Arial" w:cstheme="minorHAnsi"/>
          <w:kern w:val="2"/>
        </w:rPr>
      </w:pPr>
      <w:r>
        <w:t>В приложение А Терминология в определението за „стойност на енергийната ефективност на инсталацията (VEEI)“ терминът „частно жилищно ползване“ следва да бъде в курсив.</w:t>
      </w:r>
    </w:p>
    <w:p w14:paraId="24304584" w14:textId="5B24531B" w:rsidR="003F6E54" w:rsidRPr="00840E76" w:rsidRDefault="003F6E54" w:rsidP="003F6E54">
      <w:pPr>
        <w:numPr>
          <w:ilvl w:val="0"/>
          <w:numId w:val="15"/>
        </w:numPr>
        <w:spacing w:before="200" w:after="100" w:line="240" w:lineRule="auto"/>
        <w:jc w:val="both"/>
        <w:rPr>
          <w:rFonts w:eastAsia="Arial" w:cstheme="minorHAnsi"/>
          <w:kern w:val="2"/>
        </w:rPr>
      </w:pPr>
      <w:r>
        <w:t>В приложение В Съображения за определението на топлоизолационна обвивка, терминът „топлоизолационна обвивка“ в заглавието следва да бъде в курсив.</w:t>
      </w:r>
    </w:p>
    <w:p w14:paraId="6DC93123" w14:textId="1B19CD34" w:rsidR="00840E76" w:rsidRDefault="003E1EAB" w:rsidP="007075D9">
      <w:pPr>
        <w:numPr>
          <w:ilvl w:val="0"/>
          <w:numId w:val="15"/>
        </w:numPr>
        <w:spacing w:before="200" w:after="100" w:line="240" w:lineRule="auto"/>
        <w:jc w:val="both"/>
        <w:rPr>
          <w:rFonts w:eastAsia="Arial" w:cstheme="minorHAnsi"/>
          <w:kern w:val="2"/>
        </w:rPr>
      </w:pPr>
      <w:r>
        <w:t>В приложение Г Оперативните условия и профилите на използване, в заглавието, термините „Оперативни условия“ и „Профили на употреба“ трябва да бъдат в курсив в заглавието, точка 2 и в таблиците, таблица а-приложение Г, таблица б-приложение Г и таблица в приложение Г.</w:t>
      </w:r>
    </w:p>
    <w:p w14:paraId="47E1F5F1" w14:textId="3014A77D" w:rsidR="007075D9" w:rsidRDefault="007075D9" w:rsidP="007075D9">
      <w:pPr>
        <w:numPr>
          <w:ilvl w:val="0"/>
          <w:numId w:val="15"/>
        </w:numPr>
        <w:spacing w:before="200" w:after="100" w:line="240" w:lineRule="auto"/>
        <w:jc w:val="both"/>
        <w:rPr>
          <w:rFonts w:eastAsia="Arial" w:cstheme="minorHAnsi"/>
          <w:kern w:val="2"/>
        </w:rPr>
      </w:pPr>
      <w:r>
        <w:t>В приложение Д Индикативни стойности на коефициента на топлопреминаване терминът "частно жилищно ползване" в раздел 1 трябва да бъде в курсив.</w:t>
      </w:r>
    </w:p>
    <w:p w14:paraId="236A2713" w14:textId="24851D32" w:rsidR="007075D9" w:rsidRDefault="007075D9" w:rsidP="007075D9">
      <w:pPr>
        <w:numPr>
          <w:ilvl w:val="0"/>
          <w:numId w:val="15"/>
        </w:numPr>
        <w:spacing w:before="200" w:after="100" w:line="240" w:lineRule="auto"/>
        <w:jc w:val="both"/>
        <w:rPr>
          <w:rFonts w:eastAsia="Arial" w:cstheme="minorHAnsi"/>
          <w:kern w:val="2"/>
        </w:rPr>
      </w:pPr>
      <w:r>
        <w:t>В приложение Е Референтно търсене в ACS терминът „частно жилищно ползване“ следва да бъде в курсив както в раздел 1, така и в таблица а-приложение Е.</w:t>
      </w:r>
    </w:p>
    <w:p w14:paraId="799F7AD6" w14:textId="746A1CEA" w:rsidR="005074AB" w:rsidRPr="007075D9" w:rsidRDefault="003E1EAB" w:rsidP="00847CB0">
      <w:pPr>
        <w:numPr>
          <w:ilvl w:val="0"/>
          <w:numId w:val="15"/>
        </w:numPr>
        <w:spacing w:before="200" w:after="100" w:line="240" w:lineRule="auto"/>
        <w:jc w:val="both"/>
        <w:rPr>
          <w:rFonts w:eastAsia="Arial" w:cstheme="minorHAnsi"/>
          <w:kern w:val="2"/>
        </w:rPr>
      </w:pPr>
      <w:r>
        <w:t>В приложение З Определяне на въздухопропускливостта на сградата, в раздел 2 Определяне чрез референтни стойности, където тя гласи: „... 2. Стойността на съотношението на промяната на въздуха при 50 Pa, n50, може да се изчисли по следната формула:“ тя трябва да се чете: „... 1. Стойността на отношението на изменението на въздуха при 50 Pa, n50 чрез еталонни стойности се получава от следния израз:“ където гласи: ‘n</w:t>
      </w:r>
      <w:r>
        <w:rPr>
          <w:vertAlign w:val="subscript"/>
        </w:rPr>
        <w:t>50</w:t>
      </w:r>
      <w:r>
        <w:t xml:space="preserve"> = 0,629 · (C</w:t>
      </w:r>
      <w:r>
        <w:rPr>
          <w:vertAlign w:val="subscript"/>
        </w:rPr>
        <w:t>o</w:t>
      </w:r>
      <w:r>
        <w:t xml:space="preserve"> · A</w:t>
      </w:r>
      <w:r>
        <w:rPr>
          <w:vertAlign w:val="subscript"/>
        </w:rPr>
        <w:t>o</w:t>
      </w:r>
      <w:r>
        <w:t xml:space="preserve"> + C</w:t>
      </w:r>
      <w:r>
        <w:rPr>
          <w:vertAlign w:val="subscript"/>
        </w:rPr>
        <w:t>h</w:t>
      </w:r>
      <w:r>
        <w:t xml:space="preserve"> · A</w:t>
      </w:r>
      <w:r>
        <w:rPr>
          <w:vertAlign w:val="subscript"/>
        </w:rPr>
        <w:t>h</w:t>
      </w:r>
      <w:r>
        <w:t>) / V’ да се чете: “n</w:t>
      </w:r>
      <w:r>
        <w:rPr>
          <w:vertAlign w:val="subscript"/>
        </w:rPr>
        <w:t>50</w:t>
      </w:r>
      <w:r>
        <w:t xml:space="preserve"> = 0,629 · (C</w:t>
      </w:r>
      <w:r>
        <w:rPr>
          <w:vertAlign w:val="subscript"/>
        </w:rPr>
        <w:t>o</w:t>
      </w:r>
      <w:r>
        <w:t xml:space="preserve"> · A</w:t>
      </w:r>
      <w:r>
        <w:rPr>
          <w:vertAlign w:val="subscript"/>
        </w:rPr>
        <w:t>o</w:t>
      </w:r>
      <w:r>
        <w:t xml:space="preserve"> + C</w:t>
      </w:r>
      <w:r>
        <w:rPr>
          <w:vertAlign w:val="subscript"/>
        </w:rPr>
        <w:t>h</w:t>
      </w:r>
      <w:r>
        <w:t xml:space="preserve"> · A</w:t>
      </w:r>
      <w:r>
        <w:rPr>
          <w:vertAlign w:val="subscript"/>
        </w:rPr>
        <w:t>h</w:t>
      </w:r>
      <w:r>
        <w:t>) / V</w:t>
      </w:r>
      <w:r>
        <w:rPr>
          <w:vertAlign w:val="subscript"/>
        </w:rPr>
        <w:t>in</w:t>
      </w:r>
      <w:r>
        <w:t>”, където се чете: „V е вътрешният обем на топлоизолационната обвивка в [m</w:t>
      </w:r>
      <w:r>
        <w:rPr>
          <w:vertAlign w:val="superscript"/>
        </w:rPr>
        <w:t>3</w:t>
      </w:r>
      <w:r>
        <w:t>]“ да се чете: „V</w:t>
      </w:r>
      <w:r>
        <w:rPr>
          <w:vertAlign w:val="subscript"/>
        </w:rPr>
        <w:t>int</w:t>
      </w:r>
      <w:r>
        <w:t xml:space="preserve"> е обемът на вътрешния въздух на </w:t>
      </w:r>
      <w:r>
        <w:rPr>
          <w:i/>
        </w:rPr>
        <w:t>топлоизолационната обвивка</w:t>
      </w:r>
      <w:r>
        <w:t>, в [m</w:t>
      </w:r>
      <w:r>
        <w:rPr>
          <w:vertAlign w:val="superscript"/>
        </w:rPr>
        <w:t>3</w:t>
      </w:r>
      <w:r>
        <w:t>]“, и където гласи: „A</w:t>
      </w:r>
      <w:r>
        <w:rPr>
          <w:vertAlign w:val="subscript"/>
        </w:rPr>
        <w:t>o</w:t>
      </w:r>
      <w:r>
        <w:t xml:space="preserve"> е повърхността на непрозрачната част на топлоизолационната обвивка в [m</w:t>
      </w:r>
      <w:r>
        <w:rPr>
          <w:vertAlign w:val="superscript"/>
        </w:rPr>
        <w:t>2</w:t>
      </w:r>
      <w:r>
        <w:t>]“ да се чете: „A</w:t>
      </w:r>
      <w:r>
        <w:rPr>
          <w:vertAlign w:val="subscript"/>
        </w:rPr>
        <w:t>o</w:t>
      </w:r>
      <w:r>
        <w:t xml:space="preserve"> е повърхността на непрозрачната част на </w:t>
      </w:r>
      <w:r>
        <w:rPr>
          <w:i/>
        </w:rPr>
        <w:t>топлинната обвивка</w:t>
      </w:r>
      <w:r>
        <w:t xml:space="preserve"> в контакт с външен въздух при [m</w:t>
      </w:r>
      <w:r>
        <w:rPr>
          <w:vertAlign w:val="superscript"/>
        </w:rPr>
        <w:t>2</w:t>
      </w:r>
      <w:r>
        <w:t>]“.</w:t>
      </w:r>
    </w:p>
    <w:p w14:paraId="25E43F9C" w14:textId="79111767" w:rsidR="007075D9" w:rsidRPr="003934E5" w:rsidRDefault="007075D9" w:rsidP="007075D9">
      <w:pPr>
        <w:numPr>
          <w:ilvl w:val="0"/>
          <w:numId w:val="15"/>
        </w:numPr>
        <w:spacing w:before="200" w:after="100" w:line="240" w:lineRule="auto"/>
        <w:jc w:val="both"/>
        <w:rPr>
          <w:rFonts w:eastAsia="Arial" w:cstheme="minorHAnsi"/>
          <w:kern w:val="2"/>
        </w:rPr>
      </w:pPr>
      <w:r>
        <w:t>В приложение З Определяне на въздухопропускливостта на сградата терминът „топлоизолационна обвивка“ следва да бъде в курсив в описанието на термините V</w:t>
      </w:r>
      <w:r>
        <w:rPr>
          <w:vertAlign w:val="subscript"/>
        </w:rPr>
        <w:t>int</w:t>
      </w:r>
      <w:r>
        <w:t>, C</w:t>
      </w:r>
      <w:r>
        <w:rPr>
          <w:vertAlign w:val="subscript"/>
        </w:rPr>
        <w:t>o</w:t>
      </w:r>
      <w:r>
        <w:t>, C</w:t>
      </w:r>
      <w:r>
        <w:rPr>
          <w:vertAlign w:val="subscript"/>
        </w:rPr>
        <w:t>h</w:t>
      </w:r>
      <w:r>
        <w:t>, A</w:t>
      </w:r>
      <w:r>
        <w:rPr>
          <w:vertAlign w:val="subscript"/>
        </w:rPr>
        <w:t>h</w:t>
      </w:r>
      <w:r>
        <w:t xml:space="preserve"> и в таблица а-приложение З</w:t>
      </w:r>
    </w:p>
    <w:p w14:paraId="7A548AE7" w14:textId="77777777" w:rsidR="0024794E" w:rsidRDefault="002F25C7" w:rsidP="0024794E">
      <w:pPr>
        <w:spacing w:before="200" w:after="100" w:line="240" w:lineRule="auto"/>
        <w:jc w:val="both"/>
        <w:rPr>
          <w:rFonts w:eastAsia="Arial" w:cstheme="minorHAnsi"/>
          <w:kern w:val="2"/>
          <w:szCs w:val="24"/>
        </w:rPr>
      </w:pPr>
      <w:r>
        <w:t xml:space="preserve">Шест. Корекциите на забелязаните грешки и нередности се извършват, както следва: Основен документ DB-HS "Саниране", включен в част II на Техническия строителен кодекс: </w:t>
      </w:r>
    </w:p>
    <w:p w14:paraId="169CA6E1" w14:textId="77777777"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 xml:space="preserve">В раздел 4 от ХС „Водоснабдяване“, в раздел 6.2. буквата „д) хлорирани тръби от поливинилхлорид (PVC-C) съгласно UNE-EN ISO 15874—1:2013, UNE-EN ISO 15874—2:2013 и UNE-EN ISO 15874—3:2013;“ се заменя с буквата „д) тръби от </w:t>
      </w:r>
      <w:r>
        <w:lastRenderedPageBreak/>
        <w:t>полихлориран винилхлорид (PVC-C) съгласно UNE-EN ISO 15877—1:2009 (+UNE-EN ISO 15877—1:2009/A1): 2011 г.), UNE-EN ISO 15877—2:2009 (+UNE-EN ISO 15877—2:2009/A1: 2011 г.) и UNE-EN ISO 15877—3:2009 (+UNE-EN ISO 15877—3:2009/A1: 2011 г.);“.</w:t>
      </w:r>
    </w:p>
    <w:p w14:paraId="3C70C58A" w14:textId="2B44818E"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В раздел HS 4 „Водоснабдяване“, в раздел 6.2. буквата „з) полибутиленови тръби (PB) съгласно UNE-EN ISO 15876—1:2017, UNE-EN ISO 15876—2:2017 и UNE-EN ISO 15876—3:2017;“ се заменя с буквата „з) полибутиленови тръби (PB) съгласно UNE-EN ISO 15876—1:2017, UNE-EN ISO 15876—2:2017 и UNE-EN ISO 15876—3:2017;“.</w:t>
      </w:r>
    </w:p>
    <w:p w14:paraId="48BF6FE7" w14:textId="7ED2365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В приложение В. Референтни стандарти, където гласят: „Пластмасови тръбопроводни системи за инсталации за топла и студена вода. Полибутилен (PB). Част 1: Общи положения“ да се чете: „Пластмасови тръбопроводни системи за инсталации за топла и студена вода. Полибутен (PB). Част 1: Общи положения</w:t>
      </w:r>
    </w:p>
    <w:p w14:paraId="35A52A28" w14:textId="2205E89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В приложение В. Референтни стандарти, където гласят: „Пластмасови тръбопроводни системи за инсталации за топла и студена вода. Полибутилен (PB). Част 2: Тръби“ да се чете: „Пластмасови тръбопроводни системи за инсталации за топла и студена вода. Полибутен (PB). Част 2: Тръби.</w:t>
      </w:r>
    </w:p>
    <w:p w14:paraId="31E52182" w14:textId="7D5C8545"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В приложение В. Референтни стандарти, където гласят: „Пластмасови тръбопроводни системи за инсталации за топла и студена вода. Полибутилен (PB). Част 3: Фитинги“ да се чете: „Пластмасови тръбопроводни системи за инсталации за топла и студена вода. Полибутен (PB). Част 3: Фитинги.</w:t>
      </w:r>
    </w:p>
    <w:p w14:paraId="7B4F5591" w14:textId="1AFCAEDB" w:rsidR="00AB00C9" w:rsidRPr="0024794E" w:rsidRDefault="0024794E" w:rsidP="0024794E">
      <w:pPr>
        <w:pStyle w:val="ListParagraph"/>
        <w:numPr>
          <w:ilvl w:val="0"/>
          <w:numId w:val="26"/>
        </w:numPr>
        <w:spacing w:before="200" w:after="100" w:line="240" w:lineRule="auto"/>
        <w:jc w:val="both"/>
        <w:rPr>
          <w:rFonts w:eastAsia="Arial" w:cstheme="minorHAnsi"/>
          <w:kern w:val="2"/>
          <w:szCs w:val="24"/>
        </w:rPr>
      </w:pPr>
      <w:r>
        <w:t>В допълнение В. Референтни стандарти след позоваването на стандарт „UNE-EN ISO 15876—3: 2017</w:t>
      </w:r>
      <w:r>
        <w:tab/>
        <w:t>Пластмасови тръбни системи за инсталации за топла и студена вода. Полибутен (PB). Част 3: Фитинги“ следните стандарти:</w:t>
      </w:r>
    </w:p>
    <w:p w14:paraId="5A496CEC" w14:textId="6500843E" w:rsidR="00AD074F" w:rsidRDefault="00AD074F" w:rsidP="0024794E">
      <w:pPr>
        <w:pStyle w:val="ListParagraph"/>
        <w:spacing w:after="120"/>
        <w:ind w:left="709"/>
        <w:jc w:val="both"/>
      </w:pPr>
      <w:r>
        <w:t xml:space="preserve">„UN-EN ISO 15877—1:2009 Тръбни системи от пластмаси за инсталации за топла и студена вода. Хлориран поли (винилхлорид) (PVC-C). Част 1: Общи разпоредби (+UNE-EN ISO 15877—1:2009/A1:2011) </w:t>
      </w:r>
    </w:p>
    <w:p w14:paraId="2A3E9EAB" w14:textId="77777777" w:rsidR="00AD074F" w:rsidRDefault="00AD074F" w:rsidP="0024794E">
      <w:pPr>
        <w:pStyle w:val="ListParagraph"/>
        <w:spacing w:after="120"/>
        <w:ind w:left="709"/>
        <w:jc w:val="both"/>
      </w:pPr>
    </w:p>
    <w:p w14:paraId="13BBCC1D" w14:textId="5E8C5E6F" w:rsidR="00AD074F" w:rsidRDefault="00AD074F" w:rsidP="0024794E">
      <w:pPr>
        <w:pStyle w:val="ListParagraph"/>
        <w:spacing w:after="120"/>
        <w:ind w:left="709"/>
        <w:jc w:val="both"/>
      </w:pPr>
      <w:r>
        <w:t xml:space="preserve">UNE-EN ISO 15877—2:2009 Пластмасови тръбни системи за инсталации за топла и студена вода. Хлориран поли (винилхлорид) (PVC-C). Част 2: Тръби. (+UNE-EN ISO 15877-2:2009/A1:2011) </w:t>
      </w:r>
    </w:p>
    <w:p w14:paraId="68B6455D" w14:textId="77777777" w:rsidR="00AD074F" w:rsidRDefault="00AD074F" w:rsidP="0024794E">
      <w:pPr>
        <w:pStyle w:val="ListParagraph"/>
        <w:spacing w:after="120"/>
        <w:ind w:left="709"/>
        <w:jc w:val="both"/>
      </w:pPr>
    </w:p>
    <w:p w14:paraId="52605DFD" w14:textId="76152F49" w:rsidR="00AD074F" w:rsidRDefault="00802B87" w:rsidP="0024794E">
      <w:pPr>
        <w:pStyle w:val="ListParagraph"/>
        <w:spacing w:after="120"/>
        <w:ind w:left="709"/>
        <w:jc w:val="both"/>
      </w:pPr>
      <w:r>
        <w:t>UNE-EN ISO 15877—3:2009 Пластмасови тръбни системи за инсталации за топла и студена вода. Хлориран поли (винилхлорид) (PVC-C). Част 3: Фитинги. (+UNE-EN ISO 15877-3:2009/A1:2011)</w:t>
      </w:r>
    </w:p>
    <w:p w14:paraId="30F2E766" w14:textId="038A7758" w:rsidR="005074AB" w:rsidRPr="00431D05" w:rsidRDefault="005074AB" w:rsidP="005074AB">
      <w:pPr>
        <w:jc w:val="both"/>
        <w:rPr>
          <w:rFonts w:cstheme="minorHAnsi"/>
          <w:bCs/>
          <w:i/>
          <w:iCs/>
        </w:rPr>
      </w:pPr>
      <w:r>
        <w:t xml:space="preserve">Първа прехода разпоредба. </w:t>
      </w:r>
      <w:r>
        <w:rPr>
          <w:i/>
        </w:rPr>
        <w:t>Сгради, освободени от разпоредбите на този кралски указ.</w:t>
      </w:r>
    </w:p>
    <w:p w14:paraId="71A41130" w14:textId="7184244B" w:rsidR="005074AB" w:rsidRPr="009064BC" w:rsidRDefault="005074AB" w:rsidP="005074AB">
      <w:pPr>
        <w:jc w:val="both"/>
        <w:rPr>
          <w:rFonts w:cstheme="minorHAnsi"/>
        </w:rPr>
      </w:pPr>
      <w:r>
        <w:t xml:space="preserve">Измененията на Техническия строителен кодекс (ТСК), приети с настоящия кралски указ, не се прилагат за нови сгради или строителни работи по съществуващи сгради, които и в двата случая вече са кандидатствали за разрешение за общински строителни работи към момента на влизане в сила на настоящия кралски указ. </w:t>
      </w:r>
    </w:p>
    <w:p w14:paraId="6E353956" w14:textId="262DE845" w:rsidR="007B11B1" w:rsidRDefault="005074AB" w:rsidP="005074AB">
      <w:pPr>
        <w:jc w:val="both"/>
        <w:rPr>
          <w:rFonts w:cstheme="minorHAnsi"/>
        </w:rPr>
      </w:pPr>
      <w:r>
        <w:t>Тези работи започват в рамките на максималния период на ефективност на посоченото разрешително, в съответствие с правилника за дейността му, или, ако това не е така, в рамките на шест месеца от издаването на това разрешително. В противен случай проектите трябва да бъдат адаптирани към измененията на ТСК, одобрени с настоящия кралски указ.</w:t>
      </w:r>
    </w:p>
    <w:p w14:paraId="78DABA03" w14:textId="77777777" w:rsidR="005074AB" w:rsidRPr="00D47CC2" w:rsidRDefault="005074AB" w:rsidP="005074AB">
      <w:pPr>
        <w:jc w:val="both"/>
        <w:rPr>
          <w:rFonts w:cstheme="minorHAnsi"/>
          <w:bCs/>
          <w:i/>
          <w:iCs/>
        </w:rPr>
      </w:pPr>
      <w:r>
        <w:t xml:space="preserve">Втора преходна разпоредба. </w:t>
      </w:r>
      <w:r>
        <w:rPr>
          <w:i/>
        </w:rPr>
        <w:t>Сгради, за които прилагането на разпоредбите на настоящия кралски указ е доброволно.</w:t>
      </w:r>
    </w:p>
    <w:p w14:paraId="047CBC16" w14:textId="1E288EF7" w:rsidR="00CA5D2D" w:rsidRPr="00B24946" w:rsidRDefault="005074AB" w:rsidP="005074AB">
      <w:pPr>
        <w:jc w:val="both"/>
        <w:rPr>
          <w:rFonts w:cstheme="minorHAnsi"/>
        </w:rPr>
      </w:pPr>
      <w:r>
        <w:lastRenderedPageBreak/>
        <w:t xml:space="preserve">Измененията на Техническия строителен кодекс, одобрени с настоящия кралски указ, се прилагат доброволно за нови строежи и за строежи на съществуващи сгради, за които и в двата случая е поискано общинско разрешение за строеж в срок от шест месеца от влизането в сила на настоящия кралски указ. </w:t>
      </w:r>
    </w:p>
    <w:p w14:paraId="0F321A96" w14:textId="5FE37BEE" w:rsidR="00CA5D2D" w:rsidRDefault="00CA5D2D" w:rsidP="00CA5D2D">
      <w:pPr>
        <w:jc w:val="both"/>
        <w:rPr>
          <w:rFonts w:cstheme="minorHAnsi"/>
        </w:rPr>
      </w:pPr>
      <w:r>
        <w:t>Тези работи трябва да започнат в рамките на максималния срок на действие на посоченото разрешително, в съответствие с приложимите разпоредби, или, ако това не е възможно, в рамките на шест месеца от издаването на разрешителното. В противен случай проектите трябва да бъдат адаптирани към измененията на ТСК, одобрени с настоящия кралски указ.</w:t>
      </w:r>
    </w:p>
    <w:p w14:paraId="1B48DE1E" w14:textId="77777777" w:rsidR="005074AB" w:rsidRPr="00D47CC2" w:rsidRDefault="005074AB" w:rsidP="005074AB">
      <w:pPr>
        <w:jc w:val="both"/>
        <w:rPr>
          <w:rFonts w:cstheme="minorHAnsi"/>
          <w:bCs/>
          <w:i/>
          <w:iCs/>
        </w:rPr>
      </w:pPr>
      <w:r>
        <w:t xml:space="preserve">Трета преходна разпоредба. </w:t>
      </w:r>
      <w:r>
        <w:rPr>
          <w:i/>
        </w:rPr>
        <w:t>Сгради, за които прилагането на разпоредбите на настоящия кралски указ е задължително.</w:t>
      </w:r>
    </w:p>
    <w:p w14:paraId="557DDCCB" w14:textId="624E2145" w:rsidR="005074AB" w:rsidRDefault="005074AB" w:rsidP="005074AB">
      <w:pPr>
        <w:jc w:val="both"/>
        <w:rPr>
          <w:rFonts w:cstheme="minorHAnsi"/>
        </w:rPr>
      </w:pPr>
      <w:r>
        <w:t>Прилагането на измененията на Техническия строителен кодекс (CTE), приети с настоящия кралски указ, е задължително за нови сгради или за работи по съществуващи сгради, които кандидатстват за разрешение за общински строежи по-късно от девет месеца след влизането в сила на настоящата разпоредба.</w:t>
      </w:r>
    </w:p>
    <w:p w14:paraId="588C44EA" w14:textId="52803F33" w:rsidR="005074AB" w:rsidRPr="00D47CC2" w:rsidRDefault="005074AB" w:rsidP="005074AB">
      <w:pPr>
        <w:jc w:val="both"/>
        <w:rPr>
          <w:rFonts w:cstheme="minorHAnsi"/>
          <w:bCs/>
          <w:i/>
          <w:iCs/>
        </w:rPr>
      </w:pPr>
      <w:r>
        <w:t xml:space="preserve">Първа заключителна разпоредба. </w:t>
      </w:r>
      <w:r>
        <w:rPr>
          <w:i/>
        </w:rPr>
        <w:t>Изменение на Кралски указ 1053/2014 от 12 декември за одобряване на нова допълнителна техническа инструкция (ITC) BT 52 „Инструкции със специално предназначение“. Инфраструктура за презареждане на електрически превозни средства“, от наредбите за електротехниката за ниско напрежение, одобрени с Кралски указ 842/2002 от 2 август, и други допълнителни технически инструкции.</w:t>
      </w:r>
    </w:p>
    <w:p w14:paraId="183CB7CD" w14:textId="78A1B469" w:rsidR="005074AB" w:rsidRPr="009064BC" w:rsidRDefault="005074AB" w:rsidP="005074AB">
      <w:pPr>
        <w:jc w:val="both"/>
        <w:rPr>
          <w:rFonts w:cstheme="minorHAnsi"/>
        </w:rPr>
      </w:pPr>
      <w:r>
        <w:t>Едно. Първата допълнителна разпоредба на Кралски указ 1053/2014 от 12 декември, с която се одобрява нова допълнителна техническа инструкция (ДТИ) BT 52, се изменя и гласи, както следва:</w:t>
      </w:r>
    </w:p>
    <w:p w14:paraId="6C63F170" w14:textId="77777777" w:rsidR="005074AB" w:rsidRPr="009064BC" w:rsidRDefault="005074AB" w:rsidP="005074AB">
      <w:pPr>
        <w:ind w:left="567"/>
        <w:jc w:val="both"/>
        <w:rPr>
          <w:rFonts w:cstheme="minorHAnsi"/>
        </w:rPr>
      </w:pPr>
      <w:r>
        <w:t>„Първа допълнителна разпоредба. Минимални конструктивни съоръжения за зареждане на електрически превозни средства в паркинги, които не са предназначени за сгради, новопостроени или подложени на основен ремонт, както и на обществени пътища.</w:t>
      </w:r>
    </w:p>
    <w:p w14:paraId="0E953183" w14:textId="4FD205B4" w:rsidR="005074AB" w:rsidRPr="00EB58A5" w:rsidRDefault="005074AB" w:rsidP="00B2615A">
      <w:pPr>
        <w:numPr>
          <w:ilvl w:val="0"/>
          <w:numId w:val="11"/>
        </w:numPr>
        <w:ind w:left="1418" w:hanging="284"/>
        <w:contextualSpacing/>
        <w:jc w:val="both"/>
        <w:rPr>
          <w:rFonts w:cstheme="minorHAnsi"/>
        </w:rPr>
      </w:pPr>
      <w:r>
        <w:t xml:space="preserve">В новопостроените паркинги или в тези, които са в процес на основен ремонт и не са разположени в сграда или в близост до нея, и следователно са извън обхвата на основния документ за енергийни икономии (DB HE) на Техническия строителен кодекс, трябва да се инсталира поне една зарядна станция на всеки 40 паркоместа. Паркингът се счита за новопостроен, когато строителният проект е представен на компетентната публична администрация за обработка след влизането в сила на настоящия кралски указ. </w:t>
      </w:r>
    </w:p>
    <w:p w14:paraId="0C99327A" w14:textId="0AD5DDFE" w:rsidR="005074AB" w:rsidRPr="009064BC" w:rsidRDefault="005074AB" w:rsidP="002F659F">
      <w:pPr>
        <w:numPr>
          <w:ilvl w:val="0"/>
          <w:numId w:val="11"/>
        </w:numPr>
        <w:ind w:left="1418" w:hanging="284"/>
        <w:contextualSpacing/>
        <w:jc w:val="both"/>
        <w:rPr>
          <w:rFonts w:cstheme="minorHAnsi"/>
        </w:rPr>
      </w:pPr>
      <w:r>
        <w:t>Трябва да бъдат гарантирани инсталациите, необходими за снабдяване на станциите за зареждане, разположени в помещенията за електрически превозни средства по обществените пътища, предвидени в надобщинските или общинските планове за устойчива мобилност.“</w:t>
      </w:r>
    </w:p>
    <w:p w14:paraId="6C323B86" w14:textId="77777777" w:rsidR="005074AB" w:rsidRPr="009064BC" w:rsidRDefault="005074AB" w:rsidP="005074AB">
      <w:pPr>
        <w:ind w:left="1494"/>
        <w:contextualSpacing/>
        <w:jc w:val="both"/>
        <w:rPr>
          <w:rFonts w:cstheme="minorHAnsi"/>
        </w:rPr>
      </w:pPr>
    </w:p>
    <w:p w14:paraId="5E226F46" w14:textId="77777777" w:rsidR="005074AB" w:rsidRPr="009064BC" w:rsidRDefault="005074AB" w:rsidP="005074AB">
      <w:pPr>
        <w:jc w:val="both"/>
        <w:rPr>
          <w:rFonts w:cstheme="minorHAnsi"/>
        </w:rPr>
      </w:pPr>
      <w:r>
        <w:t>Две. Раздел 3.2 от INSTRUCCIÓN TÉCNICA complementaria (ITC) BT-52 се изменя, както следва:</w:t>
      </w:r>
    </w:p>
    <w:p w14:paraId="6A13CA56" w14:textId="2BC47FB2" w:rsidR="005074AB" w:rsidRPr="009064BC" w:rsidRDefault="005074AB" w:rsidP="005074AB">
      <w:pPr>
        <w:ind w:left="567"/>
        <w:jc w:val="both"/>
        <w:rPr>
          <w:rFonts w:cstheme="minorHAnsi"/>
        </w:rPr>
      </w:pPr>
      <w:r>
        <w:lastRenderedPageBreak/>
        <w:t xml:space="preserve">Инсталиране на паркинги или колективни паркоместа, прилежащи към сгради или сградни комплекси. </w:t>
      </w:r>
    </w:p>
    <w:p w14:paraId="14463364" w14:textId="6F4941EA" w:rsidR="005074AB" w:rsidRPr="003934E5" w:rsidRDefault="005074AB" w:rsidP="005074AB">
      <w:pPr>
        <w:ind w:left="567"/>
        <w:jc w:val="both"/>
        <w:rPr>
          <w:rFonts w:cstheme="minorHAnsi"/>
        </w:rPr>
      </w:pPr>
      <w:r>
        <w:t xml:space="preserve">Електрическите инсталации за зареждане на </w:t>
      </w:r>
      <w:r>
        <w:rPr>
          <w:i/>
        </w:rPr>
        <w:t>електрически превозни средства</w:t>
      </w:r>
      <w:r>
        <w:t xml:space="preserve"> разположени на паркинги или паркинги вътре в или прикрепени към сгради или жилищни сгради, трябва да следват някоя от описаните по-горе схеми.</w:t>
      </w:r>
      <w:r>
        <w:rPr>
          <w:color w:val="000000" w:themeColor="text1"/>
        </w:rPr>
        <w:t xml:space="preserve"> </w:t>
      </w:r>
      <w:r>
        <w:t>В една и съща сграда могат да се използват различни диаграми, при условие че са изпълнени всички изисквания, определени в настоящия (ДТИ) BT-52.</w:t>
      </w:r>
    </w:p>
    <w:p w14:paraId="642E3740" w14:textId="7634F88A" w:rsidR="005074AB" w:rsidRPr="009064BC" w:rsidRDefault="005074AB" w:rsidP="005074AB">
      <w:pPr>
        <w:ind w:left="567"/>
        <w:jc w:val="both"/>
        <w:rPr>
          <w:rFonts w:cstheme="minorHAnsi"/>
        </w:rPr>
      </w:pPr>
      <w:r>
        <w:t>В схема 4а веригата за зареждане трябва да следва условията за монтаж, описани в (ДТИ) BT-15, като се използват кабели и проводящи системи от същите видове и характеристики, както за отделен обходен път, и частта от кабела се изчислява в съответствие с общите изисквания на раздел 5 от настоящата ДТИ. Не е необходимо да се предвижда разширяване на сечението на кабелите, за да се определят диаметърът или напречните размери на системата за проводимост, която да се използва.</w:t>
      </w:r>
    </w:p>
    <w:p w14:paraId="5C0A8DBB" w14:textId="77777777" w:rsidR="005074AB" w:rsidRPr="009064BC" w:rsidRDefault="005074AB" w:rsidP="005074AB">
      <w:pPr>
        <w:ind w:left="567"/>
        <w:jc w:val="both"/>
        <w:rPr>
          <w:rFonts w:cstheme="minorHAnsi"/>
        </w:rPr>
      </w:pPr>
      <w:r>
        <w:t>Схема 4б се използва, когато захранването на станциите за зареждане е проектирано като неразделна част или разширение на електрическата инсталация, обслужваща общите услуги на гаражите.</w:t>
      </w:r>
    </w:p>
    <w:p w14:paraId="1BEC25F6" w14:textId="7E6AD67A" w:rsidR="005074AB" w:rsidRPr="009064BC" w:rsidRDefault="00D676D8" w:rsidP="005074AB">
      <w:pPr>
        <w:ind w:left="567"/>
        <w:jc w:val="both"/>
        <w:rPr>
          <w:rFonts w:cstheme="minorHAnsi"/>
        </w:rPr>
      </w:pPr>
      <w:r>
        <w:t>Както в съществуващите, така и в новите инсталации, както и с цел да се улесни използването на избраната електрическа схема, масите с обща защита и други устройства за зареждане на електрически превозни средства могат да бъдат разположени в помещенията, предназначени за тази цел, или в общи части.</w:t>
      </w:r>
    </w:p>
    <w:p w14:paraId="3AA0FB18" w14:textId="5CA8F82A" w:rsidR="005074AB" w:rsidRPr="009064BC" w:rsidRDefault="005074AB" w:rsidP="00904550">
      <w:pPr>
        <w:ind w:left="567"/>
        <w:jc w:val="both"/>
        <w:rPr>
          <w:rFonts w:cstheme="minorHAnsi"/>
        </w:rPr>
      </w:pPr>
      <w:r>
        <w:t xml:space="preserve">Предварителната електрическа инсталация за зареждане на електрически превозни средства в паркинги, разположени или прилежащи към сгради или сградни комплекси, трябва да улеснява последващото използване на всяка от възможните схеми за инсталиране. Това включва следните елементи: </w:t>
      </w:r>
    </w:p>
    <w:p w14:paraId="4CCD8B27" w14:textId="732EDA20" w:rsidR="005074AB" w:rsidRPr="009064BC" w:rsidRDefault="005074AB" w:rsidP="005074AB">
      <w:pPr>
        <w:numPr>
          <w:ilvl w:val="0"/>
          <w:numId w:val="12"/>
        </w:numPr>
        <w:ind w:left="1418" w:hanging="284"/>
        <w:jc w:val="both"/>
        <w:rPr>
          <w:rFonts w:cstheme="minorHAnsi"/>
        </w:rPr>
      </w:pPr>
      <w:r>
        <w:t>Инсталиране на кабелни проводящи системи от централизирането на измервателни уреди и по главните пътища на паркингите, за да може по-късно да се захранват зарядните станции, които могат да бъдат разположени в отделните паркоместа или паркинги. Когато предварителното инсталиране е планирано за 100 % от помещенията, системите за кабелна проводимост трябва да достигат до всяко от помещенията. Когато предварителното инсталиране не е планирано за 100 % от помещенията, трябва да се определят помещенията, за които се счита, че отговарят на нормативните изисквания за системите за кабелна проводимост, като тези системи трябва да достигнат до всяко от тези помещения.</w:t>
      </w:r>
    </w:p>
    <w:p w14:paraId="0460434B" w14:textId="6073EA36" w:rsidR="005074AB" w:rsidRPr="009064BC" w:rsidRDefault="005074AB" w:rsidP="00281B93">
      <w:pPr>
        <w:numPr>
          <w:ilvl w:val="0"/>
          <w:numId w:val="12"/>
        </w:numPr>
        <w:jc w:val="both"/>
        <w:rPr>
          <w:rFonts w:cstheme="minorHAnsi"/>
        </w:rPr>
      </w:pPr>
      <w:r>
        <w:t xml:space="preserve">Централизирането на измервателните уреди се оразмерява според електрическата схема, избрана за зареждане на електрическото превозно средство, и както е посочено в (ДТИ) BT-16. Инсталират се резервни модули за най-малко 20 % от гаражните помещения, които не са свързани с жилище, и дори ако всички помещения са свързани с жилища, най-малко един резервен модул. Тези резервни модули трябва да имат капацитет за </w:t>
      </w:r>
      <w:r>
        <w:lastRenderedPageBreak/>
        <w:t>поставяне на главния измервателен уред и устройствата за защита от свръхток, свързани с измервателния уред, или с предпазители, или с прекъсвачи.</w:t>
      </w:r>
    </w:p>
    <w:p w14:paraId="7C024BD7" w14:textId="5A6D76AB" w:rsidR="005074AB" w:rsidRPr="009064BC" w:rsidRDefault="005074AB" w:rsidP="005074AB">
      <w:pPr>
        <w:ind w:left="1416"/>
        <w:jc w:val="both"/>
        <w:rPr>
          <w:rFonts w:cstheme="minorHAnsi"/>
        </w:rPr>
      </w:pPr>
      <w:r>
        <w:t>Щепселните изходи или съединителите, монтирани на станцията за зареждане, и нейните автоматични защитни прекъсвачи трябва да отговарят на една от възможностите, посочени в раздел 5.4.“</w:t>
      </w:r>
    </w:p>
    <w:p w14:paraId="3C2EF0D1" w14:textId="7C25EDED" w:rsidR="00324D93" w:rsidRPr="009064BC" w:rsidRDefault="00441D3E" w:rsidP="00CA5D2D">
      <w:pPr>
        <w:jc w:val="both"/>
        <w:rPr>
          <w:rFonts w:cstheme="minorHAnsi"/>
        </w:rPr>
      </w:pPr>
      <w:r>
        <w:t>Три. Първата алинея от раздел 5.4 от ДОПЪЛНИТЕЛЕН ТЕХНИЧЕСКИ ИНСТРУЦИЯ (ДТИ) BT-52 се изменя, както следва:</w:t>
      </w:r>
    </w:p>
    <w:p w14:paraId="1D0AA4C9" w14:textId="6013C719" w:rsidR="00527DF1" w:rsidRDefault="00324D93" w:rsidP="00CA5D2D">
      <w:pPr>
        <w:jc w:val="both"/>
        <w:rPr>
          <w:color w:val="FF0000"/>
        </w:rPr>
      </w:pPr>
      <w:r>
        <w:t xml:space="preserve">„5.4 Точка на свързване. </w:t>
      </w:r>
      <w:bookmarkStart w:id="1" w:name="_Hlk81468651"/>
      <w:r>
        <w:t xml:space="preserve">Точката на свързване се намира в непосредствена близост до захранваната квадратура и е трайно монтирана в корпус. </w:t>
      </w:r>
    </w:p>
    <w:bookmarkEnd w:id="1"/>
    <w:p w14:paraId="346E72DC" w14:textId="2F609E5D" w:rsidR="00441D3E" w:rsidRPr="00527DF1" w:rsidRDefault="00527DF1" w:rsidP="00CA5D2D">
      <w:pPr>
        <w:jc w:val="both"/>
        <w:rPr>
          <w:color w:val="FF0000"/>
        </w:rPr>
      </w:pPr>
      <w:r>
        <w:t xml:space="preserve">Минималната монтажна височина на щепселите и съединителите трябва да бъде 60 cm над нивото на земната повърхност. </w:t>
      </w:r>
      <w:bookmarkStart w:id="2" w:name="_Hlk81468224"/>
      <w:r>
        <w:t>Ако зарядната станция е предназначена за обществено ползване, максималната височина е 120 cm. В достъпните места за паркиране щепселите и съединителите трябва да имат хроматичен контраст с околността, да са разположени на височина между 80 и 120 cm, а разстоянието до ъгловите възли трябва да бъде най-малко 35 cm.“</w:t>
      </w:r>
      <w:bookmarkEnd w:id="2"/>
    </w:p>
    <w:p w14:paraId="33BA3231" w14:textId="6E4F1E78" w:rsidR="005074AB" w:rsidRPr="00D47CC2" w:rsidRDefault="005074AB" w:rsidP="00CA5D2D">
      <w:pPr>
        <w:jc w:val="both"/>
        <w:rPr>
          <w:rFonts w:cstheme="minorHAnsi"/>
          <w:bCs/>
          <w:i/>
          <w:iCs/>
        </w:rPr>
      </w:pPr>
      <w:r>
        <w:t xml:space="preserve">Втора заключителна разпоредба. </w:t>
      </w:r>
      <w:r>
        <w:rPr>
          <w:i/>
        </w:rPr>
        <w:t>Транспониране на правото на Европейския съюз.</w:t>
      </w:r>
    </w:p>
    <w:p w14:paraId="09244551" w14:textId="77777777" w:rsidR="005074AB" w:rsidRPr="009064BC" w:rsidRDefault="005074AB" w:rsidP="00CA5D2D">
      <w:pPr>
        <w:jc w:val="both"/>
        <w:rPr>
          <w:rFonts w:cstheme="minorHAnsi"/>
        </w:rPr>
      </w:pPr>
      <w:r>
        <w:t>С настоящия Кралски указ се транспонират в испанското право членове 8.2, 8.3 и 8.5 от ДИРЕКТИВА (ЕС) 2018/844 НА ЕВРОПЕЙСКИЯ ПАРЛАМЕНТ И НА СЪВЕТА от 30 май 2018 година за изменение на Директива 2010/31/ЕС относно енергийните характеристики на сградите и Директива 2012/27/ЕС относно енергийната ефективност.</w:t>
      </w:r>
    </w:p>
    <w:p w14:paraId="106D513A" w14:textId="7AD1ED46" w:rsidR="005074AB" w:rsidRPr="00C760C9" w:rsidRDefault="005074AB" w:rsidP="005074AB">
      <w:pPr>
        <w:jc w:val="both"/>
        <w:rPr>
          <w:rFonts w:cstheme="minorHAnsi"/>
          <w:bCs/>
          <w:i/>
          <w:iCs/>
        </w:rPr>
      </w:pPr>
      <w:r>
        <w:t xml:space="preserve">Трета заключителна разпоредба. </w:t>
      </w:r>
      <w:r>
        <w:rPr>
          <w:i/>
        </w:rPr>
        <w:t>Влизане в сила.</w:t>
      </w:r>
    </w:p>
    <w:p w14:paraId="74B6AB2B" w14:textId="74C92419" w:rsidR="001035FC" w:rsidRDefault="005074AB" w:rsidP="000A2592">
      <w:pPr>
        <w:jc w:val="both"/>
        <w:rPr>
          <w:rFonts w:cstheme="minorHAnsi"/>
          <w:color w:val="FF0000"/>
        </w:rPr>
      </w:pPr>
      <w:r>
        <w:t>Настоящият Кралски указ влиза в сила в деня след неговото публикуване в Държавен вестник.</w:t>
      </w:r>
    </w:p>
    <w:p w14:paraId="2DB25505" w14:textId="77777777" w:rsidR="004B5FCD" w:rsidRPr="00A5780E" w:rsidRDefault="004B5FCD" w:rsidP="000A2592">
      <w:pPr>
        <w:jc w:val="both"/>
        <w:rPr>
          <w:rFonts w:cstheme="minorHAnsi"/>
          <w:sz w:val="20"/>
          <w:szCs w:val="20"/>
        </w:rPr>
      </w:pPr>
    </w:p>
    <w:p w14:paraId="09FCE810" w14:textId="4EC16D11" w:rsidR="007F6E00" w:rsidRPr="00A5780E" w:rsidRDefault="00B718CD" w:rsidP="00726501">
      <w:pPr>
        <w:jc w:val="center"/>
        <w:rPr>
          <w:rFonts w:cstheme="minorHAnsi"/>
          <w:sz w:val="24"/>
          <w:szCs w:val="24"/>
        </w:rPr>
      </w:pPr>
      <w:r>
        <w:rPr>
          <w:sz w:val="24"/>
        </w:rPr>
        <w:t xml:space="preserve">Мадрид, на                          </w:t>
      </w:r>
    </w:p>
    <w:p w14:paraId="28C0A3AF" w14:textId="7E6F82AF" w:rsidR="007F6E00" w:rsidRPr="00243027" w:rsidRDefault="00D47CC2" w:rsidP="00726501">
      <w:pPr>
        <w:jc w:val="center"/>
        <w:rPr>
          <w:rFonts w:cstheme="minorHAnsi"/>
          <w:sz w:val="24"/>
          <w:szCs w:val="24"/>
        </w:rPr>
      </w:pPr>
      <w:r>
        <w:rPr>
          <w:sz w:val="24"/>
        </w:rPr>
        <w:t>МИНИСТЪРЪТ НА ТРАНСПОРТА, МОБИЛНОСТТА И ПРОГРАМАТА ЗА ГРАДОВЕТЕ</w:t>
      </w:r>
    </w:p>
    <w:p w14:paraId="2E0E23B7" w14:textId="7629F143" w:rsidR="007F6E00" w:rsidRPr="00243027" w:rsidRDefault="00D47CC2" w:rsidP="007F6E00">
      <w:pPr>
        <w:jc w:val="center"/>
        <w:rPr>
          <w:rFonts w:cstheme="minorHAnsi"/>
          <w:sz w:val="24"/>
          <w:szCs w:val="24"/>
        </w:rPr>
      </w:pPr>
      <w:r>
        <w:rPr>
          <w:sz w:val="24"/>
        </w:rPr>
        <w:t>Raquel Sánchez Jiménez</w:t>
      </w:r>
    </w:p>
    <w:p w14:paraId="20EDBF72" w14:textId="356D76E7" w:rsidR="00C73E8C" w:rsidRPr="00243027" w:rsidRDefault="00C760C9" w:rsidP="007F6E00">
      <w:pPr>
        <w:jc w:val="center"/>
        <w:rPr>
          <w:rFonts w:cstheme="minorHAnsi"/>
          <w:sz w:val="24"/>
          <w:szCs w:val="24"/>
        </w:rPr>
      </w:pPr>
      <w:r>
        <w:rPr>
          <w:sz w:val="24"/>
        </w:rPr>
        <w:t>ТРЕТИ ЗАМЕСТНИК МИНИСТЪР-ПРЕДСЕДАТЕЛ НА ПРАВИТЕЛСТВОТО И МИНИСТЪР ПО ВЪПРОСИТЕ НА ЕКОЛОГИЧНИЯ ПРЕХОД И ДЕМОГРАФСКОТО ПРЕДИЗВИКАТЕЛСТВО</w:t>
      </w:r>
    </w:p>
    <w:p w14:paraId="023B4DFC" w14:textId="0D381527" w:rsidR="00C73E8C" w:rsidRPr="00A5780E" w:rsidRDefault="00C73E8C" w:rsidP="007F6E00">
      <w:pPr>
        <w:jc w:val="center"/>
        <w:rPr>
          <w:rFonts w:cstheme="minorHAnsi"/>
          <w:sz w:val="24"/>
          <w:szCs w:val="24"/>
        </w:rPr>
      </w:pPr>
      <w:r>
        <w:rPr>
          <w:sz w:val="24"/>
        </w:rPr>
        <w:t>Teresa Ribera Rodríguez</w:t>
      </w:r>
    </w:p>
    <w:sectPr w:rsidR="00C73E8C" w:rsidRPr="00A5780E" w:rsidSect="008231A4">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6121" w14:textId="77777777" w:rsidR="00E330EB" w:rsidRDefault="00E330EB" w:rsidP="003B5AE7">
      <w:pPr>
        <w:spacing w:after="0" w:line="240" w:lineRule="auto"/>
      </w:pPr>
      <w:r>
        <w:separator/>
      </w:r>
    </w:p>
  </w:endnote>
  <w:endnote w:type="continuationSeparator" w:id="0">
    <w:p w14:paraId="4A8B2379" w14:textId="77777777" w:rsidR="00E330EB" w:rsidRDefault="00E330EB" w:rsidP="003B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1139" w14:textId="16F26D8C" w:rsidR="00251439" w:rsidRPr="00D214B0" w:rsidRDefault="00251439" w:rsidP="00D214B0">
    <w:pPr>
      <w:pStyle w:val="Footer"/>
      <w:rPr>
        <w:i/>
        <w:sz w:val="15"/>
        <w:szCs w:val="15"/>
      </w:rPr>
    </w:pPr>
    <w:r>
      <w:rPr>
        <w:i/>
        <w:sz w:val="15"/>
      </w:rPr>
      <w:t>Проект на кралски указ за изменение на Техническия строителен кодекс, одобрен с Кралски указ 314/2006 от 17 март.</w:t>
    </w:r>
  </w:p>
  <w:p w14:paraId="53C3F409" w14:textId="5B87674E" w:rsidR="00251439" w:rsidRPr="00C864A9" w:rsidRDefault="00251439" w:rsidP="00D214B0">
    <w:pPr>
      <w:pStyle w:val="Footer"/>
      <w:rPr>
        <w:i/>
        <w:sz w:val="15"/>
        <w:szCs w:val="15"/>
      </w:rPr>
    </w:pPr>
    <w:r>
      <w:rPr>
        <w:i/>
        <w:sz w:val="15"/>
      </w:rPr>
      <w:t>Версия за европейска публична информация. октомври 2021 г.</w:t>
    </w:r>
  </w:p>
  <w:p w14:paraId="5A7C5B16" w14:textId="50AC60C2" w:rsidR="00251439" w:rsidRPr="00724333" w:rsidRDefault="00251439" w:rsidP="00724333">
    <w:pPr>
      <w:pStyle w:val="Footer"/>
      <w:jc w:val="right"/>
      <w:rPr>
        <w:i/>
        <w:sz w:val="14"/>
        <w:szCs w:val="14"/>
      </w:rPr>
    </w:pPr>
    <w:r>
      <w:fldChar w:fldCharType="begin"/>
    </w:r>
    <w:r>
      <w:instrText>PAGE   \* MERGEFORMAT</w:instrText>
    </w:r>
    <w:r>
      <w:fldChar w:fldCharType="separate"/>
    </w:r>
    <w:r w:rsidR="001310AB">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4A85" w14:textId="77777777" w:rsidR="00E330EB" w:rsidRDefault="00E330EB" w:rsidP="003B5AE7">
      <w:pPr>
        <w:spacing w:after="0" w:line="240" w:lineRule="auto"/>
      </w:pPr>
      <w:r>
        <w:separator/>
      </w:r>
    </w:p>
  </w:footnote>
  <w:footnote w:type="continuationSeparator" w:id="0">
    <w:p w14:paraId="0D77733A" w14:textId="77777777" w:rsidR="00E330EB" w:rsidRDefault="00E330EB" w:rsidP="003B5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2625" w14:textId="4A8FE43D" w:rsidR="00251439" w:rsidRDefault="00251439">
    <w:pPr>
      <w:pStyle w:val="Header"/>
    </w:pPr>
    <w:r>
      <w:t xml:space="preserve">                                                                                                                                                       </w:t>
    </w:r>
    <w:r>
      <w:rPr>
        <w:noProof/>
      </w:rPr>
      <w:drawing>
        <wp:inline distT="0" distB="0" distL="0" distR="0" wp14:anchorId="20966383" wp14:editId="3C84ECB3">
          <wp:extent cx="619125" cy="6477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pic:spPr>
              </pic:pic>
            </a:graphicData>
          </a:graphic>
        </wp:inline>
      </w:drawing>
    </w:r>
  </w:p>
  <w:p w14:paraId="10BC8656" w14:textId="481F1BB0" w:rsidR="00251439" w:rsidRDefault="00251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9EF0" w14:textId="114BE53B"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jc w:val="both"/>
      <w:rPr>
        <w:rFonts w:ascii="Arial Narrow" w:eastAsia="Times New Roman" w:hAnsi="Arial Narrow" w:cs="Times New Roman"/>
        <w:b/>
        <w:sz w:val="16"/>
        <w:szCs w:val="24"/>
      </w:rPr>
    </w:pPr>
    <w:r>
      <w:rPr>
        <w:rFonts w:ascii="Arial" w:hAnsi="Arial"/>
        <w:b/>
        <w:sz w:val="18"/>
      </w:rPr>
      <w:t xml:space="preserve">   </w:t>
    </w:r>
    <w:r>
      <w:rPr>
        <w:rFonts w:ascii="Arial Narrow" w:hAnsi="Arial Narrow"/>
        <w:b/>
        <w:sz w:val="16"/>
      </w:rPr>
      <w:t xml:space="preserve"> </w:t>
    </w:r>
    <w:r>
      <w:rPr>
        <w:rFonts w:ascii="Arial Narrow" w:hAnsi="Arial Narrow"/>
        <w:b/>
        <w:sz w:val="16"/>
      </w:rPr>
      <w:tab/>
    </w:r>
    <w:r>
      <w:rPr>
        <w:rFonts w:ascii="Arial Narrow" w:hAnsi="Arial Narrow"/>
        <w:b/>
        <w:sz w:val="16"/>
      </w:rPr>
      <w:tab/>
    </w:r>
  </w:p>
  <w:p w14:paraId="79A3B465" w14:textId="13E7A8FD" w:rsidR="00251439"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Narrow" w:hAnsi="Arial Narrow"/>
        <w:b/>
        <w:noProof/>
        <w:sz w:val="16"/>
      </w:rPr>
      <w:drawing>
        <wp:anchor distT="0" distB="0" distL="114300" distR="114300" simplePos="0" relativeHeight="251659264" behindDoc="0" locked="0" layoutInCell="1" allowOverlap="1" wp14:anchorId="40951893" wp14:editId="22CFAD9A">
          <wp:simplePos x="0" y="0"/>
          <wp:positionH relativeFrom="margin">
            <wp:align>left</wp:align>
          </wp:positionH>
          <wp:positionV relativeFrom="paragraph">
            <wp:posOffset>15875</wp:posOffset>
          </wp:positionV>
          <wp:extent cx="607060" cy="640080"/>
          <wp:effectExtent l="0" t="0" r="2540" b="7620"/>
          <wp:wrapNone/>
          <wp:docPr id="8" name="Imagen 8" descr="EScudo de Españ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de Españ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060" cy="6400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sz w:val="18"/>
      </w:rPr>
      <w:t xml:space="preserve">МИНИСТЕРСТВО НА </w:t>
    </w:r>
  </w:p>
  <w:p w14:paraId="54CA275E" w14:textId="4F0B2553"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w:hAnsi="Arial"/>
        <w:b/>
        <w:sz w:val="18"/>
      </w:rPr>
      <w:t xml:space="preserve">РАЗВИТИЕТО </w:t>
    </w:r>
  </w:p>
  <w:p w14:paraId="76954C5B" w14:textId="1EEE839A"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jc w:val="both"/>
      <w:rPr>
        <w:rFonts w:ascii="Times New Roman" w:eastAsia="Times New Roman" w:hAnsi="Times New Roman" w:cs="Times New Roman"/>
        <w:sz w:val="20"/>
        <w:szCs w:val="20"/>
      </w:rPr>
    </w:pPr>
    <w:r>
      <w:rPr>
        <w:rFonts w:ascii="Arial" w:hAnsi="Arial"/>
        <w:b/>
        <w:sz w:val="16"/>
      </w:rPr>
      <w:tab/>
    </w:r>
    <w:r>
      <w:rPr>
        <w:rFonts w:ascii="Arial" w:hAnsi="Arial"/>
        <w:b/>
        <w:sz w:val="16"/>
      </w:rPr>
      <w:tab/>
    </w:r>
  </w:p>
  <w:p w14:paraId="79D490F3" w14:textId="7D0527DA" w:rsidR="00251439" w:rsidRDefault="00251439">
    <w:pPr>
      <w:pStyle w:val="Header"/>
      <w:rPr>
        <w:rFonts w:ascii="Arial" w:eastAsia="Times New Roman" w:hAnsi="Arial" w:cs="Arial"/>
        <w:b/>
        <w:sz w:val="24"/>
        <w:szCs w:val="24"/>
        <w:lang w:eastAsia="es-ES"/>
      </w:rPr>
    </w:pPr>
  </w:p>
  <w:p w14:paraId="49D6D679" w14:textId="64072241" w:rsidR="00251439" w:rsidRDefault="00251439">
    <w:pPr>
      <w:pStyle w:val="Header"/>
    </w:pPr>
  </w:p>
  <w:p w14:paraId="00BA0649" w14:textId="52EEC367" w:rsidR="00251439" w:rsidRDefault="00251439">
    <w:pPr>
      <w:pStyle w:val="Header"/>
    </w:pPr>
  </w:p>
  <w:p w14:paraId="2CCB3AC8" w14:textId="77777777" w:rsidR="00251439" w:rsidRDefault="0025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1407" w:hanging="84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FBB6F6B"/>
    <w:multiLevelType w:val="hybridMultilevel"/>
    <w:tmpl w:val="BDDE631E"/>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9"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0"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num w:numId="1">
    <w:abstractNumId w:val="18"/>
  </w:num>
  <w:num w:numId="2">
    <w:abstractNumId w:val="21"/>
  </w:num>
  <w:num w:numId="3">
    <w:abstractNumId w:val="8"/>
  </w:num>
  <w:num w:numId="4">
    <w:abstractNumId w:val="8"/>
    <w:lvlOverride w:ilvl="0">
      <w:startOverride w:val="1"/>
    </w:lvlOverride>
  </w:num>
  <w:num w:numId="5">
    <w:abstractNumId w:val="1"/>
  </w:num>
  <w:num w:numId="6">
    <w:abstractNumId w:val="19"/>
  </w:num>
  <w:num w:numId="7">
    <w:abstractNumId w:val="3"/>
  </w:num>
  <w:num w:numId="8">
    <w:abstractNumId w:val="14"/>
  </w:num>
  <w:num w:numId="9">
    <w:abstractNumId w:val="13"/>
  </w:num>
  <w:num w:numId="10">
    <w:abstractNumId w:val="0"/>
  </w:num>
  <w:num w:numId="11">
    <w:abstractNumId w:val="16"/>
  </w:num>
  <w:num w:numId="12">
    <w:abstractNumId w:val="5"/>
  </w:num>
  <w:num w:numId="13">
    <w:abstractNumId w:val="7"/>
  </w:num>
  <w:num w:numId="14">
    <w:abstractNumId w:val="9"/>
  </w:num>
  <w:num w:numId="15">
    <w:abstractNumId w:val="11"/>
  </w:num>
  <w:num w:numId="16">
    <w:abstractNumId w:val="15"/>
  </w:num>
  <w:num w:numId="17">
    <w:abstractNumId w:val="10"/>
  </w:num>
  <w:num w:numId="18">
    <w:abstractNumId w:val="6"/>
  </w:num>
  <w:num w:numId="19">
    <w:abstractNumId w:val="22"/>
  </w:num>
  <w:num w:numId="20">
    <w:abstractNumId w:val="7"/>
  </w:num>
  <w:num w:numId="21">
    <w:abstractNumId w:val="4"/>
  </w:num>
  <w:num w:numId="22">
    <w:abstractNumId w:val="2"/>
  </w:num>
  <w:num w:numId="23">
    <w:abstractNumId w:val="12"/>
  </w:num>
  <w:num w:numId="24">
    <w:abstractNumId w:val="12"/>
  </w:num>
  <w:num w:numId="25">
    <w:abstractNumId w:val="20"/>
  </w:num>
  <w:num w:numId="26">
    <w:abstractNumId w:val="1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0B"/>
    <w:rsid w:val="00000058"/>
    <w:rsid w:val="000046C4"/>
    <w:rsid w:val="00006AA4"/>
    <w:rsid w:val="00016C0D"/>
    <w:rsid w:val="0002077F"/>
    <w:rsid w:val="0002652E"/>
    <w:rsid w:val="00032DFF"/>
    <w:rsid w:val="00033444"/>
    <w:rsid w:val="00033600"/>
    <w:rsid w:val="0005593E"/>
    <w:rsid w:val="0006038F"/>
    <w:rsid w:val="000616BC"/>
    <w:rsid w:val="0006744F"/>
    <w:rsid w:val="0007292F"/>
    <w:rsid w:val="00080851"/>
    <w:rsid w:val="00085400"/>
    <w:rsid w:val="00086A13"/>
    <w:rsid w:val="00093490"/>
    <w:rsid w:val="00095644"/>
    <w:rsid w:val="000A2592"/>
    <w:rsid w:val="000A5EC7"/>
    <w:rsid w:val="000A7580"/>
    <w:rsid w:val="000B7AFC"/>
    <w:rsid w:val="000B7F32"/>
    <w:rsid w:val="000C3B4D"/>
    <w:rsid w:val="000D0D60"/>
    <w:rsid w:val="000D2B8F"/>
    <w:rsid w:val="000D3991"/>
    <w:rsid w:val="000D3A71"/>
    <w:rsid w:val="000E4AF3"/>
    <w:rsid w:val="000E4F56"/>
    <w:rsid w:val="000F2A2B"/>
    <w:rsid w:val="000F3571"/>
    <w:rsid w:val="000F63EE"/>
    <w:rsid w:val="000F64D2"/>
    <w:rsid w:val="001027EF"/>
    <w:rsid w:val="00102A9F"/>
    <w:rsid w:val="001035FC"/>
    <w:rsid w:val="00110498"/>
    <w:rsid w:val="00111A60"/>
    <w:rsid w:val="00115C6B"/>
    <w:rsid w:val="00125FF0"/>
    <w:rsid w:val="001310AB"/>
    <w:rsid w:val="00154A68"/>
    <w:rsid w:val="00164A38"/>
    <w:rsid w:val="001710E9"/>
    <w:rsid w:val="00171BC6"/>
    <w:rsid w:val="00177AFA"/>
    <w:rsid w:val="00182065"/>
    <w:rsid w:val="0018403E"/>
    <w:rsid w:val="001942D6"/>
    <w:rsid w:val="001A4A03"/>
    <w:rsid w:val="001B0467"/>
    <w:rsid w:val="001B10E7"/>
    <w:rsid w:val="001B6C79"/>
    <w:rsid w:val="001C0414"/>
    <w:rsid w:val="001C3441"/>
    <w:rsid w:val="001C3958"/>
    <w:rsid w:val="001C3F11"/>
    <w:rsid w:val="001C78CB"/>
    <w:rsid w:val="001D6633"/>
    <w:rsid w:val="001D6759"/>
    <w:rsid w:val="001D7BA9"/>
    <w:rsid w:val="001E0B70"/>
    <w:rsid w:val="001E31F3"/>
    <w:rsid w:val="001F5EE6"/>
    <w:rsid w:val="001F6F43"/>
    <w:rsid w:val="002074C0"/>
    <w:rsid w:val="00210EA2"/>
    <w:rsid w:val="0021457A"/>
    <w:rsid w:val="00216F0F"/>
    <w:rsid w:val="00221EB9"/>
    <w:rsid w:val="0022470C"/>
    <w:rsid w:val="00234353"/>
    <w:rsid w:val="00241F86"/>
    <w:rsid w:val="00243027"/>
    <w:rsid w:val="0024794E"/>
    <w:rsid w:val="00251439"/>
    <w:rsid w:val="0025354C"/>
    <w:rsid w:val="00262992"/>
    <w:rsid w:val="0026457E"/>
    <w:rsid w:val="00281B93"/>
    <w:rsid w:val="00293928"/>
    <w:rsid w:val="002A5A94"/>
    <w:rsid w:val="002A5D7C"/>
    <w:rsid w:val="002C30D6"/>
    <w:rsid w:val="002D0113"/>
    <w:rsid w:val="002D7D1C"/>
    <w:rsid w:val="002E2C72"/>
    <w:rsid w:val="002E7342"/>
    <w:rsid w:val="002F03DF"/>
    <w:rsid w:val="002F25C7"/>
    <w:rsid w:val="002F2BD0"/>
    <w:rsid w:val="002F659F"/>
    <w:rsid w:val="00310A8D"/>
    <w:rsid w:val="00317A77"/>
    <w:rsid w:val="00317BE2"/>
    <w:rsid w:val="00324D93"/>
    <w:rsid w:val="00326CA0"/>
    <w:rsid w:val="0033081E"/>
    <w:rsid w:val="00336E42"/>
    <w:rsid w:val="003442DE"/>
    <w:rsid w:val="003444BA"/>
    <w:rsid w:val="00352537"/>
    <w:rsid w:val="00375290"/>
    <w:rsid w:val="00377681"/>
    <w:rsid w:val="00377FE2"/>
    <w:rsid w:val="003817E2"/>
    <w:rsid w:val="00382FCD"/>
    <w:rsid w:val="003934E5"/>
    <w:rsid w:val="00396131"/>
    <w:rsid w:val="003968DF"/>
    <w:rsid w:val="003B2168"/>
    <w:rsid w:val="003B5AE7"/>
    <w:rsid w:val="003B70CD"/>
    <w:rsid w:val="003C546E"/>
    <w:rsid w:val="003C6C30"/>
    <w:rsid w:val="003E1EAB"/>
    <w:rsid w:val="003E7B36"/>
    <w:rsid w:val="003F44CA"/>
    <w:rsid w:val="003F6E54"/>
    <w:rsid w:val="003F7C25"/>
    <w:rsid w:val="00402FD4"/>
    <w:rsid w:val="00421ADC"/>
    <w:rsid w:val="00431D05"/>
    <w:rsid w:val="00441D3E"/>
    <w:rsid w:val="00452BAA"/>
    <w:rsid w:val="00452C31"/>
    <w:rsid w:val="00455B6D"/>
    <w:rsid w:val="00462063"/>
    <w:rsid w:val="004701A9"/>
    <w:rsid w:val="00480D71"/>
    <w:rsid w:val="00487123"/>
    <w:rsid w:val="00491CEA"/>
    <w:rsid w:val="004A10E7"/>
    <w:rsid w:val="004B45D1"/>
    <w:rsid w:val="004B5FCD"/>
    <w:rsid w:val="004D10CA"/>
    <w:rsid w:val="004D3BD7"/>
    <w:rsid w:val="004E4176"/>
    <w:rsid w:val="004E508B"/>
    <w:rsid w:val="004F1A17"/>
    <w:rsid w:val="004F2B25"/>
    <w:rsid w:val="004F3383"/>
    <w:rsid w:val="005074AB"/>
    <w:rsid w:val="005105C6"/>
    <w:rsid w:val="0051117E"/>
    <w:rsid w:val="00520863"/>
    <w:rsid w:val="00524DE3"/>
    <w:rsid w:val="00527DF1"/>
    <w:rsid w:val="0053798E"/>
    <w:rsid w:val="00537B01"/>
    <w:rsid w:val="005433BB"/>
    <w:rsid w:val="005437FF"/>
    <w:rsid w:val="00547307"/>
    <w:rsid w:val="0054795D"/>
    <w:rsid w:val="00554EE5"/>
    <w:rsid w:val="005712DA"/>
    <w:rsid w:val="00586671"/>
    <w:rsid w:val="00586E69"/>
    <w:rsid w:val="00591233"/>
    <w:rsid w:val="005A107B"/>
    <w:rsid w:val="005A374C"/>
    <w:rsid w:val="005A6E61"/>
    <w:rsid w:val="005B0B9B"/>
    <w:rsid w:val="005B52A2"/>
    <w:rsid w:val="005D7D8A"/>
    <w:rsid w:val="005F57F5"/>
    <w:rsid w:val="00602DC7"/>
    <w:rsid w:val="006156E2"/>
    <w:rsid w:val="0062182D"/>
    <w:rsid w:val="00621F3C"/>
    <w:rsid w:val="006374D4"/>
    <w:rsid w:val="006424FF"/>
    <w:rsid w:val="00646DF9"/>
    <w:rsid w:val="00656C4A"/>
    <w:rsid w:val="006705CB"/>
    <w:rsid w:val="0067270E"/>
    <w:rsid w:val="0067340E"/>
    <w:rsid w:val="00675931"/>
    <w:rsid w:val="00675D0E"/>
    <w:rsid w:val="006960DA"/>
    <w:rsid w:val="006A0AAE"/>
    <w:rsid w:val="006A7F44"/>
    <w:rsid w:val="006B0CA4"/>
    <w:rsid w:val="006B41B9"/>
    <w:rsid w:val="006B44D8"/>
    <w:rsid w:val="006C16B4"/>
    <w:rsid w:val="006C222B"/>
    <w:rsid w:val="006D270F"/>
    <w:rsid w:val="006D63EB"/>
    <w:rsid w:val="006F5E38"/>
    <w:rsid w:val="007075D9"/>
    <w:rsid w:val="007104CA"/>
    <w:rsid w:val="00714745"/>
    <w:rsid w:val="00724333"/>
    <w:rsid w:val="00726501"/>
    <w:rsid w:val="00745C42"/>
    <w:rsid w:val="00750391"/>
    <w:rsid w:val="00760689"/>
    <w:rsid w:val="00760DFC"/>
    <w:rsid w:val="00761C8F"/>
    <w:rsid w:val="00762E62"/>
    <w:rsid w:val="0076421A"/>
    <w:rsid w:val="007769F1"/>
    <w:rsid w:val="007835B3"/>
    <w:rsid w:val="0078611E"/>
    <w:rsid w:val="007902B8"/>
    <w:rsid w:val="007943D1"/>
    <w:rsid w:val="007A6B25"/>
    <w:rsid w:val="007A6FD5"/>
    <w:rsid w:val="007B11B1"/>
    <w:rsid w:val="007B2844"/>
    <w:rsid w:val="007B745B"/>
    <w:rsid w:val="007C43B8"/>
    <w:rsid w:val="007C7A29"/>
    <w:rsid w:val="007D01D1"/>
    <w:rsid w:val="007E461E"/>
    <w:rsid w:val="007E7916"/>
    <w:rsid w:val="007F1589"/>
    <w:rsid w:val="007F27CB"/>
    <w:rsid w:val="007F6E00"/>
    <w:rsid w:val="00802B87"/>
    <w:rsid w:val="00822D0E"/>
    <w:rsid w:val="008231A4"/>
    <w:rsid w:val="00832A7B"/>
    <w:rsid w:val="00836E07"/>
    <w:rsid w:val="008409FA"/>
    <w:rsid w:val="00840E76"/>
    <w:rsid w:val="008411DF"/>
    <w:rsid w:val="00844FC7"/>
    <w:rsid w:val="00847CB0"/>
    <w:rsid w:val="0085697E"/>
    <w:rsid w:val="00861802"/>
    <w:rsid w:val="00893B19"/>
    <w:rsid w:val="0089545C"/>
    <w:rsid w:val="008A2754"/>
    <w:rsid w:val="008B44F1"/>
    <w:rsid w:val="008B6E85"/>
    <w:rsid w:val="008D0228"/>
    <w:rsid w:val="008E4C35"/>
    <w:rsid w:val="008E57F3"/>
    <w:rsid w:val="008E713D"/>
    <w:rsid w:val="008F4D49"/>
    <w:rsid w:val="009038AF"/>
    <w:rsid w:val="00904550"/>
    <w:rsid w:val="009064BC"/>
    <w:rsid w:val="0091543E"/>
    <w:rsid w:val="00921020"/>
    <w:rsid w:val="00922BA1"/>
    <w:rsid w:val="009277B6"/>
    <w:rsid w:val="00930637"/>
    <w:rsid w:val="00932D4B"/>
    <w:rsid w:val="00941763"/>
    <w:rsid w:val="0094331D"/>
    <w:rsid w:val="00982E58"/>
    <w:rsid w:val="00983E8A"/>
    <w:rsid w:val="00993E06"/>
    <w:rsid w:val="00995550"/>
    <w:rsid w:val="00997C7B"/>
    <w:rsid w:val="009A285F"/>
    <w:rsid w:val="009A76D6"/>
    <w:rsid w:val="009B455D"/>
    <w:rsid w:val="009C27C1"/>
    <w:rsid w:val="009D07FB"/>
    <w:rsid w:val="009D2D65"/>
    <w:rsid w:val="009D4D72"/>
    <w:rsid w:val="009E6521"/>
    <w:rsid w:val="009F3C32"/>
    <w:rsid w:val="009F5D1D"/>
    <w:rsid w:val="00A00D67"/>
    <w:rsid w:val="00A06D23"/>
    <w:rsid w:val="00A11949"/>
    <w:rsid w:val="00A1231F"/>
    <w:rsid w:val="00A15B8F"/>
    <w:rsid w:val="00A22E8C"/>
    <w:rsid w:val="00A231A5"/>
    <w:rsid w:val="00A314E0"/>
    <w:rsid w:val="00A31E16"/>
    <w:rsid w:val="00A37E8A"/>
    <w:rsid w:val="00A421E3"/>
    <w:rsid w:val="00A5056B"/>
    <w:rsid w:val="00A515D1"/>
    <w:rsid w:val="00A5780E"/>
    <w:rsid w:val="00A64E23"/>
    <w:rsid w:val="00A66C84"/>
    <w:rsid w:val="00A7353A"/>
    <w:rsid w:val="00A736D2"/>
    <w:rsid w:val="00A75681"/>
    <w:rsid w:val="00A83B79"/>
    <w:rsid w:val="00A84EDD"/>
    <w:rsid w:val="00A879E1"/>
    <w:rsid w:val="00A929A6"/>
    <w:rsid w:val="00A94A66"/>
    <w:rsid w:val="00A95EFB"/>
    <w:rsid w:val="00AA1645"/>
    <w:rsid w:val="00AB00C9"/>
    <w:rsid w:val="00AB01BA"/>
    <w:rsid w:val="00AB13E8"/>
    <w:rsid w:val="00AB1410"/>
    <w:rsid w:val="00AB398E"/>
    <w:rsid w:val="00AB39AB"/>
    <w:rsid w:val="00AB3E33"/>
    <w:rsid w:val="00AB4061"/>
    <w:rsid w:val="00AB7DDB"/>
    <w:rsid w:val="00AC2883"/>
    <w:rsid w:val="00AC6B49"/>
    <w:rsid w:val="00AD074F"/>
    <w:rsid w:val="00AD196A"/>
    <w:rsid w:val="00AE13F1"/>
    <w:rsid w:val="00AE5C9E"/>
    <w:rsid w:val="00AF5007"/>
    <w:rsid w:val="00AF5F8F"/>
    <w:rsid w:val="00B11927"/>
    <w:rsid w:val="00B233D0"/>
    <w:rsid w:val="00B23F9A"/>
    <w:rsid w:val="00B24946"/>
    <w:rsid w:val="00B2615A"/>
    <w:rsid w:val="00B2710C"/>
    <w:rsid w:val="00B27B56"/>
    <w:rsid w:val="00B33280"/>
    <w:rsid w:val="00B36793"/>
    <w:rsid w:val="00B46FDD"/>
    <w:rsid w:val="00B5187B"/>
    <w:rsid w:val="00B5455B"/>
    <w:rsid w:val="00B65F28"/>
    <w:rsid w:val="00B718CD"/>
    <w:rsid w:val="00B771BB"/>
    <w:rsid w:val="00B93550"/>
    <w:rsid w:val="00BA4C0D"/>
    <w:rsid w:val="00BA5813"/>
    <w:rsid w:val="00BB2E11"/>
    <w:rsid w:val="00BC1DD1"/>
    <w:rsid w:val="00BC5667"/>
    <w:rsid w:val="00BC7571"/>
    <w:rsid w:val="00BD43CA"/>
    <w:rsid w:val="00BF3C0E"/>
    <w:rsid w:val="00C06110"/>
    <w:rsid w:val="00C06D5A"/>
    <w:rsid w:val="00C101D1"/>
    <w:rsid w:val="00C101D9"/>
    <w:rsid w:val="00C11A71"/>
    <w:rsid w:val="00C249FB"/>
    <w:rsid w:val="00C2799B"/>
    <w:rsid w:val="00C33374"/>
    <w:rsid w:val="00C40409"/>
    <w:rsid w:val="00C454DB"/>
    <w:rsid w:val="00C536C9"/>
    <w:rsid w:val="00C56AFE"/>
    <w:rsid w:val="00C629FF"/>
    <w:rsid w:val="00C73E8C"/>
    <w:rsid w:val="00C760C9"/>
    <w:rsid w:val="00C828D4"/>
    <w:rsid w:val="00C864A9"/>
    <w:rsid w:val="00CA5D2D"/>
    <w:rsid w:val="00CA6776"/>
    <w:rsid w:val="00CA7BF5"/>
    <w:rsid w:val="00CB0CC2"/>
    <w:rsid w:val="00CB41FB"/>
    <w:rsid w:val="00CB78B4"/>
    <w:rsid w:val="00CC005A"/>
    <w:rsid w:val="00CC24B2"/>
    <w:rsid w:val="00CD7447"/>
    <w:rsid w:val="00CE7BEE"/>
    <w:rsid w:val="00D06F11"/>
    <w:rsid w:val="00D11FA7"/>
    <w:rsid w:val="00D214B0"/>
    <w:rsid w:val="00D32919"/>
    <w:rsid w:val="00D3439E"/>
    <w:rsid w:val="00D347BD"/>
    <w:rsid w:val="00D372F4"/>
    <w:rsid w:val="00D44383"/>
    <w:rsid w:val="00D45636"/>
    <w:rsid w:val="00D47CC2"/>
    <w:rsid w:val="00D5553D"/>
    <w:rsid w:val="00D55D29"/>
    <w:rsid w:val="00D56840"/>
    <w:rsid w:val="00D612CE"/>
    <w:rsid w:val="00D676D8"/>
    <w:rsid w:val="00D722CA"/>
    <w:rsid w:val="00D76296"/>
    <w:rsid w:val="00D85FB9"/>
    <w:rsid w:val="00D87872"/>
    <w:rsid w:val="00DA1748"/>
    <w:rsid w:val="00DA2B8F"/>
    <w:rsid w:val="00DB22B5"/>
    <w:rsid w:val="00DC3EE9"/>
    <w:rsid w:val="00DC6A97"/>
    <w:rsid w:val="00DD1CC9"/>
    <w:rsid w:val="00DE093A"/>
    <w:rsid w:val="00DE2988"/>
    <w:rsid w:val="00DE4292"/>
    <w:rsid w:val="00DE7274"/>
    <w:rsid w:val="00DF08A3"/>
    <w:rsid w:val="00DF380E"/>
    <w:rsid w:val="00DF5914"/>
    <w:rsid w:val="00DF5A31"/>
    <w:rsid w:val="00E047E3"/>
    <w:rsid w:val="00E104C8"/>
    <w:rsid w:val="00E26B23"/>
    <w:rsid w:val="00E330EB"/>
    <w:rsid w:val="00E35F60"/>
    <w:rsid w:val="00E44DB1"/>
    <w:rsid w:val="00E50D07"/>
    <w:rsid w:val="00E534C0"/>
    <w:rsid w:val="00E57D62"/>
    <w:rsid w:val="00E72CE6"/>
    <w:rsid w:val="00E87B89"/>
    <w:rsid w:val="00E90358"/>
    <w:rsid w:val="00E940EE"/>
    <w:rsid w:val="00E953CE"/>
    <w:rsid w:val="00EA32C0"/>
    <w:rsid w:val="00EB524D"/>
    <w:rsid w:val="00EB58A5"/>
    <w:rsid w:val="00EC16EA"/>
    <w:rsid w:val="00EC5D8C"/>
    <w:rsid w:val="00ED040A"/>
    <w:rsid w:val="00ED2920"/>
    <w:rsid w:val="00ED2FAD"/>
    <w:rsid w:val="00EE2146"/>
    <w:rsid w:val="00EE3728"/>
    <w:rsid w:val="00EF534F"/>
    <w:rsid w:val="00F0074D"/>
    <w:rsid w:val="00F017E3"/>
    <w:rsid w:val="00F11565"/>
    <w:rsid w:val="00F12AD6"/>
    <w:rsid w:val="00F279C2"/>
    <w:rsid w:val="00F342EB"/>
    <w:rsid w:val="00F357D9"/>
    <w:rsid w:val="00F400B0"/>
    <w:rsid w:val="00F60185"/>
    <w:rsid w:val="00F616E3"/>
    <w:rsid w:val="00F63E14"/>
    <w:rsid w:val="00F63FAE"/>
    <w:rsid w:val="00F672D7"/>
    <w:rsid w:val="00F75228"/>
    <w:rsid w:val="00F7778D"/>
    <w:rsid w:val="00F83DB3"/>
    <w:rsid w:val="00F90C96"/>
    <w:rsid w:val="00F95D0B"/>
    <w:rsid w:val="00FA7CE9"/>
    <w:rsid w:val="00FB308E"/>
    <w:rsid w:val="00FB3F17"/>
    <w:rsid w:val="00FC3764"/>
    <w:rsid w:val="00FD4F9C"/>
    <w:rsid w:val="00FF037E"/>
    <w:rsid w:val="00FF25EB"/>
    <w:rsid w:val="00FF30D9"/>
    <w:rsid w:val="00FF35BA"/>
    <w:rsid w:val="00FF73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21F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9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0F3571"/>
    <w:pPr>
      <w:keepNext/>
      <w:suppressAutoHyphens/>
      <w:spacing w:before="240" w:after="60" w:line="240" w:lineRule="auto"/>
      <w:outlineLvl w:val="3"/>
    </w:pPr>
    <w:rPr>
      <w:rFonts w:ascii="Calibri" w:eastAsia="Times New Roman" w:hAnsi="Calibri" w:cs="Times New Roma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8A"/>
    <w:pPr>
      <w:ind w:left="720"/>
      <w:contextualSpacing/>
    </w:pPr>
  </w:style>
  <w:style w:type="character" w:styleId="CommentReference">
    <w:name w:val="annotation reference"/>
    <w:basedOn w:val="DefaultParagraphFont"/>
    <w:unhideWhenUsed/>
    <w:rsid w:val="00F12AD6"/>
    <w:rPr>
      <w:sz w:val="16"/>
      <w:szCs w:val="16"/>
    </w:rPr>
  </w:style>
  <w:style w:type="paragraph" w:styleId="CommentText">
    <w:name w:val="annotation text"/>
    <w:basedOn w:val="Normal"/>
    <w:link w:val="CommentTextChar"/>
    <w:unhideWhenUsed/>
    <w:qFormat/>
    <w:rsid w:val="00F12AD6"/>
    <w:pPr>
      <w:spacing w:line="240" w:lineRule="auto"/>
    </w:pPr>
    <w:rPr>
      <w:sz w:val="20"/>
      <w:szCs w:val="20"/>
    </w:rPr>
  </w:style>
  <w:style w:type="character" w:customStyle="1" w:styleId="CommentTextChar">
    <w:name w:val="Comment Text Char"/>
    <w:basedOn w:val="DefaultParagraphFont"/>
    <w:link w:val="CommentText"/>
    <w:uiPriority w:val="99"/>
    <w:semiHidden/>
    <w:rsid w:val="00F12AD6"/>
    <w:rPr>
      <w:sz w:val="20"/>
      <w:szCs w:val="20"/>
    </w:rPr>
  </w:style>
  <w:style w:type="paragraph" w:styleId="BalloonText">
    <w:name w:val="Balloon Text"/>
    <w:basedOn w:val="Normal"/>
    <w:link w:val="BalloonTextChar"/>
    <w:uiPriority w:val="99"/>
    <w:semiHidden/>
    <w:unhideWhenUsed/>
    <w:rsid w:val="00F12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056B"/>
    <w:rPr>
      <w:b/>
      <w:bCs/>
    </w:rPr>
  </w:style>
  <w:style w:type="character" w:customStyle="1" w:styleId="CommentSubjectChar">
    <w:name w:val="Comment Subject Char"/>
    <w:basedOn w:val="CommentTextChar"/>
    <w:link w:val="CommentSubject"/>
    <w:uiPriority w:val="99"/>
    <w:semiHidden/>
    <w:rsid w:val="00A5056B"/>
    <w:rPr>
      <w:b/>
      <w:bCs/>
      <w:sz w:val="20"/>
      <w:szCs w:val="20"/>
    </w:rPr>
  </w:style>
  <w:style w:type="paragraph" w:styleId="Header">
    <w:name w:val="header"/>
    <w:basedOn w:val="Normal"/>
    <w:link w:val="HeaderChar"/>
    <w:uiPriority w:val="99"/>
    <w:unhideWhenUsed/>
    <w:rsid w:val="003B5AE7"/>
    <w:pPr>
      <w:tabs>
        <w:tab w:val="center" w:pos="4252"/>
        <w:tab w:val="right" w:pos="8504"/>
      </w:tabs>
      <w:spacing w:after="0" w:line="240" w:lineRule="auto"/>
    </w:pPr>
  </w:style>
  <w:style w:type="character" w:customStyle="1" w:styleId="HeaderChar">
    <w:name w:val="Header Char"/>
    <w:basedOn w:val="DefaultParagraphFont"/>
    <w:link w:val="Header"/>
    <w:uiPriority w:val="99"/>
    <w:rsid w:val="003B5AE7"/>
  </w:style>
  <w:style w:type="paragraph" w:styleId="Footer">
    <w:name w:val="footer"/>
    <w:basedOn w:val="Normal"/>
    <w:link w:val="FooterChar"/>
    <w:uiPriority w:val="99"/>
    <w:unhideWhenUsed/>
    <w:rsid w:val="003B5AE7"/>
    <w:pPr>
      <w:tabs>
        <w:tab w:val="center" w:pos="4252"/>
        <w:tab w:val="right" w:pos="8504"/>
      </w:tabs>
      <w:spacing w:after="0" w:line="240" w:lineRule="auto"/>
    </w:pPr>
  </w:style>
  <w:style w:type="character" w:customStyle="1" w:styleId="FooterChar">
    <w:name w:val="Footer Char"/>
    <w:basedOn w:val="DefaultParagraphFont"/>
    <w:link w:val="Footer"/>
    <w:uiPriority w:val="99"/>
    <w:rsid w:val="003B5AE7"/>
  </w:style>
  <w:style w:type="table" w:styleId="TableGrid">
    <w:name w:val="Table Grid"/>
    <w:basedOn w:val="TableNormal"/>
    <w:uiPriority w:val="39"/>
    <w:rsid w:val="0033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0B0"/>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CE7BEE"/>
  </w:style>
  <w:style w:type="paragraph" w:customStyle="1" w:styleId="CTENumeracion">
    <w:name w:val="CTE_Numeracion"/>
    <w:basedOn w:val="Normal"/>
    <w:rsid w:val="00016C0D"/>
    <w:pPr>
      <w:spacing w:before="60" w:after="60" w:line="240" w:lineRule="auto"/>
      <w:ind w:left="357" w:hanging="357"/>
      <w:jc w:val="both"/>
    </w:pPr>
    <w:rPr>
      <w:rFonts w:ascii="Arial" w:eastAsia="Times New Roman" w:hAnsi="Arial" w:cs="Times New Roman"/>
      <w:sz w:val="20"/>
      <w:szCs w:val="24"/>
      <w:lang w:eastAsia="es-ES"/>
    </w:rPr>
  </w:style>
  <w:style w:type="character" w:customStyle="1" w:styleId="CTEModTachaprob">
    <w:name w:val="CTE_Mod_Tach_aprob"/>
    <w:rsid w:val="00D06F11"/>
    <w:rPr>
      <w:strike w:val="0"/>
      <w:dstrike w:val="0"/>
      <w:shd w:val="clear" w:color="auto" w:fill="FFFF00"/>
    </w:rPr>
  </w:style>
  <w:style w:type="paragraph" w:styleId="BodyTextIndent2">
    <w:name w:val="Body Text Indent 2"/>
    <w:basedOn w:val="Normal"/>
    <w:link w:val="BodyTextIndent2Char"/>
    <w:uiPriority w:val="99"/>
    <w:semiHidden/>
    <w:unhideWhenUsed/>
    <w:rsid w:val="00D06F11"/>
    <w:pPr>
      <w:suppressAutoHyphens/>
      <w:spacing w:after="120" w:line="480" w:lineRule="auto"/>
      <w:ind w:left="283"/>
    </w:pPr>
    <w:rPr>
      <w:rFonts w:ascii="Times New Roman" w:eastAsia="Times New Roman" w:hAnsi="Times New Roman" w:cs="Times New Roman"/>
      <w:sz w:val="20"/>
      <w:szCs w:val="20"/>
      <w:lang w:eastAsia="zh-CN"/>
    </w:rPr>
  </w:style>
  <w:style w:type="character" w:customStyle="1" w:styleId="BodyTextIndent2Char">
    <w:name w:val="Body Text Indent 2 Char"/>
    <w:basedOn w:val="DefaultParagraphFont"/>
    <w:link w:val="BodyTextIndent2"/>
    <w:uiPriority w:val="99"/>
    <w:semiHidden/>
    <w:rsid w:val="00D06F11"/>
    <w:rPr>
      <w:rFonts w:ascii="Times New Roman" w:eastAsia="Times New Roman" w:hAnsi="Times New Roman" w:cs="Times New Roman"/>
      <w:sz w:val="20"/>
      <w:szCs w:val="20"/>
      <w:lang w:eastAsia="zh-CN"/>
    </w:rPr>
  </w:style>
  <w:style w:type="paragraph" w:customStyle="1" w:styleId="CteTtulo3">
    <w:name w:val="CteTítulo3"/>
    <w:basedOn w:val="Normal"/>
    <w:next w:val="Normal"/>
    <w:autoRedefine/>
    <w:rsid w:val="000F3571"/>
    <w:pPr>
      <w:keepNext/>
      <w:numPr>
        <w:ilvl w:val="2"/>
      </w:numPr>
      <w:spacing w:before="60" w:after="120" w:line="240" w:lineRule="auto"/>
      <w:ind w:left="851"/>
      <w:jc w:val="both"/>
      <w:outlineLvl w:val="3"/>
    </w:pPr>
    <w:rPr>
      <w:rFonts w:ascii="Arial" w:eastAsia="Times New Roman" w:hAnsi="Arial" w:cs="Times New Roman"/>
      <w:b/>
      <w:bCs/>
      <w:lang w:eastAsia="zh-CN"/>
    </w:rPr>
  </w:style>
  <w:style w:type="paragraph" w:customStyle="1" w:styleId="CteAnejo-TituloSeccion">
    <w:name w:val="CteAnejo-TituloSeccion"/>
    <w:basedOn w:val="Normal"/>
    <w:rsid w:val="00D06F11"/>
    <w:pPr>
      <w:keepNext/>
      <w:spacing w:before="480" w:line="240" w:lineRule="auto"/>
      <w:outlineLvl w:val="0"/>
    </w:pPr>
    <w:rPr>
      <w:rFonts w:ascii="Arial" w:eastAsia="Times New Roman" w:hAnsi="Arial" w:cs="Times New Roman"/>
      <w:b/>
      <w:bCs/>
      <w:sz w:val="32"/>
      <w:szCs w:val="24"/>
      <w:lang w:eastAsia="es-ES"/>
    </w:rPr>
  </w:style>
  <w:style w:type="character" w:customStyle="1" w:styleId="EstiloCTEModTachaprob16ptNegritaSinTachado">
    <w:name w:val="Estilo CTE_Mod_Tach_aprob + 16 pt Negrita Sin Tachado"/>
    <w:rsid w:val="00D06F11"/>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D06F11"/>
    <w:rPr>
      <w:strike/>
      <w:dstrike w:val="0"/>
      <w:bdr w:val="none" w:sz="0" w:space="0" w:color="auto"/>
      <w:shd w:val="clear" w:color="auto" w:fill="auto"/>
    </w:rPr>
  </w:style>
  <w:style w:type="paragraph" w:styleId="BodyText">
    <w:name w:val="Body Text"/>
    <w:basedOn w:val="Normal"/>
    <w:link w:val="BodyTextChar"/>
    <w:uiPriority w:val="99"/>
    <w:semiHidden/>
    <w:unhideWhenUsed/>
    <w:rsid w:val="000F3571"/>
    <w:pPr>
      <w:spacing w:after="120"/>
    </w:pPr>
  </w:style>
  <w:style w:type="character" w:customStyle="1" w:styleId="BodyTextChar">
    <w:name w:val="Body Text Char"/>
    <w:basedOn w:val="DefaultParagraphFont"/>
    <w:link w:val="BodyText"/>
    <w:uiPriority w:val="99"/>
    <w:semiHidden/>
    <w:rsid w:val="000F3571"/>
  </w:style>
  <w:style w:type="character" w:customStyle="1" w:styleId="Heading4Char">
    <w:name w:val="Heading 4 Char"/>
    <w:basedOn w:val="DefaultParagraphFont"/>
    <w:link w:val="Heading4"/>
    <w:uiPriority w:val="9"/>
    <w:rsid w:val="000F3571"/>
    <w:rPr>
      <w:rFonts w:ascii="Calibri" w:eastAsia="Times New Roman" w:hAnsi="Calibri" w:cs="Times New Roman"/>
      <w:b/>
      <w:bCs/>
      <w:sz w:val="28"/>
      <w:szCs w:val="28"/>
      <w:lang w:eastAsia="zh-CN"/>
    </w:rPr>
  </w:style>
  <w:style w:type="paragraph" w:customStyle="1" w:styleId="nota">
    <w:name w:val="nota"/>
    <w:basedOn w:val="Normal"/>
    <w:rsid w:val="000F3571"/>
    <w:pPr>
      <w:tabs>
        <w:tab w:val="left" w:pos="1122"/>
        <w:tab w:val="left" w:pos="1309"/>
      </w:tabs>
      <w:spacing w:after="0" w:line="240" w:lineRule="auto"/>
      <w:jc w:val="both"/>
    </w:pPr>
    <w:rPr>
      <w:rFonts w:ascii="Arial" w:eastAsia="Times New Roman" w:hAnsi="Arial" w:cs="Arial"/>
      <w:bCs/>
      <w:sz w:val="20"/>
      <w:szCs w:val="24"/>
      <w:lang w:eastAsia="es-ES"/>
    </w:rPr>
  </w:style>
  <w:style w:type="paragraph" w:customStyle="1" w:styleId="Ttulo1CTE">
    <w:name w:val="Título1CTE"/>
    <w:basedOn w:val="Heading1"/>
    <w:next w:val="Normal"/>
    <w:autoRedefine/>
    <w:rsid w:val="00ED2920"/>
    <w:pPr>
      <w:keepLines w:val="0"/>
      <w:spacing w:after="200" w:line="240" w:lineRule="auto"/>
      <w:jc w:val="both"/>
    </w:pPr>
    <w:rPr>
      <w:rFonts w:ascii="Arial" w:eastAsia="Times New Roman" w:hAnsi="Arial" w:cs="Arial"/>
      <w:b/>
      <w:bCs/>
      <w:color w:val="auto"/>
      <w:kern w:val="32"/>
      <w:sz w:val="28"/>
      <w:lang w:eastAsia="es-ES"/>
    </w:rPr>
  </w:style>
  <w:style w:type="character" w:customStyle="1" w:styleId="Heading1Char">
    <w:name w:val="Heading 1 Char"/>
    <w:basedOn w:val="DefaultParagraphFont"/>
    <w:link w:val="Heading1"/>
    <w:uiPriority w:val="9"/>
    <w:rsid w:val="00ED2920"/>
    <w:rPr>
      <w:rFonts w:asciiTheme="majorHAnsi" w:eastAsiaTheme="majorEastAsia" w:hAnsiTheme="majorHAnsi" w:cstheme="majorBidi"/>
      <w:color w:val="2E74B5" w:themeColor="accent1" w:themeShade="BF"/>
      <w:sz w:val="32"/>
      <w:szCs w:val="32"/>
    </w:rPr>
  </w:style>
  <w:style w:type="paragraph" w:customStyle="1" w:styleId="artculo-tex">
    <w:name w:val="artículo-tex"/>
    <w:basedOn w:val="Normal"/>
    <w:rsid w:val="007902B8"/>
    <w:pPr>
      <w:pBdr>
        <w:top w:val="single" w:sz="4" w:space="1" w:color="00000A"/>
        <w:left w:val="single" w:sz="4" w:space="4" w:color="00000A"/>
        <w:bottom w:val="single" w:sz="4" w:space="1" w:color="00000A"/>
        <w:right w:val="single" w:sz="4" w:space="4" w:color="00000A"/>
      </w:pBdr>
      <w:suppressAutoHyphens/>
      <w:autoSpaceDN w:val="0"/>
      <w:spacing w:before="60" w:after="60" w:line="240" w:lineRule="auto"/>
      <w:textAlignment w:val="baseline"/>
    </w:pPr>
    <w:rPr>
      <w:rFonts w:ascii="Arial" w:eastAsia="Arial" w:hAnsi="Arial" w:cs="Arial"/>
      <w:kern w:val="3"/>
      <w:szCs w:val="24"/>
      <w:lang w:eastAsia="es-ES" w:bidi="hi-IN"/>
    </w:rPr>
  </w:style>
  <w:style w:type="numbering" w:customStyle="1" w:styleId="WWNum3">
    <w:name w:val="WWNum3"/>
    <w:basedOn w:val="NoList"/>
    <w:rsid w:val="007902B8"/>
    <w:pPr>
      <w:numPr>
        <w:numId w:val="3"/>
      </w:numPr>
    </w:pPr>
  </w:style>
  <w:style w:type="paragraph" w:styleId="Revision">
    <w:name w:val="Revision"/>
    <w:hidden/>
    <w:uiPriority w:val="99"/>
    <w:semiHidden/>
    <w:rsid w:val="009064BC"/>
    <w:pPr>
      <w:spacing w:after="0" w:line="240" w:lineRule="auto"/>
    </w:pPr>
  </w:style>
  <w:style w:type="paragraph" w:styleId="NormalWeb">
    <w:name w:val="Normal (Web)"/>
    <w:basedOn w:val="Normal"/>
    <w:uiPriority w:val="99"/>
    <w:semiHidden/>
    <w:unhideWhenUsed/>
    <w:rsid w:val="004D10CA"/>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7654">
      <w:bodyDiv w:val="1"/>
      <w:marLeft w:val="0"/>
      <w:marRight w:val="0"/>
      <w:marTop w:val="0"/>
      <w:marBottom w:val="0"/>
      <w:divBdr>
        <w:top w:val="none" w:sz="0" w:space="0" w:color="auto"/>
        <w:left w:val="none" w:sz="0" w:space="0" w:color="auto"/>
        <w:bottom w:val="none" w:sz="0" w:space="0" w:color="auto"/>
        <w:right w:val="none" w:sz="0" w:space="0" w:color="auto"/>
      </w:divBdr>
    </w:div>
    <w:div w:id="60955575">
      <w:bodyDiv w:val="1"/>
      <w:marLeft w:val="0"/>
      <w:marRight w:val="0"/>
      <w:marTop w:val="0"/>
      <w:marBottom w:val="0"/>
      <w:divBdr>
        <w:top w:val="none" w:sz="0" w:space="0" w:color="auto"/>
        <w:left w:val="none" w:sz="0" w:space="0" w:color="auto"/>
        <w:bottom w:val="none" w:sz="0" w:space="0" w:color="auto"/>
        <w:right w:val="none" w:sz="0" w:space="0" w:color="auto"/>
      </w:divBdr>
    </w:div>
    <w:div w:id="121000711">
      <w:bodyDiv w:val="1"/>
      <w:marLeft w:val="0"/>
      <w:marRight w:val="0"/>
      <w:marTop w:val="0"/>
      <w:marBottom w:val="0"/>
      <w:divBdr>
        <w:top w:val="none" w:sz="0" w:space="0" w:color="auto"/>
        <w:left w:val="none" w:sz="0" w:space="0" w:color="auto"/>
        <w:bottom w:val="none" w:sz="0" w:space="0" w:color="auto"/>
        <w:right w:val="none" w:sz="0" w:space="0" w:color="auto"/>
      </w:divBdr>
    </w:div>
    <w:div w:id="376441447">
      <w:bodyDiv w:val="1"/>
      <w:marLeft w:val="0"/>
      <w:marRight w:val="0"/>
      <w:marTop w:val="0"/>
      <w:marBottom w:val="0"/>
      <w:divBdr>
        <w:top w:val="none" w:sz="0" w:space="0" w:color="auto"/>
        <w:left w:val="none" w:sz="0" w:space="0" w:color="auto"/>
        <w:bottom w:val="none" w:sz="0" w:space="0" w:color="auto"/>
        <w:right w:val="none" w:sz="0" w:space="0" w:color="auto"/>
      </w:divBdr>
    </w:div>
    <w:div w:id="396248004">
      <w:bodyDiv w:val="1"/>
      <w:marLeft w:val="0"/>
      <w:marRight w:val="0"/>
      <w:marTop w:val="0"/>
      <w:marBottom w:val="0"/>
      <w:divBdr>
        <w:top w:val="none" w:sz="0" w:space="0" w:color="auto"/>
        <w:left w:val="none" w:sz="0" w:space="0" w:color="auto"/>
        <w:bottom w:val="none" w:sz="0" w:space="0" w:color="auto"/>
        <w:right w:val="none" w:sz="0" w:space="0" w:color="auto"/>
      </w:divBdr>
    </w:div>
    <w:div w:id="509684053">
      <w:bodyDiv w:val="1"/>
      <w:marLeft w:val="0"/>
      <w:marRight w:val="0"/>
      <w:marTop w:val="0"/>
      <w:marBottom w:val="0"/>
      <w:divBdr>
        <w:top w:val="none" w:sz="0" w:space="0" w:color="auto"/>
        <w:left w:val="none" w:sz="0" w:space="0" w:color="auto"/>
        <w:bottom w:val="none" w:sz="0" w:space="0" w:color="auto"/>
        <w:right w:val="none" w:sz="0" w:space="0" w:color="auto"/>
      </w:divBdr>
    </w:div>
    <w:div w:id="546919842">
      <w:bodyDiv w:val="1"/>
      <w:marLeft w:val="0"/>
      <w:marRight w:val="0"/>
      <w:marTop w:val="0"/>
      <w:marBottom w:val="0"/>
      <w:divBdr>
        <w:top w:val="none" w:sz="0" w:space="0" w:color="auto"/>
        <w:left w:val="none" w:sz="0" w:space="0" w:color="auto"/>
        <w:bottom w:val="none" w:sz="0" w:space="0" w:color="auto"/>
        <w:right w:val="none" w:sz="0" w:space="0" w:color="auto"/>
      </w:divBdr>
    </w:div>
    <w:div w:id="722481125">
      <w:bodyDiv w:val="1"/>
      <w:marLeft w:val="0"/>
      <w:marRight w:val="0"/>
      <w:marTop w:val="0"/>
      <w:marBottom w:val="0"/>
      <w:divBdr>
        <w:top w:val="none" w:sz="0" w:space="0" w:color="auto"/>
        <w:left w:val="none" w:sz="0" w:space="0" w:color="auto"/>
        <w:bottom w:val="none" w:sz="0" w:space="0" w:color="auto"/>
        <w:right w:val="none" w:sz="0" w:space="0" w:color="auto"/>
      </w:divBdr>
    </w:div>
    <w:div w:id="770051861">
      <w:bodyDiv w:val="1"/>
      <w:marLeft w:val="0"/>
      <w:marRight w:val="0"/>
      <w:marTop w:val="0"/>
      <w:marBottom w:val="0"/>
      <w:divBdr>
        <w:top w:val="none" w:sz="0" w:space="0" w:color="auto"/>
        <w:left w:val="none" w:sz="0" w:space="0" w:color="auto"/>
        <w:bottom w:val="none" w:sz="0" w:space="0" w:color="auto"/>
        <w:right w:val="none" w:sz="0" w:space="0" w:color="auto"/>
      </w:divBdr>
    </w:div>
    <w:div w:id="1072502409">
      <w:bodyDiv w:val="1"/>
      <w:marLeft w:val="0"/>
      <w:marRight w:val="0"/>
      <w:marTop w:val="0"/>
      <w:marBottom w:val="0"/>
      <w:divBdr>
        <w:top w:val="none" w:sz="0" w:space="0" w:color="auto"/>
        <w:left w:val="none" w:sz="0" w:space="0" w:color="auto"/>
        <w:bottom w:val="none" w:sz="0" w:space="0" w:color="auto"/>
        <w:right w:val="none" w:sz="0" w:space="0" w:color="auto"/>
      </w:divBdr>
    </w:div>
    <w:div w:id="1357737051">
      <w:bodyDiv w:val="1"/>
      <w:marLeft w:val="0"/>
      <w:marRight w:val="0"/>
      <w:marTop w:val="0"/>
      <w:marBottom w:val="0"/>
      <w:divBdr>
        <w:top w:val="none" w:sz="0" w:space="0" w:color="auto"/>
        <w:left w:val="none" w:sz="0" w:space="0" w:color="auto"/>
        <w:bottom w:val="none" w:sz="0" w:space="0" w:color="auto"/>
        <w:right w:val="none" w:sz="0" w:space="0" w:color="auto"/>
      </w:divBdr>
    </w:div>
    <w:div w:id="1387997225">
      <w:bodyDiv w:val="1"/>
      <w:marLeft w:val="0"/>
      <w:marRight w:val="0"/>
      <w:marTop w:val="0"/>
      <w:marBottom w:val="0"/>
      <w:divBdr>
        <w:top w:val="none" w:sz="0" w:space="0" w:color="auto"/>
        <w:left w:val="none" w:sz="0" w:space="0" w:color="auto"/>
        <w:bottom w:val="none" w:sz="0" w:space="0" w:color="auto"/>
        <w:right w:val="none" w:sz="0" w:space="0" w:color="auto"/>
      </w:divBdr>
    </w:div>
    <w:div w:id="1499466132">
      <w:bodyDiv w:val="1"/>
      <w:marLeft w:val="0"/>
      <w:marRight w:val="0"/>
      <w:marTop w:val="0"/>
      <w:marBottom w:val="0"/>
      <w:divBdr>
        <w:top w:val="none" w:sz="0" w:space="0" w:color="auto"/>
        <w:left w:val="none" w:sz="0" w:space="0" w:color="auto"/>
        <w:bottom w:val="none" w:sz="0" w:space="0" w:color="auto"/>
        <w:right w:val="none" w:sz="0" w:space="0" w:color="auto"/>
      </w:divBdr>
    </w:div>
    <w:div w:id="1542666667">
      <w:bodyDiv w:val="1"/>
      <w:marLeft w:val="0"/>
      <w:marRight w:val="0"/>
      <w:marTop w:val="0"/>
      <w:marBottom w:val="0"/>
      <w:divBdr>
        <w:top w:val="none" w:sz="0" w:space="0" w:color="auto"/>
        <w:left w:val="none" w:sz="0" w:space="0" w:color="auto"/>
        <w:bottom w:val="none" w:sz="0" w:space="0" w:color="auto"/>
        <w:right w:val="none" w:sz="0" w:space="0" w:color="auto"/>
      </w:divBdr>
    </w:div>
    <w:div w:id="1667325047">
      <w:bodyDiv w:val="1"/>
      <w:marLeft w:val="0"/>
      <w:marRight w:val="0"/>
      <w:marTop w:val="0"/>
      <w:marBottom w:val="0"/>
      <w:divBdr>
        <w:top w:val="none" w:sz="0" w:space="0" w:color="auto"/>
        <w:left w:val="none" w:sz="0" w:space="0" w:color="auto"/>
        <w:bottom w:val="none" w:sz="0" w:space="0" w:color="auto"/>
        <w:right w:val="none" w:sz="0" w:space="0" w:color="auto"/>
      </w:divBdr>
    </w:div>
    <w:div w:id="213393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334,55,Diapositiva 55"/></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FEA9B-792F-40C8-B620-4B433326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7320</Words>
  <Characters>41729</Characters>
  <Application>Microsoft Office Word</Application>
  <DocSecurity>0</DocSecurity>
  <Lines>347</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2021-10-05T06:19:00Z</dcterms:created>
  <dcterms:modified xsi:type="dcterms:W3CDTF">2021-11-02T16:04:00Z</dcterms:modified>
</cp:coreProperties>
</file>