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Ontwerp-Koninklijk Besluit of</w:t>
      </w:r>
      <w:r>
        <w:rPr>
          <w:b/>
        </w:rPr>
        <w:tab/>
      </w:r>
      <w:r>
        <w:rPr>
          <w:b/>
        </w:rPr>
        <w:tab/>
        <w:t>, tot wijziging van de Technische Bouwwet, goedgekeurd bij Koninklijk Besluit 314/2006 van 17. Maart</w:t>
      </w:r>
    </w:p>
    <w:p w14:paraId="42548872" w14:textId="172DDCC5" w:rsidR="005074AB" w:rsidRPr="003934E5" w:rsidRDefault="005074AB" w:rsidP="005074AB">
      <w:pPr>
        <w:jc w:val="both"/>
        <w:rPr>
          <w:rFonts w:cstheme="minorHAnsi"/>
        </w:rPr>
      </w:pPr>
      <w:r>
        <w:t>Wet 38/1999, van 5 november, inzake Bouwvoorschriften, definieert de Technische Bouwwet (CTE) als het regelgevingskader dat de basiskwaliteitseisen voor gebouwen en hun installaties vastlegt en dat toelaat om te voldoen aan de in artikel 3 vastgelegde basisvereisten. De Technische Bouwwet (CTE) waarin deze wet voorziet, is goedgekeurd bij Koninklijk Besluit 314/2006 van 17 maart. De basisdocumenten die deel II van het CTE vormen, bevatten de in deel I vastgestelde basisvereisten en kwantificeren, waar van toepassing, door de vaststelling van prestatiedoelstellingen of -limieten of andere parameters. Met name het DB-HE-basisdocument ‘Energiebesparing’ specificeert en kwantificeert de energie-efficiëntie-eisen waaraan nieuwbouw moet voldoen, evenals ingrepen aan bestaande gebouwen.</w:t>
      </w:r>
    </w:p>
    <w:p w14:paraId="400360D8" w14:textId="77777777" w:rsidR="005074AB" w:rsidRPr="003934E5" w:rsidRDefault="005074AB" w:rsidP="005074AB">
      <w:pPr>
        <w:jc w:val="both"/>
        <w:rPr>
          <w:rFonts w:cstheme="minorHAnsi"/>
        </w:rPr>
      </w:pPr>
      <w:r>
        <w:t>Op 30 mei 2018 is Richtlijn (EU) 2018/844 van het Europees Parlement en de Raad tot wijziging van Richtlijn 2010/31/EU betreffende de energieprestatie van gebouwen en Richtlijn 2012/27/EU betreffende energie-efficiëntie vastgesteld.</w:t>
      </w:r>
    </w:p>
    <w:p w14:paraId="0B5B2276" w14:textId="142A5C6B" w:rsidR="005A6E61" w:rsidRPr="003934E5" w:rsidRDefault="005074AB" w:rsidP="005A6E61">
      <w:pPr>
        <w:jc w:val="both"/>
        <w:rPr>
          <w:rFonts w:cstheme="minorHAnsi"/>
        </w:rPr>
      </w:pPr>
      <w:r>
        <w:t>Deze richtlijn stelt de voorwaarden voor de ontwikkeling van de minimale infrastructuur die nodig is voor het slim opladen van elektrische voertuigen in parkeergarages in gebouwen vast. Zo zullen zowel de bouw- als de mobiliteitssector strategische gebieden zijn voor de algehele decarbonisatie van de economie, met een regelgevend kader dat erop gericht is de innovatie, de duurzaamheid en de energie-efficiëntie in deze sectoren te stimuleren.</w:t>
      </w:r>
    </w:p>
    <w:p w14:paraId="4245C855" w14:textId="1828DE90" w:rsidR="005A6E61" w:rsidRPr="003934E5" w:rsidRDefault="005A6E61" w:rsidP="005A6E61">
      <w:pPr>
        <w:jc w:val="both"/>
        <w:rPr>
          <w:rFonts w:cstheme="minorHAnsi"/>
        </w:rPr>
      </w:pPr>
      <w:r>
        <w:t>De ontwikkeling van infrastructuur voor slim opladen van elektrische voertuigen zal op zijn beurt bijdragen tot energiebeheer en flexibiliteit, het gebruik van hernieuwbare energie en de verbetering van de luchtkwaliteit, en de energieprestaties ervan zullen worden geoptimaliseerd door gebouwen digitaler te maken en nieuwe technologieën in het veld te integreren.</w:t>
      </w:r>
    </w:p>
    <w:p w14:paraId="45A016F5" w14:textId="74A214E6" w:rsidR="005A6E61" w:rsidRPr="003934E5" w:rsidRDefault="005A6E61" w:rsidP="005A6E61">
      <w:pPr>
        <w:jc w:val="both"/>
        <w:rPr>
          <w:rFonts w:cstheme="minorHAnsi"/>
        </w:rPr>
      </w:pPr>
      <w:r>
        <w:t xml:space="preserve">Het geïntegreerde Nationale Energie- en Klimaatplan 2021-2030 (PNIEC) dat Spanje bij de Europese Commissie heeft ingediend, voorziet in de bevordering van elektrische mobiliteit als maatregel om het energieverbruik en de voertuigemissies te verminderen door aanpassing van de regelgeving en omzetting van EU-wetgeving die de uitrol van oplaadinfrastructuur voor elektrische voertuigen mogelijk maakt in overeenstemming met de ontwikkeling van de elektrificatie van het wagenpark, alsook via andere stimulerings- en ondersteuningsmechanismen. </w:t>
      </w:r>
    </w:p>
    <w:p w14:paraId="3BF925DC" w14:textId="3FA9F544" w:rsidR="00A75681" w:rsidRPr="000E4F56" w:rsidRDefault="00C33374" w:rsidP="00A75681">
      <w:pPr>
        <w:jc w:val="both"/>
        <w:rPr>
          <w:rFonts w:cstheme="minorHAnsi"/>
        </w:rPr>
      </w:pPr>
      <w:r>
        <w:t>Om deze doelstellingen te bereiken en de Richtlijn ter zake gedeeltelijk om te zetten, voert dit Koninklijk Besluit in de Technische Bouwwet een nieuwe fundamentele energiebesparende eis in met betrekking tot de minimumallocaties voor oplaadinfrastructuur van elektrische voertuigen, die wordt uitgewerkt in het nieuwe afdeling HE 6 ‘Minimumoplaadinfrastructuur voor elektrische voertuigen’ van het Basis-energiebesparingsdocument. Om de toegankelijkheidsvoorwaarden voor oplaadpunten op toegankelijke parkeerplaatsen te waarborgen, wordt het basisdocument DB-SUA ‘Gebruiksveiligheid en Toegankelijkheid’ aangepast.</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Op zijn beurt, en in overeenstemming met de bepalingen van wet 7/2021 van 20 mei inzake klimaatverandering en energietransitie, worden in één enkele aanvullende bepaling van </w:t>
      </w:r>
      <w:r>
        <w:lastRenderedPageBreak/>
        <w:t xml:space="preserve">Koninklijk Besluit 314/2006 van 17 maart, waarbij de Technische Bouwwet wordt goedgekeurd, de volgende eisen gesteld aan minimumvoorzieningen voor oplaadinfrastructuur voor elektrische voertuigen in bestaande gebouwen voor ander gebruik dan particulier residentieel gebruik, die een parkeerplaats hebben met meer dan twintig parkeerplaatsen, hetzij binnen, hetzij in een toegewezen buitenruimte, en die niet zijn opgenomen in het toepassingsgebied van artikel HE6 van het Basisdocument energiebesparing. Wet 7/2021 van 20 mei inzake klimaatverandering en energietransitie voorziet in de verplichting om deze bepaling gedefinieerd in het Technisch Bouwbesluit van kracht te laten zijn vóór 1 januari 2023. </w:t>
      </w:r>
    </w:p>
    <w:p w14:paraId="1192FDEB" w14:textId="77777777" w:rsidR="005074AB" w:rsidRPr="009064BC" w:rsidRDefault="005074AB" w:rsidP="005074AB">
      <w:pPr>
        <w:jc w:val="both"/>
        <w:rPr>
          <w:rFonts w:cstheme="minorHAnsi"/>
        </w:rPr>
      </w:pPr>
      <w:r>
        <w:t>Ten slotte wordt de Aanvullende Technische Instructie (ITC) BT-52 van het Elektrotechnisch Reglement voor Laagspanning, goedgekeurd bij Koninklijk Besluit 1053/2014 van 12 december gewijzigd en worden andere aanvullende technische instructies daarvan aangepast om de regulering van de oplaadinfrastructuur voor elektrische voertuigen te voltooien.</w:t>
      </w:r>
    </w:p>
    <w:p w14:paraId="53205125" w14:textId="62D4F2A6" w:rsidR="005A6E61" w:rsidRPr="009064BC" w:rsidRDefault="005074AB" w:rsidP="005A6E61">
      <w:pPr>
        <w:jc w:val="both"/>
        <w:rPr>
          <w:rFonts w:cstheme="minorHAnsi"/>
        </w:rPr>
      </w:pPr>
      <w:r>
        <w:t xml:space="preserve">Bovendien voorziet de PNIEC, als maatregel ter bevordering van hernieuwbare energie, ter verbetering van het concurrentievermogen van de productiesectoren en ter bevordering van de betrokkenheid van consumenten bij het beheer van hun energie, de ontwikkeling van zelfverbruik met hernieuwbare energie en gedistribueerde opwekking in woon- en bedrijfsgebieden. </w:t>
      </w:r>
    </w:p>
    <w:p w14:paraId="4F23D1D3" w14:textId="56BE7436" w:rsidR="005074AB" w:rsidRPr="009064BC" w:rsidRDefault="005A6E61" w:rsidP="005074AB">
      <w:pPr>
        <w:jc w:val="both"/>
        <w:rPr>
          <w:rFonts w:cstheme="minorHAnsi"/>
        </w:rPr>
      </w:pPr>
      <w:r>
        <w:t xml:space="preserve">In dit verband heeft de goedkeuring van Koninklijk Besluit nr. 244/2019 van 5 april, dat de administratieve, technische en economische voorwaarden voor het zelfverbruik van elektriciteit regelt, onder meer geleid tot collectief zelfverbruik mogelijk gemaakt en tegelijkertijd heeft de administratieve procedures voor de implementatie van zelfverbruik verminderd. Daarom wordt geoordeeld dat het huidige wettelijke kader de uitbreiding van het toepassingsgebied van de basisvereiste HE 5 met betrekking tot de minimale elektriciteitsopwekking mogelijk maakt, zowel door deze toepasbaar te maken in bebouwen voor residentieel gebruik als door de drempel van de bebouwde oppervlakte in gebouwen te verlagen voor alle toepassingen waarvoor de vereiste geldt. </w:t>
      </w:r>
    </w:p>
    <w:p w14:paraId="2C3560FF" w14:textId="60FA6548" w:rsidR="005074AB" w:rsidRDefault="005074AB" w:rsidP="005074AB">
      <w:pPr>
        <w:jc w:val="both"/>
        <w:rPr>
          <w:rFonts w:cstheme="minorHAnsi"/>
        </w:rPr>
      </w:pPr>
      <w:r>
        <w:t>Bovendien, na het vaststellen van fouten en drukfouten in Koninklijk Besluit 732/2019 van 20 december tot wijziging van de Technisch Bouwwet, goedgekeurd bij Koninklijk Besluit 314/2006 van 17 maart, gepubliceerd in het "BOE" nr. 311 van 27 december 2019, worden hierbij de nodige correcties aangebracht. Om de toepassingswijze van het basisdocument DB-HE over ‘Energiebesparing’ te verduidelijken na de actualisering ervan door het voornoemde Koninklijk Besluit 732/2019, wordt het op zijn beurt noodzakelijk geacht om de formulering van sommige artikelen van afdeling HE 1 over voorwaarden voor de beheersing van de energievraag en bijlage A over de terminologie van voornoemd basisdocument.</w:t>
      </w:r>
    </w:p>
    <w:p w14:paraId="010C68C8" w14:textId="6D1CCB96" w:rsidR="00E26B23" w:rsidRDefault="00E26B23" w:rsidP="00B65F28">
      <w:pPr>
        <w:jc w:val="both"/>
        <w:rPr>
          <w:rFonts w:cstheme="minorHAnsi"/>
          <w:bCs/>
        </w:rPr>
      </w:pPr>
      <w:r>
        <w:t xml:space="preserve">De wijziging van de Technische wet met betrekking tot de opname van de nieuwe afdeling HE 6 ‘Minimumbepalingen voor het opladen van elektrische voertuigen’ van het basisdocument inzake energiebesparing, alsmede de wijziging van Koninklijk Besluit 1053/2014 van 12 december, waarbij een nieuwe Aanvullende technische instructie (ITC) BT 52 wordt goedgekeurd, die is opgenomen in de eerste slotbepaling en de enige aanvullende bepaling bij Koninklijk Besluit 314/2006 van 17 maart, dat de Technische Bouwwet goedkeurt, maken deel uit van de wettelijke hervormingen voorzien in de Herstel, Transformatie- en Veerkrachtplan (PRTR). Met name de component 1 van het PRTR over ‘Duurzaam, veilig en geconnecteerd mobiliteitsschokplan in stedelijke en metropolitane omgevingen’ gaat in op de goedkeuring van </w:t>
      </w:r>
      <w:r>
        <w:lastRenderedPageBreak/>
        <w:t xml:space="preserve">dit Koninklijk Besluit tot uitvoering van de bovengenoemde wettelijke hervormingen in het kader van de C1.R1-hervorming, genaamd ‘Plan voor de uitrol van oplaadinfrastructuur en de bevordering van elektrische voertuigen’.  De C1.R1-hervorming is ontworpen als het wettelijke, regelgevende en strategische kader om de uitrol van oplaadinfrastructuur te vergemakkelijken om elektrische voertuigen in Spanje te bevorderen en heeft twee mijlpalen. De eerste hiervan is gevormd door Besluit TMA/178/2020 van 19 februari tot wijziging van de Verordening van 16 december 1997, dat de toegang tot rijkswegen, dienstwegen en de aanleg van dienstvoorzieningen regelt, en bij Koninklijk Wetsbesluit 23/2020 van 23 juni, die maatregelen op het gebied van energie en andere gebieden voor economische reactivering goedkeurt. De tweede mijlpaal van de C1.R1-hervorming omvat de goedkeuring van dit Koninklijk Besluit tot wijziging van de Technische Bouwwet en Koninklijk Besluit 1053/2014 van 12 december tot goedkeuring van een nieuwe Aanvullende technische instructie (ITC) BT 52.  Hervorm C1.R1. is gekoppeld aan investering C1.I2 ‘Stimuleringsplan voor de installatie van oplaadpunten, de aanschaf van elektrische voertuigen en brandstofcelvoertuigen en innovatie op het gebied van elektromobiliteit, opladen en groene waterstof.’ Deze investering omvat steunlijnen voor de installatie van oplaadstations zoals gespecificeerd in Koninklijk Besluit 266/2021 van 13 april tot goedkeuring van de rechtstreekse toekenning van steun aan de autonome gemeenschappen en de steden Ceuta en Melilla voor de uitvoering van stimuleringsprogramma's in verband met elektrische mobiliteit (MOVES III) in het kader van het PRTR. </w:t>
      </w:r>
    </w:p>
    <w:p w14:paraId="65C24996" w14:textId="1073EF13" w:rsidR="003F7C25" w:rsidRPr="001C78CB" w:rsidRDefault="003F7C25" w:rsidP="005074AB">
      <w:pPr>
        <w:jc w:val="both"/>
        <w:rPr>
          <w:rFonts w:cstheme="minorHAnsi"/>
          <w:bCs/>
          <w:i/>
          <w:iCs/>
        </w:rPr>
      </w:pPr>
      <w:r>
        <w:t xml:space="preserve">Dit Koninklijk Besluit eerbiedigt het (beginsel van Do No Significant Harm (DNSH)) en de voorwaarden voor klimaat- en digitale etikettering, in overeenstemming met de bepalingen van het PRTR, Verordening (EU) 2021/241 van het Europees Parlement en de Raad van 12 februari 2021 tot instelling van de herstel- en veerkrachtfaciliteit, en de uitvoeringswetgeving daarvan, met name de mededeling van de technische richtlijnen van de Commissie over de toepassing van het beginsel van geen significante schade krachtens de verordening veerkracht en herstelmechanisme, en de vereisten van het uitvoeringsbesluit van de Raad over de goedkeuring van de evaluatie van het Spaanse herstel-, transformatie- en veerkrachtplan. Dit omvat de naleving van de specifieke voorwaarden uiteengezet in component 1, alsook in hervorming 1 waarin dit Koninklijk Besluit is ingekaderd, zowel met betrekking tot het DNSH-principe als met betrekking tot klimaat- en digitale etikettering, en met name die uiteengezet in artikelen 3, 6 en 8 van het PRTR Component-document. PRTR-investeringen C1.I2, in verband met hervorming C1.R1, respecteren ook het beginsel van geen significante schade aan het milieu en de klimaatomstandigheden en digitale etikettering. </w:t>
      </w:r>
    </w:p>
    <w:p w14:paraId="16D6EC35" w14:textId="6F02251C" w:rsidR="005074AB" w:rsidRPr="009064BC" w:rsidRDefault="005074AB" w:rsidP="005074AB">
      <w:pPr>
        <w:ind w:left="13"/>
        <w:jc w:val="both"/>
        <w:rPr>
          <w:rFonts w:cstheme="minorHAnsi"/>
        </w:rPr>
      </w:pPr>
      <w:r>
        <w:t xml:space="preserve">Dit Koninklijk Besluit is in overeenstemming met de beginselen van noodzakelijkheid, doeltreffendheid, evenredigheid, rechtszekerheid, transparantie en efficiëntie die zijn vastgelegd in artikel 129 van wet 39/2015 van 1 oktober betreffende de gemeenschappelijke administratieve procedure van overheidsdiensten. Wat de beginselen van noodzakelijkheid en doeltreffendheid betreft, beantwoordt de wet aan de verplichting om Europese richtlijnen in nationaal recht om te zetten en is zij in overeenstemming met doelstellingen van algemeen belang, zoals de aanpassing van de infrastructuur voor gebouwen ter bevordering van duurzame mobiliteit en het gebruik van hernieuwbare energie. Dit zal leiden tot welzijn in de samenleving en bescherming van het milieu. Dit Koninklijk Besluit is ook in overeenstemming met het evenredigheidsbeginsel, aangezien het voorziet in de noodzakelijke en toereikende middelen om het wettelijk mandaat van de richtlijn uit te voeren, maar geen innovatie vereist die overbodig is of verder gaat dan de wettelijke vereisten, en evenmin een beperking van de </w:t>
      </w:r>
      <w:r>
        <w:lastRenderedPageBreak/>
        <w:t>rechten van de burger inhoudt. Deze verordening voldoet aan het rechtszekerheidsbeginsel, omdat zij is ontwikkeld volgens de procedures van regeringswet 50/1997 van 27 november 1997 en het transparantiebeginsel, omdat het doel ervan duidelijk wordt omschreven en de inhoud ervan in de openbaar toegankelijke toelichting volledig wordt verklaart. Ten slotte voldoet het ook aan het efficiëntiebeginsel, omdat het geen administratieve lasten met zich meebrengt.</w:t>
      </w:r>
    </w:p>
    <w:p w14:paraId="4E30715D" w14:textId="77777777" w:rsidR="005074AB" w:rsidRPr="009064BC" w:rsidRDefault="005074AB" w:rsidP="005074AB">
      <w:pPr>
        <w:jc w:val="both"/>
        <w:rPr>
          <w:rFonts w:cstheme="minorHAnsi"/>
        </w:rPr>
      </w:pPr>
      <w:r>
        <w:t>Deze algemene bepaling is onderworpen aan de informatieprocedure op het gebied van technische voorschriften en regels betreffende de diensten van de informatiemaatschappij, zoals bepaald in Richtlijn (EU) 2015/1535 van het Europees Parlement en de Raad van 9 september 2015, alsook in Koninklijk Besluit 1337/1999 van 31 juli 1999.</w:t>
      </w:r>
    </w:p>
    <w:p w14:paraId="533AAB8D" w14:textId="741A459B" w:rsidR="003C546E" w:rsidRDefault="003C546E" w:rsidP="003C546E">
      <w:pPr>
        <w:jc w:val="both"/>
        <w:rPr>
          <w:rFonts w:cstheme="minorHAnsi"/>
        </w:rPr>
      </w:pPr>
      <w:r>
        <w:t>Op grond hiervan, op voorstel van de minister van Vervoer, Mobiliteit en Stedelijke Agenda en de Derde vicepremier van de regering en minister van Ecologische Transitie en Demografische Uitdaging, in overeenstemming met de Raad van State en na beraadslagingen van de Raad van Ministers in zijn zitting over</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HET VOLGENDE IS BESLUIT:</w:t>
      </w:r>
    </w:p>
    <w:p w14:paraId="29194849" w14:textId="17EA67F9" w:rsidR="005074AB" w:rsidRPr="0033081E" w:rsidRDefault="002A5A94" w:rsidP="005074AB">
      <w:pPr>
        <w:jc w:val="both"/>
        <w:rPr>
          <w:rFonts w:cstheme="minorHAnsi"/>
          <w:bCs/>
          <w:i/>
          <w:iCs/>
        </w:rPr>
      </w:pPr>
      <w:r>
        <w:t xml:space="preserve">Enkel artikel. </w:t>
      </w:r>
      <w:r>
        <w:rPr>
          <w:i/>
        </w:rPr>
        <w:t>Wijziging van de Technisch Bouwwet (CTE), goedgekeurd bij Koninklijk Besluit 314/2006 van 17 maart 2006.</w:t>
      </w:r>
    </w:p>
    <w:p w14:paraId="49F6DB5C" w14:textId="77777777" w:rsidR="005074AB" w:rsidRPr="009064BC" w:rsidRDefault="005074AB" w:rsidP="005074AB">
      <w:pPr>
        <w:jc w:val="both"/>
        <w:rPr>
          <w:rFonts w:cstheme="minorHAnsi"/>
        </w:rPr>
      </w:pPr>
      <w:r>
        <w:t>Koninklijk Besluit 314/2006 van 17 maart 2006 tot goedkeuring van de Technische Bouwwet (CTE) wordt als volgt gewijzigd:</w:t>
      </w:r>
    </w:p>
    <w:p w14:paraId="1E4A23CD" w14:textId="3CA20F16" w:rsidR="005074AB" w:rsidRPr="009064BC" w:rsidRDefault="005074AB" w:rsidP="005074AB">
      <w:pPr>
        <w:ind w:left="567" w:hanging="567"/>
        <w:jc w:val="both"/>
        <w:rPr>
          <w:rFonts w:cstheme="minorHAnsi"/>
        </w:rPr>
      </w:pPr>
      <w:r>
        <w:t>Eén. Deel I van de Technische Bouwwet wordt als volgt gewijzigd:</w:t>
      </w:r>
    </w:p>
    <w:p w14:paraId="7B36765A" w14:textId="6C7BF234" w:rsidR="006B44D8" w:rsidRPr="009064BC" w:rsidRDefault="006B44D8" w:rsidP="0033081E">
      <w:pPr>
        <w:ind w:left="142" w:hanging="142"/>
        <w:jc w:val="both"/>
        <w:rPr>
          <w:rFonts w:cstheme="minorHAnsi"/>
        </w:rPr>
      </w:pPr>
      <w:r>
        <w:t>— In de inhoudsopgave de naam «15.6. Basisvereiste HE5: Minimum elektriciteitsopwekking’ komt te luiden als volg:</w:t>
      </w:r>
    </w:p>
    <w:p w14:paraId="750B02FB" w14:textId="5E773080" w:rsidR="006B44D8" w:rsidRPr="009064BC" w:rsidRDefault="006B44D8" w:rsidP="00F11565">
      <w:pPr>
        <w:ind w:left="426"/>
        <w:jc w:val="both"/>
        <w:rPr>
          <w:rFonts w:cstheme="minorHAnsi"/>
        </w:rPr>
      </w:pPr>
      <w:r>
        <w:t>«15,6. Basisvereiste HE 5: Afdeling HE5 Minimum elektriciteitsopwekking uit hernieuwbare bronnen.”</w:t>
      </w:r>
    </w:p>
    <w:p w14:paraId="0B75EAC4" w14:textId="77777777" w:rsidR="006B44D8" w:rsidRPr="009064BC" w:rsidRDefault="006B44D8" w:rsidP="006B44D8">
      <w:pPr>
        <w:numPr>
          <w:ilvl w:val="0"/>
          <w:numId w:val="9"/>
        </w:numPr>
        <w:ind w:left="142" w:hanging="142"/>
        <w:jc w:val="both"/>
        <w:rPr>
          <w:rFonts w:cstheme="minorHAnsi"/>
        </w:rPr>
      </w:pPr>
      <w:r>
        <w:t>In de verwijzing naar artikel 15 in het register wordt een extra punt met de volgende tekst ingevoegd:</w:t>
      </w:r>
    </w:p>
    <w:p w14:paraId="1C1AB680" w14:textId="1D8C7D23" w:rsidR="006B44D8" w:rsidRPr="009064BC" w:rsidRDefault="007E461E" w:rsidP="00F11565">
      <w:pPr>
        <w:ind w:left="426"/>
        <w:jc w:val="both"/>
        <w:rPr>
          <w:rFonts w:cstheme="minorHAnsi"/>
        </w:rPr>
      </w:pPr>
      <w:r>
        <w:t>«15,7. Basisvereiste HE6: Minimale oplaadinfrastructuurvoorzieningen voor elektrische voertuigen.</w:t>
      </w:r>
    </w:p>
    <w:p w14:paraId="03B3513D" w14:textId="1133ED17" w:rsidR="001E31F3" w:rsidRPr="002C30D6" w:rsidRDefault="005074AB" w:rsidP="005074AB">
      <w:pPr>
        <w:numPr>
          <w:ilvl w:val="0"/>
          <w:numId w:val="9"/>
        </w:numPr>
        <w:ind w:left="142" w:hanging="142"/>
        <w:jc w:val="both"/>
        <w:rPr>
          <w:rFonts w:cstheme="minorHAnsi"/>
        </w:rPr>
      </w:pPr>
      <w:r>
        <w:t>In hoofdstuk 3 wordt artikel 15, punt 15.6, als volgt gewijzigd:</w:t>
      </w:r>
    </w:p>
    <w:p w14:paraId="1E36A006" w14:textId="3C6E29CB" w:rsidR="001E31F3" w:rsidRPr="009064BC" w:rsidRDefault="00F11565" w:rsidP="00F11565">
      <w:pPr>
        <w:pStyle w:val="ListParagraph"/>
        <w:ind w:left="426"/>
        <w:jc w:val="both"/>
        <w:rPr>
          <w:rFonts w:cstheme="minorHAnsi"/>
        </w:rPr>
      </w:pPr>
      <w:r>
        <w:t>'15.6 Basisvereiste HE 5: Minimale elektriciteitsopwekking uit hernieuwbare bronnen.</w:t>
      </w:r>
    </w:p>
    <w:p w14:paraId="4799EB9C" w14:textId="22AE3D4A" w:rsidR="001E31F3" w:rsidRPr="009064BC" w:rsidRDefault="001B0467" w:rsidP="00F11565">
      <w:pPr>
        <w:ind w:left="426"/>
        <w:jc w:val="both"/>
        <w:rPr>
          <w:rFonts w:cstheme="minorHAnsi"/>
        </w:rPr>
      </w:pPr>
      <w:r>
        <w:t>Gebouwen moeten beschikken over elektriciteitsopwekkingssystemen uit hernieuwbare bronnen voor eigen gebruik of voor levering aan het net.’</w:t>
      </w:r>
    </w:p>
    <w:p w14:paraId="799517C6" w14:textId="6A449415" w:rsidR="005074AB" w:rsidRPr="009064BC" w:rsidRDefault="001E31F3" w:rsidP="005074AB">
      <w:pPr>
        <w:numPr>
          <w:ilvl w:val="0"/>
          <w:numId w:val="9"/>
        </w:numPr>
        <w:ind w:left="142" w:hanging="142"/>
        <w:jc w:val="both"/>
        <w:rPr>
          <w:rFonts w:cstheme="minorHAnsi"/>
        </w:rPr>
      </w:pPr>
      <w:r>
        <w:t>Aan het einde van artikel 15 wordt het volgende ingevoegd:</w:t>
      </w:r>
    </w:p>
    <w:p w14:paraId="67BDEE2E" w14:textId="77777777" w:rsidR="005074AB" w:rsidRPr="009064BC" w:rsidRDefault="005074AB" w:rsidP="00F11565">
      <w:pPr>
        <w:ind w:left="426"/>
        <w:jc w:val="both"/>
        <w:rPr>
          <w:rFonts w:cstheme="minorHAnsi"/>
        </w:rPr>
      </w:pPr>
      <w:r>
        <w:t>«15.7 Basisvereiste HE 6: Minimale oplaadinfrastructuurvoorzieningen voor elektrische voertuigen.</w:t>
      </w:r>
    </w:p>
    <w:p w14:paraId="7C67403C" w14:textId="535BDE0B" w:rsidR="005074AB" w:rsidRDefault="005074AB" w:rsidP="00F11565">
      <w:pPr>
        <w:ind w:left="426"/>
        <w:jc w:val="both"/>
        <w:rPr>
          <w:rFonts w:cstheme="minorHAnsi"/>
        </w:rPr>
      </w:pPr>
      <w:r>
        <w:t>Gebouwen moeten een minimale infrastructuur hebben die het opladen van elektrische voertuigen mogelijk maakt.’</w:t>
      </w:r>
    </w:p>
    <w:p w14:paraId="6F674517" w14:textId="77777777" w:rsidR="002A5A94" w:rsidRPr="000E4F56" w:rsidRDefault="002A5A94" w:rsidP="002A5A94">
      <w:pPr>
        <w:pStyle w:val="ListParagraph"/>
        <w:numPr>
          <w:ilvl w:val="0"/>
          <w:numId w:val="9"/>
        </w:numPr>
        <w:ind w:left="142" w:hanging="142"/>
        <w:jc w:val="both"/>
        <w:rPr>
          <w:rFonts w:cstheme="minorHAnsi"/>
        </w:rPr>
      </w:pPr>
      <w:r>
        <w:lastRenderedPageBreak/>
        <w:t>De volgende aanvullende bepaling wordt ingevoegd:</w:t>
      </w:r>
    </w:p>
    <w:p w14:paraId="2417D1DC" w14:textId="3DAEE52F" w:rsidR="002A5A94" w:rsidRPr="0033081E" w:rsidRDefault="002A5A94" w:rsidP="002A5A94">
      <w:pPr>
        <w:ind w:left="426"/>
        <w:jc w:val="both"/>
        <w:rPr>
          <w:rFonts w:cstheme="minorHAnsi"/>
          <w:bCs/>
          <w:i/>
          <w:iCs/>
        </w:rPr>
      </w:pPr>
      <w:r>
        <w:t xml:space="preserve">'Enkele aanvullende bepaling. </w:t>
      </w:r>
      <w:r>
        <w:rPr>
          <w:i/>
        </w:rPr>
        <w:t>Minimale oplaadinfrastructuurvoorzieningen voor elektrische voertuigen in gebouwen voor andere doeleinden dan particuliere residentiële gebouwen met meer dan twintig parkeerplaatsen.</w:t>
      </w:r>
    </w:p>
    <w:p w14:paraId="71CE31DD" w14:textId="72E1754E" w:rsidR="0067270E" w:rsidRPr="008F4D49" w:rsidRDefault="0067270E" w:rsidP="0067270E">
      <w:pPr>
        <w:ind w:left="426"/>
        <w:jc w:val="both"/>
      </w:pPr>
      <w:r>
        <w:t>Overeenkomstig de bepalingen van wet 7/2021 van 20 mei inzake klimaatverandering en energietransitie moeten vóór 1 januari 2023 alle gebouwen voor ander gebruik dan residentieel gebruik met een parkeerplaats met meer dan twintig parkeerplaatsen, binnen of in een aangewezen buitenruimte, moeten minimaal over de volgende oplaadinfrastructuur voor elektrische voertuigen beschikken:</w:t>
      </w:r>
    </w:p>
    <w:p w14:paraId="2339A7CE" w14:textId="2F683544" w:rsidR="0067270E" w:rsidRPr="00DC3EE9" w:rsidRDefault="0067270E" w:rsidP="00675D0E">
      <w:pPr>
        <w:ind w:left="426"/>
        <w:jc w:val="both"/>
        <w:rPr>
          <w:rFonts w:cstheme="minorHAnsi"/>
        </w:rPr>
      </w:pPr>
      <w:r>
        <w:t>— in het algemeen wordt één oplaadstation voor elke 40 parkeerplaatsen of gelijkwaardig tot 1.000 plaatsen, en één extra laadstation voor elke extra 100 plaatsen of gelijkwaardig geïnstalleerd. Als alternatief wordt de gemeentelijke vergunning of machtiging aangevraagd voor de werkzaamheden die nodig zijn om deze oplaadinfrastructuur uit te voeren of, indien de eigenaar van het gebouw onderworpen is aan Wet 9/2017 van 8 november inzake overheidsopdrachten, waarbij de richtlijnen van het Europees Parlement en de Raad 2014/23/EU en 2014/24/EU van 26 februari 2014 in Spaans recht zijn omgezet, de aanbesteding voor genoemd werk of het project of het technische document dat nodig is om dit te definiëren, wordt geïnitieerd door middel van een aankondiging op het bijbehorende aanbestedingsplatform</w:t>
      </w:r>
      <w:bookmarkStart w:id="0" w:name="_Hlk74840570"/>
      <w:r>
        <w:t>. Werkzaamheden die door een aanvraag voor een gemeentelijke vergunning of machtiging officieel zijn ingediend, moeten aanvangen binnen de maximumtermijn voor de doeltreffendheid van de vergunning overeenkomstig de toepasselijke voorschriften en, bij gebreke daarvan, binnen zes maanden na de datum waarop de vergunning is verleend. De werkzaamheden die officieel zijn gemaakt bij de aanvang van hun aanbesteding of de aanbesteding van het project of het technisch document waarin ze worden gedefinieerd, moeten beginnen binnen de maximale geldigheidsduur van de vergunning, de gemeentelijke machtiging of gelijkwaardig of, bij gebrek daaraan, binnen zes maanden na de datum waarop ze zijn verleend.</w:t>
      </w:r>
    </w:p>
    <w:bookmarkEnd w:id="0"/>
    <w:p w14:paraId="58AB7358" w14:textId="65977551" w:rsidR="00F90C96" w:rsidRPr="008F4D49" w:rsidRDefault="0067270E" w:rsidP="00EA32C0">
      <w:pPr>
        <w:ind w:left="426"/>
        <w:jc w:val="both"/>
        <w:rPr>
          <w:rFonts w:cstheme="minorHAnsi"/>
        </w:rPr>
      </w:pPr>
      <w:r>
        <w:t>— in gebouwen die eigendom zijn van de Algemene Administratie van de Staat of van een daarmee verbonden of toebehorende openbare organisatie, moet één oplaadstation worden geïnstalleerd voor elke 20 parkeerplaatsen of gelijkwaardig tot 500 plaatsen, en één extra oplaadstation voor elke extra 100 parkeerplaatsen ruimten of gelijkwaardig, of de aanbestedingsprocedure voor de werken of het project of het technische document dat nodig is voor de definitie van de werken, wordt geïnitieerd door middel van een aankondiging in het desbetreffende aanbestedingsplatform. De werkzaamheden die officieel zijn gemaakt bij de aanvang van hun aanbesteding of de aanbesteding van het project of het technisch document waarin ze worden gedefinieerd, moeten beginnen binnen de maximale geldigheidsduur van de vergunning, de gemeentelijke machtiging of gelijkwaardig of, bij gebrek daaraan, binnen zes maanden na de datum waarop ze zijn verleend.</w:t>
      </w:r>
    </w:p>
    <w:p w14:paraId="354182C6" w14:textId="54A09FDC" w:rsidR="002A5A94" w:rsidRPr="00BA4C0D" w:rsidRDefault="002A5A94" w:rsidP="00210EA2">
      <w:pPr>
        <w:ind w:left="426"/>
        <w:jc w:val="both"/>
      </w:pPr>
      <w:r>
        <w:t xml:space="preserve">Officieel beschermde gebouwen zijn van deze verplichtingen uitgesloten omdat zij deel uitmaken van een aangegeven omgeving of vanwege hun bijzondere architectonische of historische waarde, voor zover de naleving van de eis op onredelijke wijze hun karakter of </w:t>
      </w:r>
      <w:r>
        <w:lastRenderedPageBreak/>
        <w:t>uiterlijk zou kunnen wijzigen, en de officiële beschermingsautoriteit de onveranderbare elementen bepaalt.</w:t>
      </w:r>
    </w:p>
    <w:p w14:paraId="0662362C" w14:textId="0FC45639" w:rsidR="002A5A94" w:rsidRPr="0062182D" w:rsidRDefault="002A5A94" w:rsidP="0062182D">
      <w:pPr>
        <w:pStyle w:val="ListParagraph"/>
        <w:ind w:left="426"/>
        <w:jc w:val="both"/>
        <w:rPr>
          <w:rFonts w:cstheme="minorHAnsi"/>
        </w:rPr>
      </w:pPr>
      <w:r>
        <w:t>Deze oplaadinfrastructuur voor elektrische voertuigen zal voldoen aan de bepalingen van Koninklijk Besluit 842/2002 van 2 augustus, dat het Elektrotechnisch Reglement voor Laagspanning en de Aanvullende Technische Instructie (ITC) BT 52 ‘Installaties voor speciale doeleinden’ goedkeurt. Oplaadinfrastructuur voor elektrische voertuigen’, alsmede de bepalingen van artikel 4. ‘Rechtvaardiging van de vereiste’ en 5. ‘Bouw, onderhoud en instandhouding’ van afdeling HE 6 ‘Minimale oplaadinfrastructuurvoorzieningen voor elektrische voertuigen’ van het Basisdocument DB-HE "Energiebesparingen".’</w:t>
      </w:r>
    </w:p>
    <w:p w14:paraId="0769E30E" w14:textId="6A51451B" w:rsidR="0033081E" w:rsidRPr="008F4D49" w:rsidRDefault="005074AB" w:rsidP="00D47CC2">
      <w:pPr>
        <w:jc w:val="both"/>
        <w:rPr>
          <w:rFonts w:cstheme="minorHAnsi"/>
        </w:rPr>
      </w:pPr>
      <w:r>
        <w:t xml:space="preserve">Twee. Het Basisdocument DB-HE ‘Energiebesparingen’ in deel II van de Technische Bouwwet, wordt gewijzigd met invoeging van afdeling HE 6 ‘Minimale oplaadinfrastructuurvoorzieningen voor elektrische voertuigen’ opgenomen als bijlage I bij dit Koninklijk Besluit. </w:t>
      </w:r>
    </w:p>
    <w:p w14:paraId="5DC46FAC" w14:textId="4A465EFF" w:rsidR="005074AB" w:rsidRPr="008F4D49" w:rsidRDefault="005074AB" w:rsidP="005074AB">
      <w:pPr>
        <w:spacing w:after="162"/>
        <w:ind w:left="13"/>
        <w:jc w:val="both"/>
        <w:rPr>
          <w:rFonts w:cstheme="minorHAnsi"/>
        </w:rPr>
      </w:pPr>
      <w:r>
        <w:t>Ook in het basisdocument DB-HE worden de volgende wijzigingen aangebracht:</w:t>
      </w:r>
    </w:p>
    <w:p w14:paraId="53FD09BA" w14:textId="1FBEE4B0" w:rsidR="005074AB" w:rsidRPr="009064BC" w:rsidRDefault="005074AB" w:rsidP="006424FF">
      <w:pPr>
        <w:numPr>
          <w:ilvl w:val="0"/>
          <w:numId w:val="13"/>
        </w:numPr>
        <w:spacing w:after="162"/>
        <w:ind w:left="720" w:hanging="295"/>
        <w:jc w:val="both"/>
        <w:rPr>
          <w:rFonts w:cstheme="minorHAnsi"/>
        </w:rPr>
      </w:pPr>
      <w:r>
        <w:t>In de eerste alinea van artikel ‘I Onderwerp’ van de ‘Inleiding’ in de zin ‘Afdeling van deze DB komen overeen met de basisvereisten HE 0 a tot en met HE 5’, in plaats van ‘HE 5’, moet ‘HE 6’ worden vermeld.</w:t>
      </w:r>
    </w:p>
    <w:p w14:paraId="7957EC48" w14:textId="441BEE49" w:rsidR="006F5E38" w:rsidRPr="009064BC" w:rsidRDefault="006F5E38" w:rsidP="006424FF">
      <w:pPr>
        <w:numPr>
          <w:ilvl w:val="0"/>
          <w:numId w:val="13"/>
        </w:numPr>
        <w:spacing w:after="162"/>
        <w:ind w:left="720" w:hanging="295"/>
        <w:jc w:val="both"/>
        <w:rPr>
          <w:rFonts w:cstheme="minorHAnsi"/>
        </w:rPr>
      </w:pPr>
      <w:r>
        <w:t>In afdeling I ‘Onderwerp’ van de ‘Inleiding’ wordt de verwijzing naar artikel 15.6 van deel I van het CTE als volgt gewijzigd:</w:t>
      </w:r>
    </w:p>
    <w:p w14:paraId="5F1636DD" w14:textId="77777777" w:rsidR="006F5E38" w:rsidRPr="009064BC" w:rsidRDefault="006F5E38" w:rsidP="009064BC">
      <w:pPr>
        <w:pStyle w:val="ListParagraph"/>
        <w:ind w:left="709"/>
        <w:contextualSpacing w:val="0"/>
        <w:jc w:val="both"/>
        <w:rPr>
          <w:rFonts w:cstheme="minorHAnsi"/>
        </w:rPr>
      </w:pPr>
      <w:r>
        <w:t>«15.6 Basisvereiste HE 5: Minimale elektriciteitsopwekking uit hernieuwbare bronnen.</w:t>
      </w:r>
    </w:p>
    <w:p w14:paraId="6BB983CA" w14:textId="72439AD8" w:rsidR="006F5E38" w:rsidRPr="009064BC" w:rsidRDefault="006F5E38" w:rsidP="009064BC">
      <w:pPr>
        <w:pStyle w:val="ListParagraph"/>
        <w:spacing w:after="162"/>
        <w:ind w:left="709"/>
        <w:contextualSpacing w:val="0"/>
        <w:jc w:val="both"/>
        <w:rPr>
          <w:rFonts w:cstheme="minorHAnsi"/>
        </w:rPr>
      </w:pPr>
      <w:r>
        <w:t>Gebouwen moeten beschikken over elektriciteitsopwekkingssystemen uit hernieuwbare bronnen voor eigen gebruik of voor levering aan het net.’</w:t>
      </w:r>
    </w:p>
    <w:p w14:paraId="2D6B0228" w14:textId="7AFD12CA" w:rsidR="005074AB" w:rsidRPr="009064BC" w:rsidRDefault="005074AB" w:rsidP="006424FF">
      <w:pPr>
        <w:numPr>
          <w:ilvl w:val="0"/>
          <w:numId w:val="13"/>
        </w:numPr>
        <w:spacing w:after="162"/>
        <w:ind w:left="720" w:hanging="295"/>
        <w:jc w:val="both"/>
        <w:rPr>
          <w:rFonts w:cstheme="minorHAnsi"/>
        </w:rPr>
      </w:pPr>
      <w:r>
        <w:t>In deel I ‘Onderwerp’ van de ‘Inleiding’ wordt in de verwijzing naar artikel 15 van deel I van het CTE aan het einde van de CTE een extra punt ingevoegd, met de volgende tekst:</w:t>
      </w:r>
    </w:p>
    <w:p w14:paraId="7D3E8D59" w14:textId="77777777" w:rsidR="005074AB" w:rsidRPr="009064BC" w:rsidRDefault="005074AB" w:rsidP="006424FF">
      <w:pPr>
        <w:ind w:left="709"/>
        <w:jc w:val="both"/>
        <w:rPr>
          <w:rFonts w:cstheme="minorHAnsi"/>
        </w:rPr>
      </w:pPr>
      <w:r>
        <w:t>«15,7. Basisvereiste HE 6: Minimale oplaadinfrastructuurvoorzieningen voor elektrische voertuigen.</w:t>
      </w:r>
    </w:p>
    <w:p w14:paraId="63C180D9" w14:textId="77777777" w:rsidR="005074AB" w:rsidRPr="009064BC" w:rsidRDefault="005074AB" w:rsidP="006424FF">
      <w:pPr>
        <w:ind w:left="709"/>
        <w:jc w:val="both"/>
        <w:rPr>
          <w:rFonts w:cstheme="minorHAnsi"/>
        </w:rPr>
      </w:pPr>
      <w:r>
        <w:t>Gebouwen moeten een minimale infrastructuur hebben die het opladen van elektrische voertuigen mogelijk maakt.’</w:t>
      </w:r>
    </w:p>
    <w:p w14:paraId="2CCB9F35" w14:textId="1C8D3E4F" w:rsidR="001B0467" w:rsidRPr="009064BC" w:rsidRDefault="001B0467" w:rsidP="006424FF">
      <w:pPr>
        <w:numPr>
          <w:ilvl w:val="0"/>
          <w:numId w:val="13"/>
        </w:numPr>
        <w:ind w:left="720" w:hanging="294"/>
        <w:jc w:val="both"/>
        <w:rPr>
          <w:rFonts w:cstheme="minorHAnsi"/>
        </w:rPr>
      </w:pPr>
      <w:r>
        <w:t>In de inhoudsopgave wordt de titel van afdeling HE 5 als volgt gewijzigd:</w:t>
      </w:r>
    </w:p>
    <w:p w14:paraId="7DC0F11B" w14:textId="4E9858DC" w:rsidR="001B0467" w:rsidRPr="009064BC" w:rsidRDefault="001B0467" w:rsidP="001B0467">
      <w:pPr>
        <w:pStyle w:val="ListParagraph"/>
        <w:ind w:left="709"/>
        <w:jc w:val="both"/>
        <w:rPr>
          <w:rFonts w:cstheme="minorHAnsi"/>
        </w:rPr>
      </w:pPr>
      <w:r>
        <w:t>«Sectie HE 5 Minimale opwekking van elektrische energie uit hernieuwbare bronnen.»</w:t>
      </w:r>
    </w:p>
    <w:p w14:paraId="1178E5DE" w14:textId="4953BECD" w:rsidR="005074AB" w:rsidRPr="009064BC" w:rsidRDefault="005074AB" w:rsidP="006424FF">
      <w:pPr>
        <w:numPr>
          <w:ilvl w:val="0"/>
          <w:numId w:val="13"/>
        </w:numPr>
        <w:ind w:left="720" w:hanging="294"/>
        <w:jc w:val="both"/>
        <w:rPr>
          <w:rFonts w:cstheme="minorHAnsi"/>
        </w:rPr>
      </w:pPr>
      <w:r>
        <w:t>In de verwijzing naar artikel 15 in het register wordt een extra punt met de volgende tekst ingevoegd:</w:t>
      </w:r>
    </w:p>
    <w:p w14:paraId="661731BD" w14:textId="43E5ECF0" w:rsidR="005074AB" w:rsidRPr="009064BC" w:rsidRDefault="00982E58" w:rsidP="00982E58">
      <w:pPr>
        <w:tabs>
          <w:tab w:val="left" w:pos="7938"/>
        </w:tabs>
        <w:ind w:left="1134" w:hanging="425"/>
        <w:contextualSpacing/>
        <w:jc w:val="both"/>
        <w:rPr>
          <w:rFonts w:cstheme="minorHAnsi"/>
        </w:rPr>
      </w:pPr>
      <w:r>
        <w:t>‘Afdeling HE 6 Minimale oplaadinfrastructuurvoorzieningen voor elektrische voertuigen……………………………………………………………………………………..……………..33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Toepassingsgebied........................................................................................</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Beschrijving van de vereiste……………………………………………………………………</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Kwantificering van de vereiste………………………………………………………………..</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Rechtvaardiging van de vereiste……………………………………………………………………</w:t>
      </w:r>
      <w:r>
        <w:tab/>
        <w:t>34</w:t>
      </w:r>
    </w:p>
    <w:p w14:paraId="7CB375BD" w14:textId="338BA3F1" w:rsidR="005074AB" w:rsidRPr="009064BC" w:rsidRDefault="005074AB" w:rsidP="00982E58">
      <w:pPr>
        <w:numPr>
          <w:ilvl w:val="0"/>
          <w:numId w:val="10"/>
        </w:numPr>
        <w:tabs>
          <w:tab w:val="left" w:pos="7938"/>
        </w:tabs>
        <w:ind w:left="1134" w:hanging="425"/>
        <w:contextualSpacing/>
        <w:jc w:val="both"/>
        <w:rPr>
          <w:rFonts w:cstheme="minorHAnsi"/>
        </w:rPr>
      </w:pPr>
      <w:r>
        <w:t>Bouw, onderhoud en instandhouding……………………………………………………....35</w:t>
      </w:r>
    </w:p>
    <w:p w14:paraId="0BB8C82D" w14:textId="09943AE3" w:rsidR="005074AB" w:rsidRPr="009064BC" w:rsidRDefault="006424FF" w:rsidP="00982E58">
      <w:pPr>
        <w:tabs>
          <w:tab w:val="left" w:pos="7938"/>
        </w:tabs>
        <w:ind w:left="1843" w:hanging="425"/>
        <w:contextualSpacing/>
        <w:jc w:val="both"/>
        <w:rPr>
          <w:rFonts w:cstheme="minorHAnsi"/>
        </w:rPr>
      </w:pPr>
      <w:r>
        <w:lastRenderedPageBreak/>
        <w:t>5.1</w:t>
      </w:r>
      <w:r>
        <w:tab/>
        <w:t>Uitvoering……………………………………………………………………………………….</w:t>
      </w:r>
      <w:r>
        <w:tab/>
        <w:t>35</w:t>
      </w:r>
    </w:p>
    <w:p w14:paraId="4AE42B35" w14:textId="4C245099" w:rsidR="005074AB" w:rsidRPr="009064BC" w:rsidRDefault="005074AB" w:rsidP="00982E58">
      <w:pPr>
        <w:tabs>
          <w:tab w:val="left" w:pos="7938"/>
        </w:tabs>
        <w:ind w:left="1843" w:hanging="425"/>
        <w:contextualSpacing/>
        <w:jc w:val="both"/>
        <w:rPr>
          <w:rFonts w:cstheme="minorHAnsi"/>
        </w:rPr>
      </w:pPr>
      <w:r>
        <w:t>5.2</w:t>
      </w:r>
      <w:r>
        <w:tab/>
        <w:t>Toezicht op de uitvoering van de werkzaamheden……………………………..35</w:t>
      </w:r>
    </w:p>
    <w:p w14:paraId="2E5A6752" w14:textId="14B5FD59" w:rsidR="005074AB" w:rsidRPr="009064BC" w:rsidRDefault="005074AB" w:rsidP="00982E58">
      <w:pPr>
        <w:tabs>
          <w:tab w:val="left" w:pos="7938"/>
        </w:tabs>
        <w:ind w:left="1843" w:hanging="436"/>
        <w:contextualSpacing/>
        <w:jc w:val="both"/>
        <w:rPr>
          <w:rFonts w:cstheme="minorHAnsi"/>
        </w:rPr>
      </w:pPr>
      <w:r>
        <w:t>5.3</w:t>
      </w:r>
      <w:r>
        <w:tab/>
        <w:t>Controle van de voltooide werkzaamheden…………………………………………35</w:t>
      </w:r>
    </w:p>
    <w:p w14:paraId="5D3A912D" w14:textId="3B8AEA17" w:rsidR="005074AB" w:rsidRPr="009064BC" w:rsidRDefault="005074AB" w:rsidP="00982E58">
      <w:pPr>
        <w:tabs>
          <w:tab w:val="left" w:pos="7938"/>
        </w:tabs>
        <w:ind w:left="1843" w:hanging="425"/>
        <w:contextualSpacing/>
        <w:jc w:val="both"/>
        <w:rPr>
          <w:rFonts w:cstheme="minorHAnsi"/>
        </w:rPr>
      </w:pPr>
      <w:r>
        <w:t>5.4</w:t>
      </w:r>
      <w:r>
        <w:tab/>
        <w:t>Onderhoud en instandhouding van het gebouw ………………………..……</w:t>
      </w:r>
      <w:r w:rsidR="0046392A">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In afdeling HE 0 ‘Grenswaarden voor energieverbruik’ in artikel 4.1 ‘Berekeningsprocedure’ worden in lid 9 de woorden ‘Erkend document’ vervangen door ‘Erkend energiecertificeringsdocument voor gebouwen’.</w:t>
      </w:r>
    </w:p>
    <w:p w14:paraId="3222E360" w14:textId="2F90CB7E" w:rsidR="0067340E" w:rsidRPr="0067340E" w:rsidRDefault="006C16B4" w:rsidP="0026457E">
      <w:pPr>
        <w:numPr>
          <w:ilvl w:val="0"/>
          <w:numId w:val="13"/>
        </w:numPr>
        <w:ind w:left="720" w:hanging="295"/>
        <w:jc w:val="both"/>
        <w:rPr>
          <w:rFonts w:cstheme="minorHAnsi"/>
        </w:rPr>
      </w:pPr>
      <w:r>
        <w:t>In afdeling HE 0 "Grenswaarden voor energieverbruik", in artikel 4.1 ‘Berekeningsprocedure’, wordt lid 9 lid 11 en worden de volgende alinea's toegevoegd:</w:t>
      </w:r>
    </w:p>
    <w:p w14:paraId="3392DEB4" w14:textId="73112890" w:rsidR="0067340E" w:rsidRDefault="0067340E" w:rsidP="0067340E">
      <w:pPr>
        <w:ind w:left="1134" w:hanging="425"/>
        <w:contextualSpacing/>
        <w:jc w:val="both"/>
        <w:rPr>
          <w:rFonts w:cstheme="minorHAnsi"/>
        </w:rPr>
      </w:pPr>
      <w:r>
        <w:t>«9</w:t>
      </w:r>
      <w:r>
        <w:tab/>
        <w:t>De berekening van de energiebalans die nodig is voor de verificatie van de vereiste van dit BD wordt uitgevoerd in overeenstemming met UNE-EN ISO 52000-1:2019: Algehele beoordeling van de energieprestatie van gebouwen. Deel 1: algemeen kader en procedures, met een exportfactor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Voor de toewijzing van de verschillende diensten wordt de verdeling van de ter plaatse geproduceerde elektriciteit in elk tijdsinterval berekend naar evenredigheid van het elektriciteitsverbruik van het betrokken verbruik (verwarming, koeling, ventilatie, ACS en tertiair gebruik, daarnaast verlichting).’</w:t>
      </w:r>
    </w:p>
    <w:p w14:paraId="78947690" w14:textId="66930B3C" w:rsidR="005074AB" w:rsidRPr="009064BC" w:rsidRDefault="005074AB" w:rsidP="0026457E">
      <w:pPr>
        <w:numPr>
          <w:ilvl w:val="0"/>
          <w:numId w:val="13"/>
        </w:numPr>
        <w:ind w:left="720" w:hanging="294"/>
        <w:jc w:val="both"/>
        <w:rPr>
          <w:rFonts w:cstheme="minorHAnsi"/>
        </w:rPr>
      </w:pPr>
      <w:r>
        <w:t>In afdeling HE 1 ‘Voorwaarden voor de beheersing van de energievraag’ wordt in punt 3.1.1 ‘Transmissie van de thermische omhulling’ de volgende alinea toegevoegd:</w:t>
      </w:r>
    </w:p>
    <w:p w14:paraId="729573A3" w14:textId="05413AE2" w:rsidR="005074AB" w:rsidRPr="009064BC" w:rsidRDefault="005074AB" w:rsidP="006424FF">
      <w:pPr>
        <w:ind w:left="1134" w:hanging="425"/>
        <w:jc w:val="both"/>
        <w:rPr>
          <w:rFonts w:cstheme="minorHAnsi"/>
        </w:rPr>
      </w:pPr>
      <w:r>
        <w:t>«6</w:t>
      </w:r>
      <w:r>
        <w:tab/>
        <w:t>Als alternatief kunnen gebouwen of, in het geval van gedeeltelijke ingrepen op bestaande gebouwen, delen van gebouwen waarop ingrepen worden uitgevoerd, waarvan de vraag naar verwarming en koeling in beide gevallen minder bedraagt dan 15 kWh/m</w:t>
      </w:r>
      <w:r>
        <w:rPr>
          <w:vertAlign w:val="superscript"/>
        </w:rPr>
        <w:t>2</w:t>
      </w:r>
      <w:r>
        <w:t xml:space="preserve">, worden uitgesloten van naleving van de </w:t>
      </w:r>
      <w:r>
        <w:rPr>
          <w:i/>
        </w:rPr>
        <w:t>algemene warmteoverdrachtscoëfficiënt via de thermische omhulling (K)</w:t>
      </w:r>
      <w:r>
        <w:t>.»</w:t>
      </w:r>
    </w:p>
    <w:p w14:paraId="49941342" w14:textId="77777777" w:rsidR="00802B87" w:rsidRDefault="005074AB" w:rsidP="00802B87">
      <w:pPr>
        <w:numPr>
          <w:ilvl w:val="0"/>
          <w:numId w:val="13"/>
        </w:numPr>
        <w:ind w:left="709" w:hanging="283"/>
        <w:contextualSpacing/>
        <w:jc w:val="both"/>
        <w:rPr>
          <w:rFonts w:cstheme="minorHAnsi"/>
        </w:rPr>
      </w:pPr>
      <w:r>
        <w:t>In afdeling HE 1 ‘Voorwaarden voor de beheersing van de energievraag’ in artikel 3.1.3 ‘Luchtdoorlatendheid van de thermische omhulling’ wordt het volgende nieuwe lid 3 toegevoegd:</w:t>
      </w:r>
    </w:p>
    <w:p w14:paraId="1D58DEB1" w14:textId="0D8F3294" w:rsidR="005074AB" w:rsidRPr="00802B87" w:rsidRDefault="005074AB" w:rsidP="00802B87">
      <w:pPr>
        <w:ind w:left="709"/>
        <w:contextualSpacing/>
        <w:jc w:val="both"/>
        <w:rPr>
          <w:rFonts w:cstheme="minorHAnsi"/>
        </w:rPr>
      </w:pPr>
      <w:r>
        <w:t xml:space="preserve">«In het geval van wijzigingen is tabel 3.1.3.a-HE1 hierboven alleen van toepassing op die elementen van de </w:t>
      </w:r>
      <w:r>
        <w:rPr>
          <w:i/>
          <w:iCs/>
        </w:rPr>
        <w:t>thermische omhulling</w:t>
      </w:r>
      <w:r>
        <w:t xml:space="preserve"> die worden vervangen, ingebouwd of substantieel gewijzigd;»</w:t>
      </w:r>
    </w:p>
    <w:p w14:paraId="7563FEDE" w14:textId="74826D79" w:rsidR="005074AB" w:rsidRDefault="005074AB" w:rsidP="00836E07">
      <w:pPr>
        <w:ind w:left="709"/>
        <w:jc w:val="both"/>
        <w:rPr>
          <w:rFonts w:cstheme="minorHAnsi"/>
        </w:rPr>
      </w:pPr>
      <w:r>
        <w:t>De nummering van de huidige leden 3 en 4 van artikel 3.1.3 ‘Luchtdoorlatendheid van de thermische omhulling’ wordt vervangen door respectievelijk 4 en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In afdeling HE 3 Voorwaarden voor verlichtingsinstallaties, in tabel 3.1-HE3 Installatie-efficiëntiegrenswaarde (VEEI</w:t>
      </w:r>
      <w:r>
        <w:rPr>
          <w:vertAlign w:val="subscript"/>
        </w:rPr>
        <w:t>lim</w:t>
      </w:r>
      <w:r>
        <w:t xml:space="preserve">), worden de woorden ‘Warenhuizen en kleine winkels’ vervangen door ‘Warenhuizen en kleine winkels </w:t>
      </w:r>
      <w:r>
        <w:rPr>
          <w:rFonts w:ascii="Calibri" w:hAnsi="Calibri"/>
          <w:vertAlign w:val="subscript"/>
        </w:rPr>
        <w:t>(10)</w:t>
      </w:r>
      <w:r>
        <w:t>’ en wordt de volgende voetnoot toegevoegd:</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De term warenhuis verwijst zowel naar kleine zelfstandige winkels als naar het deel voor commercieel gebruik dat niet vaak in winkelcentra wordt gebruikt.’</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In afdeling HE 4 Minimale bijdrage hernieuwbare energie om te voorzien in de vraag naar warm tapwater, artikel 2 ‘Beschrijving van de vereiste’, moet artikel 1 als volgt luiden:</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Gebouwen moeten grotendeels voldoen aan hun behoeften aan ACS- en waterverwarming voor verwarmde binnenzwembaden die gebruikmaken van of hernieuwbare warmtekrachtkoppelingsprocessen; hetzij in het gebouw zelf, hetzij door de aansluiting op een stadsverwarmingssysteem.»</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In afdeling HE 5 Minimale opwekking van elektrische energie wordt de titel:</w:t>
      </w:r>
    </w:p>
    <w:p w14:paraId="1835914C" w14:textId="7892C477" w:rsidR="005074AB" w:rsidRPr="009064BC" w:rsidRDefault="00836E07" w:rsidP="006F5E38">
      <w:pPr>
        <w:pStyle w:val="ListParagraph"/>
        <w:ind w:left="709"/>
        <w:contextualSpacing w:val="0"/>
        <w:jc w:val="both"/>
        <w:rPr>
          <w:rFonts w:cstheme="minorHAnsi"/>
        </w:rPr>
      </w:pPr>
      <w:r>
        <w:t>‘Afdeling HE 5 Minimale elektriciteitsopwekking uit hernieuwbare bronnen.’</w:t>
      </w:r>
    </w:p>
    <w:p w14:paraId="5A13D3D2" w14:textId="6E7AA8ED" w:rsidR="005074AB" w:rsidRPr="009064BC" w:rsidRDefault="005074AB" w:rsidP="00CC005A">
      <w:pPr>
        <w:numPr>
          <w:ilvl w:val="0"/>
          <w:numId w:val="13"/>
        </w:numPr>
        <w:ind w:left="720" w:hanging="294"/>
        <w:jc w:val="both"/>
        <w:rPr>
          <w:rFonts w:cstheme="minorHAnsi"/>
        </w:rPr>
      </w:pPr>
      <w:r>
        <w:t xml:space="preserve">In afdeling HE 5 Minimale elektriciteitsopwekking wordt artikel 1 ‘Toepassingsgebied’ als volgt geformuleerd: </w:t>
      </w:r>
    </w:p>
    <w:p w14:paraId="45B1F681" w14:textId="77777777" w:rsidR="005074AB" w:rsidRPr="009064BC" w:rsidRDefault="005074AB" w:rsidP="00CC005A">
      <w:pPr>
        <w:ind w:left="1134" w:hanging="425"/>
        <w:jc w:val="both"/>
        <w:rPr>
          <w:rFonts w:cstheme="minorHAnsi"/>
        </w:rPr>
      </w:pPr>
      <w:r>
        <w:t>«1</w:t>
      </w:r>
      <w:r>
        <w:tab/>
        <w:t xml:space="preserve">Deze afdeling is van toepassing in de volgende gevallen: </w:t>
      </w:r>
    </w:p>
    <w:p w14:paraId="10C39280" w14:textId="4335D1B7" w:rsidR="002F2BD0" w:rsidRPr="003934E5" w:rsidRDefault="005074AB" w:rsidP="002F2BD0">
      <w:pPr>
        <w:numPr>
          <w:ilvl w:val="0"/>
          <w:numId w:val="8"/>
        </w:numPr>
        <w:ind w:left="1418" w:hanging="284"/>
        <w:contextualSpacing/>
        <w:jc w:val="both"/>
        <w:rPr>
          <w:rFonts w:cstheme="minorHAnsi"/>
        </w:rPr>
      </w:pPr>
      <w:r>
        <w:t>nieuw gebouwde gebouwen met een constructie groter dan 1.000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uitbreidingen van bestaande gebouwen, wanneer het bebouwde oppervlakte wordt vergroot met meer dan 1.000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bestaande gebouwen die volledig worden gerenoveerd, of waar de gebruikskenmerken ervan worden gewijzigd, wanneer zij meer dan 1.000 m</w:t>
      </w:r>
      <w:r>
        <w:rPr>
          <w:vertAlign w:val="superscript"/>
        </w:rPr>
        <w:t>2</w:t>
      </w:r>
      <w:r>
        <w:t xml:space="preserve"> van de bebouwde oppervlakte hebben.</w:t>
      </w:r>
    </w:p>
    <w:p w14:paraId="2BDE8293" w14:textId="74B0ACD8" w:rsidR="001B0467" w:rsidRPr="003934E5" w:rsidRDefault="00D76296" w:rsidP="001B0467">
      <w:pPr>
        <w:ind w:left="1134"/>
        <w:jc w:val="both"/>
        <w:rPr>
          <w:rFonts w:cstheme="minorHAnsi"/>
        </w:rPr>
      </w:pPr>
      <w:r>
        <w:t xml:space="preserve">De bebouwde oppervlakte omvat de oppervlakte van de parkeerplaatsen binnen het gebouw te omvatten en de gemeenschappelijke buitenruimten uit te sluiten.»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In afdeling HE 5 ‘Minimale elektriciteitsopwekking’ is de eerste alinea van paragraaf 2 ‘Kenmerken van de vereiste’ als volgt geformuleerd:</w:t>
      </w:r>
    </w:p>
    <w:p w14:paraId="477CF5F6" w14:textId="719B0DCE" w:rsidR="001B0467" w:rsidRPr="003934E5" w:rsidRDefault="003934E5" w:rsidP="003934E5">
      <w:pPr>
        <w:pStyle w:val="ListParagraph"/>
        <w:ind w:left="1134" w:hanging="425"/>
        <w:contextualSpacing w:val="0"/>
        <w:jc w:val="both"/>
        <w:rPr>
          <w:rFonts w:cstheme="minorHAnsi"/>
        </w:rPr>
      </w:pPr>
      <w:r>
        <w:t>«1</w:t>
      </w:r>
      <w:r>
        <w:tab/>
        <w:t>Gebouwen moeten beschikken over elektriciteitsopwekkingssystemen uit hernieuwbare bronnen voor eigen gebruik of voor levering aan het net.’</w:t>
      </w:r>
    </w:p>
    <w:p w14:paraId="6586AED4" w14:textId="66518836" w:rsidR="005074AB" w:rsidRPr="003934E5" w:rsidRDefault="005074AB" w:rsidP="00262992">
      <w:pPr>
        <w:pStyle w:val="ListParagraph"/>
        <w:numPr>
          <w:ilvl w:val="0"/>
          <w:numId w:val="13"/>
        </w:numPr>
        <w:ind w:left="709" w:hanging="283"/>
        <w:jc w:val="both"/>
        <w:rPr>
          <w:rFonts w:cstheme="minorHAnsi"/>
        </w:rPr>
      </w:pPr>
      <w:r>
        <w:t>In afdeling HE 5 ‘Minimale opwekking van elektrische energie’, artikel 3 ‘Kwantificering van de vereiste’ luidt als volgt:</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De minimale </w:t>
      </w:r>
      <w:r>
        <w:rPr>
          <w:i/>
        </w:rPr>
        <w:t>vermogen om</w:t>
      </w:r>
      <w:r>
        <w:t xml:space="preserve"> P</w:t>
      </w:r>
      <w:r>
        <w:rPr>
          <w:vertAlign w:val="subscript"/>
        </w:rPr>
        <w:t>min</w:t>
      </w:r>
      <w:r>
        <w:t xml:space="preserve"> te installeren is het laagste van het resultaat van de volgende twee vergelijkingen: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waarbij:</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vermogen om te installeren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vermogensopwekkingsfactor, die waarde 0,005 heeft voor particulier residentieel gebruik en 0,010 voor ander gebruik[kW/m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oppervlakte van de bebouwing van het gebouw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oppervlakte van niet-verkeersbaar dak of alleen toegankelijk voor onderhoud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oppervlakte van niet-verkeersbaar dak of toegankelijk voor onderhoud alleen gebruikt door thermische zonnecollectoren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lastRenderedPageBreak/>
        <w:t>2</w:t>
      </w:r>
      <w:r>
        <w:tab/>
        <w:t xml:space="preserve">In gebouwen waar, om stedelijke of architectonische redenen of omdat het officieel beschermde gebouwen zijn, waar het de autoriteit die de officiële bescherming verleent die de onveranderlijke elementen bepaalt, het minimale </w:t>
      </w:r>
      <w:r>
        <w:rPr>
          <w:i/>
          <w:iCs/>
        </w:rPr>
        <w:t>installatievermogen</w:t>
      </w:r>
      <w:r>
        <w:t xml:space="preserve"> niet kan worden bereikt, deze onmogelijkheid moet worden gerechtvaardigd door een analyse van de verschillende alternatieven, en de oplossing die het maximaal mogelijke geïnstalleerde vermogen bereikt, zal worden gekozen.»</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In afdeling HE 5 ‘Minimale opwekking van elektrische energie’ wordt in artikel 4 ‘Rechtvaardiging van de vereiste’ het volgende toegevoegd:</w:t>
      </w:r>
    </w:p>
    <w:p w14:paraId="1F522FCD" w14:textId="0464CEFA" w:rsidR="005074AB" w:rsidRPr="003934E5" w:rsidRDefault="00CC005A" w:rsidP="00982E58">
      <w:pPr>
        <w:ind w:left="1134" w:hanging="425"/>
        <w:jc w:val="both"/>
        <w:rPr>
          <w:rFonts w:cstheme="minorHAnsi"/>
        </w:rPr>
      </w:pPr>
      <w:r>
        <w:t>c)</w:t>
      </w:r>
      <w:r>
        <w:tab/>
        <w:t xml:space="preserve">in voorkomend geval, redenen die verhinderen dat het minimaal vereiste </w:t>
      </w:r>
      <w:r>
        <w:rPr>
          <w:i/>
        </w:rPr>
        <w:t>vermogen om te installeren</w:t>
      </w:r>
      <w:r>
        <w:t xml:space="preserve"> wordt bereikt, analyse van alternatieven en de gekozen oplossing om het maximaal mogelijke geïnstalleerde vermogen te bereiken.’</w:t>
      </w:r>
    </w:p>
    <w:p w14:paraId="2F009607" w14:textId="478B8572" w:rsidR="005074AB" w:rsidRPr="003934E5" w:rsidRDefault="005074AB" w:rsidP="009064BC">
      <w:pPr>
        <w:pStyle w:val="ListParagraph"/>
        <w:numPr>
          <w:ilvl w:val="0"/>
          <w:numId w:val="13"/>
        </w:numPr>
        <w:ind w:left="709" w:hanging="283"/>
        <w:jc w:val="both"/>
        <w:rPr>
          <w:rFonts w:cstheme="minorHAnsi"/>
        </w:rPr>
      </w:pPr>
      <w:r>
        <w:t>De volgende wijzigingen worden aangebracht in bijlage A ‘Terminologie’:</w:t>
      </w:r>
    </w:p>
    <w:p w14:paraId="44885A1E" w14:textId="0F9B0783" w:rsidR="005074AB" w:rsidRPr="009064BC" w:rsidRDefault="005074AB" w:rsidP="005074AB">
      <w:pPr>
        <w:ind w:left="709" w:hanging="142"/>
        <w:jc w:val="both"/>
        <w:rPr>
          <w:rFonts w:cstheme="minorHAnsi"/>
        </w:rPr>
      </w:pPr>
      <w:r>
        <w:t>— In de definitie van de term ‘Zonnebeheersing (q</w:t>
      </w:r>
      <w:r>
        <w:rPr>
          <w:vertAlign w:val="subscript"/>
        </w:rPr>
        <w:t>sol;jul</w:t>
      </w:r>
      <w:r>
        <w:t>)’ wordt de volledige stop aan het einde van de definitie van de component van de formule ‘H</w:t>
      </w:r>
      <w:r>
        <w:rPr>
          <w:vertAlign w:val="subscript"/>
        </w:rPr>
        <w:t>sol;jul</w:t>
      </w:r>
      <w:r>
        <w:t>’ vervangen door een puntkomma, en wordt de definitie van een andere component van de formule als volgt toegevoegd:</w:t>
      </w:r>
    </w:p>
    <w:p w14:paraId="3DF606FE" w14:textId="65F10CC5" w:rsidR="005074AB" w:rsidRPr="009064BC" w:rsidRDefault="005074AB" w:rsidP="00A5780E">
      <w:pPr>
        <w:ind w:left="709"/>
        <w:jc w:val="both"/>
        <w:rPr>
          <w:rFonts w:cstheme="minorHAnsi"/>
        </w:rPr>
      </w:pPr>
      <w:r>
        <w:t>‘A</w:t>
      </w:r>
      <w:r>
        <w:rPr>
          <w:vertAlign w:val="subscript"/>
        </w:rPr>
        <w:t>util</w:t>
      </w:r>
      <w:r>
        <w:t>-gebied wordt beschouwd als in overeenstemming met sectie 4.6 van HE 0.’</w:t>
      </w:r>
    </w:p>
    <w:p w14:paraId="22770CCD" w14:textId="56BB680A" w:rsidR="005074AB" w:rsidRPr="009064BC" w:rsidRDefault="005074AB" w:rsidP="005074AB">
      <w:pPr>
        <w:ind w:left="709" w:hanging="142"/>
        <w:jc w:val="both"/>
        <w:rPr>
          <w:rFonts w:cstheme="minorHAnsi"/>
        </w:rPr>
      </w:pPr>
      <w:r>
        <w:t>— In de definitie van de term ‘Eindenergie’ wordt de zinsnede 'is dat wat door consumenten wordt gekocht, in de vorm van elektriciteit, brandstoffen of andere brandstoffen direct gebruikt' vervangen door 'Het is dat wat aan de bouwsystemen wordt geleverd' om de diensten te verlenen. Deze bevoorrading wordt normaal gesproken geleverd via brandstoffen, opwekking ter plaatse of specifieke netwerken (elektriciteit, gas, warmte- of koudezone, enz.)’.</w:t>
      </w:r>
    </w:p>
    <w:p w14:paraId="4C32D5BC" w14:textId="77777777" w:rsidR="005074AB" w:rsidRPr="009064BC" w:rsidRDefault="005074AB" w:rsidP="005074AB">
      <w:pPr>
        <w:ind w:left="709" w:hanging="142"/>
        <w:jc w:val="both"/>
        <w:rPr>
          <w:rFonts w:cstheme="minorHAnsi"/>
        </w:rPr>
      </w:pPr>
      <w:r>
        <w:t>— In de definitie van de term ‘thermische transmissie (U-waarde)’ wordt aan het einde van de definitie de volgende zin toegevoegd:</w:t>
      </w:r>
    </w:p>
    <w:p w14:paraId="553E6F27" w14:textId="77777777" w:rsidR="005074AB" w:rsidRPr="009064BC" w:rsidRDefault="005074AB" w:rsidP="00A5780E">
      <w:pPr>
        <w:ind w:left="709"/>
        <w:jc w:val="both"/>
        <w:rPr>
          <w:rFonts w:cstheme="minorHAnsi"/>
        </w:rPr>
      </w:pPr>
      <w:r>
        <w:t>'Uitgedrukt in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De volgende termen worden opgenomen in bijlage A ‘Terminologie’:</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Hulpapparatuur</w:t>
      </w:r>
      <w:r>
        <w:t xml:space="preserve">: elektrische of elektronische apparatuur die bij het licht hoort, verschillend voor elk type </w:t>
      </w:r>
      <w:r>
        <w:rPr>
          <w:i/>
          <w:iCs/>
        </w:rPr>
        <w:t>licht</w:t>
      </w:r>
      <w:r>
        <w:t>, waarvan de functie is de ontsteking en de controle van de bedrijfsomstandigheden. Deze hulpapparatuur, tenzij deze elektronisch is, wordt gevormd door een combinatie van starter, ballast en condensor.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Oplaadstation</w:t>
      </w:r>
      <w:r>
        <w:t xml:space="preserve">: set elementen die nodig zijn om het </w:t>
      </w:r>
      <w:r>
        <w:rPr>
          <w:i/>
        </w:rPr>
        <w:t>elektrisch voertuig</w:t>
      </w:r>
      <w:r>
        <w:t xml:space="preserve"> aan te sluiten op de vaste elektrische installatie die nodig is voor het opladen. </w:t>
      </w:r>
      <w:r>
        <w:rPr>
          <w:i/>
        </w:rPr>
        <w:t xml:space="preserve"> Oplaadstations</w:t>
      </w:r>
      <w:r>
        <w:t xml:space="preserve"> worden geclassificeerd als:</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Eén oplaadpunt, bestaande uit de nodige beveiligingen, één of meer stopcontacten die niet specifiek zijn voor het </w:t>
      </w:r>
      <w:r>
        <w:rPr>
          <w:i/>
        </w:rPr>
        <w:t>elektrisch voertuig</w:t>
      </w:r>
      <w:r>
        <w:t xml:space="preserve"> en, indien van toepassing, de envelop.</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OPSLAAN</w:t>
      </w:r>
      <w:r>
        <w:rPr>
          <w:i/>
        </w:rPr>
        <w:t xml:space="preserve"> (Specifiek elektrisch voertuigvoedingssysteem)</w:t>
      </w:r>
      <w:r>
        <w:t xml:space="preserve"> type oplaadpunt.’</w:t>
      </w:r>
    </w:p>
    <w:p w14:paraId="1D92DB31" w14:textId="44506109" w:rsidR="005074AB" w:rsidRPr="003934E5" w:rsidRDefault="00547307" w:rsidP="00CC005A">
      <w:pPr>
        <w:spacing w:before="200" w:after="100" w:line="240" w:lineRule="auto"/>
        <w:ind w:left="709"/>
        <w:jc w:val="both"/>
        <w:rPr>
          <w:rFonts w:eastAsia="Arial" w:cstheme="minorHAnsi"/>
          <w:kern w:val="2"/>
        </w:rPr>
      </w:pPr>
      <w:r>
        <w:lastRenderedPageBreak/>
        <w:t>«</w:t>
      </w:r>
      <w:r>
        <w:rPr>
          <w:b/>
          <w:i/>
        </w:rPr>
        <w:t>Oplaadinfrastructuur voor elektrische voertuigen:</w:t>
      </w:r>
      <w:r>
        <w:t xml:space="preserve"> set fysieke en logische apparaten bestemd voor het opladen van </w:t>
      </w:r>
      <w:r>
        <w:rPr>
          <w:i/>
        </w:rPr>
        <w:t>elektrische voertuigen</w:t>
      </w:r>
      <w:r>
        <w:t xml:space="preserve"> die voldoen aan de veiligheids- en beschikbaarheidsvereisten die voor elk geval zijn bepaald door de Elektrotechnische laagspanningsverordening, en die een volledige en uitgebreide oplaadservice kunnen bieden. Het omvat </w:t>
      </w:r>
      <w:r>
        <w:rPr>
          <w:i/>
        </w:rPr>
        <w:t>oplaadstations</w:t>
      </w:r>
      <w:r>
        <w:t>, het besturingssysteem, elektrische leidingen, elektrische bedienings- en beveiligingspanelen en meetapparatuur, wanneer deze uitsluitend voor het opladen van elektrische voertuigen zijn.»</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Specifiek elektrisch voertuigvoedingssysteem (SAVE)</w:t>
      </w:r>
      <w:r>
        <w:t>: set apparatuur die is geassembleerd om elektrische stroom te leveren voor het opladen van een</w:t>
      </w:r>
      <w:r>
        <w:rPr>
          <w:i/>
        </w:rPr>
        <w:t xml:space="preserve"> elektrisch voertuig</w:t>
      </w:r>
      <w:r>
        <w:t xml:space="preserve"> inclusief beveiligingen van het oplaadstation, de aansluitkabel (met fase-, nul-, en beveiligingsgeleiders) de aansluitingsbasis of -connector en, indien van toepassing, een continu-wisselstroomomzetter. Dit systeem moet, in voorkomend geval, communicatie tussen het </w:t>
      </w:r>
      <w:r>
        <w:rPr>
          <w:i/>
        </w:rPr>
        <w:t>elektrisch voertuig</w:t>
      </w:r>
      <w:r>
        <w:t xml:space="preserve"> en de vaste installatie mogelijk maken.’</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Particulier residentieel gebruik</w:t>
      </w:r>
      <w:r>
        <w:t>: Gebouw of ruimte bestemd voor permanent bewoning, ongeacht het type gebouw: vrijstaand huis, appartementsgebouw, enz., zowel voor openbare als particuliere ontwikkeling.’</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Elektrisch voertuig</w:t>
      </w:r>
      <w:r>
        <w:t>: motorvoertuig uitgerust met een voortstuwingsgroep met ten minste één niet-periferisch elektrisch mechanisme dat werkt als energieomzetter en uitgerust met een oplaadbaar elektrisch energieopslagsysteem dat van buitenaf kan worden opgeladen.’</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In bijlage D, lid 4, wordt de tekst ‘Erkend document’ vervangen door ‘Erkend document voor de energiecertificering van gebouwen’.</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In bijlage H Bepaling van de luchtdoorlatendheid van het gebouw wordt na de titel van het artikel de bewoording 'Bepaling van de luchtdoorlatendheid van het gebouw uitgevoerd volgens een van de volgende methoden', en in artikel 1 'Bepaling door middel van beproeving ', de bewoording 'De waarde van de verhouding van de luchtverversing bij 50 Pa, n50', an worden verkregen door te testen volgens methode B van UNE-EN 13829:2002 Bepaling van luchtdichtheid in gebouwen. Methode van onder druk brengen door middel van een ventilator.» wordt vervangen door: «De waarde van de luchtverversingsverhouding bij 50 Pa, n50 door middel van testen wordt verkregen uit methode 1 of 2 van UNE-EN ISO 9972: 2019 Thermische prestaties van gebouwen. Bepaling van de luchtdoorlaatbaarheid van gebouwen. Ventilatordrukmethode.».</w:t>
      </w:r>
    </w:p>
    <w:p w14:paraId="153946FB" w14:textId="274D0F0F" w:rsidR="001E0B70" w:rsidRPr="003934E5" w:rsidRDefault="001E0B70" w:rsidP="005074AB">
      <w:pPr>
        <w:ind w:left="13"/>
        <w:jc w:val="both"/>
        <w:rPr>
          <w:rFonts w:cstheme="minorHAnsi"/>
        </w:rPr>
      </w:pPr>
      <w:r>
        <w:t>Drie.</w:t>
      </w:r>
      <w:r>
        <w:rPr>
          <w:b/>
        </w:rPr>
        <w:t xml:space="preserve"> </w:t>
      </w:r>
      <w:r>
        <w:t xml:space="preserve">In het Basisdocument DB-SUA ‘Veiligheid in Gebruik en Toegankelijkheid’ in Deel II van de Technische Bouwwet zijn de volgende wijzigingen aangebracht: </w:t>
      </w:r>
    </w:p>
    <w:p w14:paraId="05134A28" w14:textId="08B7B404" w:rsidR="00A5780E" w:rsidRDefault="001E0B70" w:rsidP="00D722CA">
      <w:pPr>
        <w:ind w:left="13"/>
        <w:jc w:val="both"/>
        <w:rPr>
          <w:rFonts w:cstheme="minorHAnsi"/>
        </w:rPr>
      </w:pPr>
      <w:r>
        <w:t>In afdeling SUA 9 ‘Toegankelijkheid’, in bijlage A ‘Terminologie’, bevat de definitie van ‘Toegankelijke parkeerplaats’ nu een koppelteken met de tekst:</w:t>
      </w:r>
    </w:p>
    <w:p w14:paraId="791B9B63" w14:textId="2AEB4586" w:rsidR="00D722CA" w:rsidRPr="009064BC" w:rsidRDefault="0078611E" w:rsidP="0078611E">
      <w:pPr>
        <w:ind w:left="709"/>
        <w:jc w:val="both"/>
        <w:rPr>
          <w:rFonts w:cstheme="minorHAnsi"/>
        </w:rPr>
      </w:pPr>
      <w:r>
        <w:t>‘- Als de toegankelijke parkeerplaats een laadstation voor elektrische voertuigen heeft, dekt de toegankelijke route ook dit oplaadstation. De stopcontacten en connectoren van deze oplaadstations moeten chromatisch contrasteren met de omgeving, geplaatst op een hoogte tussen 80 en 120 cm en de afstand tot de hoeken moet ten minste 35 cm bedragen.’</w:t>
      </w:r>
    </w:p>
    <w:p w14:paraId="09F57FB9" w14:textId="78225EA3" w:rsidR="005074AB" w:rsidRPr="009064BC" w:rsidRDefault="00DF5914" w:rsidP="005074AB">
      <w:pPr>
        <w:ind w:left="13"/>
        <w:jc w:val="both"/>
        <w:rPr>
          <w:rFonts w:cstheme="minorHAnsi"/>
        </w:rPr>
      </w:pPr>
      <w:r>
        <w:t>Vier. De volgende wijziging wordt aangebracht in het Basisdocument DB-HS ‘Gezondheid’, in deel II van de Technische Bouwwet:</w:t>
      </w:r>
    </w:p>
    <w:p w14:paraId="6B818CBA" w14:textId="77777777" w:rsidR="002E7342" w:rsidRDefault="005074AB" w:rsidP="002E7342">
      <w:pPr>
        <w:pStyle w:val="ListParagraph"/>
        <w:numPr>
          <w:ilvl w:val="0"/>
          <w:numId w:val="22"/>
        </w:numPr>
        <w:jc w:val="both"/>
        <w:rPr>
          <w:rFonts w:cstheme="minorHAnsi"/>
        </w:rPr>
      </w:pPr>
      <w:r>
        <w:lastRenderedPageBreak/>
        <w:t>In afdeling HS 4 ‘Watervoorziening’, artikel 3.2.2.1, onder punt 2, wordt de zin ‘de minimumbijdrage aan zonne-energie voor de productie van warm tapwater’ vervangen door de zin ‘de minimale bijdrage van hernieuwbare energie om de warmwatervoorziening voor huishoudelijk gebruik te dekken vraag naar’.</w:t>
      </w:r>
    </w:p>
    <w:p w14:paraId="49ACE665" w14:textId="4B95E48B" w:rsidR="005074AB" w:rsidRPr="003934E5" w:rsidRDefault="002F25C7" w:rsidP="009064BC">
      <w:pPr>
        <w:jc w:val="both"/>
        <w:rPr>
          <w:rFonts w:eastAsia="Arial" w:cstheme="minorHAnsi"/>
          <w:kern w:val="2"/>
        </w:rPr>
      </w:pPr>
      <w:r>
        <w:t>Vijf. De volgende correcties van fouten en errata vermeld in het Basisdocument DB-HE ‘Energiebesparing’ opgenomen in Deel II van het Technisch Bouwbesluit worden aangebracht:</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In afdeling HE 0, artikel 1 Toepassingsgebied, lid 1, waarin het als volgt luidt: «...wanneer de totale uitgebreide gebruiksoppervlakte groter is dan 50 m</w:t>
      </w:r>
      <w:r>
        <w:rPr>
          <w:vertAlign w:val="superscript"/>
        </w:rPr>
        <w:t>2</w:t>
      </w:r>
      <w:r>
        <w:t>;», moet als volgt luiden „... wanneer de uitgebreide bruikbare oppervlak groter is dan 50 m</w:t>
      </w:r>
      <w:r>
        <w:rPr>
          <w:vertAlign w:val="superscript"/>
        </w:rPr>
        <w:t>2</w:t>
      </w:r>
      <w:r>
        <w:t xml:space="preserve"> bedraagt;».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In afdeling HE 0, artikel 3, Kwantificering van de vereiste, punt 3.1 Niet-hernieuwbare primaire energieverbruik, lid 2, waarin het luidt: «... C</w:t>
      </w:r>
      <w:r>
        <w:rPr>
          <w:vertAlign w:val="subscript"/>
        </w:rPr>
        <w:t>ep’nren,lim</w:t>
      </w:r>
      <w:r>
        <w:t>...», moet als volgt luiden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In afdeling HE 0, artikel 3 Kwantificering van de vereiste, punt 3.2 Totaal primair energieverbruik, lid 1, waarin het luidt: “... C</w:t>
      </w:r>
      <w:r>
        <w:rPr>
          <w:vertAlign w:val="subscript"/>
        </w:rPr>
        <w:t>ep’tot</w:t>
      </w:r>
      <w:r>
        <w:t>...», moet als volgt luiden: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In afdeling HE 0, artikel 3 Kwantificering van de vereiste, punt 3.2 Totaal primair energieverbruik, lid 2, waarin het luidt: «... C</w:t>
      </w:r>
      <w:r>
        <w:rPr>
          <w:vertAlign w:val="subscript"/>
        </w:rPr>
        <w:t>ep,tot</w:t>
      </w:r>
      <w:r>
        <w:t>...", moet als volgt luiden: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In afdeling HE 0 moet de tabellen 3.1.a-HE0 en 3.2.a-HE0 de term ’</w:t>
      </w:r>
      <w:r>
        <w:rPr>
          <w:i/>
        </w:rPr>
        <w:t>particulier residentieel gebruik</w:t>
      </w:r>
      <w:r>
        <w:t>’ cursief zijn. In de artikel 3.1 Niet-hernieuwbaar primair energieverbruik, artikelen 2, en 3.2 Totaal primair energieverbruik, artikel 2, moet de term ‘</w:t>
      </w:r>
      <w:r>
        <w:rPr>
          <w:i/>
        </w:rPr>
        <w:t>particulier residentieel gebruik</w:t>
      </w:r>
      <w:r>
        <w:t>’ cursief zijn.</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In afdeling HE 0, artikel 4.3 Interne verzoeken en operationele voorwaarden, artikel 2, moet de term ‘</w:t>
      </w:r>
      <w:r>
        <w:rPr>
          <w:i/>
        </w:rPr>
        <w:t xml:space="preserve"> particulier residentieel gebruik</w:t>
      </w:r>
      <w:r>
        <w:t>’ cursief zijn.</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In sectie HE 0, artikel 4.5 Referentiesystemen voor particulier residentieel gebruik, moet de term ‘</w:t>
      </w:r>
      <w:r>
        <w:rPr>
          <w:i/>
        </w:rPr>
        <w:t xml:space="preserve"> particulier residentieel gebruik’</w:t>
      </w:r>
      <w:r>
        <w:t xml:space="preserve"> zowel in de titel als in lid 1 cursief zijn.</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In afdeling HE 1, artikel 3 Kwantificering van de vereiste, punt 3.11. De transmissie van de thermische omhulling, de term ‘compactheid’ in de tabellen 3.1.1.b-HE1 en de tabellen 3.1.1.c-HE1 moeten cursief zijn.</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In afdeling HE 1, artikel 3 Kwantificering van de vereiste, punt 3.11. De transmissie van de thermische omhulling, de term ‘compactheid’ in de tabelvoetnoten 3.1.1.b-HE1 en de tabellen 3.1.1.c-HE1 en de term ‘compactheid’ in de tabelvoetnoot in tabel 3.1.1.c-HE1 moeten cursief zijn.</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 xml:space="preserve">In afdeling HE 1, artikel 3, Kwantificering van de vereiste, punt 3.1.1. Thermische omhulling, artikel 3 moet de term </w:t>
      </w:r>
      <w:r>
        <w:rPr>
          <w:i/>
          <w:iCs/>
        </w:rPr>
        <w:t>«particulier residentieel gebruik»</w:t>
      </w:r>
      <w:r>
        <w:t xml:space="preserve"> cursief zijn in zowel artikel 3 als tabel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In afdeling HE 1, artikel 3, Kwantificering van de vereiste, punt 3.1.1. Transmissie van de thermische omhulling, de term ‘thermische enveloppe’ in tabel 3.1.1.c-HE1, moet cursief zijn.</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 xml:space="preserve">In afdeling HE 1, artikel 3, Kwantificering van de vereiste, punt 3.1.2 zonnebeheersing van de thermische omhulling, waarin wordt vermeld: 'Tabel 3.1.2-HE1 Grenswaarde van </w:t>
      </w:r>
      <w:r>
        <w:lastRenderedPageBreak/>
        <w:t>de parameter voor zonnebeheersing qsol;jul,lim [kWh/m</w:t>
      </w:r>
      <w:r>
        <w:rPr>
          <w:vertAlign w:val="superscript"/>
        </w:rPr>
        <w:t>2</w:t>
      </w:r>
      <w:r>
        <w:t>·mes]’, moet als volgt luiden met “sun;jul,lim” als subscript: ‘Tabel 3.1.2-HE1 Grenswaarde van de parameter voor zonnebeheersing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In afdeling HE 1, artikel 3, Kwantificering van de vereiste, punt 3.1.3 Luchtdoorlatendheid van de thermische omhulling, moet de term ‘thermische omhulling’ cursief zijn.</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In afdeling HE 1, artikel 3 Kwantificering van de vereiste, artikel 3.1.3 Luchtdoorlatendheid van de thermische omhulling, de term ‘compactheid’ in tabel 3.1.3.b-HE1, de term ‘compactheid’ in de tabel in tabel 3.1.3.b-HE1 en de term ‘particulier residentieel gebruik’ in lid 3, moeten cursief zijn.</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In afdeling HE 1, artikel 4 Rechtvaardiging van de vereiste, moet de term ‘compactheid’ in punt 4.1.b) en de term ‘privé residentieel gebruik’ in punt 4.1.g) cursief zijn.</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In afdeling HE 4, artikel 3 Kwantificering van de vereiste, artikel 3.1 Minimumbijdrage hernieuwbare energie voor DHW en/of zwembadverwarming, lid 4, waarin het luidt: ‘...meer dan 2,5 wanneer elektrisch bediend en groter dan 1,15 wanneer bediend door thermische energie...’ moet als volgt luiden ‘... gelijk aan of groter dan 2,5 wanneer elektrisch bediend en gelijk aan of groter dan 1,15 wanneer bediend door thermische energie...’.</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In afdeling HE 4, artikel 3 Kwantificering van de vereiste, artikel 3.1 Minimumbijdrage hernieuwbare energie voor DHW en/of zwembadverwarming, lid 5, waarin het luidt: ‘... residentiële gebouwen...’ moet als volgt luiden ‘... gebouwen voor particulier residentieel gebruik...’</w:t>
      </w:r>
    </w:p>
    <w:p w14:paraId="198A06EA" w14:textId="307304FC" w:rsidR="005074AB" w:rsidRPr="009064BC" w:rsidRDefault="003E1EAB" w:rsidP="00547307">
      <w:pPr>
        <w:numPr>
          <w:ilvl w:val="0"/>
          <w:numId w:val="15"/>
        </w:numPr>
        <w:ind w:left="714" w:hanging="357"/>
        <w:jc w:val="both"/>
        <w:rPr>
          <w:rFonts w:cstheme="minorHAnsi"/>
        </w:rPr>
      </w:pPr>
      <w:r>
        <w:t xml:space="preserve">In afdeling HE 4, vóór punt "5.1. 'Uitvoering’ wordt ingevoegd «5. Bouw, onderhoud en instandhouding’ als titel.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Op blz. 140553, bijlage A Terminologie, in de definitie van ‘Totale coëfficiënt van warmteoverdracht (via de thermische omhulling van het gebouw) (K)’, waarin het luidt: «... K = X Hx/Aint...’ moet als volgt luiden, met "x", "x" and "int" als subscript: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In Bijlage A Terminologie, in de definitie van "Compactheid", moet het woord "compactheid" in de tweede alinea cursief zijn.</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In bijlage A Terminologie moet in de definitie van ‘bedrijfsomstandigheden’ de term ‘particulier residentieel gebruik’ cursief zijn.</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In bijlage A Terminologie, in de definitie van ‘Niet-hernieuwbaar primair energieverbruik’, waarin het luidt: «... Verbruik van niet-hernieuwbare primaire energie...’ moet als volgt luiden, met "ep,nren" in subscript: «... Niet-hernieuwbaar primair energieverbruik (C</w:t>
      </w:r>
      <w:r>
        <w:rPr>
          <w:vertAlign w:val="subscript"/>
        </w:rPr>
        <w:t>ep,tot</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In bijlage A Terminologie, in de definitie van ‘Totaal primair energieverbruik’, waarin staat: «... Totaal primair energieverbruik...’ moet als volgt luiden, met "ep,tot" in subscript: «... Totaal primair energieverbruik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lastRenderedPageBreak/>
        <w:t>In bijlage A Terminologie, in de definitie van ‘zonnebeheersing (q</w:t>
      </w:r>
      <w:r>
        <w:rPr>
          <w:vertAlign w:val="subscript"/>
        </w:rPr>
        <w:t>sol;ju</w:t>
      </w:r>
      <w:r>
        <w:t>)», waarin het luidt: ‘... het bruikbare oppervlak van de ruimten...’ moet als volgt luiden: ‘... de bruikbare oppervlakte van de woonruimtes...’.</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In bijlage A Terminologie moet in de definitie van ‘geconditioneerde woonruimte’ de term ‘particulier residentieel gebruik’ cursief zijn.</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In bijlage A Terminologie moet in de definitie van ‘Gebruiksduur’ in het tweede lid de term ‘particulier residentieel gebruik’ cursief zijn.</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In bijlage A Terminologie moet in de definitie van ‘energie-efficiëntiewaarde van de installatie (VEEI)’ de term ‘privé residentieel gebruik’ cursief zijn.</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In bijlage C Beschouwingen voor de definitie van de thermische omhulling moet de term ‘thermische omhulling’ in de titel cursief zijn.</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In bijlage D Operationele voorwaarden en gebruiksprofielen moeten in de titel de termen ‘Operationele voorwaarden’ en ‘Gebruiksprofielen’ cursief zijn in de titel, lid 2, en de tabellen, tabel a-bijlage D, tabel b-bijlage D en tabel c-bijlage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In bijlage E Indicatieve transmissiewaarden moet de term ‘particulier residentieel gebruik’ in artikel 1 cursief zijn.</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In bijlage F ACS-referentievraag moet de term ‘particulier residentieel gebruik’ cursief zijn, zowel in deel 1 als in tabel a-bijlage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In bijlage H Bepaling van de luchtdoorlaatbaarheid van het gebouw, in artikel 2 Bepaling aan de hand van referentiewaarden, waarin het luidt: «... 2. De waarde van de verhouding van de verandering van lucht bij 50 Pa, n50, kan worden berekend met de volgende vergelijking:’ moet als volgt luiden: «... 1. De waarde van de verhouding van de luchtverandering bij 50 Pa, n50 aan de hand van referentiewaarden wordt verkregen uit de volgende uitdrukking:’ waarin het luidt: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moet als volgt luiden: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waar het luidt: ‘V is het interne volume van de thermische omhulling in [m</w:t>
      </w:r>
      <w:r>
        <w:rPr>
          <w:vertAlign w:val="superscript"/>
        </w:rPr>
        <w:t>3</w:t>
      </w:r>
      <w:r>
        <w:t>]’ moet als volgt luiden: ‘V</w:t>
      </w:r>
      <w:r>
        <w:rPr>
          <w:vertAlign w:val="subscript"/>
        </w:rPr>
        <w:t>int</w:t>
      </w:r>
      <w:r>
        <w:t xml:space="preserve"> is het interne luchtvolume van de </w:t>
      </w:r>
      <w:r>
        <w:rPr>
          <w:i/>
        </w:rPr>
        <w:t>thermische omhulling</w:t>
      </w:r>
      <w:r>
        <w:t>, in [m</w:t>
      </w:r>
      <w:r>
        <w:rPr>
          <w:vertAlign w:val="superscript"/>
        </w:rPr>
        <w:t>3</w:t>
      </w:r>
      <w:r>
        <w:t>]”, en waar het luidt: 'A</w:t>
      </w:r>
      <w:r>
        <w:rPr>
          <w:vertAlign w:val="subscript"/>
        </w:rPr>
        <w:t>o</w:t>
      </w:r>
      <w:r>
        <w:t xml:space="preserve"> is het oppervlak van het ondoorzichtige deel van de thermische omhulling in [m</w:t>
      </w:r>
      <w:r>
        <w:rPr>
          <w:vertAlign w:val="superscript"/>
        </w:rPr>
        <w:t>2</w:t>
      </w:r>
      <w:r>
        <w:t>]’ moet als volgt luiden: ‘A</w:t>
      </w:r>
      <w:r>
        <w:rPr>
          <w:vertAlign w:val="subscript"/>
        </w:rPr>
        <w:t>o</w:t>
      </w:r>
      <w:r>
        <w:t xml:space="preserve"> is het oppervlak van het ondoorzichtige deel van de </w:t>
      </w:r>
      <w:r>
        <w:rPr>
          <w:i/>
        </w:rPr>
        <w:t xml:space="preserve">thermische omhulling </w:t>
      </w:r>
      <w:r>
        <w:t>in contact met buitenlucht, op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In bijlage H Bepaling van de luchtdoorlaatbaarheid van het gebouw moet de term ‘thermische omhulling’ cursief zijn in de beschrijving van de termen V</w:t>
      </w:r>
      <w:r>
        <w:rPr>
          <w:vertAlign w:val="subscript"/>
        </w:rPr>
        <w:t>int</w:t>
      </w:r>
      <w:r>
        <w:t>, C</w:t>
      </w:r>
      <w:r>
        <w:rPr>
          <w:vertAlign w:val="subscript"/>
        </w:rPr>
        <w:t>o</w:t>
      </w:r>
      <w:r>
        <w:t>, C</w:t>
      </w:r>
      <w:r>
        <w:rPr>
          <w:vertAlign w:val="subscript"/>
        </w:rPr>
        <w:t>h</w:t>
      </w:r>
      <w:r>
        <w:t>, A</w:t>
      </w:r>
      <w:r>
        <w:rPr>
          <w:vertAlign w:val="subscript"/>
        </w:rPr>
        <w:t>h</w:t>
      </w:r>
      <w:r>
        <w:t xml:space="preserve"> en in tabel a-bijlage H</w:t>
      </w:r>
    </w:p>
    <w:p w14:paraId="7A548AE7" w14:textId="77777777" w:rsidR="0024794E" w:rsidRDefault="002F25C7" w:rsidP="0024794E">
      <w:pPr>
        <w:spacing w:before="200" w:after="100" w:line="240" w:lineRule="auto"/>
        <w:jc w:val="both"/>
        <w:rPr>
          <w:rFonts w:eastAsia="Arial" w:cstheme="minorHAnsi"/>
          <w:kern w:val="2"/>
          <w:szCs w:val="24"/>
        </w:rPr>
      </w:pPr>
      <w:r>
        <w:t xml:space="preserve">Zes. Correcties van de geconstateerde fouten en errata worden als volgt aangebracht: Basisdocument DB-HS ‘Sanitatie’ in deel II van de Technische Bouwwet: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 xml:space="preserve">In HS-afdeling 4 ‘Watervoorziening’ wordt in artikel 6.2 de bewoording ‘e) polyvinylchloride gechloreerde (PVC-C) buizen volgens UNE-EN ISO 15874-1:2013, UNE-EN ISO 15874-2:2013 en UNE-EN ISO 15874-3:2013;’ vervangen door de bewoording ‘e) polychloorvinylchloride (PVC-C) buizen, overeenkomstig UNE-EN ISO 15877-1:2009 (+UNE-EN ISO 15877-1:2009/A1): 2011), UNE-EN ISO 15877-2:2009 (+UNE-EN ISO </w:t>
      </w:r>
      <w:r>
        <w:lastRenderedPageBreak/>
        <w:t>15877-2:2009/A1: 2011) en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afdeling HS 4 ‘Watervoorziening’ wordt in artikel 6.2 de bewoording ‘h) polybutyleenleidingen (PB) volgens UNE-EN ISO 15876-1:2017, UNE-EN ISO 15876-2:2017 en UNE-EN ISO 15876-3:2017 vervangen door de bewoording ‘h) polybutyleenleidingen (PB) overeenkomstig UNE-EN ISO 15876-1:2017, UNE-EN ISO 15876-2:2017 en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bijlage C. Referentienormen, waar staat: ‘Kunststof leidingsystemen voor warm- en koudwaterinstallaties. Polybutyleen (PB). Deel 1: Algemeen' moet als volgt luiden: ‘Kunststof leidingsystemen voor warm- en koudwaterinstallaties. Polybutyleen (PB). Deel 1: Algemeen</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bijlage C. Referentienormen, waar staat: ‘Kunststof leidingsystemen voor warm- en koudwaterinstallaties. Polybutyleen (PB). Deel 2: Leidingen’ moet als volgt luiden: ‘Kunststof leidingsystemen voor warm- en koudwaterinstallaties. Polybutyleen (PB). Deel 2: Leidingen.</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bijlage C. Referentienormen, waar staat: ‘Kunststof leidingsystemen voor warm- en koudwaterinstallaties. Polybutyleen (PB). Deel 3: Hulpstukken" het moet als volgt luiden: ‘Kunststof leidingsystemen voor warm- en koudwaterinstallaties. Polybutyleen (PB). Deel 3: Hulpstukken.</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bijlage C. Referentienormen worden na de verwijzing naar de norm 'UNE-EN ISO 15876-3' het volgende opgenomen: 2017</w:t>
      </w:r>
      <w:r>
        <w:tab/>
        <w:t>Kunststof leidingsystemen voor warm- en koudwaterinstallaties. Polybutyleen (PB). Deel 3: Hulpstukken’ de volgende normen:</w:t>
      </w:r>
    </w:p>
    <w:p w14:paraId="5A496CEC" w14:textId="6500843E" w:rsidR="00AD074F" w:rsidRDefault="00AD074F" w:rsidP="0024794E">
      <w:pPr>
        <w:pStyle w:val="ListParagraph"/>
        <w:spacing w:after="120"/>
        <w:ind w:left="709"/>
        <w:jc w:val="both"/>
      </w:pPr>
      <w:r>
        <w:t xml:space="preserve">‘Une-EN ISO 15877-1:2009 Kunststof leidingsystemen voor warm- en koudwaterinstallaties. Gechloreerd poly (vinylchloride) (PVC-C). Deel 1: Algemene bepalingen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Kunststof leidingsystemen voor warm- en koudwaterinstallaties. Gechloreerd poly (vinylchloride) (PVC-C). Deel 2: Leidingen.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Kunststof leidingsystemen voor warm- en koudwaterinstallaties. Gechloreerd poly (vinylchloride) (PVC-C). Deel 3: Hulpstukken. (+UNE-EN ISO 15877-3:2009/A1:2011)</w:t>
      </w:r>
    </w:p>
    <w:p w14:paraId="30F2E766" w14:textId="038A7758" w:rsidR="005074AB" w:rsidRPr="00431D05" w:rsidRDefault="005074AB" w:rsidP="005074AB">
      <w:pPr>
        <w:jc w:val="both"/>
        <w:rPr>
          <w:rFonts w:cstheme="minorHAnsi"/>
          <w:bCs/>
          <w:i/>
          <w:iCs/>
        </w:rPr>
      </w:pPr>
      <w:r>
        <w:t xml:space="preserve">Eerste overgangsbepaling. </w:t>
      </w:r>
      <w:r>
        <w:rPr>
          <w:i/>
        </w:rPr>
        <w:t>Gebouwen die zijn vrijgesteld van de bepalingen van dit Koninklijk Besluit.</w:t>
      </w:r>
    </w:p>
    <w:p w14:paraId="71A41130" w14:textId="7184244B" w:rsidR="005074AB" w:rsidRPr="009064BC" w:rsidRDefault="005074AB" w:rsidP="005074AB">
      <w:pPr>
        <w:jc w:val="both"/>
        <w:rPr>
          <w:rFonts w:cstheme="minorHAnsi"/>
        </w:rPr>
      </w:pPr>
      <w:r>
        <w:t xml:space="preserve">De bij dit Koninklijk Besluit aangenomen wijzigingen van de Technisch Bouwwet (CTE) zijn niet van toepassing op nieuwe gebouwen of werkzaamheden aan bestaande gebouwen die in beide gevallen reeds een gemeentelijke bouwvergunning hebben aangevraagd op het tijdstip van inwerkingtreding van dit Koninklijk Besluit. </w:t>
      </w:r>
    </w:p>
    <w:p w14:paraId="6E353956" w14:textId="262DE845" w:rsidR="007B11B1" w:rsidRDefault="005074AB" w:rsidP="005074AB">
      <w:pPr>
        <w:jc w:val="both"/>
        <w:rPr>
          <w:rFonts w:cstheme="minorHAnsi"/>
        </w:rPr>
      </w:pPr>
      <w:r>
        <w:t>Met dergelijke werken dient te worden begonnen binnen de maximale efficiëntieperiode van genoemde vergunning, in overeenstemming met de daarbij behorende voorschriften of, bij gebreke daarvan, binnen zes maanden na verlening van genoemde vergunning. Indien dit niet het geval is, moeten de projecten worden aangepast aan de wijzigingen aan de door dit Koninklijk Besluit goedgekeurde CTE.</w:t>
      </w:r>
    </w:p>
    <w:p w14:paraId="78DABA03" w14:textId="77777777" w:rsidR="005074AB" w:rsidRPr="00D47CC2" w:rsidRDefault="005074AB" w:rsidP="005074AB">
      <w:pPr>
        <w:jc w:val="both"/>
        <w:rPr>
          <w:rFonts w:cstheme="minorHAnsi"/>
          <w:bCs/>
          <w:i/>
          <w:iCs/>
        </w:rPr>
      </w:pPr>
      <w:r>
        <w:lastRenderedPageBreak/>
        <w:t xml:space="preserve">Tweede overgangsbepaling. </w:t>
      </w:r>
      <w:r>
        <w:rPr>
          <w:i/>
        </w:rPr>
        <w:t>Gebouwen waarvoor de toepassing van de bepalingen van dit Koninklijk Besluit vrijwillig is.</w:t>
      </w:r>
    </w:p>
    <w:p w14:paraId="047CBC16" w14:textId="1E288EF7" w:rsidR="00CA5D2D" w:rsidRPr="00B24946" w:rsidRDefault="005074AB" w:rsidP="005074AB">
      <w:pPr>
        <w:jc w:val="both"/>
        <w:rPr>
          <w:rFonts w:cstheme="minorHAnsi"/>
        </w:rPr>
      </w:pPr>
      <w:r>
        <w:t xml:space="preserve">De bij dit Koninklijk Besluit goedgekeurde wijzigingen van de Technisch Bouwwet zijn vrijwillig van toepassing op nieuwe bouwwerken en op werken aan bestaande gebouwen waarvoor in beide gevallen binnen zes maanden na de inwerkingtreding van dit Koninklijk Besluit een gemeentelijke bouwvergunning is aangevraagd. </w:t>
      </w:r>
    </w:p>
    <w:p w14:paraId="0F321A96" w14:textId="5FE37BEE" w:rsidR="00CA5D2D" w:rsidRDefault="00CA5D2D" w:rsidP="00CA5D2D">
      <w:pPr>
        <w:jc w:val="both"/>
        <w:rPr>
          <w:rFonts w:cstheme="minorHAnsi"/>
        </w:rPr>
      </w:pPr>
      <w:r>
        <w:t>Met dergelijke werken dient te worden begonnen binnen de maximale efficiëntieperiode van genoemde vergunning, in overeenstemming met de daarbij behorende voorschriften of, bij gebreke daarvan, binnen zes maanden na verlening van genoemde vergunning. Indien dit niet het geval is, moeten de projecten worden aangepast aan de wijzigingen aan de door dit Koninklijk Besluit goedgekeurde CTE.</w:t>
      </w:r>
    </w:p>
    <w:p w14:paraId="1B48DE1E" w14:textId="77777777" w:rsidR="005074AB" w:rsidRPr="00D47CC2" w:rsidRDefault="005074AB" w:rsidP="005074AB">
      <w:pPr>
        <w:jc w:val="both"/>
        <w:rPr>
          <w:rFonts w:cstheme="minorHAnsi"/>
          <w:bCs/>
          <w:i/>
          <w:iCs/>
        </w:rPr>
      </w:pPr>
      <w:r>
        <w:t xml:space="preserve">Derde overgangsbepaling. </w:t>
      </w:r>
      <w:r>
        <w:rPr>
          <w:i/>
        </w:rPr>
        <w:t>Gebouwen waarvoor de toepassing van de bepalingen van dit Koninklijk Besluit verplicht is.</w:t>
      </w:r>
    </w:p>
    <w:p w14:paraId="557DDCCB" w14:textId="624E2145" w:rsidR="005074AB" w:rsidRDefault="005074AB" w:rsidP="005074AB">
      <w:pPr>
        <w:jc w:val="both"/>
        <w:rPr>
          <w:rFonts w:cstheme="minorHAnsi"/>
        </w:rPr>
      </w:pPr>
      <w:r>
        <w:t>De bij dit Koninklijk Besluit aangenomen wijzigingen van de Technische Bouwwet (CTE) zijn verplicht voor nieuwe gebouwen of werken aan bestaande gebouwen die een gemeentelijke bouwvergunning aanvragen, later dan negen maanden na de inwerkingtreding van deze bepaling.</w:t>
      </w:r>
    </w:p>
    <w:p w14:paraId="588C44EA" w14:textId="52803F33" w:rsidR="005074AB" w:rsidRPr="00D47CC2" w:rsidRDefault="005074AB" w:rsidP="005074AB">
      <w:pPr>
        <w:jc w:val="both"/>
        <w:rPr>
          <w:rFonts w:cstheme="minorHAnsi"/>
          <w:bCs/>
          <w:i/>
          <w:iCs/>
        </w:rPr>
      </w:pPr>
      <w:r>
        <w:t xml:space="preserve">Eerste slotbepaling. </w:t>
      </w:r>
      <w:r>
        <w:rPr>
          <w:i/>
        </w:rPr>
        <w:t>Wijziging van Koninklijk Besluit 1053/2014 van 12 december tot goedkeuring van een nieuwe Aanvullende technische instructie (ITC) BT 52 ‘Speciaal doelinstallaties. Infrastructuur voor het opladen van elektrische voertuigen’, van het Elektrotechnisch reglement met laagspanning, goedgekeurd bij Koninklijk Besluit 842/2002 van 2 augustus, en andere aanvullende technische instructies worden gewijzigd.</w:t>
      </w:r>
    </w:p>
    <w:p w14:paraId="183CB7CD" w14:textId="78A1B469" w:rsidR="005074AB" w:rsidRPr="009064BC" w:rsidRDefault="005074AB" w:rsidP="005074AB">
      <w:pPr>
        <w:jc w:val="both"/>
        <w:rPr>
          <w:rFonts w:cstheme="minorHAnsi"/>
        </w:rPr>
      </w:pPr>
      <w:r>
        <w:t>Eén. De eerste aanvullende bepaling van Koninklijk Besluit 1053/2014 van 12 december tot goedkeuring van een nieuwe Aanvullende technische instructie (ITC) BT 52, wordt als volgt gewijzigd:</w:t>
      </w:r>
    </w:p>
    <w:p w14:paraId="6C63F170" w14:textId="77777777" w:rsidR="005074AB" w:rsidRPr="009064BC" w:rsidRDefault="005074AB" w:rsidP="005074AB">
      <w:pPr>
        <w:ind w:left="567"/>
        <w:jc w:val="both"/>
        <w:rPr>
          <w:rFonts w:cstheme="minorHAnsi"/>
        </w:rPr>
      </w:pPr>
      <w:r>
        <w:t>'Eerste aanvullende bepaling. Minimale structurele voorzieningen voor het opladen van elektrische voertuigen op parkeerplaatsen die niet zijn toegewezen aan gebouwen, nieuw gebouwd of ingrijpend gerenoveerd, en op openbare wegen.</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In nieuwbouw of ingrijpende renovaties die niet in of aangrenzend aan een gebouw gelegen zijn, en dus buiten het toepassingsgebied van het Basis-energiebesparingsdocument (DB HE) van de Technische Bouwwet vallen, minimaal één oplaadstation per 40 parkeerplaatsen moet geïnstalleerd worden. Een parkeerplaats wordt als nieuw aangelegd beschouwd wanneer het bouwproject na de inwerkingtreding van dit Koninklijk Besluit aan de bevoegde overheidsinstantie wordt voorgelegd voor verwerking. </w:t>
      </w:r>
    </w:p>
    <w:p w14:paraId="0C99327A" w14:textId="0AD5DDFE" w:rsidR="005074AB" w:rsidRPr="009064BC" w:rsidRDefault="005074AB" w:rsidP="002F659F">
      <w:pPr>
        <w:numPr>
          <w:ilvl w:val="0"/>
          <w:numId w:val="11"/>
        </w:numPr>
        <w:ind w:left="1418" w:hanging="284"/>
        <w:contextualSpacing/>
        <w:jc w:val="both"/>
        <w:rPr>
          <w:rFonts w:cstheme="minorHAnsi"/>
        </w:rPr>
      </w:pPr>
      <w:r>
        <w:t>De installaties die nodig zijn voor de levering van oplaadstations die zich bevinden in de plaatsen voor elektrische voertuigen op de openbare wegen, als bedoeld in de bovengemeentelijke of gemeentelijke Plannen voor duurzame mobiliteit, moeten worden gewaarborgd.’</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lastRenderedPageBreak/>
        <w:t>Twee. Artikel 3.2 van INSTRUCCIÓN TÉCNICA COMPLEMENTARIA (ITC) BT-52 wordt als volgt gewijzigd:</w:t>
      </w:r>
    </w:p>
    <w:p w14:paraId="6A13CA56" w14:textId="2BC47FB2" w:rsidR="005074AB" w:rsidRPr="009064BC" w:rsidRDefault="005074AB" w:rsidP="005074AB">
      <w:pPr>
        <w:ind w:left="567"/>
        <w:jc w:val="both"/>
        <w:rPr>
          <w:rFonts w:cstheme="minorHAnsi"/>
        </w:rPr>
      </w:pPr>
      <w:r>
        <w:t xml:space="preserve">«3.2 Installatie in parkeergarages of collectieve parkeerplaatsen naast gebouwen of gebouwencomplexen. </w:t>
      </w:r>
    </w:p>
    <w:p w14:paraId="14463364" w14:textId="6F4941EA" w:rsidR="005074AB" w:rsidRPr="003934E5" w:rsidRDefault="005074AB" w:rsidP="005074AB">
      <w:pPr>
        <w:ind w:left="567"/>
        <w:jc w:val="both"/>
        <w:rPr>
          <w:rFonts w:cstheme="minorHAnsi"/>
        </w:rPr>
      </w:pPr>
      <w:r>
        <w:t xml:space="preserve">Elektrische installaties voor het opladen van </w:t>
      </w:r>
      <w:r>
        <w:rPr>
          <w:i/>
        </w:rPr>
        <w:t>elektrische voertuigen</w:t>
      </w:r>
      <w:r>
        <w:t xml:space="preserve"> die zich bevinden in parkeergarages of parkeergarages binnen of verbonden aan gebouwen of wooncomplexen, moeten een van de hierboven beschreven regelingen volgen.</w:t>
      </w:r>
      <w:r>
        <w:rPr>
          <w:color w:val="000000" w:themeColor="text1"/>
        </w:rPr>
        <w:t xml:space="preserve"> </w:t>
      </w:r>
      <w:r>
        <w:t>In hetzelfde gebouw mogen verschillende diagrammen worden gebruikt, mits aan alle vereisten van deze (ITC) BT-52 zijn voldaan.</w:t>
      </w:r>
    </w:p>
    <w:p w14:paraId="642E3740" w14:textId="7634F88A" w:rsidR="005074AB" w:rsidRPr="009064BC" w:rsidRDefault="005074AB" w:rsidP="005074AB">
      <w:pPr>
        <w:ind w:left="567"/>
        <w:jc w:val="both"/>
        <w:rPr>
          <w:rFonts w:cstheme="minorHAnsi"/>
        </w:rPr>
      </w:pPr>
      <w:r>
        <w:t>In schema 4a moet het oplaadcircuit voldoen aan de installatievoorwaarden beschreven in (ITC) BT-15, met gebruikmaking van kabels en geleidingssystemen van dezelfde typen en kenmerken als voor een individuele bypass, en de kabeldoorsnede wordt berekend in overeenstemming met de algemene vereisten van artikel 5 van deze ITC. Het is niet nodig om een verlenging van de kabelsectie te voorzien om de diameter of dwarsafmetingen van het te gebruiken geleidingssysteem te bepalen.</w:t>
      </w:r>
    </w:p>
    <w:p w14:paraId="5C0A8DBB" w14:textId="77777777" w:rsidR="005074AB" w:rsidRPr="009064BC" w:rsidRDefault="005074AB" w:rsidP="005074AB">
      <w:pPr>
        <w:ind w:left="567"/>
        <w:jc w:val="both"/>
        <w:rPr>
          <w:rFonts w:cstheme="minorHAnsi"/>
        </w:rPr>
      </w:pPr>
      <w:r>
        <w:t>Schema 4b moet worden gebruikt wanneer de levering van de laadstations is ontworpen als integraal onderdeel of uitbreiding van de elektrische installatie ten behoeve van de algemene diensten van de garages.</w:t>
      </w:r>
    </w:p>
    <w:p w14:paraId="1BEC25F6" w14:textId="7E6AD67A" w:rsidR="005074AB" w:rsidRPr="009064BC" w:rsidRDefault="00D676D8" w:rsidP="005074AB">
      <w:pPr>
        <w:ind w:left="567"/>
        <w:jc w:val="both"/>
        <w:rPr>
          <w:rFonts w:cstheme="minorHAnsi"/>
        </w:rPr>
      </w:pPr>
      <w:r>
        <w:t>Zowel in bestaande als in nieuwe installaties, en om het gebruik van de geselecteerde elektrische regeling te vergemakkelijken, kunnen tafels met algemene beveiligingen en andere apparaten voor het opladen van elektrische voertuigen zich bevinden in de daartoe aangewezen ruimten of in gemeenschappelijke ruimten.</w:t>
      </w:r>
    </w:p>
    <w:p w14:paraId="3AA0FB18" w14:textId="5CA8F82A" w:rsidR="005074AB" w:rsidRPr="009064BC" w:rsidRDefault="005074AB" w:rsidP="00904550">
      <w:pPr>
        <w:ind w:left="567"/>
        <w:jc w:val="both"/>
        <w:rPr>
          <w:rFonts w:cstheme="minorHAnsi"/>
        </w:rPr>
      </w:pPr>
      <w:r>
        <w:t xml:space="preserve">Elektrische pre-installatie voor het opladen van elektrische voertuigen in parkeergarages die zich bevinden of aan gebouwen of gebouwencomplexen grenzen, moet het latere gebruik van een van de mogelijke installatiesystemen vergemakkelijken. Dit omvat de volgende elementen: </w:t>
      </w:r>
    </w:p>
    <w:p w14:paraId="4CCD8B27" w14:textId="732EDA20" w:rsidR="005074AB" w:rsidRPr="009064BC" w:rsidRDefault="005074AB" w:rsidP="005074AB">
      <w:pPr>
        <w:numPr>
          <w:ilvl w:val="0"/>
          <w:numId w:val="12"/>
        </w:numPr>
        <w:ind w:left="1418" w:hanging="284"/>
        <w:jc w:val="both"/>
        <w:rPr>
          <w:rFonts w:cstheme="minorHAnsi"/>
        </w:rPr>
      </w:pPr>
      <w:r>
        <w:t>Installatie van kabelgeleidingssystemen vanaf de centralisatie van meters en door de hoofdwegen van de parkeergarages om later de oplaadstations die zich op de individuele parkeerplaatsen of parkeergarages kunnen bevinden, van stroom te kunnen voorzien. Wanneer de voorinstallatie is gepland voor 100 % van de ruimten, moeten de kabelgeleidingssystemen elk van de ruimten bereiken. Indien de pre-installatie niet is gepland voor 100 % van de ruimten, moeten de ruimten die in aanmerking worden genomen om te voldoen aan de voorschriften inzake kabelgeleidingssystemen worden gedefinieerd en moeten deze systemen elk van deze ruimten bereiken.</w:t>
      </w:r>
    </w:p>
    <w:p w14:paraId="0460434B" w14:textId="6073EA36" w:rsidR="005074AB" w:rsidRPr="009064BC" w:rsidRDefault="005074AB" w:rsidP="00281B93">
      <w:pPr>
        <w:numPr>
          <w:ilvl w:val="0"/>
          <w:numId w:val="12"/>
        </w:numPr>
        <w:jc w:val="both"/>
        <w:rPr>
          <w:rFonts w:cstheme="minorHAnsi"/>
        </w:rPr>
      </w:pPr>
      <w:r>
        <w:t xml:space="preserve">De centralisatie van de meters moet worden afgestemd op de elektrische regeling die is gekozen voor het opladen van het elektrisch voertuig en zoals beschreven in (ITC) BT-16. Back-upmodules moeten worden geïnstalleerd voor ten minste 20 % van de garageruimten die niet aan een woning zijn gekoppeld, en zelfs als alle ruimten zijn gekoppeld aan woningen, moet er ten minste één back-upmodule worden geïnstalleerd. Deze reservemodules moeten de </w:t>
      </w:r>
      <w:r>
        <w:lastRenderedPageBreak/>
        <w:t>capaciteit hebben om de hoofdmeter te huisvesten en de overstroombeveiligingsinrichtingen die bij de meter horen, met zekeringen of stroomonderbrekers.</w:t>
      </w:r>
    </w:p>
    <w:p w14:paraId="7C024BD7" w14:textId="5A6D76AB" w:rsidR="005074AB" w:rsidRPr="009064BC" w:rsidRDefault="005074AB" w:rsidP="005074AB">
      <w:pPr>
        <w:ind w:left="1416"/>
        <w:jc w:val="both"/>
        <w:rPr>
          <w:rFonts w:cstheme="minorHAnsi"/>
        </w:rPr>
      </w:pPr>
      <w:r>
        <w:t>De stopcontacten of connectoren die in het oplaadstation zijn geïnstalleerd en de automatische beveiligingsschakelaars moeten voldoen aan een van de opties vermeld in paragraaf 5.4.»</w:t>
      </w:r>
    </w:p>
    <w:p w14:paraId="3C2EF0D1" w14:textId="7C25EDED" w:rsidR="00324D93" w:rsidRPr="009064BC" w:rsidRDefault="00441D3E" w:rsidP="00CA5D2D">
      <w:pPr>
        <w:jc w:val="both"/>
        <w:rPr>
          <w:rFonts w:cstheme="minorHAnsi"/>
        </w:rPr>
      </w:pPr>
      <w:r>
        <w:t>Drie. De eerste alinea van artikel 5.4 van AANVULLENDE TECHNISCHE INSTRUCTIE (ITC) BT-52 wordt als volgt gewijzigd:</w:t>
      </w:r>
    </w:p>
    <w:p w14:paraId="1D0AA4C9" w14:textId="6013C719" w:rsidR="00527DF1" w:rsidRDefault="00324D93" w:rsidP="00CA5D2D">
      <w:pPr>
        <w:jc w:val="both"/>
        <w:rPr>
          <w:color w:val="FF0000"/>
        </w:rPr>
      </w:pPr>
      <w:r>
        <w:t xml:space="preserve">«5.4 Verbindingspunt. </w:t>
      </w:r>
      <w:bookmarkStart w:id="1" w:name="_Hlk81468651"/>
      <w:r>
        <w:t xml:space="preserve">Het aansluitpunt bevindt zich naast het te leveren plein geplaatst en vast in een afgesloten ruimte ingebouwd. </w:t>
      </w:r>
    </w:p>
    <w:bookmarkEnd w:id="1"/>
    <w:p w14:paraId="346E72DC" w14:textId="2F609E5D" w:rsidR="00441D3E" w:rsidRPr="00527DF1" w:rsidRDefault="00527DF1" w:rsidP="00CA5D2D">
      <w:pPr>
        <w:jc w:val="both"/>
        <w:rPr>
          <w:color w:val="FF0000"/>
        </w:rPr>
      </w:pPr>
      <w:r>
        <w:t xml:space="preserve">De minimale installatiehoogte voor de stopcontacten en connectoren moet 60 cm boven de grond liggen. </w:t>
      </w:r>
      <w:bookmarkStart w:id="2" w:name="_Hlk81468224"/>
      <w:r>
        <w:t>Indien het oplaadstation bestemd is voor openbaar gebruik, is de maximale hoogte 120 cm. Op toegankelijke parkeerplaatsen moeten stopcontacten en connectoren chromatisch contrasteren met de omgeving, zich op een hoogte tussen 80 en 120 cm bevinden en de afstand tot hoekverbindingen moet ten minste 35 cm bedragen.»</w:t>
      </w:r>
      <w:bookmarkEnd w:id="2"/>
    </w:p>
    <w:p w14:paraId="33BA3231" w14:textId="6E4F1E78" w:rsidR="005074AB" w:rsidRPr="00D47CC2" w:rsidRDefault="005074AB" w:rsidP="00CA5D2D">
      <w:pPr>
        <w:jc w:val="both"/>
        <w:rPr>
          <w:rFonts w:cstheme="minorHAnsi"/>
          <w:bCs/>
          <w:i/>
          <w:iCs/>
        </w:rPr>
      </w:pPr>
      <w:r>
        <w:t xml:space="preserve">Tweede slotbepaling. </w:t>
      </w:r>
      <w:r>
        <w:rPr>
          <w:i/>
        </w:rPr>
        <w:t>Omzetting van het recht van de Europese Unie.</w:t>
      </w:r>
    </w:p>
    <w:p w14:paraId="09244551" w14:textId="77777777" w:rsidR="005074AB" w:rsidRPr="009064BC" w:rsidRDefault="005074AB" w:rsidP="00CA5D2D">
      <w:pPr>
        <w:jc w:val="both"/>
        <w:rPr>
          <w:rFonts w:cstheme="minorHAnsi"/>
        </w:rPr>
      </w:pPr>
      <w:r>
        <w:t>Dit koninklijk besluit zet de artikelen 8.2, 8.3 en 8.5 van RICHTLIJN (EU) 2018/844 VAN HET EUROPEES PARLEMENT EN DE RAAD van 30 mei 2018 tot wijziging van Richtlijn 2010/31/EU betreffende de energieprestatie van gebouwen en Richtlijn 2012/27/EU betreffende energie-efficiëntie om in Spaans recht.</w:t>
      </w:r>
    </w:p>
    <w:p w14:paraId="106D513A" w14:textId="7AD1ED46" w:rsidR="005074AB" w:rsidRPr="00C760C9" w:rsidRDefault="005074AB" w:rsidP="005074AB">
      <w:pPr>
        <w:jc w:val="both"/>
        <w:rPr>
          <w:rFonts w:cstheme="minorHAnsi"/>
          <w:bCs/>
          <w:i/>
          <w:iCs/>
        </w:rPr>
      </w:pPr>
      <w:r>
        <w:t xml:space="preserve">Derde slotbepaling. </w:t>
      </w:r>
      <w:r>
        <w:rPr>
          <w:i/>
        </w:rPr>
        <w:t>Inwerkingtreding.</w:t>
      </w:r>
    </w:p>
    <w:p w14:paraId="74B6AB2B" w14:textId="74C92419" w:rsidR="001035FC" w:rsidRDefault="005074AB" w:rsidP="000A2592">
      <w:pPr>
        <w:jc w:val="both"/>
        <w:rPr>
          <w:rFonts w:cstheme="minorHAnsi"/>
          <w:color w:val="FF0000"/>
        </w:rPr>
      </w:pPr>
      <w:r>
        <w:t>Dit Koninklijk Besluit treedt in werking op de dag na publicatie ervan in het Spaanse Staatsblad.</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op                          </w:t>
      </w:r>
    </w:p>
    <w:p w14:paraId="28C0A3AF" w14:textId="7E6F82AF" w:rsidR="007F6E00" w:rsidRPr="00243027" w:rsidRDefault="00D47CC2" w:rsidP="00726501">
      <w:pPr>
        <w:jc w:val="center"/>
        <w:rPr>
          <w:rFonts w:cstheme="minorHAnsi"/>
          <w:sz w:val="24"/>
          <w:szCs w:val="24"/>
        </w:rPr>
      </w:pPr>
      <w:r>
        <w:rPr>
          <w:sz w:val="24"/>
        </w:rPr>
        <w:t>DE MINISTER VAN VERVOER, MOBILITEIT EN DE STEDELIJKE AGENDA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DERDE VICEPREMIER VAN DE REGERING EN MINISTER VOOR DE ECOLOGISCHE TRANSITIE EN DE DEMOGRAFISCHE UITDAGING</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Ontwerp van Koninklijk Besluit tot wijziging van de Technisch Bouwwet, goedgekeurd door Koninklijk Besluit 314/2006 van 17 maart.</w:t>
    </w:r>
  </w:p>
  <w:p w14:paraId="53C3F409" w14:textId="5B87674E" w:rsidR="00251439" w:rsidRPr="00C864A9" w:rsidRDefault="00251439" w:rsidP="00D214B0">
    <w:pPr>
      <w:pStyle w:val="Footer"/>
      <w:rPr>
        <w:i/>
        <w:sz w:val="15"/>
        <w:szCs w:val="15"/>
      </w:rPr>
    </w:pPr>
    <w:r>
      <w:rPr>
        <w:i/>
        <w:sz w:val="15"/>
      </w:rPr>
      <w:t>Versie voor Europese publieksvoorlichting. Oktober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MINISTERIE VAN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ONTWIKKELING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6392A"/>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7384</Words>
  <Characters>42095</Characters>
  <Application>Microsoft Office Word</Application>
  <DocSecurity>0</DocSecurity>
  <Lines>350</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2021-11-03T09:40:00Z</dcterms:modified>
</cp:coreProperties>
</file>