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21" w:type="dxa"/>
        <w:jc w:val="center"/>
        <w:tblLayout w:type="fixed"/>
        <w:tblCellMar>
          <w:left w:w="70" w:type="dxa"/>
          <w:right w:w="70" w:type="dxa"/>
        </w:tblCellMar>
        <w:tblLook w:val="0000" w:firstRow="0" w:lastRow="0" w:firstColumn="0" w:lastColumn="0" w:noHBand="0" w:noVBand="0"/>
      </w:tblPr>
      <w:tblGrid>
        <w:gridCol w:w="11121"/>
      </w:tblGrid>
      <w:tr w:rsidR="00C93CCC" w14:paraId="38FF51DE" w14:textId="77777777" w:rsidTr="00BC4DA1">
        <w:trPr>
          <w:trHeight w:hRule="exact" w:val="2320"/>
          <w:jc w:val="center"/>
        </w:trPr>
        <w:tc>
          <w:tcPr>
            <w:tcW w:w="11121" w:type="dxa"/>
            <w:vAlign w:val="center"/>
          </w:tcPr>
          <w:p w14:paraId="4EB9625C" w14:textId="77777777" w:rsidR="00C93CCC" w:rsidRDefault="00C93CCC">
            <w:pPr>
              <w:pStyle w:val="Header"/>
              <w:tabs>
                <w:tab w:val="clear" w:pos="4252"/>
                <w:tab w:val="clear" w:pos="8504"/>
              </w:tabs>
              <w:ind w:left="360" w:right="172"/>
              <w:jc w:val="center"/>
              <w:rPr>
                <w:rFonts w:ascii="Arial" w:hAnsi="Arial"/>
                <w:sz w:val="20"/>
              </w:rPr>
            </w:pPr>
            <w:r>
              <w:rPr>
                <w:rFonts w:ascii="Arial" w:hAnsi="Arial"/>
                <w:sz w:val="20"/>
              </w:rPr>
              <w:t>Det foreslås, at Ministerrådet godkender følgende udkast til forskrift:</w:t>
            </w:r>
          </w:p>
        </w:tc>
      </w:tr>
    </w:tbl>
    <w:p w14:paraId="35F48173" w14:textId="77777777" w:rsidR="00C93CCC" w:rsidRDefault="00C93CCC">
      <w:pPr>
        <w:pStyle w:val="Header"/>
        <w:tabs>
          <w:tab w:val="clear" w:pos="4252"/>
          <w:tab w:val="clear" w:pos="8504"/>
        </w:tabs>
        <w:ind w:left="360" w:right="172"/>
        <w:rPr>
          <w:rFonts w:ascii="Arial" w:hAnsi="Arial"/>
          <w:spacing w:val="4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C93CCC" w14:paraId="0FABBEB3" w14:textId="77777777" w:rsidTr="00546D77">
        <w:trPr>
          <w:trHeight w:hRule="exact" w:val="2220"/>
          <w:jc w:val="center"/>
        </w:trPr>
        <w:tc>
          <w:tcPr>
            <w:tcW w:w="10773" w:type="dxa"/>
            <w:tcBorders>
              <w:bottom w:val="single" w:sz="4" w:space="0" w:color="auto"/>
            </w:tcBorders>
          </w:tcPr>
          <w:p w14:paraId="0016DD6A" w14:textId="77777777" w:rsidR="00C93CCC" w:rsidRPr="00546D77" w:rsidRDefault="00C93CCC">
            <w:pPr>
              <w:pStyle w:val="Header"/>
              <w:tabs>
                <w:tab w:val="clear" w:pos="4252"/>
                <w:tab w:val="clear" w:pos="8504"/>
              </w:tabs>
              <w:ind w:left="461" w:right="172"/>
              <w:jc w:val="both"/>
              <w:rPr>
                <w:rFonts w:ascii="Arial" w:hAnsi="Arial"/>
              </w:rPr>
            </w:pPr>
          </w:p>
          <w:p w14:paraId="0838EDAC" w14:textId="77777777" w:rsidR="00C93CCC" w:rsidRPr="008577E8" w:rsidRDefault="00C93CCC">
            <w:pPr>
              <w:tabs>
                <w:tab w:val="left" w:pos="1080"/>
              </w:tabs>
              <w:spacing w:line="360" w:lineRule="atLeast"/>
              <w:ind w:left="461" w:right="170"/>
              <w:jc w:val="both"/>
              <w:rPr>
                <w:rFonts w:ascii="Arial" w:hAnsi="Arial"/>
              </w:rPr>
            </w:pPr>
          </w:p>
          <w:p w14:paraId="2F91487E" w14:textId="724261EC" w:rsidR="00FD453F" w:rsidRPr="00FD453F" w:rsidRDefault="00FD453F" w:rsidP="00FD453F">
            <w:pPr>
              <w:ind w:left="247" w:right="183"/>
              <w:jc w:val="both"/>
              <w:rPr>
                <w:rFonts w:cs="Calibri"/>
                <w:b/>
              </w:rPr>
            </w:pPr>
            <w:r>
              <w:rPr>
                <w:b/>
              </w:rPr>
              <w:t>Udkast til kongeligt dekret, om ændring af den tekniske bygningslov, godkendt ved kongeligt dekret 314/2006 af 17. marts</w:t>
            </w:r>
          </w:p>
          <w:p w14:paraId="0B02A1E0" w14:textId="77777777" w:rsidR="00C93CCC" w:rsidRDefault="00C93CCC">
            <w:pPr>
              <w:tabs>
                <w:tab w:val="left" w:pos="1080"/>
              </w:tabs>
              <w:spacing w:line="360" w:lineRule="atLeast"/>
              <w:ind w:left="461" w:right="170"/>
              <w:jc w:val="both"/>
              <w:rPr>
                <w:rFonts w:ascii="Arial" w:hAnsi="Arial"/>
              </w:rPr>
            </w:pPr>
          </w:p>
          <w:p w14:paraId="7F08CCF5" w14:textId="77777777" w:rsidR="00C93CCC" w:rsidRDefault="00C93CCC">
            <w:pPr>
              <w:tabs>
                <w:tab w:val="left" w:pos="1080"/>
              </w:tabs>
              <w:spacing w:line="360" w:lineRule="atLeast"/>
              <w:ind w:left="357" w:right="170"/>
              <w:jc w:val="both"/>
              <w:rPr>
                <w:rFonts w:ascii="Arial" w:hAnsi="Arial"/>
                <w:b/>
                <w:sz w:val="28"/>
                <w:lang w:val="es-ES_tradnl"/>
              </w:rPr>
            </w:pPr>
          </w:p>
        </w:tc>
      </w:tr>
    </w:tbl>
    <w:p w14:paraId="4ABF8576" w14:textId="77777777" w:rsidR="00C93CCC" w:rsidRDefault="00C93CCC">
      <w:pPr>
        <w:ind w:left="360" w:right="172"/>
        <w:jc w:val="both"/>
      </w:pPr>
    </w:p>
    <w:p w14:paraId="306FCEB1" w14:textId="77777777" w:rsidR="00C93CCC" w:rsidRDefault="00C93CCC">
      <w:pPr>
        <w:spacing w:line="360" w:lineRule="atLeast"/>
        <w:ind w:left="357" w:right="170"/>
        <w:jc w:val="both"/>
      </w:pPr>
    </w:p>
    <w:p w14:paraId="4C59397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p w14:paraId="59E0450F" w14:textId="63AAAB00" w:rsidR="000760AB" w:rsidRPr="00CE0018" w:rsidRDefault="000760AB" w:rsidP="000760AB">
      <w:pPr>
        <w:spacing w:after="160" w:line="259" w:lineRule="auto"/>
        <w:jc w:val="both"/>
        <w:rPr>
          <w:rFonts w:ascii="Calibri" w:eastAsia="Calibri" w:hAnsi="Calibri" w:cs="Calibri"/>
          <w:sz w:val="22"/>
          <w:szCs w:val="22"/>
        </w:rPr>
      </w:pPr>
      <w:r>
        <w:rPr>
          <w:rFonts w:ascii="Calibri" w:hAnsi="Calibri"/>
          <w:sz w:val="22"/>
        </w:rPr>
        <w:t>Lov 38/1999 af 5. november om bygningsreglementer definerer den tekniske bygningslov (CTE) som den lovgivningsmæssige ramme, der fastlægger de grundlæggende kvalitetskrav til bygninger og deres installationer, og som gør det muligt at overholde de grundlæggende krav, der er fastsat i artikel 3. Den tekniske bygningslov (CTE), der er omhandlet i denne lov, blev godkendt ved kongeligt dekret 314/2006 af 17. marts. De grunddokumenter, der indgår i del II i CTE, specificerer og, hvor det er relevant, kvantificerer de grundlæggende krav, der er fastsat i del I, ved at fastsætte målniveauer eller grænseværdier for ydeevne eller andre parametre. Mere specifikt præciserer og kvantificerer grunddokumentet DB-HE om "Energibesparelse" de energibesparelseskrav, der skal opfyldes i forbindelse med nyopførte bygninger såvel som ved indgreb i eksisterende bygninger.</w:t>
      </w:r>
    </w:p>
    <w:p w14:paraId="0BC6392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Den 30. maj 2018 blev Europa-Parlamentets og Rådets direktiv (EU) 2018/844 om ændring af direktiv 2010/31/EU om bygningers energimæssige ydeevne og direktiv 2012/27/EU om energieffektivitet vedtaget.</w:t>
      </w:r>
    </w:p>
    <w:p w14:paraId="4E8A50F3"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Dette direktiv tilskynder til indførelse af specifikke krav til etableringen af infrastrukturer til opladning af elektriske køretøjer på parkeringspladser i bygninger. Således er både bygnings- og mobilitetssektoren strategiske områder for den overordnede </w:t>
      </w:r>
      <w:proofErr w:type="spellStart"/>
      <w:r>
        <w:rPr>
          <w:rFonts w:ascii="Calibri" w:hAnsi="Calibri"/>
          <w:sz w:val="22"/>
        </w:rPr>
        <w:t>dekarbonisering</w:t>
      </w:r>
      <w:proofErr w:type="spellEnd"/>
      <w:r>
        <w:rPr>
          <w:rFonts w:ascii="Calibri" w:hAnsi="Calibri"/>
          <w:sz w:val="22"/>
        </w:rPr>
        <w:t xml:space="preserve"> af økonomien med en lovgivningsmæssig ramme, der har til formål at fremme innovation, bæredygtighed og energieffektivitet i de pågældende sektorer.</w:t>
      </w:r>
    </w:p>
    <w:p w14:paraId="2B504954"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Til gengæld vil udviklingen af infrastruktur til intelligent opladning af elektriske køretøjer bidrage til energistyring og fleksibilitet, anvendelse af vedvarende energi og forbedring af luftkvaliteten, ligesom køretøjernes energimæssige ydeevne vil blive optimeret i kraft af bygningens digitalisering og indarbejdelse af nye teknologier på området.</w:t>
      </w:r>
    </w:p>
    <w:p w14:paraId="4219E732"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Den integrerede nationale energi- og klimaplan 2021-2030 (PNIEC), som Spanien har forelagt Europa-Kommissionen, omfatter fremme af elektrisk mobilitet som en foranstaltning til at reducere energiforbruget og emissionerne fra køretøjer, lovgivningsmæssig tilpasning og indarbejdelse af EU-retten, der giver mulighed for etablering af infrastruktur til opladning af elektriske køretøjer i overensstemmelse med udviklingen af elektrificering af køretøjsparken, samt gennem andre tilskyndelses- og støttemekanismer. </w:t>
      </w:r>
    </w:p>
    <w:p w14:paraId="76C72E2C"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lastRenderedPageBreak/>
        <w:t xml:space="preserve">For at nå disse mål og delvist gennemføre direktivet i denne henseende indføres der med dette kongelige dekret i den tekniske bygningslov et nyt grundlæggende energibesparelseskrav vedrørende minimumsbestemmelser for infrastruktur til opladning af elektriske køretøjer, som er uddybet i det nye afsnit HE 6 "Minimumsbestemmelser for infrastruktur til opladning af elektriske køretøjer" i grunddokumentet DB-HE "Energibesparelser". </w:t>
      </w:r>
    </w:p>
    <w:p w14:paraId="524332F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På den anden side skal det bemærkes, at lov nr. 7/2021 af 20. maj om klimaændringer og energiomstilling i artikel 15, stk. 10, henviser til CTE for at denne forordning skal fastsætte minimumsbestemmelser for infrastruktur til opladning af elektriske køretøjer i eksisterende bygninger opført til anden anvendelse end som private boliger, som har et parkeringsområde med mere end 20 parkeringspladser, hvad enten det er indendørs eller på et tildelt udeareal, idet disse bestemmelser skal være på plads inden den 1. januar 2023. Disse minimumstildelinger er imidlertid endelig fastsat ved kongeligt lovdekret 29/2021 af 21. december, der vedtager hasteforanstaltninger på energiområdet for at fremme elektrisk mobilitet, privatforbrug og udbredelse af vedvarende energi, og som i artikel 4 omhandler dette krav. </w:t>
      </w:r>
    </w:p>
    <w:p w14:paraId="7707E80D"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For at færdiggøre reguleringen af infrastrukturer til opladning af elektriske køretøjer, ændres også kongeligt dekret 1053/2014 af 12. december med godkendelse af en ny supplerende teknisk vejledning (ITC) BT 52 "Anlæg til særlige formål. Infrastruktur til opladning af elektriske køretøjer" i forskriften om lavspændingselektronik, godkendt ved kongeligt dekret 842/2002 af 2. august, og øvrige supplerende tekniske vejledninger af nævnte forskrift ændres.</w:t>
      </w:r>
    </w:p>
    <w:p w14:paraId="055E3A4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Som en foranstaltning til fremme af vedvarende energi, forbedring af produktionssektorernes konkurrenceevne og øget inddragelse af forbrugerne i forvaltningen af deres energi forudser PNIEC på den anden side en udvikling af egetforbrug med vedvarende energi og decentral produktion på såvel bolig- som erhvervsområdet. </w:t>
      </w:r>
    </w:p>
    <w:p w14:paraId="0AED8916"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I denne henseende har godkendelsen af kongeligt dekret nr. 244/2019 af 5. april, som regulerer de administrative, tekniske og økonomiske betingelser for egetforbrug af elektricitet, bl.a. givet mulighed for kollektivt egetforbrug og samtidig reduceret de administrative procedurer for gennemførelse af egetforbrug. Det vurderes derfor, at den nuværende retlige ramme giver mulighed for at udvide anvendelsesområdet for det grundlæggende krav HE 5 vedrørende minimumsproduktion af elektricitet på grundlag af vedvarende energikilder ved at gøre den gældende i bygninger til anvendelse som private boliger og desuden sænke tærsklen for størrelsen af det opførte bygningsareal til samtlige de formål, som kravet finder anvendelse på. </w:t>
      </w:r>
    </w:p>
    <w:p w14:paraId="55B0D0A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Desuden anses det for nødvendigt at ændre nogle afsnit i grunddokumenterne DB-HE "Energibesparelse</w:t>
      </w:r>
      <w:proofErr w:type="gramStart"/>
      <w:r>
        <w:rPr>
          <w:rFonts w:ascii="Calibri" w:hAnsi="Calibri"/>
          <w:sz w:val="22"/>
        </w:rPr>
        <w:t>"</w:t>
      </w:r>
      <w:bookmarkStart w:id="0" w:name="_Hlk92819359"/>
      <w:bookmarkEnd w:id="0"/>
      <w:r>
        <w:t xml:space="preserve"> </w:t>
      </w:r>
      <w:r>
        <w:rPr>
          <w:rFonts w:ascii="Calibri" w:hAnsi="Calibri"/>
          <w:sz w:val="22"/>
        </w:rPr>
        <w:t xml:space="preserve"> og</w:t>
      </w:r>
      <w:proofErr w:type="gramEnd"/>
      <w:r>
        <w:rPr>
          <w:rFonts w:ascii="Calibri" w:hAnsi="Calibri"/>
          <w:sz w:val="22"/>
        </w:rPr>
        <w:t xml:space="preserve"> DB-HS "Sundhed" for at lette disses gennemførelse samt foretage en specifik ændring af grunddokumentet DB-SUA "Brugssikkerhed og tilgængelighed" med henblik på at indarbejde tilgængelighedskrav for opladningsstationer på tilgængelige parkeringspladser.  </w:t>
      </w:r>
    </w:p>
    <w:p w14:paraId="7B428C2F" w14:textId="1C0D714C"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Ændringen af CTE i forbindelse med indarbejdelsen af det nye afsnit HE 6 "Minimumsbestemmelser for infrastruktur til opladning af elektriske køretøjer" i grunddokumentet DB-HE om energibesparelse samt ændringen af kongeligt dekret 1053/2014 af 12. december, som godkender en ny supplerende teknisk vejledning (ITC) BT 52, der er medtaget i den første afsluttende bestemmelse, er en del af de lovreformer, der er fastlagt i planen for genopretning, omstilling og resiliens (PRTR). Helt konkret indeholder komponent 1 i PRTR om "Plan for bæredygtig, sikker og sammenhængende mobilitet i by- og storbymiljøer" en forpligtelse til at godkende dette kongelige dekret om gennemførelse af ovennævnte reguleringsreformer inden for rammerne af C1.R1-reformen med titlen "Plan for etablering af infrastruktur til opladning og fremme af elektriske køretøjer".  C1.R1-reformen betragtes som den normative, lovgivningsmæssige og strategiske ramme, der skal bidrage til etableringen af infrastruktur til opladning til fremme af elektriske køretøjer i Spanien, og som har to delmål. Det første af disse har hjemmel i bekendtgørelse TMA/178/2020 af 19. februar med ændring af bekendtgørelsen af 16. december 1997, som regulerer adgangen til statsveje, forsyningsveje og opførelse af forsyningsanlæg, og i kongeligt lovdekret 23/2020 af 23. juni, som godkender foranstaltninger på energiområdet og andre områder med henblik på økonomisk reaktivering. Det andet delmål i </w:t>
      </w:r>
      <w:r>
        <w:rPr>
          <w:rFonts w:ascii="Calibri" w:hAnsi="Calibri"/>
          <w:sz w:val="22"/>
        </w:rPr>
        <w:lastRenderedPageBreak/>
        <w:t xml:space="preserve">C1.R1-reformen omfatter godkendelsen af dette kongelige dekret om ændring af den tekniske bygningslov og kongeligt dekret 1053/2014 af 12. december om godkendelse af en ny supplerende teknisk vejledning (ITC) BT 52.  Den tidsmæssige milepæl for denne reform er, at det kongelige dekret, der regulerer den, skal træde i kraft senest den 30. juni 2022. Reform C1.R1. er knyttet til investering C1.I2: "Incitamentsplan for installation af </w:t>
      </w:r>
      <w:proofErr w:type="spellStart"/>
      <w:r>
        <w:rPr>
          <w:rFonts w:ascii="Calibri" w:hAnsi="Calibri"/>
          <w:sz w:val="22"/>
        </w:rPr>
        <w:t>ladestandere</w:t>
      </w:r>
      <w:proofErr w:type="spellEnd"/>
      <w:r>
        <w:rPr>
          <w:rFonts w:ascii="Calibri" w:hAnsi="Calibri"/>
          <w:sz w:val="22"/>
        </w:rPr>
        <w:t xml:space="preserve">, indkøb af el- og brændselscellekøretøjer og innovation inden for elektromobilitet, opladning og grøn brint." Denne investering omfatter programstøtte til installation af </w:t>
      </w:r>
      <w:proofErr w:type="spellStart"/>
      <w:r>
        <w:rPr>
          <w:rFonts w:ascii="Calibri" w:hAnsi="Calibri"/>
          <w:sz w:val="22"/>
        </w:rPr>
        <w:t>ladestandere</w:t>
      </w:r>
      <w:proofErr w:type="spellEnd"/>
      <w:r>
        <w:rPr>
          <w:rFonts w:ascii="Calibri" w:hAnsi="Calibri"/>
          <w:sz w:val="22"/>
        </w:rPr>
        <w:t xml:space="preserve">, der er fastsat i kongeligt dekret 266/2021 af 13. april, som godkender den direkte støtte til de autonome regioner og byerne </w:t>
      </w:r>
      <w:proofErr w:type="spellStart"/>
      <w:r>
        <w:rPr>
          <w:rFonts w:ascii="Calibri" w:hAnsi="Calibri"/>
          <w:sz w:val="22"/>
        </w:rPr>
        <w:t>Ceuta</w:t>
      </w:r>
      <w:proofErr w:type="spellEnd"/>
      <w:r>
        <w:rPr>
          <w:rFonts w:ascii="Calibri" w:hAnsi="Calibri"/>
          <w:sz w:val="22"/>
        </w:rPr>
        <w:t xml:space="preserve"> og </w:t>
      </w:r>
      <w:proofErr w:type="spellStart"/>
      <w:r>
        <w:rPr>
          <w:rFonts w:ascii="Calibri" w:hAnsi="Calibri"/>
          <w:sz w:val="22"/>
        </w:rPr>
        <w:t>Melilla</w:t>
      </w:r>
      <w:proofErr w:type="spellEnd"/>
      <w:r>
        <w:rPr>
          <w:rFonts w:ascii="Calibri" w:hAnsi="Calibri"/>
          <w:sz w:val="22"/>
        </w:rPr>
        <w:t xml:space="preserve"> til gennemførelse af incitamentsprogrammer for elektrisk mobilitet (MOVES III) inden for rammerne af PRTR. </w:t>
      </w:r>
    </w:p>
    <w:p w14:paraId="4308D34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Dette kongelige dekret respekterer princippet om ingen væsentlig skade (</w:t>
      </w:r>
      <w:proofErr w:type="spellStart"/>
      <w:r>
        <w:rPr>
          <w:rFonts w:ascii="Calibri" w:hAnsi="Calibri"/>
          <w:sz w:val="22"/>
        </w:rPr>
        <w:t>Principle</w:t>
      </w:r>
      <w:proofErr w:type="spellEnd"/>
      <w:r>
        <w:rPr>
          <w:rFonts w:ascii="Calibri" w:hAnsi="Calibri"/>
          <w:sz w:val="22"/>
        </w:rPr>
        <w:t xml:space="preserve"> of Do No </w:t>
      </w:r>
      <w:proofErr w:type="spellStart"/>
      <w:r>
        <w:rPr>
          <w:rFonts w:ascii="Calibri" w:hAnsi="Calibri"/>
          <w:sz w:val="22"/>
        </w:rPr>
        <w:t>Significant</w:t>
      </w:r>
      <w:proofErr w:type="spellEnd"/>
      <w:r>
        <w:rPr>
          <w:rFonts w:ascii="Calibri" w:hAnsi="Calibri"/>
          <w:sz w:val="22"/>
        </w:rPr>
        <w:t xml:space="preserve"> Harm, DNSH) og betingelserne for klima og digital mærkning i overensstemmelse med bestemmelserne i PRTR, Europa-Parlamentets og Rådets forordning EU/2021/241 af 12. februar 2021 om oprettelse af genopretnings- og resiliensfaciliteten, og dens gennemførelseslovgivning, navnlig Kommissionens meddelelse om teknisk vejledning om anvendelsen af princippet om, at der ikke må ske nogen væsentlig skade i henhold til forordningen om en genopretnings- og resiliensfacilitet, samt kravene i Rådets gennemførelsesbeslutning om godkendelse af evalueringen af den spanske plan for genopretning, omstilling og resiliens. Dette omfatter overholdelse af de specifikke betingelser, der er fastsat i delelement 1 såvel som i reform 1, hvori dette kongelige dekret er rammesat, får så vidt angår både DNSH-princippet og klima og digital mærkning, men navnlig også de betingelser, der er fastsat i afsnit 3, 6 og 8 i </w:t>
      </w:r>
      <w:proofErr w:type="spellStart"/>
      <w:r>
        <w:rPr>
          <w:rFonts w:ascii="Calibri" w:hAnsi="Calibri"/>
          <w:sz w:val="22"/>
        </w:rPr>
        <w:t>PRTRs</w:t>
      </w:r>
      <w:proofErr w:type="spellEnd"/>
      <w:r>
        <w:rPr>
          <w:rFonts w:ascii="Calibri" w:hAnsi="Calibri"/>
          <w:sz w:val="22"/>
        </w:rPr>
        <w:t xml:space="preserve"> komponentdokument. De investeringer, der er fastlagt i C1.I2 i PTRT, og som er forbundet med reform C1.R1, respekterer også princippet om, at der ikke må ske væsentlig skade på miljøet, såvel som betingelserne for klimamærkning og digital mærkning. </w:t>
      </w:r>
    </w:p>
    <w:p w14:paraId="449DE2FF"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Dette kongelige dekret er i overensstemmelse med principperne om nødvendighed, effektivitet, proportionalitet, retssikkerhed, gennemsigtighed og effektivitet, der er fastsat i artikel 129 i lov nr. 39/2015 af 1. oktober om den fælles administrative procedure for offentlige forvaltninger. Med hensyn til principperne om nødvendighed og effektivitet opfylder loven forpligtelsen til at gennemføre EU-direktiver i national ret og er i overensstemmelse med mål af almen interesse, såsom tilpasning af bygningsinfrastruktur til fremme af bæredygtig mobilitet og anvendelse af vedvarende energikilder. Dette vil være til gavn for samfundets velfærd og beskytte miljøet. Dette kongelige dekret er også i overensstemmelse med proportionalitetsprincippet, da den tilvejebringer et nødvendigt og tilstrækkeligt grundlag for gennemførelsen af det retlige mandat, der er fastsat i direktivet, men den indebærer ikke en unødvendig eller mere vidtgående nyskabelse end de retlige krav, og den indebærer heller ikke en begrænsning af borgernes rettigheder. Dekretet er i overensstemmelse med retssikkerhedsprincippet, fordi det er udarbejdet i overensstemmelse med de procedurer, der er fastlagt i regeringens lov nr. 50/1997 af 27. november 1997, og princippet om gennemsigtighed, da dets formål er klart angivet, og da rapporten, der er tilgængelig for offentligheden, indeholder en fuldstændig forklaring af indholdet. Endelig er det også i overensstemmelse med effektivitetsprincippet, da det ikke medfører administrative byrder.</w:t>
      </w:r>
    </w:p>
    <w:p w14:paraId="781A1DCF"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Denne generelle bestemmelse er blevet underlagt de procedurer for forudgående offentlig konsultation og offentlig høring og underretning, der er fastsat i artikel 26 i regeringens lov nr. 50/1997 af 27. november, samt informationsproceduren vedrørende tekniske forskrifter og forskrifter for informationssamfundets tjenester, der er fastsat i Europa-Parlamentets og Rådets direktiv (EU) 2015/1535 af 9. september 2015 og i kongeligt dekret 1337/1999 af 31. juli 1999.</w:t>
      </w:r>
    </w:p>
    <w:p w14:paraId="1CF691DA" w14:textId="0555DF60"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På forslag af ministeren for transport, mobilitet og byplanlægning og ministeren for økologisk omstilling og demografisk udfordring, efter aftale med statsrådet og efter drøftelse i ministerrådet på mødet i dag, og i henhold hertil</w:t>
      </w:r>
    </w:p>
    <w:p w14:paraId="3A461137" w14:textId="77777777" w:rsidR="000760AB" w:rsidRPr="000760AB" w:rsidRDefault="000760AB" w:rsidP="000760AB">
      <w:pPr>
        <w:spacing w:after="160" w:line="259" w:lineRule="auto"/>
        <w:jc w:val="both"/>
        <w:rPr>
          <w:rFonts w:ascii="Calibri" w:eastAsia="Calibri" w:hAnsi="Calibri" w:cs="Calibri"/>
          <w:sz w:val="22"/>
          <w:szCs w:val="22"/>
          <w:lang w:eastAsia="en-US"/>
        </w:rPr>
      </w:pPr>
    </w:p>
    <w:p w14:paraId="2D0F4D96" w14:textId="77777777" w:rsidR="000760AB" w:rsidRPr="000760AB" w:rsidRDefault="000760AB" w:rsidP="000760AB">
      <w:pPr>
        <w:spacing w:after="160" w:line="259" w:lineRule="auto"/>
        <w:jc w:val="center"/>
        <w:rPr>
          <w:rFonts w:ascii="Calibri" w:eastAsia="Calibri" w:hAnsi="Calibri" w:cs="Calibri"/>
          <w:sz w:val="22"/>
          <w:szCs w:val="22"/>
        </w:rPr>
      </w:pPr>
      <w:r>
        <w:rPr>
          <w:rFonts w:ascii="Calibri" w:hAnsi="Calibri"/>
          <w:sz w:val="22"/>
        </w:rPr>
        <w:lastRenderedPageBreak/>
        <w:t>TRÆFFES DER AFGØRELSE OM FØLGENDE:</w:t>
      </w:r>
    </w:p>
    <w:p w14:paraId="3F204ED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Enkelt artikel. </w:t>
      </w:r>
      <w:r>
        <w:rPr>
          <w:rFonts w:ascii="Calibri" w:hAnsi="Calibri"/>
          <w:i/>
          <w:sz w:val="22"/>
        </w:rPr>
        <w:t>Ændring af den tekniske bygningslov (CTE) godkendt ved kongeligt dekret 314/2006 af 17. marts 2006.</w:t>
      </w:r>
    </w:p>
    <w:p w14:paraId="557D04F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Den tekniske bygningslov (CTE), godkendt ved kongeligt dekret 314/2006 af 17. marts, ændres som følger:</w:t>
      </w:r>
    </w:p>
    <w:p w14:paraId="38344B6D"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En. Indekset i del I ændres som følger:</w:t>
      </w:r>
    </w:p>
    <w:p w14:paraId="493E6A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Formuleringen "15.6. Grundlæggende krav HE5: Minimumsproduktion af elektricitet" som følger:</w:t>
      </w:r>
    </w:p>
    <w:p w14:paraId="7A81777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Grundlæggende krav HE 5: Minimumsproduktion af elektricitet fra vedvarende energikilder"</w:t>
      </w:r>
    </w:p>
    <w:p w14:paraId="53D132D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Et nyt punkt med følgende tekst indsættes i henvisningen til artikel 15:</w:t>
      </w:r>
    </w:p>
    <w:p w14:paraId="1B97A8C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Grundlæggende krav HE6: Minimumsfaciliteter i form af infrastruktur til opladning af elektriske køretøjer.</w:t>
      </w:r>
    </w:p>
    <w:p w14:paraId="24330295"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To. I artikel 15 i del I foretages følgende ændringer:</w:t>
      </w:r>
    </w:p>
    <w:p w14:paraId="53F6E69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Punkt 15.6 affattes således:</w:t>
      </w:r>
    </w:p>
    <w:p w14:paraId="41FA291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Grundlæggende krav HE 5: Minimumsproduktion af elektricitet fra vedvarende energikilder.</w:t>
      </w:r>
    </w:p>
    <w:p w14:paraId="35075490"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Bygninger skal være udstyret med anlæg til produktion af elektricitet fra vedvarende energikilder med henblik på eget brug eller forsyning til nettet."</w:t>
      </w:r>
    </w:p>
    <w:p w14:paraId="7543DFC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Der tilføjes et nyt afsnit 15.7 med følgende indhold:</w:t>
      </w:r>
    </w:p>
    <w:p w14:paraId="47ED53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Grundlæggende krav HE 6: Minimumsfaciliteter i form af infrastruktur til opladning af elektriske køretøjer.</w:t>
      </w:r>
    </w:p>
    <w:p w14:paraId="76AA215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Bygningerne skal være udstyret med et minimum af infrastruktur, der gør det muligt at oplade elektriske køretøjer."</w:t>
      </w:r>
    </w:p>
    <w:p w14:paraId="77CE8C8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Tre. Der foretages følgende ændringer i grunddokumentet DB-HE "Energibesparelse", som er indeholdt i del II:</w:t>
      </w:r>
    </w:p>
    <w:p w14:paraId="49F2FE06"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I første underafsnit i stykket "I Formål" under "Indledning" i sætningen "Afsnittene i dette DB svarer til de grundlæggende krav HE 0 a til HE 5" skal "HE 5" erstattes med "HE 6".</w:t>
      </w:r>
    </w:p>
    <w:p w14:paraId="0A080F50"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 xml:space="preserve">I afsnit I "Formål" under "Indledning" affattes henvisningen til artikel 15.6 i del I </w:t>
      </w:r>
      <w:proofErr w:type="spellStart"/>
      <w:r>
        <w:rPr>
          <w:rFonts w:ascii="Calibri" w:hAnsi="Calibri"/>
          <w:sz w:val="22"/>
        </w:rPr>
        <w:t>i</w:t>
      </w:r>
      <w:proofErr w:type="spellEnd"/>
      <w:r>
        <w:rPr>
          <w:rFonts w:ascii="Calibri" w:hAnsi="Calibri"/>
          <w:sz w:val="22"/>
        </w:rPr>
        <w:t xml:space="preserve"> CTE således:</w:t>
      </w:r>
    </w:p>
    <w:p w14:paraId="72402F7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Grundlæggende krav HE 5: Minimumsproduktion af elektricitet fra vedvarende energikilder.</w:t>
      </w:r>
    </w:p>
    <w:p w14:paraId="2369423E" w14:textId="77777777" w:rsidR="000760AB" w:rsidRPr="000760AB" w:rsidRDefault="000760AB" w:rsidP="000760AB">
      <w:pPr>
        <w:spacing w:after="162" w:line="259" w:lineRule="auto"/>
        <w:ind w:left="284"/>
        <w:jc w:val="both"/>
        <w:rPr>
          <w:rFonts w:ascii="Calibri" w:eastAsia="Calibri" w:hAnsi="Calibri" w:cs="Calibri"/>
          <w:sz w:val="22"/>
          <w:szCs w:val="22"/>
        </w:rPr>
      </w:pPr>
      <w:r>
        <w:rPr>
          <w:rFonts w:ascii="Calibri" w:hAnsi="Calibri"/>
          <w:sz w:val="22"/>
        </w:rPr>
        <w:t>Bygninger skal være udstyret med anlæg til produktion af elektricitet fra vedvarende energikilder med henblik på eget brug eller forsyning til nettet."</w:t>
      </w:r>
    </w:p>
    <w:p w14:paraId="181F1AEB"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I afsnit I "Formål" under "Indledning" indsættes et nyt punkt med følgende tekst umiddelbart efter henvisningen til artikel 15 i CTS, del I:</w:t>
      </w:r>
    </w:p>
    <w:p w14:paraId="7C586D67"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Grundlæggende krav HE 6: Minimumsfaciliteter i form af infrastruktur til opladning af elektriske køretøjer.</w:t>
      </w:r>
    </w:p>
    <w:p w14:paraId="676A05E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Bygningerne skal være udstyret med et minimum af infrastruktur, der gør det muligt at oplade </w:t>
      </w:r>
      <w:r>
        <w:rPr>
          <w:rFonts w:ascii="Calibri" w:hAnsi="Calibri"/>
          <w:i/>
          <w:iCs/>
          <w:sz w:val="22"/>
        </w:rPr>
        <w:t>elektriske køretøjer."</w:t>
      </w:r>
    </w:p>
    <w:p w14:paraId="69721229"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I indholdsfortegnelsen affattes overskriften til afsnit HE 5 således:</w:t>
      </w:r>
    </w:p>
    <w:p w14:paraId="582FB085" w14:textId="6A9EA674" w:rsid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"Afsnit HE 5 Minimumsproduktion af elektricitet fra vedvarende energikilder."</w:t>
      </w:r>
    </w:p>
    <w:p w14:paraId="6364AA7F"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3893C14C"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I indholdsfortegnelsen indsættes et nyt punkt i henvisningen til artikel 15 med følgende ordlyd:</w:t>
      </w:r>
    </w:p>
    <w:p w14:paraId="176B586E" w14:textId="77777777" w:rsidR="000760AB" w:rsidRPr="000760AB" w:rsidRDefault="000760AB" w:rsidP="000760AB">
      <w:pPr>
        <w:tabs>
          <w:tab w:val="left" w:pos="7938"/>
        </w:tabs>
        <w:spacing w:after="160" w:line="259" w:lineRule="auto"/>
        <w:ind w:left="284"/>
        <w:contextualSpacing/>
        <w:jc w:val="both"/>
        <w:rPr>
          <w:rFonts w:ascii="Calibri" w:eastAsia="Calibri" w:hAnsi="Calibri" w:cs="Calibri"/>
          <w:sz w:val="22"/>
          <w:szCs w:val="22"/>
        </w:rPr>
      </w:pPr>
      <w:r>
        <w:rPr>
          <w:rFonts w:ascii="Calibri" w:hAnsi="Calibri"/>
          <w:sz w:val="22"/>
        </w:rPr>
        <w:t>"Afsnit HE 6 Minimumsfaciliteter i form af infrastruktur til opladning af elektriske køretøjer</w:t>
      </w:r>
    </w:p>
    <w:p w14:paraId="0C2C22F2"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lastRenderedPageBreak/>
        <w:t>Anvendelsesområde</w:t>
      </w:r>
    </w:p>
    <w:p w14:paraId="14454D1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Beskrivelse af kravet</w:t>
      </w:r>
    </w:p>
    <w:p w14:paraId="41AC625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Kvantificering af kravet</w:t>
      </w:r>
    </w:p>
    <w:p w14:paraId="0D46B4A0"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Begrundelse for kravet</w:t>
      </w:r>
    </w:p>
    <w:p w14:paraId="6C8C16FE"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Opførelse, vedligeholdelse og opretholdelse</w:t>
      </w:r>
    </w:p>
    <w:p w14:paraId="555B094E"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5.1</w:t>
      </w:r>
      <w:r>
        <w:rPr>
          <w:rFonts w:ascii="Calibri" w:hAnsi="Calibri"/>
          <w:sz w:val="22"/>
        </w:rPr>
        <w:tab/>
        <w:t>Udførelse</w:t>
      </w:r>
    </w:p>
    <w:p w14:paraId="2080D911"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5.2</w:t>
      </w:r>
      <w:r>
        <w:rPr>
          <w:rFonts w:ascii="Calibri" w:hAnsi="Calibri"/>
          <w:sz w:val="22"/>
        </w:rPr>
        <w:tab/>
        <w:t>Kontrol med arbejdets udførelse</w:t>
      </w:r>
    </w:p>
    <w:p w14:paraId="0A1431F4"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5.3</w:t>
      </w:r>
      <w:r>
        <w:rPr>
          <w:rFonts w:ascii="Calibri" w:hAnsi="Calibri"/>
          <w:sz w:val="22"/>
        </w:rPr>
        <w:tab/>
        <w:t>Kontrol af det færdige arbejde</w:t>
      </w:r>
    </w:p>
    <w:p w14:paraId="43CD09C6"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5.4</w:t>
      </w:r>
      <w:r>
        <w:rPr>
          <w:rFonts w:ascii="Calibri" w:hAnsi="Calibri"/>
          <w:sz w:val="22"/>
        </w:rPr>
        <w:tab/>
        <w:t>Vedligeholdelse og opretholdelse af bygningen"</w:t>
      </w:r>
    </w:p>
    <w:p w14:paraId="2BFCCA3F"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I afsnit HE 0, afsnit 1 Anvendelsesområde, stk. 1, udgår teksten: </w:t>
      </w:r>
      <w:proofErr w:type="gramStart"/>
      <w:r>
        <w:rPr>
          <w:rFonts w:ascii="Calibri" w:hAnsi="Calibri"/>
          <w:sz w:val="22"/>
        </w:rPr>
        <w:t>"...hvis</w:t>
      </w:r>
      <w:proofErr w:type="gramEnd"/>
      <w:r>
        <w:rPr>
          <w:rFonts w:ascii="Calibri" w:hAnsi="Calibri"/>
          <w:sz w:val="22"/>
        </w:rPr>
        <w:t xml:space="preserve"> det samlede udvidede brugsareal overstiger 50 m</w:t>
      </w:r>
      <w:r>
        <w:rPr>
          <w:rFonts w:ascii="Calibri" w:hAnsi="Calibri"/>
          <w:sz w:val="22"/>
          <w:vertAlign w:val="superscript"/>
        </w:rPr>
        <w:t>2</w:t>
      </w:r>
      <w:r>
        <w:rPr>
          <w:rFonts w:ascii="Calibri" w:hAnsi="Calibri"/>
          <w:sz w:val="22"/>
        </w:rPr>
        <w:t>;", og erstattes med "...hvis det udvidede brugsareal overstiger 50 m</w:t>
      </w:r>
      <w:r>
        <w:rPr>
          <w:rFonts w:ascii="Calibri" w:hAnsi="Calibri"/>
          <w:sz w:val="22"/>
          <w:vertAlign w:val="superscript"/>
        </w:rPr>
        <w:t>2</w:t>
      </w:r>
      <w:r>
        <w:rPr>
          <w:rFonts w:ascii="Calibri" w:hAnsi="Calibri"/>
          <w:sz w:val="22"/>
        </w:rPr>
        <w:t>;".</w:t>
      </w:r>
    </w:p>
    <w:p w14:paraId="1BE79A25"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 afsnit HE 0, afsnit 3 Kvantificering af kravet, afsnit 3.1. Forbrug af ikkevedvarende primærenergi</w:t>
      </w:r>
      <w:bookmarkStart w:id="1" w:name="_Hlk96944651"/>
      <w:r>
        <w:rPr>
          <w:rFonts w:ascii="Calibri" w:hAnsi="Calibri"/>
          <w:sz w:val="22"/>
        </w:rPr>
        <w:t>,</w:t>
      </w:r>
      <w:bookmarkEnd w:id="1"/>
      <w:r>
        <w:rPr>
          <w:rFonts w:ascii="Calibri" w:hAnsi="Calibri"/>
          <w:sz w:val="22"/>
        </w:rPr>
        <w:t xml:space="preserve"> stk. 1, </w:t>
      </w:r>
      <w:bookmarkStart w:id="2" w:name="_Hlk96943118"/>
      <w:r>
        <w:rPr>
          <w:rFonts w:ascii="Calibri" w:hAnsi="Calibri"/>
          <w:sz w:val="22"/>
        </w:rPr>
        <w:t>erstattes udtrykket "</w:t>
      </w:r>
      <w:proofErr w:type="spellStart"/>
      <w:proofErr w:type="gramStart"/>
      <w:r>
        <w:rPr>
          <w:rFonts w:ascii="Calibri" w:hAnsi="Calibri"/>
          <w:sz w:val="22"/>
        </w:rPr>
        <w:t>Cep,nren</w:t>
      </w:r>
      <w:proofErr w:type="spellEnd"/>
      <w:proofErr w:type="gramEnd"/>
      <w:r>
        <w:rPr>
          <w:rFonts w:ascii="Calibri" w:hAnsi="Calibri"/>
          <w:sz w:val="22"/>
        </w:rPr>
        <w:t>" af "</w:t>
      </w:r>
      <w:proofErr w:type="spellStart"/>
      <w:r>
        <w:rPr>
          <w:rFonts w:ascii="Calibri" w:hAnsi="Calibri"/>
          <w:sz w:val="22"/>
        </w:rPr>
        <w:t>C</w:t>
      </w:r>
      <w:r>
        <w:rPr>
          <w:rFonts w:ascii="Calibri" w:hAnsi="Calibri"/>
          <w:sz w:val="22"/>
          <w:vertAlign w:val="subscript"/>
        </w:rPr>
        <w:t>ep,nren</w:t>
      </w:r>
      <w:proofErr w:type="spellEnd"/>
      <w:r>
        <w:rPr>
          <w:rFonts w:ascii="Calibri" w:hAnsi="Calibri"/>
          <w:sz w:val="22"/>
        </w:rPr>
        <w:t>" og udtrykket "</w:t>
      </w:r>
      <w:proofErr w:type="spellStart"/>
      <w:r>
        <w:rPr>
          <w:rFonts w:ascii="Calibri" w:hAnsi="Calibri"/>
          <w:sz w:val="22"/>
        </w:rPr>
        <w:t>Cep,nren,lim</w:t>
      </w:r>
      <w:proofErr w:type="spellEnd"/>
      <w:r>
        <w:rPr>
          <w:rFonts w:ascii="Calibri" w:hAnsi="Calibri"/>
          <w:sz w:val="22"/>
        </w:rPr>
        <w:t>" erstattes af "</w:t>
      </w:r>
      <w:proofErr w:type="spellStart"/>
      <w:r>
        <w:rPr>
          <w:rFonts w:ascii="Calibri" w:hAnsi="Calibri"/>
          <w:sz w:val="22"/>
        </w:rPr>
        <w:t>C</w:t>
      </w:r>
      <w:r>
        <w:rPr>
          <w:rFonts w:ascii="Calibri" w:hAnsi="Calibri"/>
          <w:sz w:val="22"/>
          <w:vertAlign w:val="subscript"/>
        </w:rPr>
        <w:t>ep,nren,lim</w:t>
      </w:r>
      <w:proofErr w:type="spellEnd"/>
      <w:r>
        <w:rPr>
          <w:rFonts w:ascii="Calibri" w:hAnsi="Calibri"/>
          <w:sz w:val="22"/>
        </w:rPr>
        <w:t>".</w:t>
      </w:r>
      <w:bookmarkEnd w:id="2"/>
    </w:p>
    <w:p w14:paraId="1F114D51"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 afsnit HE 0, afsnit 3 Kvantificering af kravet, afsnit 3.1 Ikkevedvarende primærenergiforbrug, stk. 2, erstattes udtrykket "</w:t>
      </w:r>
      <w:proofErr w:type="spellStart"/>
      <w:proofErr w:type="gramStart"/>
      <w:r>
        <w:rPr>
          <w:rFonts w:ascii="Calibri" w:hAnsi="Calibri"/>
          <w:sz w:val="22"/>
        </w:rPr>
        <w:t>Cep,nren</w:t>
      </w:r>
      <w:proofErr w:type="gramEnd"/>
      <w:r>
        <w:rPr>
          <w:rFonts w:ascii="Calibri" w:hAnsi="Calibri"/>
          <w:sz w:val="22"/>
        </w:rPr>
        <w:t>,lim</w:t>
      </w:r>
      <w:proofErr w:type="spellEnd"/>
      <w:r>
        <w:rPr>
          <w:rFonts w:ascii="Calibri" w:hAnsi="Calibri"/>
          <w:sz w:val="22"/>
        </w:rPr>
        <w:t xml:space="preserve">" af "C </w:t>
      </w:r>
      <w:proofErr w:type="spellStart"/>
      <w:r>
        <w:rPr>
          <w:rFonts w:ascii="Calibri" w:hAnsi="Calibri"/>
          <w:sz w:val="22"/>
          <w:vertAlign w:val="subscript"/>
        </w:rPr>
        <w:t>ep,nren,lim</w:t>
      </w:r>
      <w:proofErr w:type="spellEnd"/>
      <w:r>
        <w:rPr>
          <w:rFonts w:ascii="Calibri" w:hAnsi="Calibri"/>
          <w:sz w:val="22"/>
          <w:vertAlign w:val="subscript"/>
        </w:rPr>
        <w:t xml:space="preserve"> </w:t>
      </w:r>
      <w:r>
        <w:rPr>
          <w:rFonts w:ascii="Calibri" w:hAnsi="Calibri"/>
          <w:sz w:val="22"/>
        </w:rPr>
        <w:t>".</w:t>
      </w:r>
    </w:p>
    <w:p w14:paraId="75CFE807" w14:textId="616002F6"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 afsnit HE 0, afsnit 3, Kvantificering af kravet, afsnit 3.2. Forbrug af ikkevedvarende primærenergi, stk. 1, erstattes betegnelsen "</w:t>
      </w:r>
      <w:proofErr w:type="spellStart"/>
      <w:proofErr w:type="gramStart"/>
      <w:r>
        <w:rPr>
          <w:rFonts w:ascii="Calibri" w:hAnsi="Calibri"/>
          <w:sz w:val="22"/>
        </w:rPr>
        <w:t>Cep,tot</w:t>
      </w:r>
      <w:proofErr w:type="spellEnd"/>
      <w:proofErr w:type="gramEnd"/>
      <w:r>
        <w:rPr>
          <w:rFonts w:ascii="Calibri" w:hAnsi="Calibri"/>
          <w:sz w:val="22"/>
        </w:rPr>
        <w:t>" med "</w:t>
      </w:r>
      <w:proofErr w:type="spellStart"/>
      <w:r>
        <w:rPr>
          <w:rFonts w:ascii="Calibri" w:hAnsi="Calibri"/>
          <w:sz w:val="22"/>
        </w:rPr>
        <w:t>C</w:t>
      </w:r>
      <w:r>
        <w:rPr>
          <w:rFonts w:ascii="Calibri" w:hAnsi="Calibri"/>
          <w:sz w:val="22"/>
          <w:vertAlign w:val="subscript"/>
        </w:rPr>
        <w:t>ep,tot</w:t>
      </w:r>
      <w:proofErr w:type="spellEnd"/>
      <w:r>
        <w:rPr>
          <w:rFonts w:ascii="Calibri" w:hAnsi="Calibri"/>
          <w:sz w:val="22"/>
          <w:vertAlign w:val="subscript"/>
        </w:rPr>
        <w:t>;</w:t>
      </w:r>
      <w:r>
        <w:rPr>
          <w:rFonts w:ascii="Calibri" w:hAnsi="Calibri"/>
          <w:sz w:val="22"/>
        </w:rPr>
        <w:t>".</w:t>
      </w:r>
    </w:p>
    <w:p w14:paraId="440538F2"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 afsnit HE 0, afsnit 3 Kvantificering af kravet, afsnit 3.2 Forbrug af ikkevedvarende primærenergi, stk. 2, erstattes udtrykket "</w:t>
      </w:r>
      <w:proofErr w:type="spellStart"/>
      <w:proofErr w:type="gramStart"/>
      <w:r>
        <w:rPr>
          <w:rFonts w:ascii="Calibri" w:hAnsi="Calibri"/>
          <w:sz w:val="22"/>
        </w:rPr>
        <w:t>Cep,tot</w:t>
      </w:r>
      <w:proofErr w:type="gramEnd"/>
      <w:r>
        <w:rPr>
          <w:rFonts w:ascii="Calibri" w:hAnsi="Calibri"/>
          <w:sz w:val="22"/>
        </w:rPr>
        <w:t>,lim</w:t>
      </w:r>
      <w:proofErr w:type="spellEnd"/>
      <w:r>
        <w:rPr>
          <w:rFonts w:ascii="Calibri" w:hAnsi="Calibri"/>
          <w:sz w:val="22"/>
        </w:rPr>
        <w:t>" af "</w:t>
      </w:r>
      <w:proofErr w:type="spellStart"/>
      <w:r>
        <w:rPr>
          <w:rFonts w:ascii="Calibri" w:hAnsi="Calibri"/>
          <w:sz w:val="22"/>
        </w:rPr>
        <w:t>C</w:t>
      </w:r>
      <w:r>
        <w:rPr>
          <w:rFonts w:ascii="Calibri" w:hAnsi="Calibri"/>
          <w:sz w:val="22"/>
          <w:vertAlign w:val="subscript"/>
        </w:rPr>
        <w:t>ep,tot,lim</w:t>
      </w:r>
      <w:proofErr w:type="spellEnd"/>
      <w:r>
        <w:rPr>
          <w:rFonts w:ascii="Calibri" w:hAnsi="Calibri"/>
          <w:sz w:val="22"/>
        </w:rPr>
        <w:t>".</w:t>
      </w:r>
    </w:p>
    <w:p w14:paraId="1766850B"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I afsnit HE 0, afsnit 3 Kvantificering af kravet, bør udtrykket </w:t>
      </w:r>
      <w:r>
        <w:rPr>
          <w:rFonts w:ascii="Calibri" w:hAnsi="Calibri"/>
          <w:i/>
          <w:iCs/>
          <w:sz w:val="22"/>
        </w:rPr>
        <w:t>"</w:t>
      </w:r>
      <w:r>
        <w:rPr>
          <w:rFonts w:ascii="Calibri" w:hAnsi="Calibri"/>
          <w:i/>
          <w:sz w:val="22"/>
        </w:rPr>
        <w:t xml:space="preserve">anvendelse som private boliger" </w:t>
      </w:r>
      <w:r>
        <w:rPr>
          <w:rFonts w:ascii="Calibri" w:hAnsi="Calibri"/>
          <w:sz w:val="22"/>
        </w:rPr>
        <w:t>stå i kursiv.</w:t>
      </w:r>
    </w:p>
    <w:p w14:paraId="530AA467"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 afsnit HE 0, afsnit 4.1 "Beregningsprocedure" stk. 9, ændres ordene "anerkendt dokument" til "Anerkendt dokument til energimærkning af bygninger".</w:t>
      </w:r>
    </w:p>
    <w:p w14:paraId="5A51E01A" w14:textId="77777777" w:rsidR="000760AB" w:rsidRPr="000760AB" w:rsidRDefault="000760AB" w:rsidP="000760AB">
      <w:pPr>
        <w:numPr>
          <w:ilvl w:val="0"/>
          <w:numId w:val="17"/>
        </w:numPr>
        <w:spacing w:after="160" w:line="259" w:lineRule="auto"/>
        <w:ind w:left="284" w:hanging="11"/>
        <w:jc w:val="both"/>
        <w:rPr>
          <w:rFonts w:ascii="Calibri" w:eastAsia="Calibri" w:hAnsi="Calibri" w:cs="Calibri"/>
          <w:sz w:val="22"/>
          <w:szCs w:val="22"/>
        </w:rPr>
      </w:pPr>
      <w:r>
        <w:rPr>
          <w:rFonts w:ascii="Calibri" w:hAnsi="Calibri"/>
          <w:sz w:val="22"/>
        </w:rPr>
        <w:t>I afsnit HE 0, afsnit 4.1, "Beregningsprocedure" bliver stk. 9 til stk. 11, og følgende underafsnit tilføjes:</w:t>
      </w:r>
    </w:p>
    <w:p w14:paraId="120F39B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"9</w:t>
      </w:r>
      <w:r>
        <w:rPr>
          <w:rFonts w:ascii="Calibri" w:hAnsi="Calibri"/>
          <w:sz w:val="22"/>
        </w:rPr>
        <w:tab/>
        <w:t xml:space="preserve">Beregningen af den energibalance, der kræves til verificering af kravene i denne bygningslov, foretages i overensstemmelse med UNE-EN ISO 52000-1:2019: </w:t>
      </w:r>
      <w:r>
        <w:rPr>
          <w:rFonts w:ascii="Calibri" w:hAnsi="Calibri"/>
          <w:i/>
          <w:sz w:val="22"/>
        </w:rPr>
        <w:t xml:space="preserve">Samlet vurdering af bygningers energimæssige ydeevne. </w:t>
      </w:r>
      <w:r>
        <w:rPr>
          <w:rFonts w:ascii="Calibri" w:hAnsi="Calibri"/>
          <w:i/>
          <w:iCs/>
          <w:sz w:val="22"/>
        </w:rPr>
        <w:t>Del 1: generelle rammer og procedurer</w:t>
      </w:r>
      <w:r>
        <w:rPr>
          <w:rFonts w:ascii="Calibri" w:hAnsi="Calibri"/>
          <w:sz w:val="22"/>
        </w:rPr>
        <w:t xml:space="preserve"> med brug af en eksportfaktor </w:t>
      </w:r>
      <w:proofErr w:type="spellStart"/>
      <w:r>
        <w:rPr>
          <w:rFonts w:ascii="Calibri" w:hAnsi="Calibri"/>
          <w:sz w:val="22"/>
        </w:rPr>
        <w:t>K</w:t>
      </w:r>
      <w:r>
        <w:rPr>
          <w:rFonts w:ascii="Calibri" w:hAnsi="Calibri"/>
          <w:sz w:val="22"/>
          <w:vertAlign w:val="subscript"/>
        </w:rPr>
        <w:t>exp</w:t>
      </w:r>
      <w:proofErr w:type="spellEnd"/>
      <w:r>
        <w:rPr>
          <w:rFonts w:ascii="Calibri" w:hAnsi="Calibri"/>
          <w:sz w:val="22"/>
        </w:rPr>
        <w:t xml:space="preserve"> = 0."</w:t>
      </w:r>
    </w:p>
    <w:p w14:paraId="6D26B789" w14:textId="3B1081FB"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"10</w:t>
      </w:r>
      <w:r>
        <w:rPr>
          <w:rFonts w:ascii="Calibri" w:hAnsi="Calibri"/>
          <w:sz w:val="22"/>
        </w:rPr>
        <w:tab/>
        <w:t>Med henblik på fordelingen af de forskellige tjenesteydelser fordeles den elektricitet, der i de enkelte tidsintervaller produceres på stedet, proportionalt med elforbruget for de relevante forbrugstyper (opvarmning, køling, ventilation, varmt brugsvand og, ved tertiær brug, desuden belysning)."</w:t>
      </w:r>
    </w:p>
    <w:p w14:paraId="015C0599"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I afsnit HE 0, afsnit 4.3 Interne krav og driftsbetingelser, stk. 2, skal udtrykket </w:t>
      </w:r>
      <w:r>
        <w:rPr>
          <w:rFonts w:ascii="Calibri" w:hAnsi="Calibri"/>
          <w:i/>
          <w:iCs/>
          <w:sz w:val="22"/>
        </w:rPr>
        <w:t>"anvendelse som private boliger"</w:t>
      </w:r>
      <w:r>
        <w:rPr>
          <w:rFonts w:ascii="Calibri" w:hAnsi="Calibri"/>
          <w:sz w:val="22"/>
        </w:rPr>
        <w:t xml:space="preserve"> stå i kursiv.</w:t>
      </w:r>
    </w:p>
    <w:p w14:paraId="424F77C1"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 xml:space="preserve">ñ) I afsnit HE 0, afsnit 4.5 Referenceanlæg anvendelse som private boliger, skal udtrykket </w:t>
      </w:r>
      <w:r>
        <w:rPr>
          <w:rFonts w:ascii="Calibri" w:hAnsi="Calibri"/>
          <w:i/>
          <w:iCs/>
          <w:sz w:val="22"/>
        </w:rPr>
        <w:t>"anvendelse som private boliger"</w:t>
      </w:r>
      <w:r>
        <w:rPr>
          <w:rFonts w:ascii="Calibri" w:hAnsi="Calibri"/>
          <w:sz w:val="22"/>
        </w:rPr>
        <w:t xml:space="preserve"> stå i kursiv både i titlen og stk. 1.</w:t>
      </w:r>
    </w:p>
    <w:p w14:paraId="7DB1F14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I afsnit HE 1, afsnit 3, Kvantificering af kravet, afsnit 3.1.1. Den </w:t>
      </w:r>
      <w:r>
        <w:rPr>
          <w:rFonts w:ascii="Calibri" w:hAnsi="Calibri"/>
          <w:i/>
          <w:iCs/>
          <w:sz w:val="22"/>
        </w:rPr>
        <w:t>termiske klimaskærms</w:t>
      </w:r>
      <w:r>
        <w:rPr>
          <w:rFonts w:ascii="Calibri" w:hAnsi="Calibri"/>
          <w:sz w:val="22"/>
        </w:rPr>
        <w:t xml:space="preserve"> transmissionsgrad, udtrykket "kompakthed" i tabel 3.1.1.b-HE1 og tabel 3.1.1.c-HE1 skal stå i kursiv.</w:t>
      </w:r>
    </w:p>
    <w:p w14:paraId="2E82A8CF"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lastRenderedPageBreak/>
        <w:t xml:space="preserve">I afsnit HE 1, afsnit 3, Kvantificering af kravet, afsnit 3.1.1. Den </w:t>
      </w:r>
      <w:r>
        <w:rPr>
          <w:rFonts w:ascii="Calibri" w:hAnsi="Calibri"/>
          <w:i/>
          <w:iCs/>
          <w:sz w:val="22"/>
        </w:rPr>
        <w:t>termiske klimaskærms</w:t>
      </w:r>
      <w:r>
        <w:rPr>
          <w:rFonts w:ascii="Calibri" w:hAnsi="Calibri"/>
          <w:sz w:val="22"/>
        </w:rPr>
        <w:t xml:space="preserve"> transmissionsgrad, udtrykket "kompakthed" i tabellens fodnote 3.1.1.b-HE1 og tabel 3.1.1.c-HE1 og udtrykket "kompakthed" i tabellens fodnote i tabel 3.1.1.c-HE1 skal stå i kursiv.</w:t>
      </w:r>
    </w:p>
    <w:p w14:paraId="6592C9A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I afsnit HE 1, afsnit 3, Kvantificering af kravet, afsnit 3.1.1. Den </w:t>
      </w:r>
      <w:r>
        <w:rPr>
          <w:rFonts w:ascii="Calibri" w:hAnsi="Calibri"/>
          <w:i/>
          <w:iCs/>
          <w:sz w:val="22"/>
        </w:rPr>
        <w:t>termiske klimaskærms</w:t>
      </w:r>
      <w:r>
        <w:rPr>
          <w:rFonts w:ascii="Calibri" w:hAnsi="Calibri"/>
          <w:sz w:val="22"/>
        </w:rPr>
        <w:t xml:space="preserve"> transmissionsgrad, afsnit 3, udtrykket </w:t>
      </w:r>
      <w:r>
        <w:rPr>
          <w:rFonts w:ascii="Calibri" w:hAnsi="Calibri"/>
          <w:i/>
          <w:iCs/>
          <w:sz w:val="22"/>
        </w:rPr>
        <w:t>"anvendelse som private boliger"</w:t>
      </w:r>
      <w:r>
        <w:rPr>
          <w:rFonts w:ascii="Calibri" w:hAnsi="Calibri"/>
          <w:sz w:val="22"/>
        </w:rPr>
        <w:t xml:space="preserve"> skal stå i kursiv i såvel stk. 3 som i tabel 3.1.1.b-HE1.</w:t>
      </w:r>
    </w:p>
    <w:p w14:paraId="4B4F6F00"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I afsnit HE 1, afsnit 3, Kvantificering af kravet, afsnit 3.1.1. Den </w:t>
      </w:r>
      <w:r>
        <w:rPr>
          <w:rFonts w:ascii="Calibri" w:hAnsi="Calibri"/>
          <w:i/>
          <w:iCs/>
          <w:sz w:val="22"/>
        </w:rPr>
        <w:t>termiske klimaskærms</w:t>
      </w:r>
      <w:r>
        <w:rPr>
          <w:rFonts w:ascii="Calibri" w:hAnsi="Calibri"/>
          <w:sz w:val="22"/>
        </w:rPr>
        <w:t xml:space="preserve"> transmissionsgrad, udtrykket "termiske klimaskærm" i tabel 3.1.1.b-HE1 og 3.1.1.c-HE1 skal stå i kursiv.</w:t>
      </w:r>
    </w:p>
    <w:p w14:paraId="41623096"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I afsnit HE 1, afsnit 3 Kvantificering af kravet, i afsnit 3.1.1, "</w:t>
      </w:r>
      <w:r>
        <w:rPr>
          <w:rFonts w:ascii="Calibri" w:hAnsi="Calibri"/>
          <w:i/>
          <w:iCs/>
          <w:sz w:val="22"/>
        </w:rPr>
        <w:t>Overførsel af den termiske klimaskærm</w:t>
      </w:r>
      <w:r>
        <w:rPr>
          <w:rFonts w:ascii="Calibri" w:hAnsi="Calibri"/>
          <w:sz w:val="22"/>
        </w:rPr>
        <w:t>", tilføjes følgende underafsnit:</w:t>
      </w:r>
    </w:p>
    <w:p w14:paraId="6EEEBF4F"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"6 Alternativt kan bygninger eller, i tilfælde af delvise indgreb i eksisterende bygninger, dele af bygninger, hvor der foretages indgreb, hvis varme- og kølebehov er mindre end 15 kWh/m</w:t>
      </w:r>
      <w:r>
        <w:rPr>
          <w:rFonts w:ascii="Calibri" w:hAnsi="Calibri"/>
          <w:sz w:val="22"/>
          <w:vertAlign w:val="superscript"/>
        </w:rPr>
        <w:t>2</w:t>
      </w:r>
      <w:r>
        <w:rPr>
          <w:rFonts w:ascii="Calibri" w:hAnsi="Calibri"/>
          <w:sz w:val="22"/>
        </w:rPr>
        <w:t xml:space="preserve"> i begge tilfælde, undtages fra kravet om overholdelse af den </w:t>
      </w:r>
      <w:r>
        <w:rPr>
          <w:rFonts w:ascii="Calibri" w:hAnsi="Calibri"/>
          <w:i/>
          <w:iCs/>
          <w:sz w:val="22"/>
        </w:rPr>
        <w:t>samlede varmetransmissionskoefficient for den termiske klimaskærm</w:t>
      </w:r>
      <w:r>
        <w:rPr>
          <w:rFonts w:ascii="Calibri" w:hAnsi="Calibri"/>
          <w:sz w:val="22"/>
        </w:rPr>
        <w:t xml:space="preserve"> (K)."</w:t>
      </w:r>
    </w:p>
    <w:p w14:paraId="582E2B37"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I afsnit HE 1, afsnit 3, Kvantificering af kravet, afsnit 3.1.2 Solregulering af den termiske klimaskærm, affattes teksten: "Tabel 3.1.2-HE1 Grænseværdi for solreguleringsparameteren </w:t>
      </w:r>
      <w:proofErr w:type="spellStart"/>
      <w:proofErr w:type="gramStart"/>
      <w:r>
        <w:rPr>
          <w:rFonts w:ascii="Calibri" w:hAnsi="Calibri"/>
          <w:sz w:val="22"/>
        </w:rPr>
        <w:t>qsol;jul</w:t>
      </w:r>
      <w:proofErr w:type="gramEnd"/>
      <w:r>
        <w:rPr>
          <w:rFonts w:ascii="Calibri" w:hAnsi="Calibri"/>
          <w:sz w:val="22"/>
        </w:rPr>
        <w:t>,lim</w:t>
      </w:r>
      <w:proofErr w:type="spellEnd"/>
      <w:r>
        <w:rPr>
          <w:rFonts w:ascii="Calibri" w:hAnsi="Calibri"/>
          <w:sz w:val="22"/>
        </w:rPr>
        <w:t xml:space="preserve"> [KWh/m</w:t>
      </w:r>
      <w:r>
        <w:rPr>
          <w:rFonts w:ascii="Calibri" w:hAnsi="Calibri"/>
          <w:sz w:val="22"/>
          <w:vertAlign w:val="superscript"/>
        </w:rPr>
        <w:t>2</w:t>
      </w:r>
      <w:r>
        <w:rPr>
          <w:rFonts w:ascii="Calibri" w:hAnsi="Calibri"/>
          <w:sz w:val="22"/>
        </w:rPr>
        <w:t xml:space="preserve">·mes]” således: "Tabel 3.1.2-HE1 Grænseværdi for solreguleringsparameteren </w:t>
      </w:r>
      <w:proofErr w:type="spellStart"/>
      <w:r>
        <w:rPr>
          <w:rFonts w:ascii="Calibri" w:hAnsi="Calibri"/>
          <w:sz w:val="22"/>
        </w:rPr>
        <w:t>q</w:t>
      </w:r>
      <w:r>
        <w:rPr>
          <w:rFonts w:ascii="Calibri" w:hAnsi="Calibri"/>
          <w:sz w:val="22"/>
          <w:vertAlign w:val="subscript"/>
        </w:rPr>
        <w:t>sol;jul,lim</w:t>
      </w:r>
      <w:proofErr w:type="spellEnd"/>
      <w:r>
        <w:rPr>
          <w:rFonts w:ascii="Calibri" w:hAnsi="Calibri"/>
          <w:sz w:val="22"/>
        </w:rPr>
        <w:t xml:space="preserve"> [KWh/m</w:t>
      </w:r>
      <w:r>
        <w:rPr>
          <w:rFonts w:ascii="Calibri" w:hAnsi="Calibri"/>
          <w:sz w:val="22"/>
          <w:vertAlign w:val="superscript"/>
        </w:rPr>
        <w:t>2</w:t>
      </w:r>
      <w:r>
        <w:rPr>
          <w:rFonts w:ascii="Calibri" w:hAnsi="Calibri"/>
          <w:sz w:val="22"/>
        </w:rPr>
        <w:t>·mes]".</w:t>
      </w:r>
    </w:p>
    <w:p w14:paraId="7E3CBE02"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I afsnit HE 1, afsnit 3 Kvantificering af kravet, afsnit 3.1.3 Luftgennemtrængelighed for den termiske klimaskærm, skal udtrykket "termisk klimaskærm" stå i kursiv både i afsnittets titel og i titlen på tabel 3.1.3.a-HE1.</w:t>
      </w:r>
    </w:p>
    <w:p w14:paraId="7B525B8B"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 xml:space="preserve">I afsnit HE 1, afsnit 3 Kvantificering af kravet, afsnit 3.1.3 "Luftgennemtrængelighed for den </w:t>
      </w:r>
      <w:r>
        <w:rPr>
          <w:rFonts w:ascii="Calibri" w:hAnsi="Calibri"/>
          <w:i/>
          <w:iCs/>
          <w:sz w:val="22"/>
        </w:rPr>
        <w:t>termiske klimaskærm</w:t>
      </w:r>
      <w:r>
        <w:rPr>
          <w:rFonts w:ascii="Calibri" w:hAnsi="Calibri"/>
          <w:sz w:val="22"/>
        </w:rPr>
        <w:t>", tilføjes følgende nye stk. 3:</w:t>
      </w:r>
    </w:p>
    <w:p w14:paraId="218ED76A"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7FEAB0F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 xml:space="preserve">"3 "I tilfælde af ændringer finder ovenstående tabel 3.1.3.a-HE1 kun anvendelse på de elementer af den </w:t>
      </w:r>
      <w:r>
        <w:rPr>
          <w:rFonts w:ascii="Calibri" w:hAnsi="Calibri"/>
          <w:i/>
          <w:iCs/>
          <w:sz w:val="22"/>
        </w:rPr>
        <w:t>termiske klimaskærm</w:t>
      </w:r>
      <w:r>
        <w:rPr>
          <w:rFonts w:ascii="Calibri" w:hAnsi="Calibri"/>
          <w:sz w:val="22"/>
        </w:rPr>
        <w:t>, der udskiftes, inkorporeres eller ændres væsentligt;"</w:t>
      </w:r>
    </w:p>
    <w:p w14:paraId="69948537"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01C78EE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Nummereringen af de nuværende stk. 3 og 4 i afsnit 3.1.3 "Den </w:t>
      </w:r>
      <w:r>
        <w:rPr>
          <w:rFonts w:ascii="Calibri" w:hAnsi="Calibri"/>
          <w:i/>
          <w:iCs/>
          <w:sz w:val="22"/>
        </w:rPr>
        <w:t>termiske klimaskærms</w:t>
      </w:r>
      <w:r>
        <w:rPr>
          <w:rFonts w:ascii="Calibri" w:hAnsi="Calibri"/>
          <w:sz w:val="22"/>
        </w:rPr>
        <w:t xml:space="preserve"> luftgennemtrængelighed" erstattes af henholdsvis 4 og 5.</w:t>
      </w:r>
    </w:p>
    <w:p w14:paraId="5FC15043"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I afsnit HE 1, afsnit 3, Kvantificering af kravet, afsnit 3.1.3 Den </w:t>
      </w:r>
      <w:r>
        <w:rPr>
          <w:rFonts w:ascii="Calibri" w:hAnsi="Calibri"/>
          <w:i/>
          <w:iCs/>
          <w:sz w:val="22"/>
        </w:rPr>
        <w:t>termiske klimaskærms</w:t>
      </w:r>
      <w:r>
        <w:rPr>
          <w:rFonts w:ascii="Calibri" w:hAnsi="Calibri"/>
          <w:sz w:val="22"/>
        </w:rPr>
        <w:t xml:space="preserve"> luftgennemtrængelighed, skal udtrykkene "kompakthed" i tabel 3.1.3.b-HE1, "kompakthed" i tabel 3.1.3.b-HE1 og udtrykket "anvendelse som private boliger" i afsnit 3, stå i kursiv.</w:t>
      </w:r>
    </w:p>
    <w:p w14:paraId="16310438"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I afsnit HE 1, afsnit 3 Kvantificering af kravet, afsnit 3.1.3 Luftgennemtrængelighed for den </w:t>
      </w:r>
      <w:r>
        <w:rPr>
          <w:rFonts w:ascii="Calibri" w:hAnsi="Calibri"/>
          <w:i/>
          <w:iCs/>
          <w:sz w:val="22"/>
        </w:rPr>
        <w:t>termiske klimaskærm</w:t>
      </w:r>
      <w:r>
        <w:rPr>
          <w:rFonts w:ascii="Calibri" w:hAnsi="Calibri"/>
          <w:i/>
          <w:sz w:val="22"/>
        </w:rPr>
        <w:t xml:space="preserve">, </w:t>
      </w:r>
      <w:r>
        <w:rPr>
          <w:rFonts w:ascii="Calibri" w:hAnsi="Calibri"/>
          <w:sz w:val="22"/>
        </w:rPr>
        <w:t>tabel 3.1.3.b-HE1, hvor der står "m</w:t>
      </w:r>
      <w:r>
        <w:rPr>
          <w:rFonts w:ascii="Calibri" w:hAnsi="Calibri"/>
          <w:sz w:val="22"/>
          <w:vertAlign w:val="superscript"/>
        </w:rPr>
        <w:t>3</w:t>
      </w:r>
      <w:r>
        <w:rPr>
          <w:rFonts w:ascii="Calibri" w:hAnsi="Calibri"/>
          <w:sz w:val="22"/>
        </w:rPr>
        <w:t>/m2" skal der stå "m</w:t>
      </w:r>
      <w:r>
        <w:rPr>
          <w:rFonts w:ascii="Calibri" w:hAnsi="Calibri"/>
          <w:sz w:val="22"/>
          <w:vertAlign w:val="superscript"/>
        </w:rPr>
        <w:t>3</w:t>
      </w:r>
      <w:r>
        <w:rPr>
          <w:rFonts w:ascii="Calibri" w:hAnsi="Calibri"/>
          <w:sz w:val="22"/>
        </w:rPr>
        <w:t>/m</w:t>
      </w:r>
      <w:r>
        <w:rPr>
          <w:rFonts w:ascii="Calibri" w:hAnsi="Calibri"/>
          <w:sz w:val="22"/>
          <w:vertAlign w:val="superscript"/>
        </w:rPr>
        <w:t>2</w:t>
      </w:r>
      <w:r>
        <w:rPr>
          <w:rFonts w:ascii="Calibri" w:hAnsi="Calibri"/>
          <w:sz w:val="22"/>
        </w:rPr>
        <w:t xml:space="preserve">" med 2 i hævet skrift. </w:t>
      </w:r>
    </w:p>
    <w:p w14:paraId="717B95B5"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I afsnit HE 1, afsnit 4, Begrundelse af kravet, skal udtrykket "kompakthed" i afsnit 4.1.b) og udtrykket "anvendelse som private boliger" i afsnit 4.1.g) stå i kursiv.</w:t>
      </w:r>
    </w:p>
    <w:p w14:paraId="2D2B37E4" w14:textId="77777777" w:rsidR="000760AB" w:rsidRPr="000760AB" w:rsidRDefault="000760AB" w:rsidP="000760AB">
      <w:pPr>
        <w:numPr>
          <w:ilvl w:val="0"/>
          <w:numId w:val="17"/>
        </w:numPr>
        <w:spacing w:after="160" w:line="257" w:lineRule="auto"/>
        <w:ind w:left="284" w:firstLine="0"/>
        <w:jc w:val="both"/>
        <w:rPr>
          <w:rFonts w:ascii="Calibri" w:eastAsia="Calibri" w:hAnsi="Calibri" w:cs="Calibri"/>
          <w:sz w:val="22"/>
          <w:szCs w:val="22"/>
        </w:rPr>
      </w:pPr>
      <w:r>
        <w:rPr>
          <w:rFonts w:ascii="Calibri" w:hAnsi="Calibri"/>
          <w:sz w:val="22"/>
        </w:rPr>
        <w:t>I afsnit HE 3 i tabel 3.1-HE3 Grænseværdi for installationseffektivitet (</w:t>
      </w:r>
      <w:proofErr w:type="spellStart"/>
      <w:r>
        <w:rPr>
          <w:rFonts w:ascii="Calibri" w:hAnsi="Calibri"/>
          <w:sz w:val="22"/>
        </w:rPr>
        <w:t>VEEI</w:t>
      </w:r>
      <w:r>
        <w:rPr>
          <w:rFonts w:ascii="Calibri" w:hAnsi="Calibri"/>
          <w:sz w:val="22"/>
          <w:vertAlign w:val="subscript"/>
        </w:rPr>
        <w:t>lim</w:t>
      </w:r>
      <w:proofErr w:type="spellEnd"/>
      <w:r>
        <w:rPr>
          <w:rFonts w:ascii="Calibri" w:hAnsi="Calibri"/>
          <w:sz w:val="22"/>
        </w:rPr>
        <w:t xml:space="preserve">) erstattes teksten "Butikker og små forretninger" med "Butikker og små </w:t>
      </w:r>
      <w:proofErr w:type="gramStart"/>
      <w:r>
        <w:rPr>
          <w:rFonts w:ascii="Calibri" w:hAnsi="Calibri"/>
          <w:sz w:val="22"/>
        </w:rPr>
        <w:t>forretninger</w:t>
      </w:r>
      <w:r>
        <w:rPr>
          <w:rFonts w:ascii="Calibri" w:hAnsi="Calibri"/>
          <w:sz w:val="22"/>
          <w:vertAlign w:val="superscript"/>
        </w:rPr>
        <w:t>(</w:t>
      </w:r>
      <w:proofErr w:type="gramEnd"/>
      <w:r>
        <w:rPr>
          <w:rFonts w:ascii="Calibri" w:hAnsi="Calibri"/>
          <w:sz w:val="22"/>
          <w:vertAlign w:val="superscript"/>
        </w:rPr>
        <w:t>10)</w:t>
      </w:r>
      <w:r>
        <w:rPr>
          <w:rFonts w:ascii="Calibri" w:hAnsi="Calibri"/>
          <w:sz w:val="22"/>
        </w:rPr>
        <w:t>", og følgende fodnote tilføjes til tabellen:</w:t>
      </w:r>
    </w:p>
    <w:p w14:paraId="6E0BF879"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w:t>
      </w:r>
      <w:r>
        <w:rPr>
          <w:rFonts w:ascii="Calibri" w:hAnsi="Calibri"/>
          <w:sz w:val="22"/>
          <w:vertAlign w:val="superscript"/>
        </w:rPr>
        <w:t>(10)</w:t>
      </w:r>
      <w:r>
        <w:rPr>
          <w:rFonts w:ascii="Calibri" w:hAnsi="Calibri"/>
          <w:sz w:val="22"/>
        </w:rPr>
        <w:t xml:space="preserve"> Udtrykket butik henviser til både små uafhængige butikker og til den kommercielle anvendelse, der ikke almindeligvis benyttes i indkøbscentre."</w:t>
      </w:r>
    </w:p>
    <w:p w14:paraId="5C482135"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 xml:space="preserve">I afsnit HE 3, afsnit 3.3 Kontrol- og reguleringssystemer, stk. 2, der har følgende ordlyd: "... kan erstattes af en af følgende to muligheder: </w:t>
      </w:r>
    </w:p>
    <w:p w14:paraId="562ED3C8" w14:textId="77777777" w:rsidR="000760AB" w:rsidRPr="000760AB" w:rsidRDefault="000760AB" w:rsidP="000760AB">
      <w:pPr>
        <w:spacing w:after="160" w:line="257" w:lineRule="auto"/>
        <w:ind w:left="284"/>
        <w:contextualSpacing/>
        <w:jc w:val="both"/>
        <w:rPr>
          <w:rFonts w:ascii="Calibri" w:eastAsia="Arial" w:hAnsi="Calibri" w:cs="Calibri"/>
          <w:kern w:val="2"/>
          <w:sz w:val="22"/>
        </w:rPr>
      </w:pPr>
      <w:r>
        <w:rPr>
          <w:rFonts w:ascii="Calibri" w:hAnsi="Calibri"/>
          <w:sz w:val="22"/>
        </w:rPr>
        <w:t>- en tidsstyret tænd/sluk-knap med sensor</w:t>
      </w:r>
      <w:r>
        <w:rPr>
          <w:rFonts w:ascii="Calibri" w:hAnsi="Calibri"/>
          <w:i/>
          <w:iCs/>
          <w:sz w:val="22"/>
        </w:rPr>
        <w:t>;</w:t>
      </w:r>
      <w:r>
        <w:rPr>
          <w:rFonts w:ascii="Calibri" w:hAnsi="Calibri"/>
          <w:sz w:val="22"/>
        </w:rPr>
        <w:t xml:space="preserve"> eller </w:t>
      </w:r>
    </w:p>
    <w:p w14:paraId="5D7F7E37" w14:textId="77777777" w:rsidR="000760AB" w:rsidRPr="000760AB" w:rsidRDefault="000760AB" w:rsidP="000760AB">
      <w:pPr>
        <w:spacing w:line="257" w:lineRule="auto"/>
        <w:ind w:left="284"/>
        <w:contextualSpacing/>
        <w:jc w:val="both"/>
        <w:rPr>
          <w:rFonts w:ascii="Calibri" w:eastAsia="Arial" w:hAnsi="Calibri" w:cs="Calibri"/>
          <w:kern w:val="2"/>
          <w:sz w:val="22"/>
        </w:rPr>
      </w:pPr>
      <w:r>
        <w:rPr>
          <w:rFonts w:ascii="Calibri" w:hAnsi="Calibri"/>
          <w:sz w:val="22"/>
        </w:rPr>
        <w:lastRenderedPageBreak/>
        <w:t>- et</w:t>
      </w:r>
      <w:r>
        <w:rPr>
          <w:rFonts w:ascii="Calibri" w:hAnsi="Calibri"/>
          <w:i/>
          <w:sz w:val="22"/>
        </w:rPr>
        <w:t xml:space="preserve"> timersystem </w:t>
      </w:r>
      <w:r>
        <w:rPr>
          <w:rFonts w:ascii="Calibri" w:hAnsi="Calibri"/>
          <w:sz w:val="22"/>
        </w:rPr>
        <w:t>med trykknap."</w:t>
      </w:r>
    </w:p>
    <w:p w14:paraId="7F19E6A8"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skal der stå "... kan erstattes af en af følgende to muligheder: </w:t>
      </w:r>
    </w:p>
    <w:p w14:paraId="1FB2C3B4"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en tidsstyret tænd/sluk-knap </w:t>
      </w:r>
      <w:r>
        <w:rPr>
          <w:rFonts w:ascii="Calibri" w:hAnsi="Calibri"/>
          <w:i/>
          <w:iCs/>
          <w:sz w:val="22"/>
        </w:rPr>
        <w:t>med sensor</w:t>
      </w:r>
      <w:r>
        <w:rPr>
          <w:rFonts w:ascii="Calibri" w:hAnsi="Calibri"/>
          <w:sz w:val="22"/>
        </w:rPr>
        <w:t xml:space="preserve">, eller </w:t>
      </w:r>
    </w:p>
    <w:p w14:paraId="280A8FDB"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w:t>
      </w:r>
      <w:proofErr w:type="gramStart"/>
      <w:r>
        <w:rPr>
          <w:rFonts w:ascii="Calibri" w:hAnsi="Calibri"/>
          <w:sz w:val="22"/>
        </w:rPr>
        <w:t xml:space="preserve">et </w:t>
      </w:r>
      <w:r>
        <w:rPr>
          <w:rFonts w:ascii="Calibri" w:hAnsi="Calibri"/>
          <w:i/>
          <w:sz w:val="22"/>
        </w:rPr>
        <w:t xml:space="preserve"> timersystem</w:t>
      </w:r>
      <w:proofErr w:type="gramEnd"/>
      <w:r>
        <w:rPr>
          <w:rFonts w:ascii="Calibri" w:hAnsi="Calibri"/>
          <w:i/>
          <w:sz w:val="22"/>
        </w:rPr>
        <w:t xml:space="preserve"> </w:t>
      </w:r>
      <w:r>
        <w:rPr>
          <w:rFonts w:ascii="Calibri" w:hAnsi="Calibri"/>
          <w:sz w:val="22"/>
        </w:rPr>
        <w:t>med trykknap."</w:t>
      </w:r>
    </w:p>
    <w:p w14:paraId="383D98A1" w14:textId="77777777" w:rsidR="000760AB" w:rsidRPr="000760AB" w:rsidRDefault="000760AB" w:rsidP="000760AB">
      <w:pPr>
        <w:spacing w:line="257" w:lineRule="auto"/>
        <w:ind w:left="284"/>
        <w:jc w:val="both"/>
        <w:rPr>
          <w:rFonts w:ascii="Calibri" w:eastAsia="Arial" w:hAnsi="Calibri" w:cs="Calibri"/>
          <w:kern w:val="2"/>
          <w:sz w:val="22"/>
          <w:lang w:eastAsia="zh-CN" w:bidi="hi-IN"/>
        </w:rPr>
      </w:pPr>
    </w:p>
    <w:p w14:paraId="2E152AB0"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 xml:space="preserve">I afsnit HE 3, afsnit 4, Begrundelse for kravet, stk. 1, litra b), hvor der står "... de </w:t>
      </w:r>
      <w:proofErr w:type="gramStart"/>
      <w:r>
        <w:rPr>
          <w:rFonts w:ascii="Calibri" w:hAnsi="Calibri"/>
          <w:sz w:val="22"/>
        </w:rPr>
        <w:t xml:space="preserve">anvendte </w:t>
      </w:r>
      <w:r>
        <w:rPr>
          <w:rFonts w:ascii="Calibri" w:hAnsi="Calibri"/>
          <w:i/>
          <w:iCs/>
          <w:sz w:val="22"/>
        </w:rPr>
        <w:t xml:space="preserve"> lampers</w:t>
      </w:r>
      <w:proofErr w:type="gramEnd"/>
      <w:r>
        <w:rPr>
          <w:rFonts w:ascii="Calibri" w:hAnsi="Calibri"/>
          <w:sz w:val="22"/>
        </w:rPr>
        <w:t xml:space="preserve"> effektivitet (i </w:t>
      </w:r>
      <w:proofErr w:type="spellStart"/>
      <w:r>
        <w:rPr>
          <w:rFonts w:ascii="Calibri" w:hAnsi="Calibri"/>
          <w:sz w:val="22"/>
        </w:rPr>
        <w:t>lum</w:t>
      </w:r>
      <w:proofErr w:type="spellEnd"/>
      <w:r>
        <w:rPr>
          <w:rFonts w:ascii="Calibri" w:hAnsi="Calibri"/>
          <w:sz w:val="22"/>
        </w:rPr>
        <w:t xml:space="preserve">/W)" skal der stå "...de anvendte </w:t>
      </w:r>
      <w:r>
        <w:rPr>
          <w:rFonts w:ascii="Calibri" w:hAnsi="Calibri"/>
          <w:i/>
          <w:iCs/>
          <w:sz w:val="22"/>
        </w:rPr>
        <w:t xml:space="preserve"> lampers</w:t>
      </w:r>
      <w:r>
        <w:rPr>
          <w:rFonts w:ascii="Calibri" w:hAnsi="Calibri"/>
          <w:sz w:val="22"/>
        </w:rPr>
        <w:t xml:space="preserve"> effektivitet (i lm/W)"</w:t>
      </w:r>
    </w:p>
    <w:p w14:paraId="7D135F60" w14:textId="77777777" w:rsidR="000760AB" w:rsidRPr="000760AB" w:rsidRDefault="000760AB" w:rsidP="000760AB">
      <w:pPr>
        <w:spacing w:after="160" w:line="257" w:lineRule="auto"/>
        <w:ind w:left="284"/>
        <w:contextualSpacing/>
        <w:jc w:val="both"/>
        <w:rPr>
          <w:rFonts w:ascii="Calibri" w:eastAsia="Arial" w:hAnsi="Calibri" w:cs="Calibri"/>
          <w:kern w:val="2"/>
          <w:sz w:val="22"/>
          <w:lang w:eastAsia="zh-CN" w:bidi="hi-IN"/>
        </w:rPr>
      </w:pPr>
    </w:p>
    <w:p w14:paraId="6B3EE3FA"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I afsnit HE 4, afsnit 2 Beskrivelse af kravet, affattes stk. 1 således:</w:t>
      </w:r>
    </w:p>
    <w:p w14:paraId="66BCE2A2" w14:textId="77777777" w:rsidR="000760AB" w:rsidRPr="000760AB" w:rsidRDefault="000760AB" w:rsidP="000760AB">
      <w:pPr>
        <w:spacing w:after="160" w:line="257" w:lineRule="auto"/>
        <w:ind w:left="709"/>
        <w:contextualSpacing/>
        <w:jc w:val="both"/>
        <w:rPr>
          <w:rFonts w:ascii="Calibri" w:eastAsia="Arial" w:hAnsi="Calibri" w:cs="Calibri"/>
          <w:kern w:val="2"/>
          <w:sz w:val="22"/>
          <w:lang w:eastAsia="zh-CN" w:bidi="hi-IN"/>
        </w:rPr>
      </w:pPr>
    </w:p>
    <w:p w14:paraId="774F4195"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 xml:space="preserve">"1 Bygninger skal i vid udstrækning dække deres behov for varmt brugsvand og vandopvarmning til opvarmede indendørs bassiner ved at anvende </w:t>
      </w:r>
      <w:r>
        <w:rPr>
          <w:rFonts w:ascii="Calibri" w:hAnsi="Calibri"/>
          <w:i/>
          <w:iCs/>
          <w:sz w:val="22"/>
        </w:rPr>
        <w:t>energi fra vedvarende energikilder</w:t>
      </w:r>
      <w:r>
        <w:rPr>
          <w:rFonts w:ascii="Calibri" w:hAnsi="Calibri"/>
          <w:sz w:val="22"/>
        </w:rPr>
        <w:t xml:space="preserve"> eller vedvarende kraftvarmeprocesser, enten genereret i selve bygningen eller via tilslutning til et fjernvarmeanlæg."</w:t>
      </w:r>
    </w:p>
    <w:p w14:paraId="3693DE13"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 I afsnit HE 4, afsnit 3, Kvantificering af kravet, afsnit 3.1 Minimumsbidrag fra vedvarende energikilder til varmt brugsvand og/eller </w:t>
      </w:r>
      <w:proofErr w:type="spellStart"/>
      <w:r>
        <w:rPr>
          <w:rFonts w:ascii="Calibri" w:hAnsi="Calibri"/>
          <w:sz w:val="22"/>
        </w:rPr>
        <w:t>poolopvarmning</w:t>
      </w:r>
      <w:proofErr w:type="spellEnd"/>
      <w:r>
        <w:rPr>
          <w:rFonts w:ascii="Calibri" w:hAnsi="Calibri"/>
          <w:sz w:val="22"/>
        </w:rPr>
        <w:t xml:space="preserve">, stk. 4, hvor teksten: </w:t>
      </w:r>
      <w:bookmarkStart w:id="3" w:name="_Hlk96945986"/>
      <w:r>
        <w:rPr>
          <w:rFonts w:ascii="Calibri" w:hAnsi="Calibri"/>
          <w:sz w:val="22"/>
        </w:rPr>
        <w:t xml:space="preserve">"... </w:t>
      </w:r>
      <w:bookmarkEnd w:id="3"/>
      <w:r>
        <w:rPr>
          <w:rFonts w:ascii="Calibri" w:hAnsi="Calibri"/>
          <w:sz w:val="22"/>
        </w:rPr>
        <w:t>mere end 2,5 ved elektrisk aktivering og større end 1,15 ved termisk energi..." affattes således "... lig med eller større end 2,5 ved elektrisk drift og lig med eller større end 1,15 ved termisk energi...".</w:t>
      </w:r>
    </w:p>
    <w:p w14:paraId="61BB5CF0"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I afsnit HE 4, afsnit 3, Kvantificering af kravet, afsnit 3.1 Minimumsbidrag fra vedvarende energikilder til varmt brugsvand og/eller </w:t>
      </w:r>
      <w:proofErr w:type="spellStart"/>
      <w:r>
        <w:rPr>
          <w:rFonts w:ascii="Calibri" w:hAnsi="Calibri"/>
          <w:sz w:val="22"/>
        </w:rPr>
        <w:t>poolopvarmning</w:t>
      </w:r>
      <w:proofErr w:type="spellEnd"/>
      <w:r>
        <w:rPr>
          <w:rFonts w:ascii="Calibri" w:hAnsi="Calibri"/>
          <w:sz w:val="22"/>
        </w:rPr>
        <w:t xml:space="preserve">, stk. 5, hvor teksten: "... private boliger..." bør affattes således: "... bygninger til </w:t>
      </w:r>
      <w:r>
        <w:rPr>
          <w:rFonts w:ascii="Calibri" w:hAnsi="Calibri"/>
          <w:i/>
          <w:iCs/>
          <w:sz w:val="22"/>
        </w:rPr>
        <w:t>anvendelse som private boliger</w:t>
      </w:r>
      <w:r>
        <w:rPr>
          <w:rFonts w:ascii="Calibri" w:hAnsi="Calibri"/>
          <w:sz w:val="22"/>
        </w:rPr>
        <w:t>...".</w:t>
      </w:r>
    </w:p>
    <w:p w14:paraId="6BE93B73"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I afsnit HE 4, forud for afsnit "5.1. "Gennemførelse" indsættes følgende: "5. Byggeri, vedligeholdelse og opretholdelse". </w:t>
      </w:r>
    </w:p>
    <w:p w14:paraId="6D9AA9EE"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I afsnit HE 5 ændres titlen "Afsnit HE 5 Minimumsproduktion af elektricitet" til "Afsnit HE 5 </w:t>
      </w:r>
      <w:bookmarkStart w:id="4" w:name="_Hlk92123384"/>
      <w:r>
        <w:rPr>
          <w:rFonts w:ascii="Calibri" w:hAnsi="Calibri"/>
          <w:sz w:val="22"/>
        </w:rPr>
        <w:t>Minimumsproduktion af elektricitet</w:t>
      </w:r>
      <w:bookmarkEnd w:id="4"/>
      <w:r>
        <w:rPr>
          <w:rFonts w:ascii="Calibri" w:hAnsi="Calibri"/>
          <w:sz w:val="22"/>
        </w:rPr>
        <w:t xml:space="preserve"> fra vedvarende energikilder.”</w:t>
      </w:r>
    </w:p>
    <w:p w14:paraId="6175F2BD"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I afsnit HE 5, stk. 1, affattes "Anvendelsesområde" således: </w:t>
      </w:r>
    </w:p>
    <w:p w14:paraId="04EE306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"1 Dette afsnit finder anvendelse i følgende tilfælde: </w:t>
      </w:r>
    </w:p>
    <w:p w14:paraId="40C4916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a) nyopførte bygninger, hvis de har et bebygget areal på over 1 000 m</w:t>
      </w:r>
      <w:r>
        <w:rPr>
          <w:rFonts w:ascii="Calibri" w:hAnsi="Calibri"/>
          <w:sz w:val="22"/>
          <w:vertAlign w:val="superscript"/>
        </w:rPr>
        <w:t>2</w:t>
      </w:r>
      <w:r>
        <w:rPr>
          <w:rFonts w:ascii="Calibri" w:hAnsi="Calibri"/>
          <w:sz w:val="22"/>
        </w:rPr>
        <w:t>;</w:t>
      </w:r>
    </w:p>
    <w:p w14:paraId="500BD58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b) tilbygninger til eksisterende bygninger, hvor etagearealet øges med mere end 1.000 m</w:t>
      </w:r>
      <w:r>
        <w:rPr>
          <w:rFonts w:ascii="Calibri" w:hAnsi="Calibri"/>
          <w:sz w:val="22"/>
          <w:vertAlign w:val="superscript"/>
        </w:rPr>
        <w:t>2</w:t>
      </w:r>
      <w:r>
        <w:rPr>
          <w:rFonts w:ascii="Calibri" w:hAnsi="Calibri"/>
          <w:sz w:val="22"/>
        </w:rPr>
        <w:t>.</w:t>
      </w:r>
    </w:p>
    <w:p w14:paraId="710C1241"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c) eksisterende bygninger, der renoveres fuldstændigt, eller hvor der sker en ændring i bygningens karakteristiske anvendelse, når det bebyggede areal overstiger 1.000 m</w:t>
      </w:r>
      <w:r>
        <w:rPr>
          <w:rFonts w:ascii="Calibri" w:hAnsi="Calibri"/>
          <w:sz w:val="22"/>
          <w:vertAlign w:val="superscript"/>
        </w:rPr>
        <w:t>2</w:t>
      </w:r>
      <w:r>
        <w:rPr>
          <w:rFonts w:ascii="Calibri" w:hAnsi="Calibri"/>
          <w:sz w:val="22"/>
        </w:rPr>
        <w:t>.</w:t>
      </w:r>
    </w:p>
    <w:p w14:paraId="772542D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Det bebyggede areal anses for også at omfatte parkeringsarealer inden i bygningen men ikke fælles udendørsarealer." </w:t>
      </w:r>
    </w:p>
    <w:p w14:paraId="6B833735"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I afsnit HE 5 affattes første underafsnit i afsnit 2 "Beskrivelse af kravet" som følger:</w:t>
      </w:r>
    </w:p>
    <w:p w14:paraId="23E9D02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 Bygninger skal være udstyret med anlæg til produktion af elektricitet fra vedvarende energikilder med henblik på eget brug eller forsyning til nettet."</w:t>
      </w:r>
    </w:p>
    <w:p w14:paraId="5BE28722"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 xml:space="preserve"> I afsnit HE 5, stk. 3, affattes "Minimumsproduktion af elektricitet" som følger:</w:t>
      </w:r>
    </w:p>
    <w:p w14:paraId="1C671A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 xml:space="preserve">"1 </w:t>
      </w:r>
      <w:r>
        <w:rPr>
          <w:rFonts w:ascii="Calibri" w:hAnsi="Calibri"/>
          <w:i/>
          <w:iCs/>
          <w:sz w:val="22"/>
        </w:rPr>
        <w:t>Minimumsydelsen af den installerede strømforsyning</w:t>
      </w:r>
      <w:r>
        <w:rPr>
          <w:rFonts w:ascii="Calibri" w:hAnsi="Calibri"/>
          <w:sz w:val="22"/>
        </w:rPr>
        <w:t xml:space="preserve">, </w:t>
      </w:r>
      <w:proofErr w:type="spellStart"/>
      <w:r>
        <w:rPr>
          <w:rFonts w:ascii="Calibri" w:hAnsi="Calibri"/>
          <w:sz w:val="22"/>
        </w:rPr>
        <w:t>P</w:t>
      </w:r>
      <w:r>
        <w:rPr>
          <w:rFonts w:ascii="Calibri" w:hAnsi="Calibri"/>
          <w:sz w:val="22"/>
          <w:vertAlign w:val="subscript"/>
        </w:rPr>
        <w:t>min</w:t>
      </w:r>
      <w:proofErr w:type="spellEnd"/>
      <w:r>
        <w:rPr>
          <w:rFonts w:ascii="Calibri" w:hAnsi="Calibri"/>
          <w:sz w:val="22"/>
        </w:rPr>
        <w:t xml:space="preserve">, skal </w:t>
      </w:r>
      <w:proofErr w:type="spellStart"/>
      <w:r>
        <w:rPr>
          <w:rFonts w:ascii="Calibri" w:hAnsi="Calibri"/>
          <w:sz w:val="22"/>
        </w:rPr>
        <w:t>tilsvare</w:t>
      </w:r>
      <w:proofErr w:type="spellEnd"/>
      <w:r>
        <w:rPr>
          <w:rFonts w:ascii="Calibri" w:hAnsi="Calibri"/>
          <w:sz w:val="22"/>
        </w:rPr>
        <w:t xml:space="preserve"> det laveste resultat af følgende to ligninger: </w:t>
      </w:r>
    </w:p>
    <w:p w14:paraId="3A813F22"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1</w:t>
      </w:r>
      <w:r>
        <w:rPr>
          <w:rFonts w:ascii="Calibri" w:hAnsi="Calibri"/>
          <w:sz w:val="22"/>
        </w:rPr>
        <w:t xml:space="preserve"> = </w:t>
      </w:r>
      <w:proofErr w:type="spellStart"/>
      <w:proofErr w:type="gramStart"/>
      <w:r>
        <w:rPr>
          <w:rFonts w:ascii="Calibri" w:hAnsi="Calibri"/>
          <w:sz w:val="22"/>
        </w:rPr>
        <w:t>F</w:t>
      </w:r>
      <w:r>
        <w:rPr>
          <w:rFonts w:ascii="Calibri" w:hAnsi="Calibri"/>
          <w:sz w:val="22"/>
          <w:vertAlign w:val="subscript"/>
        </w:rPr>
        <w:t>pr;el</w:t>
      </w:r>
      <w:proofErr w:type="spellEnd"/>
      <w:proofErr w:type="gramEnd"/>
      <w:r>
        <w:rPr>
          <w:rFonts w:ascii="Calibri" w:hAnsi="Calibri"/>
          <w:sz w:val="22"/>
        </w:rPr>
        <w:t>· S</w:t>
      </w:r>
    </w:p>
    <w:p w14:paraId="0B5FBB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lastRenderedPageBreak/>
        <w:t>P</w:t>
      </w:r>
      <w:r>
        <w:rPr>
          <w:rFonts w:ascii="Calibri" w:hAnsi="Calibri"/>
          <w:sz w:val="22"/>
          <w:vertAlign w:val="subscript"/>
        </w:rPr>
        <w:t>2</w:t>
      </w:r>
      <w:r>
        <w:rPr>
          <w:rFonts w:ascii="Calibri" w:hAnsi="Calibri"/>
          <w:sz w:val="22"/>
        </w:rPr>
        <w:t xml:space="preserve"> = 0,1· (0,5· </w:t>
      </w:r>
      <w:proofErr w:type="spellStart"/>
      <w:r>
        <w:rPr>
          <w:rFonts w:ascii="Calibri" w:hAnsi="Calibri"/>
          <w:sz w:val="22"/>
        </w:rPr>
        <w:t>S</w:t>
      </w:r>
      <w:r>
        <w:rPr>
          <w:rFonts w:ascii="Calibri" w:hAnsi="Calibri"/>
          <w:sz w:val="22"/>
          <w:vertAlign w:val="subscript"/>
        </w:rPr>
        <w:t>c</w:t>
      </w:r>
      <w:proofErr w:type="spellEnd"/>
      <w:r>
        <w:rPr>
          <w:rFonts w:ascii="Calibri" w:hAnsi="Calibri"/>
          <w:sz w:val="22"/>
        </w:rPr>
        <w:t xml:space="preserve"> - </w:t>
      </w:r>
      <w:proofErr w:type="spellStart"/>
      <w:proofErr w:type="gramStart"/>
      <w:r>
        <w:rPr>
          <w:rFonts w:ascii="Calibri" w:hAnsi="Calibri"/>
          <w:sz w:val="22"/>
        </w:rPr>
        <w:t>S</w:t>
      </w:r>
      <w:r>
        <w:rPr>
          <w:rFonts w:ascii="Calibri" w:hAnsi="Calibri"/>
          <w:sz w:val="22"/>
          <w:vertAlign w:val="subscript"/>
        </w:rPr>
        <w:t>oc</w:t>
      </w:r>
      <w:proofErr w:type="spellEnd"/>
      <w:r>
        <w:rPr>
          <w:rFonts w:ascii="Calibri" w:hAnsi="Calibri"/>
          <w:sz w:val="22"/>
        </w:rPr>
        <w:t xml:space="preserve"> )</w:t>
      </w:r>
      <w:proofErr w:type="gramEnd"/>
    </w:p>
    <w:p w14:paraId="72B9D60D"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hvor:</w:t>
      </w:r>
    </w:p>
    <w:p w14:paraId="5E55B831"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proofErr w:type="spellStart"/>
      <w:r>
        <w:rPr>
          <w:rFonts w:ascii="Calibri" w:hAnsi="Calibri"/>
          <w:sz w:val="22"/>
        </w:rPr>
        <w:t>P</w:t>
      </w:r>
      <w:r>
        <w:rPr>
          <w:rFonts w:ascii="Calibri" w:hAnsi="Calibri"/>
          <w:sz w:val="22"/>
          <w:vertAlign w:val="subscript"/>
        </w:rPr>
        <w:t>min</w:t>
      </w:r>
      <w:proofErr w:type="spellEnd"/>
      <w:r>
        <w:rPr>
          <w:rFonts w:ascii="Calibri" w:hAnsi="Calibri"/>
          <w:sz w:val="22"/>
        </w:rPr>
        <w:tab/>
      </w:r>
      <w:r>
        <w:rPr>
          <w:rFonts w:ascii="Calibri" w:hAnsi="Calibri"/>
          <w:i/>
          <w:iCs/>
          <w:sz w:val="22"/>
        </w:rPr>
        <w:t>installeret strømforsyning</w:t>
      </w:r>
      <w:r>
        <w:rPr>
          <w:rFonts w:ascii="Calibri" w:hAnsi="Calibri"/>
          <w:sz w:val="22"/>
        </w:rPr>
        <w:t xml:space="preserve"> [kW]</w:t>
      </w:r>
    </w:p>
    <w:p w14:paraId="1988193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proofErr w:type="spellStart"/>
      <w:proofErr w:type="gramStart"/>
      <w:r>
        <w:rPr>
          <w:rFonts w:ascii="Calibri" w:hAnsi="Calibri"/>
          <w:sz w:val="22"/>
        </w:rPr>
        <w:t>F</w:t>
      </w:r>
      <w:r>
        <w:rPr>
          <w:rFonts w:ascii="Calibri" w:hAnsi="Calibri"/>
          <w:sz w:val="22"/>
          <w:vertAlign w:val="subscript"/>
        </w:rPr>
        <w:t>pr;e</w:t>
      </w:r>
      <w:r>
        <w:rPr>
          <w:rFonts w:ascii="Calibri" w:hAnsi="Calibri"/>
          <w:sz w:val="22"/>
        </w:rPr>
        <w:t>l</w:t>
      </w:r>
      <w:proofErr w:type="spellEnd"/>
      <w:proofErr w:type="gramEnd"/>
      <w:r>
        <w:rPr>
          <w:rFonts w:ascii="Calibri" w:hAnsi="Calibri"/>
          <w:sz w:val="22"/>
        </w:rPr>
        <w:tab/>
        <w:t>strømproduktionsfaktor med værdien 0,005 til anvendelse som private boliger og på 0,010 for alle andre anvendelser [kW/m</w:t>
      </w:r>
      <w:r>
        <w:rPr>
          <w:rFonts w:ascii="Calibri" w:hAnsi="Calibri"/>
          <w:sz w:val="22"/>
          <w:vertAlign w:val="superscript"/>
        </w:rPr>
        <w:t>2</w:t>
      </w:r>
      <w:r>
        <w:rPr>
          <w:rFonts w:ascii="Calibri" w:hAnsi="Calibri"/>
          <w:sz w:val="22"/>
        </w:rPr>
        <w:t>]</w:t>
      </w:r>
    </w:p>
    <w:p w14:paraId="153C8F5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S</w:t>
      </w:r>
      <w:r>
        <w:rPr>
          <w:rFonts w:ascii="Calibri" w:hAnsi="Calibri"/>
          <w:sz w:val="22"/>
        </w:rPr>
        <w:tab/>
        <w:t>overflade af bygningens bebyggede areal [m</w:t>
      </w:r>
      <w:r>
        <w:rPr>
          <w:rFonts w:ascii="Calibri" w:hAnsi="Calibri"/>
          <w:sz w:val="22"/>
          <w:vertAlign w:val="superscript"/>
        </w:rPr>
        <w:t>2</w:t>
      </w:r>
      <w:r>
        <w:rPr>
          <w:rFonts w:ascii="Calibri" w:hAnsi="Calibri"/>
          <w:sz w:val="22"/>
        </w:rPr>
        <w:t>]</w:t>
      </w:r>
    </w:p>
    <w:p w14:paraId="4F543BE6" w14:textId="77777777" w:rsidR="000760AB" w:rsidRPr="000760AB" w:rsidRDefault="000760AB" w:rsidP="000760AB">
      <w:pPr>
        <w:spacing w:before="60" w:after="160" w:line="259" w:lineRule="auto"/>
        <w:ind w:left="284"/>
        <w:contextualSpacing/>
        <w:jc w:val="both"/>
        <w:rPr>
          <w:rFonts w:ascii="Calibri" w:eastAsia="Calibri" w:hAnsi="Calibri" w:cs="Calibri"/>
          <w:sz w:val="22"/>
          <w:szCs w:val="22"/>
        </w:rPr>
      </w:pPr>
      <w:proofErr w:type="spellStart"/>
      <w:r>
        <w:rPr>
          <w:rFonts w:ascii="Calibri" w:hAnsi="Calibri"/>
          <w:sz w:val="22"/>
        </w:rPr>
        <w:t>S</w:t>
      </w:r>
      <w:r>
        <w:rPr>
          <w:rFonts w:ascii="Calibri" w:hAnsi="Calibri"/>
          <w:sz w:val="22"/>
          <w:vertAlign w:val="subscript"/>
        </w:rPr>
        <w:t>c</w:t>
      </w:r>
      <w:proofErr w:type="spellEnd"/>
      <w:r>
        <w:rPr>
          <w:rFonts w:ascii="Calibri" w:hAnsi="Calibri"/>
          <w:sz w:val="22"/>
        </w:rPr>
        <w:tab/>
        <w:t>tagareal, der ikke er tilgængeligt eller kun er tilgængeligt for vedligeholdelse [m</w:t>
      </w:r>
      <w:r>
        <w:rPr>
          <w:rFonts w:ascii="Calibri" w:hAnsi="Calibri"/>
          <w:sz w:val="22"/>
          <w:vertAlign w:val="superscript"/>
        </w:rPr>
        <w:t>2</w:t>
      </w:r>
      <w:r>
        <w:rPr>
          <w:rFonts w:ascii="Calibri" w:hAnsi="Calibri"/>
          <w:sz w:val="22"/>
        </w:rPr>
        <w:t>];</w:t>
      </w:r>
    </w:p>
    <w:p w14:paraId="6D8AB5FA" w14:textId="77777777" w:rsidR="000760AB" w:rsidRPr="000760AB" w:rsidRDefault="000760AB" w:rsidP="000760AB">
      <w:pPr>
        <w:spacing w:before="60" w:after="160" w:line="259" w:lineRule="auto"/>
        <w:ind w:left="284"/>
        <w:jc w:val="both"/>
        <w:rPr>
          <w:rFonts w:ascii="Calibri" w:eastAsia="Arial" w:hAnsi="Calibri" w:cs="Calibri"/>
          <w:kern w:val="2"/>
          <w:sz w:val="22"/>
        </w:rPr>
      </w:pPr>
      <w:proofErr w:type="spellStart"/>
      <w:r>
        <w:rPr>
          <w:rFonts w:ascii="Calibri" w:hAnsi="Calibri"/>
          <w:sz w:val="22"/>
        </w:rPr>
        <w:t>S</w:t>
      </w:r>
      <w:r>
        <w:rPr>
          <w:rFonts w:ascii="Calibri" w:hAnsi="Calibri"/>
          <w:sz w:val="22"/>
          <w:vertAlign w:val="subscript"/>
        </w:rPr>
        <w:t>oc</w:t>
      </w:r>
      <w:proofErr w:type="spellEnd"/>
      <w:r>
        <w:rPr>
          <w:rFonts w:ascii="Calibri" w:hAnsi="Calibri"/>
          <w:sz w:val="22"/>
        </w:rPr>
        <w:tab/>
        <w:t>tagareal, der ikke er tilgængeligt eller kun er tilgængeligt for vedligeholdelse, og som kun anvendes til solfangere [m</w:t>
      </w:r>
      <w:r>
        <w:rPr>
          <w:rFonts w:ascii="Calibri" w:hAnsi="Calibri"/>
          <w:sz w:val="22"/>
          <w:vertAlign w:val="superscript"/>
        </w:rPr>
        <w:t>2</w:t>
      </w:r>
      <w:r>
        <w:rPr>
          <w:rFonts w:ascii="Calibri" w:hAnsi="Calibri"/>
          <w:sz w:val="22"/>
        </w:rPr>
        <w:t>].</w:t>
      </w:r>
    </w:p>
    <w:p w14:paraId="7D742656"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2</w:t>
      </w:r>
      <w:r>
        <w:rPr>
          <w:rFonts w:ascii="Calibri" w:hAnsi="Calibri"/>
          <w:sz w:val="22"/>
        </w:rPr>
        <w:tab/>
        <w:t xml:space="preserve">I bygninger, hvor det af bymæssige eller arkitektoniske årsager, eller fordi der er tale om officielt beskyttede bygninger, ikke er muligt at opnå minimumsydelsen for </w:t>
      </w:r>
      <w:r>
        <w:rPr>
          <w:rFonts w:ascii="Calibri" w:hAnsi="Calibri"/>
          <w:i/>
          <w:sz w:val="22"/>
        </w:rPr>
        <w:t>installeret strømforsyning</w:t>
      </w:r>
      <w:r>
        <w:rPr>
          <w:rFonts w:ascii="Calibri" w:hAnsi="Calibri"/>
          <w:sz w:val="22"/>
        </w:rPr>
        <w:t>, idet det er den myndighed, der har udstedt den officielle beskyttelse, der afgør, hvilke elementer der ikke må ændres, skal den manglende opnåelse begrundes ved at analysere de forskellige alternativer, og der skal vælges den løsning, der giver den højst mulige installerede effekt."</w:t>
      </w:r>
    </w:p>
    <w:p w14:paraId="6BEFAE72" w14:textId="77777777" w:rsidR="000760AB" w:rsidRPr="000760AB" w:rsidRDefault="000760AB" w:rsidP="000760AB">
      <w:pPr>
        <w:numPr>
          <w:ilvl w:val="0"/>
          <w:numId w:val="17"/>
        </w:numPr>
        <w:spacing w:before="60" w:after="160" w:line="259" w:lineRule="auto"/>
        <w:ind w:left="284" w:firstLine="0"/>
        <w:contextualSpacing/>
        <w:jc w:val="both"/>
        <w:rPr>
          <w:rFonts w:ascii="Calibri" w:eastAsia="Arial" w:hAnsi="Calibri" w:cs="Calibri"/>
          <w:kern w:val="2"/>
          <w:sz w:val="22"/>
        </w:rPr>
      </w:pPr>
      <w:r>
        <w:rPr>
          <w:rFonts w:ascii="Calibri" w:hAnsi="Calibri"/>
          <w:sz w:val="22"/>
        </w:rPr>
        <w:t>I afsnit HE 5 tilføjes følgende i afsnit 4 "Begrundelse af kravet":</w:t>
      </w:r>
    </w:p>
    <w:p w14:paraId="65043955"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 xml:space="preserve">c) i givet fald årsagerne til, at minimumsydelsen af den </w:t>
      </w:r>
      <w:r>
        <w:rPr>
          <w:rFonts w:ascii="Calibri" w:hAnsi="Calibri"/>
          <w:i/>
          <w:sz w:val="22"/>
        </w:rPr>
        <w:t>installerede strømstyrke</w:t>
      </w:r>
      <w:r>
        <w:rPr>
          <w:rFonts w:ascii="Calibri" w:hAnsi="Calibri"/>
          <w:sz w:val="22"/>
        </w:rPr>
        <w:t>, ikke kan opnås, ved at analysere alternativerne og den valgte løsning, for at opnå den størst mulige installerede styrke."</w:t>
      </w:r>
    </w:p>
    <w:p w14:paraId="6E185DB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ll) I grunddokumentet DB-HE "Energibesparelse" tilføjes afsnit HE 6 med titlen " </w:t>
      </w:r>
      <w:r>
        <w:rPr>
          <w:rFonts w:ascii="Calibri" w:hAnsi="Calibri"/>
          <w:i/>
          <w:iCs/>
          <w:sz w:val="22"/>
        </w:rPr>
        <w:t>Minimumsfaciliteter i form af infrastruktur til opladning af elektriske køretøjer</w:t>
      </w:r>
      <w:r>
        <w:rPr>
          <w:rFonts w:ascii="Calibri" w:hAnsi="Calibri"/>
          <w:sz w:val="22"/>
        </w:rPr>
        <w:t xml:space="preserve">" og følgende indhold: </w:t>
      </w:r>
    </w:p>
    <w:p w14:paraId="1807669A" w14:textId="77FE9144" w:rsidR="000760AB" w:rsidRPr="000760AB" w:rsidRDefault="000760AB" w:rsidP="000760AB">
      <w:pPr>
        <w:keepNext/>
        <w:ind w:left="284"/>
        <w:outlineLvl w:val="0"/>
        <w:rPr>
          <w:rFonts w:ascii="Calibri" w:eastAsia="Arial" w:hAnsi="Calibri" w:cs="Calibri"/>
          <w:kern w:val="2"/>
          <w:sz w:val="22"/>
          <w:szCs w:val="22"/>
        </w:rPr>
      </w:pPr>
      <w:bookmarkStart w:id="5" w:name="_Toc530396161"/>
      <w:r>
        <w:rPr>
          <w:rFonts w:ascii="Calibri" w:hAnsi="Calibri"/>
          <w:sz w:val="22"/>
        </w:rPr>
        <w:t>"Afsnit HE 6</w:t>
      </w:r>
      <w:r>
        <w:rPr>
          <w:rFonts w:ascii="Calibri" w:hAnsi="Calibri"/>
          <w:sz w:val="22"/>
        </w:rPr>
        <w:br/>
      </w:r>
      <w:r>
        <w:rPr>
          <w:rFonts w:ascii="Calibri" w:hAnsi="Calibri"/>
          <w:i/>
          <w:iCs/>
          <w:sz w:val="22"/>
        </w:rPr>
        <w:t>Minimumsfaciliteter i form af infrastruktur til opladning af elektriske køretøjer</w:t>
      </w:r>
      <w:bookmarkEnd w:id="5"/>
    </w:p>
    <w:p w14:paraId="6EF7E441" w14:textId="77777777" w:rsidR="000760AB" w:rsidRPr="000760AB" w:rsidRDefault="000760AB" w:rsidP="000760AB">
      <w:pPr>
        <w:keepNext/>
        <w:widowControl w:val="0"/>
        <w:suppressAutoHyphens/>
        <w:spacing w:before="300" w:after="100"/>
        <w:ind w:left="284"/>
        <w:textAlignment w:val="baseline"/>
        <w:outlineLvl w:val="1"/>
        <w:rPr>
          <w:rFonts w:ascii="Calibri" w:eastAsia="Noto Sans CJK SC Regular" w:hAnsi="Calibri" w:cs="Calibri"/>
          <w:kern w:val="2"/>
          <w:sz w:val="22"/>
          <w:szCs w:val="22"/>
        </w:rPr>
      </w:pPr>
      <w:bookmarkStart w:id="6" w:name="_Toc530396162"/>
      <w:bookmarkStart w:id="7" w:name="_Toc530395283"/>
      <w:r>
        <w:rPr>
          <w:rFonts w:ascii="Calibri" w:hAnsi="Calibri"/>
          <w:sz w:val="22"/>
        </w:rPr>
        <w:t>1 Anvendelsesområde</w:t>
      </w:r>
      <w:bookmarkEnd w:id="6"/>
      <w:bookmarkEnd w:id="7"/>
    </w:p>
    <w:p w14:paraId="36FC884D"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Kravene i dette afsnit gælder for bygninger, der har et parkeringsområde, enten inden for eller uden for bygningen, i følgende tilfælde:</w:t>
      </w:r>
    </w:p>
    <w:p w14:paraId="1105C106"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nyopførte bygninger</w:t>
      </w:r>
    </w:p>
    <w:p w14:paraId="24CACEDC"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b) eksisterende bygninger, i følgende tilfælde:</w:t>
      </w:r>
    </w:p>
    <w:p w14:paraId="136E92EF"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ændringer i bygningens kendetegnende anvendelse,</w:t>
      </w:r>
    </w:p>
    <w:p w14:paraId="14079978"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udvidelser i tilfælde, der omfatter indgreb på parkeringsanlægget, og hvor overfladen eller omfanget af den enhed eller de enheder, hvor indgrebet finder sted, øges med mere end 10 %, og hvor det øgede nytteareal er større end 50 m</w:t>
      </w:r>
      <w:r>
        <w:rPr>
          <w:rFonts w:ascii="Calibri" w:hAnsi="Calibri"/>
          <w:sz w:val="22"/>
          <w:vertAlign w:val="superscript"/>
        </w:rPr>
        <w:t>2</w:t>
      </w:r>
      <w:r>
        <w:rPr>
          <w:rFonts w:ascii="Calibri" w:hAnsi="Calibri"/>
          <w:sz w:val="22"/>
        </w:rPr>
        <w:t>,</w:t>
      </w:r>
    </w:p>
    <w:p w14:paraId="02973E6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 xml:space="preserve">renoveringer, der omfatter indgreb på parkeringsanlægget, og hvor mere end 25 % af det samlede areal af bygningens samlede </w:t>
      </w:r>
      <w:r>
        <w:rPr>
          <w:rFonts w:ascii="Calibri" w:hAnsi="Calibri"/>
          <w:i/>
          <w:iCs/>
          <w:sz w:val="22"/>
        </w:rPr>
        <w:t>termiske klimaskærm</w:t>
      </w:r>
      <w:r>
        <w:rPr>
          <w:rFonts w:ascii="Calibri" w:hAnsi="Calibri"/>
          <w:sz w:val="22"/>
        </w:rPr>
        <w:t xml:space="preserve"> renoveres,</w:t>
      </w:r>
    </w:p>
    <w:p w14:paraId="7F40C209"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indgreb i bygningens elektriske installationer, der berører mere end 50 % af den strøm, der var installeret i bygningen forud for indgrebet, i tilfælde hvor parkeringspladsen er beliggende inden i bygningen, og forudsat at den bygherre, der foretager indgrebet, har bemyndigelse til at foretage det pågældende indgreb,</w:t>
      </w:r>
    </w:p>
    <w:p w14:paraId="7260D95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strike/>
          <w:kern w:val="2"/>
          <w:sz w:val="22"/>
          <w:szCs w:val="22"/>
        </w:rPr>
      </w:pPr>
      <w:r>
        <w:rPr>
          <w:rFonts w:ascii="Calibri" w:hAnsi="Calibri"/>
          <w:sz w:val="22"/>
        </w:rPr>
        <w:t>indgreb i parkeringspladsens elektriske installationer, der påvirker mere end 50 % af den strøm, der var installeret i parkeringspladsen forud for indgrebet.</w:t>
      </w:r>
    </w:p>
    <w:p w14:paraId="087DE78C" w14:textId="77777777" w:rsidR="000760AB" w:rsidRPr="000760AB" w:rsidRDefault="000760AB" w:rsidP="00FD453F">
      <w:pPr>
        <w:numPr>
          <w:ilvl w:val="0"/>
          <w:numId w:val="34"/>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Følgende falder uden for anvendelsesområdet:</w:t>
      </w:r>
    </w:p>
    <w:p w14:paraId="6128A7B8" w14:textId="77777777" w:rsidR="000760AB" w:rsidRPr="000760AB" w:rsidRDefault="000760AB" w:rsidP="00FD453F">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lastRenderedPageBreak/>
        <w:t>a) bygninger til anden anvendelse end som private boliger og med en parkeringsplads på højst 10 parkeringspladser</w:t>
      </w:r>
    </w:p>
    <w:p w14:paraId="6FB73115"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b) eksisterende bygninger til anden anvendelse end som private boliger med en parkeringsplads på højst 20 parkeringspladser og eksisterende bygninger til</w:t>
      </w:r>
      <w:r>
        <w:rPr>
          <w:rFonts w:ascii="Calibri" w:hAnsi="Calibri"/>
          <w:i/>
          <w:sz w:val="22"/>
        </w:rPr>
        <w:t xml:space="preserve"> </w:t>
      </w:r>
      <w:r>
        <w:rPr>
          <w:rFonts w:ascii="Calibri" w:hAnsi="Calibri"/>
          <w:i/>
          <w:iCs/>
          <w:sz w:val="22"/>
        </w:rPr>
        <w:t>anvendelse som private boliger</w:t>
      </w:r>
      <w:r>
        <w:rPr>
          <w:rFonts w:ascii="Calibri" w:hAnsi="Calibri"/>
          <w:sz w:val="22"/>
        </w:rPr>
        <w:t>, hvor omkostningerne ved at overholde dette stykke i begge tilfælde overstiger 7 % af omkostningerne til udvidelse, ændring af anvendelse eller renovering, som giver anledning til overholdelsesforpligtelsen. Ved fastsættelsen af omkostningerne ved ovennævnte indgreb tages der hensyn til de reelle og faktiske omkostninger, forstået som omkostningerne forbundet ved deres praktiske gennemførelse</w:t>
      </w:r>
    </w:p>
    <w:p w14:paraId="61E2DA67"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c) bygninger, der officielt er beskyttet, fordi de enten er en del af et fredet område eller har særlig arkitektonisk eller historisk værdi, undtages fra disse forpligtelser for så vidt som opfyldelse af kravene i dette afsnit ville ændre bygningernes karakter eller udseende på uhensigtsmæssig vis, idet det er den myndighed, der har udstedt den officielle beskyttelse, der afgør, hvilke elementer der ikke kan ændres.</w:t>
      </w:r>
      <w:bookmarkStart w:id="8" w:name="_Toc530396163"/>
      <w:bookmarkStart w:id="9" w:name="_Toc530395284"/>
    </w:p>
    <w:p w14:paraId="56E19149" w14:textId="77777777" w:rsidR="000760AB" w:rsidRPr="000760AB" w:rsidRDefault="000760AB" w:rsidP="000760AB">
      <w:pPr>
        <w:spacing w:before="60" w:after="60"/>
        <w:ind w:left="567"/>
        <w:jc w:val="both"/>
        <w:rPr>
          <w:rFonts w:ascii="Calibri" w:hAnsi="Calibri" w:cs="Calibri"/>
          <w:sz w:val="22"/>
          <w:szCs w:val="22"/>
        </w:rPr>
      </w:pPr>
    </w:p>
    <w:p w14:paraId="268F7EA1" w14:textId="77777777" w:rsidR="000760AB" w:rsidRPr="000760AB" w:rsidRDefault="000760AB" w:rsidP="000760AB">
      <w:pPr>
        <w:spacing w:before="60" w:after="60"/>
        <w:ind w:left="284"/>
        <w:jc w:val="both"/>
        <w:rPr>
          <w:rFonts w:ascii="Calibri" w:hAnsi="Calibri" w:cs="Calibri"/>
          <w:sz w:val="22"/>
          <w:szCs w:val="22"/>
        </w:rPr>
      </w:pPr>
      <w:r>
        <w:rPr>
          <w:rFonts w:ascii="Calibri" w:hAnsi="Calibri"/>
          <w:sz w:val="22"/>
        </w:rPr>
        <w:t>2</w:t>
      </w:r>
      <w:r>
        <w:rPr>
          <w:rFonts w:ascii="Calibri" w:hAnsi="Calibri"/>
          <w:sz w:val="22"/>
        </w:rPr>
        <w:tab/>
        <w:t>Beskrivelse af kravet</w:t>
      </w:r>
      <w:bookmarkEnd w:id="8"/>
      <w:bookmarkEnd w:id="9"/>
    </w:p>
    <w:p w14:paraId="69F9A98C"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1</w:t>
      </w:r>
      <w:r>
        <w:rPr>
          <w:rFonts w:ascii="Calibri" w:hAnsi="Calibri"/>
          <w:sz w:val="22"/>
        </w:rPr>
        <w:tab/>
        <w:t xml:space="preserve">Bygningerne skal være udstyret med et minimum af infrastruktur, der gør det muligt at oplade </w:t>
      </w:r>
      <w:r>
        <w:rPr>
          <w:rFonts w:ascii="Calibri" w:hAnsi="Calibri"/>
          <w:i/>
          <w:iCs/>
          <w:sz w:val="22"/>
        </w:rPr>
        <w:t>elektriske køretøjer.</w:t>
      </w:r>
    </w:p>
    <w:p w14:paraId="29EA4F8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 xml:space="preserve">Denne infrastruktur til </w:t>
      </w:r>
      <w:r>
        <w:rPr>
          <w:rFonts w:ascii="Calibri" w:hAnsi="Calibri"/>
          <w:i/>
          <w:iCs/>
          <w:sz w:val="22"/>
        </w:rPr>
        <w:t>opladning af elektriske køretøjer</w:t>
      </w:r>
      <w:r>
        <w:rPr>
          <w:rFonts w:ascii="Calibri" w:hAnsi="Calibri"/>
          <w:sz w:val="22"/>
        </w:rPr>
        <w:t xml:space="preserve"> skal overholde bestemmelserne i den gældende lavspændingsforordning og supplerende tekniske anvisning (ITC) BT 52 "Anlæg til særlige formål. Infrastruktur til opladning af</w:t>
      </w:r>
      <w:r>
        <w:rPr>
          <w:rFonts w:ascii="Calibri" w:hAnsi="Calibri"/>
          <w:i/>
          <w:sz w:val="22"/>
        </w:rPr>
        <w:t xml:space="preserve"> elektriske køretøjer </w:t>
      </w:r>
      <w:r>
        <w:rPr>
          <w:rFonts w:ascii="Calibri" w:hAnsi="Calibri"/>
          <w:sz w:val="22"/>
        </w:rPr>
        <w:t>".</w:t>
      </w:r>
      <w:bookmarkStart w:id="10" w:name="_Toc530396164"/>
      <w:bookmarkStart w:id="11" w:name="_Toc530395285"/>
    </w:p>
    <w:p w14:paraId="1CF8D41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lang w:eastAsia="zh-CN" w:bidi="hi-IN"/>
        </w:rPr>
      </w:pPr>
    </w:p>
    <w:p w14:paraId="10EC5F9A"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3</w:t>
      </w:r>
      <w:r>
        <w:rPr>
          <w:rFonts w:ascii="Calibri" w:hAnsi="Calibri"/>
          <w:sz w:val="22"/>
        </w:rPr>
        <w:tab/>
        <w:t>Kvantificering af kravet</w:t>
      </w:r>
      <w:bookmarkEnd w:id="10"/>
      <w:bookmarkEnd w:id="11"/>
    </w:p>
    <w:p w14:paraId="571C5F1A"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1</w:t>
      </w:r>
      <w:r>
        <w:rPr>
          <w:rFonts w:ascii="Calibri" w:hAnsi="Calibri"/>
          <w:sz w:val="22"/>
        </w:rPr>
        <w:tab/>
        <w:t xml:space="preserve">I bygninger til </w:t>
      </w:r>
      <w:r>
        <w:rPr>
          <w:rFonts w:ascii="Calibri" w:hAnsi="Calibri"/>
          <w:i/>
          <w:iCs/>
          <w:sz w:val="22"/>
        </w:rPr>
        <w:t>anvendelse som private boliger</w:t>
      </w:r>
      <w:r>
        <w:rPr>
          <w:rFonts w:ascii="Calibri" w:hAnsi="Calibri"/>
          <w:sz w:val="22"/>
        </w:rPr>
        <w:t xml:space="preserve"> vil der blive installeret ledningsnet, der gør det muligt i fremtiden at forsyne 100 % af parkeringspladserne med </w:t>
      </w:r>
      <w:proofErr w:type="spellStart"/>
      <w:r>
        <w:rPr>
          <w:rFonts w:ascii="Calibri" w:hAnsi="Calibri"/>
          <w:sz w:val="22"/>
        </w:rPr>
        <w:t>ladestationer</w:t>
      </w:r>
      <w:proofErr w:type="spellEnd"/>
      <w:r>
        <w:rPr>
          <w:rFonts w:ascii="Calibri" w:hAnsi="Calibri"/>
          <w:sz w:val="22"/>
        </w:rPr>
        <w:t>.</w:t>
      </w:r>
    </w:p>
    <w:p w14:paraId="76793F36"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2</w:t>
      </w:r>
      <w:r>
        <w:rPr>
          <w:rFonts w:ascii="Calibri" w:hAnsi="Calibri"/>
          <w:sz w:val="22"/>
        </w:rPr>
        <w:tab/>
        <w:t xml:space="preserve">I bygninger til anden anvendelse end som private boliger skal der installeres ledningsnet, som gør det muligt i fremtiden at forsyne mindst 20 % af parkeringspladserne med </w:t>
      </w:r>
      <w:proofErr w:type="spellStart"/>
      <w:r>
        <w:rPr>
          <w:rFonts w:ascii="Calibri" w:hAnsi="Calibri"/>
          <w:i/>
          <w:iCs/>
          <w:sz w:val="22"/>
        </w:rPr>
        <w:t>ladestationer</w:t>
      </w:r>
      <w:proofErr w:type="spellEnd"/>
      <w:r>
        <w:rPr>
          <w:rFonts w:ascii="Calibri" w:hAnsi="Calibri"/>
          <w:sz w:val="22"/>
        </w:rPr>
        <w:t>.</w:t>
      </w:r>
    </w:p>
    <w:p w14:paraId="247AE17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Desuden skal der installeres en </w:t>
      </w:r>
      <w:proofErr w:type="spellStart"/>
      <w:r>
        <w:rPr>
          <w:rFonts w:ascii="Calibri" w:hAnsi="Calibri"/>
          <w:i/>
          <w:iCs/>
          <w:sz w:val="22"/>
        </w:rPr>
        <w:t>ladestation</w:t>
      </w:r>
      <w:proofErr w:type="spellEnd"/>
      <w:r>
        <w:rPr>
          <w:rFonts w:ascii="Calibri" w:hAnsi="Calibri"/>
          <w:sz w:val="22"/>
        </w:rPr>
        <w:t xml:space="preserve"> for hver 40 parkeringspladser eller for den deraf afledte brøkdel.</w:t>
      </w:r>
    </w:p>
    <w:p w14:paraId="192987C0"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I bygninger til anden anvendelse end som private boliger, der ejes af statsforvaltningen eller af offentlige organer, der er tilknyttet eller underlagt statsforvaltningen, skal forsyningen være mere omfattende end den overordnet fastsatte, og der skal installeres en </w:t>
      </w:r>
      <w:proofErr w:type="spellStart"/>
      <w:r>
        <w:rPr>
          <w:rFonts w:ascii="Calibri" w:hAnsi="Calibri"/>
          <w:i/>
          <w:sz w:val="22"/>
        </w:rPr>
        <w:t>ladestation</w:t>
      </w:r>
      <w:proofErr w:type="spellEnd"/>
      <w:r>
        <w:rPr>
          <w:rFonts w:ascii="Calibri" w:hAnsi="Calibri"/>
          <w:sz w:val="22"/>
        </w:rPr>
        <w:t xml:space="preserve"> for hver 20 parkeringspladser eller den deraf afledte brøkdel.</w:t>
      </w:r>
    </w:p>
    <w:p w14:paraId="69499695"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For parkeringspladser med tilgængelige parkeringspladser i henhold til grunddokumentet om sikkerhed ved brug og tilgængelighed (DB SUA), skal der installeres en</w:t>
      </w:r>
      <w:r>
        <w:rPr>
          <w:rFonts w:ascii="Calibri" w:hAnsi="Calibri"/>
          <w:i/>
          <w:sz w:val="22"/>
        </w:rPr>
        <w:t xml:space="preserve"> </w:t>
      </w:r>
      <w:proofErr w:type="spellStart"/>
      <w:r>
        <w:rPr>
          <w:rFonts w:ascii="Calibri" w:hAnsi="Calibri"/>
          <w:i/>
          <w:sz w:val="22"/>
        </w:rPr>
        <w:t>ladestation</w:t>
      </w:r>
      <w:proofErr w:type="spellEnd"/>
      <w:r>
        <w:rPr>
          <w:rFonts w:ascii="Calibri" w:hAnsi="Calibri"/>
          <w:i/>
          <w:sz w:val="22"/>
        </w:rPr>
        <w:t xml:space="preserve"> </w:t>
      </w:r>
      <w:r>
        <w:rPr>
          <w:rFonts w:ascii="Calibri" w:hAnsi="Calibri"/>
          <w:sz w:val="22"/>
        </w:rPr>
        <w:t xml:space="preserve">for hver 5 tilgængelige parkeringspladser. </w:t>
      </w:r>
      <w:proofErr w:type="spellStart"/>
      <w:r>
        <w:rPr>
          <w:rFonts w:ascii="Calibri" w:hAnsi="Calibri"/>
          <w:i/>
          <w:sz w:val="22"/>
        </w:rPr>
        <w:t>Ladestationerne</w:t>
      </w:r>
      <w:proofErr w:type="spellEnd"/>
      <w:r>
        <w:rPr>
          <w:rFonts w:ascii="Calibri" w:hAnsi="Calibri"/>
          <w:i/>
          <w:sz w:val="22"/>
        </w:rPr>
        <w:t xml:space="preserve"> </w:t>
      </w:r>
      <w:r>
        <w:rPr>
          <w:rFonts w:ascii="Calibri" w:hAnsi="Calibri"/>
          <w:sz w:val="22"/>
        </w:rPr>
        <w:t>på disse steder skal medregnes med henblik på opfyldelse af kvantificeringskravet.</w:t>
      </w:r>
    </w:p>
    <w:p w14:paraId="4722B70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3</w:t>
      </w:r>
      <w:r>
        <w:rPr>
          <w:rFonts w:ascii="Calibri" w:hAnsi="Calibri"/>
          <w:sz w:val="22"/>
        </w:rPr>
        <w:tab/>
        <w:t xml:space="preserve">For bygninger, der indeholder enheder til </w:t>
      </w:r>
      <w:r>
        <w:rPr>
          <w:rFonts w:ascii="Calibri" w:hAnsi="Calibri"/>
          <w:i/>
          <w:iCs/>
          <w:sz w:val="22"/>
        </w:rPr>
        <w:t>anvendelse som private boliger</w:t>
      </w:r>
      <w:r>
        <w:rPr>
          <w:rFonts w:ascii="Calibri" w:hAnsi="Calibri"/>
          <w:sz w:val="22"/>
        </w:rPr>
        <w:t xml:space="preserve"> samt enheder til anden anvendelse, og hvor parkeringsarealerne i forbindelse med hver enkelt anvendelse ikke er klart adskilte, finder kriteriet for bygningens karakteristiske brug anvendelse.</w:t>
      </w:r>
      <w:bookmarkStart w:id="12" w:name="_Toc530396167"/>
      <w:bookmarkStart w:id="13" w:name="_Toc530395288"/>
    </w:p>
    <w:p w14:paraId="19D587A1" w14:textId="77777777" w:rsidR="000760AB" w:rsidRPr="000760AB" w:rsidRDefault="000760AB" w:rsidP="000760AB">
      <w:pPr>
        <w:spacing w:before="120" w:after="60"/>
        <w:ind w:left="567"/>
        <w:jc w:val="both"/>
        <w:rPr>
          <w:rFonts w:ascii="Calibri" w:hAnsi="Calibri" w:cs="Calibri"/>
          <w:sz w:val="22"/>
          <w:szCs w:val="22"/>
        </w:rPr>
      </w:pPr>
    </w:p>
    <w:p w14:paraId="2FC0E269"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4</w:t>
      </w:r>
      <w:r>
        <w:rPr>
          <w:rFonts w:ascii="Calibri" w:hAnsi="Calibri"/>
          <w:sz w:val="22"/>
        </w:rPr>
        <w:tab/>
        <w:t>Begrundelse for kravet</w:t>
      </w:r>
      <w:bookmarkEnd w:id="12"/>
      <w:bookmarkEnd w:id="13"/>
    </w:p>
    <w:p w14:paraId="15BAB575" w14:textId="77777777" w:rsidR="000760AB" w:rsidRPr="000760AB" w:rsidRDefault="000760AB" w:rsidP="000760AB">
      <w:pPr>
        <w:spacing w:before="240" w:after="100"/>
        <w:ind w:left="284"/>
        <w:jc w:val="both"/>
        <w:rPr>
          <w:rFonts w:ascii="Calibri" w:eastAsia="Arial" w:hAnsi="Calibri" w:cs="Calibri"/>
          <w:kern w:val="2"/>
          <w:sz w:val="22"/>
          <w:szCs w:val="22"/>
        </w:rPr>
      </w:pPr>
      <w:r>
        <w:rPr>
          <w:rFonts w:ascii="Calibri" w:hAnsi="Calibri"/>
          <w:sz w:val="22"/>
        </w:rPr>
        <w:t>1</w:t>
      </w:r>
      <w:r>
        <w:rPr>
          <w:rFonts w:ascii="Calibri" w:hAnsi="Calibri"/>
          <w:sz w:val="22"/>
        </w:rPr>
        <w:tab/>
        <w:t>For at kunne påvise, at en bygning opfylder kravene i dette grunddokument, skal projekteringsdokumenterne indeholde følgende oplysninger om den bygning eller den del af bygningen, der vurderes:</w:t>
      </w:r>
    </w:p>
    <w:p w14:paraId="36CFFEC7"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lastRenderedPageBreak/>
        <w:t>a) det ledningsdiagram, der anvendes til dimensionering, i overensstemmelse med dem, der er beskrevet i forskriften om lavspændingselektronik</w:t>
      </w:r>
    </w:p>
    <w:p w14:paraId="646DF7C0"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b) en beskrivelse af hovedledninger og kanalsystemer med angivelse af den procentdel af parkeringspladserne, der er forsynet med kabelledningssystemer, samt den påkrævede minimumsandel</w:t>
      </w:r>
    </w:p>
    <w:p w14:paraId="69C66A52"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c) antal installerede </w:t>
      </w:r>
      <w:proofErr w:type="spellStart"/>
      <w:r>
        <w:rPr>
          <w:rFonts w:ascii="Calibri" w:hAnsi="Calibri"/>
          <w:i/>
          <w:iCs/>
          <w:sz w:val="22"/>
        </w:rPr>
        <w:t>ladestationer</w:t>
      </w:r>
      <w:proofErr w:type="spellEnd"/>
      <w:r>
        <w:rPr>
          <w:rFonts w:ascii="Calibri" w:hAnsi="Calibri"/>
          <w:sz w:val="22"/>
        </w:rPr>
        <w:t xml:space="preserve"> og det minimumsantal, der følger af kvantificeringen af behovet</w:t>
      </w:r>
    </w:p>
    <w:p w14:paraId="7BE9C95E"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d) typer af </w:t>
      </w:r>
      <w:proofErr w:type="spellStart"/>
      <w:r>
        <w:rPr>
          <w:rFonts w:ascii="Calibri" w:hAnsi="Calibri"/>
          <w:i/>
          <w:sz w:val="22"/>
        </w:rPr>
        <w:t>ladestationer</w:t>
      </w:r>
      <w:proofErr w:type="spellEnd"/>
      <w:r>
        <w:rPr>
          <w:rFonts w:ascii="Calibri" w:hAnsi="Calibri"/>
          <w:sz w:val="22"/>
        </w:rPr>
        <w:t xml:space="preserve"> og deres respektive strømstyrker.</w:t>
      </w:r>
      <w:bookmarkStart w:id="14" w:name="_Toc530396168"/>
      <w:bookmarkStart w:id="15" w:name="_Toc530395289"/>
    </w:p>
    <w:p w14:paraId="52DF0579" w14:textId="77777777" w:rsidR="000760AB" w:rsidRPr="000760AB" w:rsidRDefault="000760AB" w:rsidP="000760AB">
      <w:pPr>
        <w:suppressAutoHyphens/>
        <w:spacing w:before="60" w:after="60"/>
        <w:ind w:left="567"/>
        <w:jc w:val="both"/>
        <w:textAlignment w:val="baseline"/>
        <w:rPr>
          <w:rFonts w:ascii="Calibri" w:eastAsia="Arial" w:hAnsi="Calibri" w:cs="Calibri"/>
          <w:kern w:val="2"/>
          <w:sz w:val="22"/>
          <w:szCs w:val="22"/>
          <w:lang w:eastAsia="zh-CN" w:bidi="hi-IN"/>
        </w:rPr>
      </w:pPr>
    </w:p>
    <w:p w14:paraId="50E1C334"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5</w:t>
      </w:r>
      <w:r>
        <w:rPr>
          <w:rFonts w:ascii="Calibri" w:hAnsi="Calibri"/>
          <w:sz w:val="22"/>
        </w:rPr>
        <w:tab/>
        <w:t>Opførelse, vedligeholdelse og opretholdelse</w:t>
      </w:r>
      <w:bookmarkEnd w:id="14"/>
      <w:bookmarkEnd w:id="15"/>
    </w:p>
    <w:p w14:paraId="000A9057"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6" w:name="_Toc530396169"/>
      <w:bookmarkStart w:id="17" w:name="_Toc530395290"/>
      <w:r>
        <w:rPr>
          <w:rFonts w:ascii="Calibri" w:hAnsi="Calibri"/>
          <w:sz w:val="22"/>
        </w:rPr>
        <w:t>5.1 Udførelse</w:t>
      </w:r>
      <w:bookmarkEnd w:id="16"/>
      <w:bookmarkEnd w:id="17"/>
    </w:p>
    <w:p w14:paraId="3050030B"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Anlægsarbejdet skal udføres i overensstemmelse med projektet med de ændringer, der er godkendt af byggelederen, med forudgående samtykke fra bygherren, jf. gældende lovgivning, i henhold til specifikationerne i forskriften om lavspændingselektronik og dens supplerende tekniske vejledning ITC BT-52 "Anlæg til særlige formål. Infrastruktur til opladning af</w:t>
      </w:r>
      <w:r>
        <w:rPr>
          <w:rFonts w:ascii="Calibri" w:hAnsi="Calibri"/>
          <w:i/>
          <w:sz w:val="22"/>
        </w:rPr>
        <w:t xml:space="preserve"> elektriske køretøjer</w:t>
      </w:r>
      <w:r>
        <w:rPr>
          <w:rFonts w:ascii="Calibri" w:hAnsi="Calibri"/>
          <w:sz w:val="22"/>
        </w:rPr>
        <w:t xml:space="preserve">", til standarderne for god byggepraksis og til byggelederens og projektlederens instrukser, jf. artikel 7 i del I </w:t>
      </w:r>
      <w:proofErr w:type="spellStart"/>
      <w:r>
        <w:rPr>
          <w:rFonts w:ascii="Calibri" w:hAnsi="Calibri"/>
          <w:sz w:val="22"/>
        </w:rPr>
        <w:t>i</w:t>
      </w:r>
      <w:proofErr w:type="spellEnd"/>
      <w:r>
        <w:rPr>
          <w:rFonts w:ascii="Calibri" w:hAnsi="Calibri"/>
          <w:sz w:val="22"/>
        </w:rPr>
        <w:t xml:space="preserve"> CTE.</w:t>
      </w:r>
    </w:p>
    <w:p w14:paraId="089181A3"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8" w:name="_Toc530396170"/>
      <w:bookmarkStart w:id="19" w:name="_Toc530395291"/>
      <w:r>
        <w:rPr>
          <w:rFonts w:ascii="Calibri" w:hAnsi="Calibri"/>
          <w:sz w:val="22"/>
        </w:rPr>
        <w:t>5.2 Kontrol med arbejdets udførelse</w:t>
      </w:r>
      <w:bookmarkEnd w:id="18"/>
      <w:bookmarkEnd w:id="19"/>
    </w:p>
    <w:p w14:paraId="5126F3A6"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Udførelsen af arbejdet skal overvåges i overensstemmelse med projektspecifikationerne, bilagene og de af byggelederen godkendte ændringer, såvel som projektlederens anvisninger og i overensstemmelse med specifikationerne i forskriften om lavspændingselektronik jf. artikel 7, stk. 3, i del I </w:t>
      </w:r>
      <w:proofErr w:type="spellStart"/>
      <w:r>
        <w:rPr>
          <w:rFonts w:ascii="Calibri" w:hAnsi="Calibri"/>
          <w:sz w:val="22"/>
        </w:rPr>
        <w:t>i</w:t>
      </w:r>
      <w:proofErr w:type="spellEnd"/>
      <w:r>
        <w:rPr>
          <w:rFonts w:ascii="Calibri" w:hAnsi="Calibri"/>
          <w:sz w:val="22"/>
        </w:rPr>
        <w:t xml:space="preserve"> CTE samt øvrige relevante forskrifter.</w:t>
      </w:r>
    </w:p>
    <w:p w14:paraId="5E5E124D"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Arbejdets eksekvering skal kontrolleres for at sikre, at der foretages inspektioner med den nødvendige hyppighed i overensstemmelse med projektspecifikationerne.</w:t>
      </w:r>
    </w:p>
    <w:p w14:paraId="59F0FC7F"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3</w:t>
      </w:r>
      <w:r>
        <w:rPr>
          <w:rFonts w:ascii="Calibri" w:hAnsi="Calibri"/>
          <w:sz w:val="22"/>
        </w:rPr>
        <w:tab/>
        <w:t>Alle ændringer, der foretages under udførelsen af arbejderne, skal registreres i den færdige bygge- og anlægsdokumentation, og i alle tilfælde skal minimumsbetingelserne i dette grunddokument være opfyldt.</w:t>
      </w:r>
    </w:p>
    <w:p w14:paraId="0D137CE4"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4</w:t>
      </w:r>
      <w:r>
        <w:rPr>
          <w:rFonts w:ascii="Calibri" w:hAnsi="Calibri"/>
          <w:sz w:val="22"/>
        </w:rPr>
        <w:tab/>
        <w:t>Dokumentation vedrørende egenskaberne ved de produkter, det udstyr og de systemer, der implementeres i bygningen, skal indføres i bygningsbogen.</w:t>
      </w:r>
    </w:p>
    <w:p w14:paraId="3FAAE7C2"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0" w:name="_Toc530396171"/>
      <w:bookmarkStart w:id="21" w:name="_Toc530395292"/>
      <w:r>
        <w:rPr>
          <w:rFonts w:ascii="Calibri" w:hAnsi="Calibri"/>
          <w:sz w:val="22"/>
        </w:rPr>
        <w:t>5.3 Kontrol af det færdige arbejde</w:t>
      </w:r>
      <w:bookmarkEnd w:id="20"/>
      <w:bookmarkEnd w:id="21"/>
    </w:p>
    <w:p w14:paraId="1A89C868"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Inspektionen af det færdige arbejde skal opfylde kriterierne i artikel 7, stk. 4, i </w:t>
      </w:r>
      <w:proofErr w:type="spellStart"/>
      <w:r>
        <w:rPr>
          <w:rFonts w:ascii="Calibri" w:hAnsi="Calibri"/>
          <w:sz w:val="22"/>
        </w:rPr>
        <w:t>CTEs</w:t>
      </w:r>
      <w:proofErr w:type="spellEnd"/>
      <w:r>
        <w:rPr>
          <w:rFonts w:ascii="Calibri" w:hAnsi="Calibri"/>
          <w:sz w:val="22"/>
        </w:rPr>
        <w:t xml:space="preserve"> del I.</w:t>
      </w:r>
    </w:p>
    <w:p w14:paraId="32DA09D6"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Dette afsnit i grunddokumentet foreskriver ikke udførelse af slutafprøvninger.</w:t>
      </w:r>
    </w:p>
    <w:p w14:paraId="71B8183A"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2" w:name="_Toc530396172"/>
      <w:bookmarkStart w:id="23" w:name="_Toc530395293"/>
      <w:r>
        <w:rPr>
          <w:rFonts w:ascii="Calibri" w:hAnsi="Calibri"/>
          <w:sz w:val="22"/>
        </w:rPr>
        <w:t>5.4 Vedligeholdelse og vedligeholdelse af bygningen</w:t>
      </w:r>
      <w:bookmarkEnd w:id="22"/>
      <w:bookmarkEnd w:id="23"/>
    </w:p>
    <w:p w14:paraId="3E865FD5"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Den vedligeholdelsesplan, der er indeholdt i bygningsbogen, skal omfatte de handlinger og den frekvens, der er nødvendig for at vedligeholde konstruktions- og præstationsparametrene for </w:t>
      </w:r>
      <w:r>
        <w:rPr>
          <w:rFonts w:ascii="Calibri" w:hAnsi="Calibri"/>
          <w:i/>
          <w:iCs/>
          <w:sz w:val="22"/>
        </w:rPr>
        <w:t>opladningsinfrastrukturen til elektriske køretøjer</w:t>
      </w:r>
      <w:r>
        <w:rPr>
          <w:rFonts w:ascii="Calibri" w:hAnsi="Calibri"/>
          <w:sz w:val="22"/>
        </w:rPr>
        <w:t xml:space="preserve"> over tid.</w:t>
      </w:r>
    </w:p>
    <w:p w14:paraId="44174479"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Ligeledes skal bygningsbogen dokumentere alle indgreb, hvad enten det drejer sig om reparation, renovering eller istandsættelse, der er udført i hele bygningens levetid."</w:t>
      </w:r>
    </w:p>
    <w:p w14:paraId="4BAAA47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mm) I bilag A udgår ordene "oprindelig lysstyrke" og "refleksion".</w:t>
      </w:r>
    </w:p>
    <w:p w14:paraId="6C74EA4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proofErr w:type="spellStart"/>
      <w:r>
        <w:rPr>
          <w:rFonts w:ascii="Calibri" w:hAnsi="Calibri"/>
          <w:sz w:val="22"/>
        </w:rPr>
        <w:lastRenderedPageBreak/>
        <w:t>nn</w:t>
      </w:r>
      <w:proofErr w:type="spellEnd"/>
      <w:r>
        <w:rPr>
          <w:rFonts w:ascii="Calibri" w:hAnsi="Calibri"/>
          <w:sz w:val="22"/>
        </w:rPr>
        <w:t>) I bilag A, i definitionen af "</w:t>
      </w:r>
      <w:r>
        <w:rPr>
          <w:rFonts w:ascii="Calibri" w:hAnsi="Calibri"/>
          <w:i/>
          <w:iCs/>
          <w:sz w:val="22"/>
        </w:rPr>
        <w:t>Samlet varmetransmissionskoefficient (gennem bygningens klimaskærm)</w:t>
      </w:r>
      <w:r>
        <w:rPr>
          <w:rFonts w:ascii="Calibri" w:hAnsi="Calibri"/>
          <w:sz w:val="22"/>
        </w:rPr>
        <w:t xml:space="preserve"> (K)", hvor der står: "... K = X </w:t>
      </w:r>
      <w:proofErr w:type="spellStart"/>
      <w:r>
        <w:rPr>
          <w:rFonts w:ascii="Calibri" w:hAnsi="Calibri"/>
          <w:sz w:val="22"/>
        </w:rPr>
        <w:t>Hx</w:t>
      </w:r>
      <w:proofErr w:type="spellEnd"/>
      <w:r>
        <w:rPr>
          <w:rFonts w:ascii="Calibri" w:hAnsi="Calibri"/>
          <w:sz w:val="22"/>
        </w:rPr>
        <w:t>/</w:t>
      </w:r>
      <w:proofErr w:type="spellStart"/>
      <w:r>
        <w:rPr>
          <w:rFonts w:ascii="Calibri" w:hAnsi="Calibri"/>
          <w:sz w:val="22"/>
        </w:rPr>
        <w:t>Aint</w:t>
      </w:r>
      <w:proofErr w:type="spellEnd"/>
      <w:r>
        <w:rPr>
          <w:rFonts w:ascii="Calibri" w:hAnsi="Calibri"/>
          <w:sz w:val="22"/>
        </w:rPr>
        <w:t>...", skal der stå "x", "x" og "</w:t>
      </w:r>
      <w:proofErr w:type="spellStart"/>
      <w:r>
        <w:rPr>
          <w:rFonts w:ascii="Calibri" w:hAnsi="Calibri"/>
          <w:sz w:val="22"/>
        </w:rPr>
        <w:t>int</w:t>
      </w:r>
      <w:proofErr w:type="spellEnd"/>
      <w:r>
        <w:rPr>
          <w:rFonts w:ascii="Calibri" w:hAnsi="Calibri"/>
          <w:sz w:val="22"/>
        </w:rPr>
        <w:t xml:space="preserve">" med sænket skrift: "... K = </w:t>
      </w:r>
      <w:proofErr w:type="spellStart"/>
      <w:r>
        <w:rPr>
          <w:rFonts w:ascii="Calibri" w:hAnsi="Calibri"/>
          <w:sz w:val="22"/>
        </w:rPr>
        <w:t>Σ</w:t>
      </w:r>
      <w:r>
        <w:rPr>
          <w:rFonts w:ascii="Calibri" w:hAnsi="Calibri"/>
          <w:sz w:val="22"/>
          <w:vertAlign w:val="subscript"/>
        </w:rPr>
        <w:t>x</w:t>
      </w:r>
      <w:proofErr w:type="spellEnd"/>
      <w:r>
        <w:rPr>
          <w:rFonts w:ascii="Calibri" w:hAnsi="Calibri"/>
          <w:sz w:val="22"/>
        </w:rPr>
        <w:t xml:space="preserve"> </w:t>
      </w:r>
      <w:proofErr w:type="spellStart"/>
      <w:r>
        <w:rPr>
          <w:rFonts w:ascii="Calibri" w:hAnsi="Calibri"/>
          <w:sz w:val="22"/>
        </w:rPr>
        <w:t>H</w:t>
      </w:r>
      <w:r>
        <w:rPr>
          <w:rFonts w:ascii="Calibri" w:hAnsi="Calibri"/>
          <w:sz w:val="22"/>
          <w:vertAlign w:val="subscript"/>
        </w:rPr>
        <w:t>x</w:t>
      </w:r>
      <w:proofErr w:type="spellEnd"/>
      <w:r>
        <w:rPr>
          <w:rFonts w:ascii="Calibri" w:hAnsi="Calibri"/>
          <w:sz w:val="22"/>
        </w:rPr>
        <w:t xml:space="preserve"> / </w:t>
      </w:r>
      <w:proofErr w:type="spellStart"/>
      <w:r>
        <w:rPr>
          <w:rFonts w:ascii="Calibri" w:hAnsi="Calibri"/>
          <w:sz w:val="22"/>
        </w:rPr>
        <w:t>A</w:t>
      </w:r>
      <w:r>
        <w:rPr>
          <w:rFonts w:ascii="Calibri" w:hAnsi="Calibri"/>
          <w:sz w:val="22"/>
          <w:vertAlign w:val="subscript"/>
        </w:rPr>
        <w:t>int</w:t>
      </w:r>
      <w:proofErr w:type="spellEnd"/>
      <w:r>
        <w:rPr>
          <w:rFonts w:ascii="Calibri" w:hAnsi="Calibri"/>
          <w:sz w:val="22"/>
        </w:rPr>
        <w:t>...", og udtrykkene "</w:t>
      </w:r>
      <w:proofErr w:type="spellStart"/>
      <w:r>
        <w:rPr>
          <w:rFonts w:ascii="Calibri" w:hAnsi="Calibri"/>
          <w:sz w:val="22"/>
        </w:rPr>
        <w:t>parietodynamiske</w:t>
      </w:r>
      <w:proofErr w:type="spellEnd"/>
      <w:r>
        <w:rPr>
          <w:rFonts w:ascii="Calibri" w:hAnsi="Calibri"/>
          <w:sz w:val="22"/>
        </w:rPr>
        <w:t xml:space="preserve"> vægge" og "</w:t>
      </w:r>
      <w:proofErr w:type="spellStart"/>
      <w:r>
        <w:rPr>
          <w:rFonts w:ascii="Calibri" w:hAnsi="Calibri"/>
          <w:sz w:val="22"/>
        </w:rPr>
        <w:t>Trombre</w:t>
      </w:r>
      <w:proofErr w:type="spellEnd"/>
      <w:r>
        <w:rPr>
          <w:rFonts w:ascii="Calibri" w:hAnsi="Calibri"/>
          <w:sz w:val="22"/>
        </w:rPr>
        <w:t>-vægge" bør være i kursiv.</w:t>
      </w:r>
    </w:p>
    <w:p w14:paraId="5C4DBA8E"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2CFABC1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proofErr w:type="spellStart"/>
      <w:r>
        <w:rPr>
          <w:rFonts w:ascii="Calibri" w:hAnsi="Calibri"/>
          <w:sz w:val="22"/>
        </w:rPr>
        <w:t>ññ</w:t>
      </w:r>
      <w:proofErr w:type="spellEnd"/>
      <w:r>
        <w:rPr>
          <w:rFonts w:ascii="Calibri" w:hAnsi="Calibri"/>
          <w:sz w:val="22"/>
        </w:rPr>
        <w:t>) I bilag A skal ordet "kompakthed" i stk. 2 i definitionen af "kompakthed" stå i kursiv.</w:t>
      </w:r>
    </w:p>
    <w:p w14:paraId="2A0F9F45"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oo</w:t>
      </w:r>
      <w:proofErr w:type="spellEnd"/>
      <w:r>
        <w:rPr>
          <w:rFonts w:ascii="Calibri" w:hAnsi="Calibri"/>
          <w:sz w:val="22"/>
        </w:rPr>
        <w:t>) I bilag A skal udtrykket "anvendelse som private boliger" i definitionen af "Driftsbetingelser" stå i kursiv.</w:t>
      </w:r>
    </w:p>
    <w:p w14:paraId="345DE1C6"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proofErr w:type="spellStart"/>
      <w:r>
        <w:rPr>
          <w:rFonts w:ascii="Calibri" w:hAnsi="Calibri"/>
          <w:sz w:val="22"/>
        </w:rPr>
        <w:t>pp</w:t>
      </w:r>
      <w:proofErr w:type="spellEnd"/>
      <w:r>
        <w:rPr>
          <w:rFonts w:ascii="Calibri" w:hAnsi="Calibri"/>
          <w:sz w:val="22"/>
        </w:rPr>
        <w:t>) I bilag A, i definitionen af "Forbrug af ikkevedvarende primærenergi", hvor der står: "... Forbrug af ikkevedvarende primærenergi..." skal "</w:t>
      </w:r>
      <w:proofErr w:type="spellStart"/>
      <w:proofErr w:type="gramStart"/>
      <w:r>
        <w:rPr>
          <w:rFonts w:ascii="Calibri" w:hAnsi="Calibri"/>
          <w:sz w:val="22"/>
        </w:rPr>
        <w:t>ep,nren</w:t>
      </w:r>
      <w:proofErr w:type="spellEnd"/>
      <w:proofErr w:type="gramEnd"/>
      <w:r>
        <w:rPr>
          <w:rFonts w:ascii="Calibri" w:hAnsi="Calibri"/>
          <w:sz w:val="22"/>
        </w:rPr>
        <w:t>" stå i sænket skrift: "... Forbrug af ikkevedvarende primærenergi" (</w:t>
      </w:r>
      <w:proofErr w:type="spellStart"/>
      <w:r>
        <w:rPr>
          <w:rFonts w:ascii="Calibri" w:hAnsi="Calibri"/>
          <w:sz w:val="22"/>
        </w:rPr>
        <w:t>C</w:t>
      </w:r>
      <w:r>
        <w:rPr>
          <w:rFonts w:ascii="Calibri" w:hAnsi="Calibri"/>
          <w:sz w:val="22"/>
          <w:vertAlign w:val="subscript"/>
        </w:rPr>
        <w:t>ep,nren</w:t>
      </w:r>
      <w:proofErr w:type="spellEnd"/>
      <w:r>
        <w:rPr>
          <w:rFonts w:ascii="Calibri" w:hAnsi="Calibri"/>
          <w:sz w:val="22"/>
        </w:rPr>
        <w:t>)...".</w:t>
      </w:r>
    </w:p>
    <w:p w14:paraId="10AB3C41"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14333C7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proofErr w:type="spellStart"/>
      <w:r>
        <w:rPr>
          <w:rFonts w:ascii="Calibri" w:hAnsi="Calibri"/>
          <w:sz w:val="22"/>
        </w:rPr>
        <w:t>qq</w:t>
      </w:r>
      <w:proofErr w:type="spellEnd"/>
      <w:r>
        <w:rPr>
          <w:rFonts w:ascii="Calibri" w:hAnsi="Calibri"/>
          <w:sz w:val="22"/>
        </w:rPr>
        <w:t>) I bilag A, i definitionen af "samlet primærenergiforbrug", hvor det hedder: "... Det samlede primærenergiforbrug...", skal "</w:t>
      </w:r>
      <w:proofErr w:type="spellStart"/>
      <w:proofErr w:type="gramStart"/>
      <w:r>
        <w:rPr>
          <w:rFonts w:ascii="Calibri" w:hAnsi="Calibri"/>
          <w:sz w:val="22"/>
        </w:rPr>
        <w:t>ep,tot</w:t>
      </w:r>
      <w:proofErr w:type="spellEnd"/>
      <w:proofErr w:type="gramEnd"/>
      <w:r>
        <w:rPr>
          <w:rFonts w:ascii="Calibri" w:hAnsi="Calibri"/>
          <w:sz w:val="22"/>
        </w:rPr>
        <w:t>" stå i sænket skrift: "... Samlet primærenergiforbrug (</w:t>
      </w:r>
      <w:proofErr w:type="spellStart"/>
      <w:r>
        <w:rPr>
          <w:rFonts w:ascii="Calibri" w:hAnsi="Calibri"/>
          <w:sz w:val="22"/>
        </w:rPr>
        <w:t>C</w:t>
      </w:r>
      <w:r>
        <w:rPr>
          <w:rFonts w:ascii="Calibri" w:hAnsi="Calibri"/>
          <w:sz w:val="22"/>
          <w:vertAlign w:val="subscript"/>
        </w:rPr>
        <w:t>ep,tot</w:t>
      </w:r>
      <w:proofErr w:type="spellEnd"/>
      <w:r>
        <w:rPr>
          <w:rFonts w:ascii="Calibri" w:hAnsi="Calibri"/>
          <w:sz w:val="22"/>
        </w:rPr>
        <w:t>)...".</w:t>
      </w:r>
    </w:p>
    <w:p w14:paraId="0CA46E11"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1B1F2FC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proofErr w:type="spellStart"/>
      <w:r>
        <w:rPr>
          <w:rFonts w:ascii="Calibri" w:hAnsi="Calibri"/>
          <w:sz w:val="22"/>
        </w:rPr>
        <w:t>rr</w:t>
      </w:r>
      <w:proofErr w:type="spellEnd"/>
      <w:r>
        <w:rPr>
          <w:rFonts w:ascii="Calibri" w:hAnsi="Calibri"/>
          <w:sz w:val="22"/>
        </w:rPr>
        <w:t>) I bilag A, i definitionen af "solreguleret (</w:t>
      </w:r>
      <w:proofErr w:type="spellStart"/>
      <w:proofErr w:type="gramStart"/>
      <w:r>
        <w:rPr>
          <w:rFonts w:ascii="Calibri" w:hAnsi="Calibri"/>
          <w:sz w:val="22"/>
        </w:rPr>
        <w:t>q</w:t>
      </w:r>
      <w:r>
        <w:rPr>
          <w:rFonts w:ascii="Calibri" w:hAnsi="Calibri"/>
          <w:sz w:val="22"/>
          <w:vertAlign w:val="subscript"/>
        </w:rPr>
        <w:t>sol;jul</w:t>
      </w:r>
      <w:proofErr w:type="spellEnd"/>
      <w:proofErr w:type="gramEnd"/>
      <w:r>
        <w:rPr>
          <w:rFonts w:ascii="Calibri" w:hAnsi="Calibri"/>
          <w:sz w:val="22"/>
        </w:rPr>
        <w:t>)", hvor den affattes således: "... rummenes brugsareal..." skal der stå: "... beboelsesrummenes brugsareal...". Punktummet og det nye stykke i slutningen af definitionen af komponenten i formlen "</w:t>
      </w:r>
      <w:proofErr w:type="spellStart"/>
      <w:proofErr w:type="gramStart"/>
      <w:r>
        <w:rPr>
          <w:rFonts w:ascii="Calibri" w:hAnsi="Calibri"/>
          <w:sz w:val="22"/>
        </w:rPr>
        <w:t>Hsol;jul</w:t>
      </w:r>
      <w:proofErr w:type="spellEnd"/>
      <w:proofErr w:type="gramEnd"/>
      <w:r>
        <w:rPr>
          <w:rFonts w:ascii="Calibri" w:hAnsi="Calibri"/>
          <w:sz w:val="22"/>
        </w:rPr>
        <w:t>" erstattes af et semikolon, og definitionen af en anden komponent i formlen tilføjes som følger:</w:t>
      </w:r>
    </w:p>
    <w:p w14:paraId="1679E36E"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w:t>
      </w:r>
      <w:proofErr w:type="spellStart"/>
      <w:r>
        <w:rPr>
          <w:rFonts w:ascii="Calibri" w:hAnsi="Calibri"/>
          <w:sz w:val="22"/>
        </w:rPr>
        <w:t>A</w:t>
      </w:r>
      <w:r>
        <w:rPr>
          <w:rFonts w:ascii="Calibri" w:hAnsi="Calibri"/>
          <w:sz w:val="22"/>
          <w:vertAlign w:val="subscript"/>
        </w:rPr>
        <w:t>util</w:t>
      </w:r>
      <w:r>
        <w:rPr>
          <w:rFonts w:ascii="Calibri" w:hAnsi="Calibri"/>
          <w:sz w:val="22"/>
        </w:rPr>
        <w:t>område</w:t>
      </w:r>
      <w:proofErr w:type="spellEnd"/>
      <w:r>
        <w:rPr>
          <w:rFonts w:ascii="Calibri" w:hAnsi="Calibri"/>
          <w:sz w:val="22"/>
        </w:rPr>
        <w:t>, der anses for at være i overensstemmelse med afsnit 4.6 i HE 0."</w:t>
      </w:r>
    </w:p>
    <w:p w14:paraId="5D16B486"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ss</w:t>
      </w:r>
      <w:proofErr w:type="spellEnd"/>
      <w:r>
        <w:rPr>
          <w:rFonts w:ascii="Calibri" w:hAnsi="Calibri"/>
          <w:sz w:val="22"/>
        </w:rPr>
        <w:t xml:space="preserve">) I bilag A, i definitionen af udtrykket "Den færdige energi", erstattes sætningen "Den forbrugerne køber i form af elektricitet, brændsel eller andre energikilder til direkte brug" af "Den energi, der leveres til bygningsanlæggene med henblik på leveringen af tjenesteydelser. </w:t>
      </w:r>
      <w:proofErr w:type="gramStart"/>
      <w:r>
        <w:rPr>
          <w:rFonts w:ascii="Calibri" w:hAnsi="Calibri"/>
          <w:sz w:val="22"/>
        </w:rPr>
        <w:t>Denne forsyningen</w:t>
      </w:r>
      <w:proofErr w:type="gramEnd"/>
      <w:r>
        <w:rPr>
          <w:rFonts w:ascii="Calibri" w:hAnsi="Calibri"/>
          <w:sz w:val="22"/>
        </w:rPr>
        <w:t xml:space="preserve"> sker typisk i form af brændstoffer, produktion på stedet eller specifikke forsyningsnet (elektricitet, gas, fjernvarme eller -køling osv.)".</w:t>
      </w:r>
    </w:p>
    <w:p w14:paraId="4B18500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tt) I bilag A skal udtrykket "anvendelse som private boliger" i definitionen af "Boligareal" stå i kursiv.</w:t>
      </w:r>
    </w:p>
    <w:p w14:paraId="7EC3AE41"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uu</w:t>
      </w:r>
      <w:proofErr w:type="spellEnd"/>
      <w:r>
        <w:rPr>
          <w:rFonts w:ascii="Calibri" w:hAnsi="Calibri"/>
          <w:sz w:val="22"/>
        </w:rPr>
        <w:t>) I bilag A skal udtrykket "anvendelse som private boliger” i definitionen af "Anvendelsesperiode” i stk. 2 stå i kursiv.</w:t>
      </w:r>
    </w:p>
    <w:p w14:paraId="3400E1E9"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vv</w:t>
      </w:r>
      <w:proofErr w:type="spellEnd"/>
      <w:r>
        <w:rPr>
          <w:rFonts w:ascii="Calibri" w:hAnsi="Calibri"/>
          <w:sz w:val="22"/>
        </w:rPr>
        <w:t xml:space="preserve">) I bilag A, i definitionen af udtrykket "Termisk </w:t>
      </w:r>
      <w:proofErr w:type="spellStart"/>
      <w:r>
        <w:rPr>
          <w:rFonts w:ascii="Calibri" w:hAnsi="Calibri"/>
          <w:sz w:val="22"/>
        </w:rPr>
        <w:t>transmittans</w:t>
      </w:r>
      <w:proofErr w:type="spellEnd"/>
      <w:r>
        <w:rPr>
          <w:rFonts w:ascii="Calibri" w:hAnsi="Calibri"/>
          <w:sz w:val="22"/>
        </w:rPr>
        <w:t xml:space="preserve"> (U)", skal følgende ordlyd tilføjes i slutningen af definitionen:</w:t>
      </w:r>
    </w:p>
    <w:p w14:paraId="20E76982"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"Udtrykt i W/m</w:t>
      </w:r>
      <w:r>
        <w:rPr>
          <w:rFonts w:ascii="Calibri" w:hAnsi="Calibri"/>
          <w:sz w:val="22"/>
          <w:vertAlign w:val="superscript"/>
        </w:rPr>
        <w:t>2</w:t>
      </w:r>
      <w:r>
        <w:rPr>
          <w:rFonts w:ascii="Calibri" w:hAnsi="Calibri"/>
          <w:sz w:val="22"/>
        </w:rPr>
        <w:t>K."</w:t>
      </w:r>
    </w:p>
    <w:p w14:paraId="68C76D1A" w14:textId="77777777" w:rsidR="000760AB" w:rsidRPr="000760AB" w:rsidRDefault="000760AB" w:rsidP="00FD453F">
      <w:pPr>
        <w:spacing w:after="160" w:line="259" w:lineRule="auto"/>
        <w:ind w:left="284"/>
        <w:jc w:val="both"/>
        <w:rPr>
          <w:rFonts w:ascii="Calibri" w:eastAsia="Calibri" w:hAnsi="Calibri" w:cs="Calibri"/>
          <w:sz w:val="22"/>
          <w:szCs w:val="22"/>
        </w:rPr>
      </w:pPr>
      <w:proofErr w:type="spellStart"/>
      <w:r>
        <w:rPr>
          <w:rFonts w:ascii="Calibri" w:hAnsi="Calibri"/>
          <w:sz w:val="22"/>
        </w:rPr>
        <w:t>ww</w:t>
      </w:r>
      <w:proofErr w:type="spellEnd"/>
      <w:r>
        <w:rPr>
          <w:rFonts w:ascii="Calibri" w:hAnsi="Calibri"/>
          <w:sz w:val="22"/>
        </w:rPr>
        <w:t>) I bilag A, i definitionen af "værdien af energianlæggets energieffektivitet (VEEI)" bør udtrykket "anvendelse som private boliger” stå i kursiv.</w:t>
      </w:r>
    </w:p>
    <w:p w14:paraId="45B16639" w14:textId="77777777" w:rsidR="000760AB" w:rsidRPr="000760AB" w:rsidRDefault="000760AB" w:rsidP="000760AB">
      <w:pPr>
        <w:spacing w:after="160" w:line="259" w:lineRule="auto"/>
        <w:ind w:left="567" w:hanging="283"/>
        <w:jc w:val="both"/>
        <w:rPr>
          <w:rFonts w:ascii="Calibri" w:eastAsia="Calibri" w:hAnsi="Calibri" w:cs="Calibri"/>
          <w:sz w:val="22"/>
          <w:szCs w:val="22"/>
        </w:rPr>
      </w:pPr>
      <w:r>
        <w:rPr>
          <w:rFonts w:ascii="Calibri" w:hAnsi="Calibri"/>
          <w:sz w:val="22"/>
        </w:rPr>
        <w:t>xx) Følgende udtryk er tilføjet i bilag A "Terminologi":</w:t>
      </w:r>
    </w:p>
    <w:p w14:paraId="41AB6223" w14:textId="77777777" w:rsidR="000760AB" w:rsidRPr="000760AB" w:rsidRDefault="000760AB" w:rsidP="00FD453F">
      <w:pPr>
        <w:spacing w:before="200" w:after="120"/>
        <w:ind w:left="284"/>
        <w:jc w:val="both"/>
        <w:rPr>
          <w:rFonts w:ascii="Calibri" w:eastAsia="Arial" w:hAnsi="Calibri" w:cs="Calibri"/>
          <w:kern w:val="2"/>
          <w:sz w:val="22"/>
        </w:rPr>
      </w:pPr>
      <w:r>
        <w:rPr>
          <w:rFonts w:ascii="Calibri" w:hAnsi="Calibri"/>
          <w:b/>
          <w:bCs/>
          <w:sz w:val="22"/>
        </w:rPr>
        <w:t>"Hjælpeudstyr:</w:t>
      </w:r>
      <w:r>
        <w:rPr>
          <w:rFonts w:ascii="Calibri" w:hAnsi="Calibri"/>
          <w:b/>
          <w:sz w:val="22"/>
        </w:rPr>
        <w:t xml:space="preserve"> </w:t>
      </w:r>
      <w:r>
        <w:rPr>
          <w:rFonts w:ascii="Calibri" w:hAnsi="Calibri"/>
          <w:sz w:val="22"/>
        </w:rPr>
        <w:t xml:space="preserve">elektrisk eller elektronisk udstyr med forbindelse til lyset, som kan være forskelligt for de enkelte typer lys, og hvis funktion er at tilslutte og kontrollere driftsbetingelserne. Dette hjælpeudstyr består, medmindre det er elektronisk, af en kombination af starter/tænder, </w:t>
      </w:r>
      <w:proofErr w:type="spellStart"/>
      <w:r>
        <w:rPr>
          <w:rFonts w:ascii="Calibri" w:hAnsi="Calibri"/>
          <w:sz w:val="22"/>
        </w:rPr>
        <w:t>forkoblingsenhed</w:t>
      </w:r>
      <w:proofErr w:type="spellEnd"/>
      <w:r>
        <w:rPr>
          <w:rFonts w:ascii="Calibri" w:hAnsi="Calibri"/>
          <w:sz w:val="22"/>
        </w:rPr>
        <w:t xml:space="preserve"> og kondensator.</w:t>
      </w:r>
    </w:p>
    <w:p w14:paraId="66E0B2DA"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b/>
          <w:bCs/>
          <w:i/>
          <w:iCs/>
          <w:sz w:val="22"/>
        </w:rPr>
        <w:t>"</w:t>
      </w:r>
      <w:proofErr w:type="spellStart"/>
      <w:r>
        <w:rPr>
          <w:rFonts w:ascii="Calibri" w:hAnsi="Calibri"/>
          <w:b/>
          <w:bCs/>
          <w:i/>
          <w:iCs/>
          <w:sz w:val="22"/>
        </w:rPr>
        <w:t>Ladestation</w:t>
      </w:r>
      <w:proofErr w:type="spellEnd"/>
      <w:r>
        <w:rPr>
          <w:rFonts w:ascii="Calibri" w:hAnsi="Calibri"/>
          <w:b/>
          <w:bCs/>
          <w:i/>
          <w:iCs/>
          <w:sz w:val="22"/>
        </w:rPr>
        <w:t>:</w:t>
      </w:r>
      <w:r>
        <w:rPr>
          <w:rFonts w:ascii="Calibri" w:hAnsi="Calibri"/>
          <w:b/>
          <w:sz w:val="22"/>
        </w:rPr>
        <w:t xml:space="preserve"> </w:t>
      </w:r>
      <w:r>
        <w:rPr>
          <w:rFonts w:ascii="Calibri" w:hAnsi="Calibri"/>
          <w:sz w:val="22"/>
        </w:rPr>
        <w:t xml:space="preserve">sæt af elementer, der er nødvendige for at tilslutte det elektriske køretøj til den faste elektriske installation, der er nødvendig for opladning. </w:t>
      </w:r>
      <w:proofErr w:type="spellStart"/>
      <w:r>
        <w:rPr>
          <w:rFonts w:ascii="Calibri" w:hAnsi="Calibri"/>
          <w:i/>
          <w:sz w:val="22"/>
        </w:rPr>
        <w:t>Ladestationer</w:t>
      </w:r>
      <w:proofErr w:type="spellEnd"/>
      <w:r>
        <w:rPr>
          <w:rFonts w:ascii="Calibri" w:hAnsi="Calibri"/>
          <w:sz w:val="22"/>
        </w:rPr>
        <w:t xml:space="preserve"> er klassificeret som følger:</w:t>
      </w:r>
    </w:p>
    <w:p w14:paraId="553A42BD"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1.</w:t>
      </w:r>
      <w:r>
        <w:rPr>
          <w:rFonts w:ascii="Calibri" w:hAnsi="Calibri"/>
          <w:sz w:val="22"/>
        </w:rPr>
        <w:tab/>
        <w:t xml:space="preserve">Enkelt </w:t>
      </w:r>
      <w:proofErr w:type="spellStart"/>
      <w:r>
        <w:rPr>
          <w:rFonts w:ascii="Calibri" w:hAnsi="Calibri"/>
          <w:sz w:val="22"/>
        </w:rPr>
        <w:t>ladestander</w:t>
      </w:r>
      <w:proofErr w:type="spellEnd"/>
      <w:r>
        <w:rPr>
          <w:rFonts w:ascii="Calibri" w:hAnsi="Calibri"/>
          <w:sz w:val="22"/>
        </w:rPr>
        <w:t xml:space="preserve"> bestående af den nødvendige beskyttelse, en eller flere stikkontakter, der ikke er specifikke for </w:t>
      </w:r>
      <w:proofErr w:type="gramStart"/>
      <w:r>
        <w:rPr>
          <w:rFonts w:ascii="Calibri" w:hAnsi="Calibri"/>
          <w:i/>
          <w:sz w:val="22"/>
        </w:rPr>
        <w:t>elektrisk</w:t>
      </w:r>
      <w:proofErr w:type="gramEnd"/>
      <w:r>
        <w:rPr>
          <w:rFonts w:ascii="Calibri" w:hAnsi="Calibri"/>
          <w:i/>
          <w:sz w:val="22"/>
        </w:rPr>
        <w:t xml:space="preserve"> køretøjer</w:t>
      </w:r>
      <w:r>
        <w:rPr>
          <w:rFonts w:ascii="Calibri" w:hAnsi="Calibri"/>
          <w:sz w:val="22"/>
        </w:rPr>
        <w:t xml:space="preserve"> og, hvor det er relevant, et kabinet.</w:t>
      </w:r>
    </w:p>
    <w:p w14:paraId="371F3BEE" w14:textId="77777777" w:rsidR="000760AB" w:rsidRPr="00BC4DA1" w:rsidRDefault="000760AB" w:rsidP="00FD453F">
      <w:pPr>
        <w:spacing w:before="200" w:after="100"/>
        <w:ind w:left="284"/>
        <w:jc w:val="both"/>
        <w:rPr>
          <w:rFonts w:ascii="Calibri" w:eastAsia="Arial" w:hAnsi="Calibri" w:cs="Calibri"/>
          <w:b/>
          <w:bCs/>
          <w:i/>
          <w:iCs/>
          <w:kern w:val="2"/>
          <w:sz w:val="22"/>
          <w:szCs w:val="22"/>
          <w:lang w:val="en-US"/>
        </w:rPr>
      </w:pPr>
      <w:r w:rsidRPr="00BC4DA1">
        <w:rPr>
          <w:rFonts w:ascii="Calibri" w:hAnsi="Calibri"/>
          <w:sz w:val="22"/>
          <w:lang w:val="en-US"/>
        </w:rPr>
        <w:lastRenderedPageBreak/>
        <w:t>2.</w:t>
      </w:r>
      <w:r w:rsidRPr="00BC4DA1">
        <w:rPr>
          <w:rFonts w:ascii="Calibri" w:hAnsi="Calibri"/>
          <w:sz w:val="22"/>
          <w:lang w:val="en-US"/>
        </w:rPr>
        <w:tab/>
        <w:t xml:space="preserve">Ladestation af typen SAVE ( </w:t>
      </w:r>
      <w:r w:rsidRPr="00BC4DA1">
        <w:rPr>
          <w:rFonts w:ascii="Calibri" w:hAnsi="Calibri"/>
          <w:i/>
          <w:sz w:val="22"/>
          <w:lang w:val="en-US"/>
        </w:rPr>
        <w:t>Specific Electric Vehicle Power Supply System</w:t>
      </w:r>
      <w:r w:rsidRPr="00BC4DA1">
        <w:rPr>
          <w:rFonts w:ascii="Calibri" w:hAnsi="Calibri"/>
          <w:sz w:val="22"/>
          <w:lang w:val="en-US"/>
        </w:rPr>
        <w:t>)."</w:t>
      </w:r>
    </w:p>
    <w:p w14:paraId="444AE92F"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b/>
          <w:bCs/>
          <w:sz w:val="22"/>
        </w:rPr>
        <w:t>"Infrastruktur til opladning af elektriske køretøjer:</w:t>
      </w:r>
      <w:r>
        <w:rPr>
          <w:rFonts w:ascii="Calibri" w:hAnsi="Calibri"/>
          <w:b/>
          <w:sz w:val="22"/>
        </w:rPr>
        <w:t xml:space="preserve"> </w:t>
      </w:r>
      <w:r>
        <w:rPr>
          <w:rFonts w:ascii="Calibri" w:hAnsi="Calibri"/>
          <w:sz w:val="22"/>
        </w:rPr>
        <w:t xml:space="preserve">et sæt af fysiske og logiske anordninger, der er beregnet til opladning af elektriske køretøjer, og som opfylder de sikkerheds- og tilgængelighedskrav, der er fastsat for hvert enkelt tilfælde i forskriften om lavspændingselektronik, og som har kapacitet til at levere en komplet og integreret opladning. Det omfatter </w:t>
      </w:r>
      <w:proofErr w:type="spellStart"/>
      <w:r>
        <w:rPr>
          <w:rFonts w:ascii="Calibri" w:hAnsi="Calibri"/>
          <w:sz w:val="22"/>
        </w:rPr>
        <w:t>ladestationer</w:t>
      </w:r>
      <w:proofErr w:type="spellEnd"/>
      <w:r>
        <w:rPr>
          <w:rFonts w:ascii="Calibri" w:hAnsi="Calibri"/>
          <w:sz w:val="22"/>
        </w:rPr>
        <w:t>, styresystemet, elektriske ledninger, elektriske kontrol- og beskyttelsespaneler og måleudstyr, i tilfælde hvor disse udelukkende er beregnet til opladning af elektriske køretøjer."</w:t>
      </w:r>
    </w:p>
    <w:p w14:paraId="08E0941B"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b/>
          <w:bCs/>
          <w:i/>
          <w:iCs/>
          <w:sz w:val="22"/>
        </w:rPr>
        <w:t>"</w:t>
      </w:r>
      <w:proofErr w:type="spellStart"/>
      <w:r>
        <w:rPr>
          <w:rFonts w:ascii="Calibri" w:hAnsi="Calibri"/>
          <w:b/>
          <w:bCs/>
          <w:i/>
          <w:iCs/>
          <w:sz w:val="22"/>
        </w:rPr>
        <w:t>Specific</w:t>
      </w:r>
      <w:proofErr w:type="spellEnd"/>
      <w:r>
        <w:rPr>
          <w:rFonts w:ascii="Calibri" w:hAnsi="Calibri"/>
          <w:b/>
          <w:bCs/>
          <w:i/>
          <w:iCs/>
          <w:sz w:val="22"/>
        </w:rPr>
        <w:t xml:space="preserve"> Electric </w:t>
      </w:r>
      <w:proofErr w:type="spellStart"/>
      <w:r>
        <w:rPr>
          <w:rFonts w:ascii="Calibri" w:hAnsi="Calibri"/>
          <w:b/>
          <w:bCs/>
          <w:i/>
          <w:iCs/>
          <w:sz w:val="22"/>
        </w:rPr>
        <w:t>Vehicle</w:t>
      </w:r>
      <w:proofErr w:type="spellEnd"/>
      <w:r>
        <w:rPr>
          <w:rFonts w:ascii="Calibri" w:hAnsi="Calibri"/>
          <w:b/>
          <w:bCs/>
          <w:i/>
          <w:iCs/>
          <w:sz w:val="22"/>
        </w:rPr>
        <w:t xml:space="preserve"> Power System (SAVE):</w:t>
      </w:r>
      <w:r>
        <w:rPr>
          <w:rFonts w:ascii="Calibri" w:hAnsi="Calibri"/>
          <w:sz w:val="22"/>
        </w:rPr>
        <w:t xml:space="preserve"> sæt af udstyr, der er monteret med henblik på at forsyne elektricitet til opladning af et elektrisk køretøj herunder beskyttelse af </w:t>
      </w:r>
      <w:proofErr w:type="spellStart"/>
      <w:r>
        <w:rPr>
          <w:rFonts w:ascii="Calibri" w:hAnsi="Calibri"/>
          <w:sz w:val="22"/>
        </w:rPr>
        <w:t>ladestationen</w:t>
      </w:r>
      <w:proofErr w:type="spellEnd"/>
      <w:r>
        <w:rPr>
          <w:rFonts w:ascii="Calibri" w:hAnsi="Calibri"/>
          <w:sz w:val="22"/>
        </w:rPr>
        <w:t xml:space="preserve">, tilslutningskablet (med fase-, nul- og beskyttelsesledere), stikkontakten eller stikforbindelsen og eventuelt en omformer. Hvor det er hensigtsmæssigt, skal dette system muliggøre kommunikation mellem det </w:t>
      </w:r>
      <w:r>
        <w:rPr>
          <w:rFonts w:ascii="Calibri" w:hAnsi="Calibri"/>
          <w:i/>
          <w:sz w:val="22"/>
        </w:rPr>
        <w:t>elektriske køretø</w:t>
      </w:r>
      <w:r>
        <w:rPr>
          <w:rFonts w:ascii="Calibri" w:hAnsi="Calibri"/>
          <w:i/>
          <w:iCs/>
          <w:sz w:val="22"/>
        </w:rPr>
        <w:t>j</w:t>
      </w:r>
      <w:r>
        <w:rPr>
          <w:rFonts w:ascii="Calibri" w:hAnsi="Calibri"/>
          <w:sz w:val="22"/>
        </w:rPr>
        <w:t xml:space="preserve"> og det faste anlæg."</w:t>
      </w:r>
    </w:p>
    <w:p w14:paraId="2A9E9618" w14:textId="77777777" w:rsidR="000760AB" w:rsidRPr="000760AB" w:rsidRDefault="000760AB" w:rsidP="00FD453F">
      <w:pPr>
        <w:spacing w:before="200" w:after="100"/>
        <w:ind w:left="284"/>
        <w:jc w:val="both"/>
        <w:rPr>
          <w:rFonts w:ascii="Calibri" w:eastAsia="Arial" w:hAnsi="Calibri" w:cs="Calibri"/>
          <w:strike/>
          <w:kern w:val="2"/>
          <w:sz w:val="22"/>
          <w:szCs w:val="22"/>
        </w:rPr>
      </w:pPr>
      <w:r>
        <w:rPr>
          <w:rFonts w:ascii="Calibri" w:hAnsi="Calibri"/>
          <w:b/>
          <w:bCs/>
          <w:i/>
          <w:iCs/>
          <w:sz w:val="22"/>
        </w:rPr>
        <w:t>"Anvendelse som private boliger:</w:t>
      </w:r>
      <w:r>
        <w:rPr>
          <w:rFonts w:ascii="Calibri" w:hAnsi="Calibri"/>
          <w:sz w:val="22"/>
        </w:rPr>
        <w:t xml:space="preserve"> Bygning eller område beregnet til permanent beboelse, uanset bygningstype: enfamiliehus, lejlighedskompleks osv., og uanset om der er tale om </w:t>
      </w:r>
      <w:proofErr w:type="gramStart"/>
      <w:r>
        <w:rPr>
          <w:rFonts w:ascii="Calibri" w:hAnsi="Calibri"/>
          <w:sz w:val="22"/>
        </w:rPr>
        <w:t>en offentligt eller privat udstykning</w:t>
      </w:r>
      <w:proofErr w:type="gramEnd"/>
      <w:r>
        <w:rPr>
          <w:rFonts w:ascii="Calibri" w:hAnsi="Calibri"/>
          <w:sz w:val="22"/>
        </w:rPr>
        <w:t>."</w:t>
      </w:r>
    </w:p>
    <w:p w14:paraId="20F0D8BC" w14:textId="77777777" w:rsidR="000760AB" w:rsidRPr="000760AB" w:rsidRDefault="000760AB" w:rsidP="00FD453F">
      <w:pPr>
        <w:spacing w:before="200" w:after="100"/>
        <w:ind w:left="284"/>
        <w:jc w:val="both"/>
        <w:rPr>
          <w:rFonts w:ascii="Calibri" w:eastAsia="Arial" w:hAnsi="Calibri" w:cs="Calibri"/>
          <w:kern w:val="2"/>
          <w:sz w:val="22"/>
        </w:rPr>
      </w:pPr>
      <w:r>
        <w:rPr>
          <w:rFonts w:ascii="Calibri" w:hAnsi="Calibri"/>
          <w:sz w:val="22"/>
        </w:rPr>
        <w:t>"</w:t>
      </w:r>
      <w:r>
        <w:rPr>
          <w:rFonts w:ascii="Calibri" w:hAnsi="Calibri"/>
          <w:b/>
          <w:i/>
          <w:sz w:val="22"/>
        </w:rPr>
        <w:t>Elektrisk køretøj</w:t>
      </w:r>
      <w:r>
        <w:rPr>
          <w:rFonts w:ascii="Calibri" w:hAnsi="Calibri"/>
          <w:sz w:val="22"/>
        </w:rPr>
        <w:t>: et motorkøretøj udstyret med en fremdriftsenhed med mindst én ikke-perifer elektrisk mekanisme, der fungerer som en energiomformer og er udstyret med et genopladeligt elektrisk energilagringssystem, som kan genoplades udefra."</w:t>
      </w:r>
    </w:p>
    <w:p w14:paraId="52B758BF" w14:textId="77777777" w:rsidR="000760AB" w:rsidRPr="000760AB" w:rsidRDefault="000760AB" w:rsidP="000760AB">
      <w:pPr>
        <w:spacing w:before="200" w:after="100"/>
        <w:ind w:left="284"/>
        <w:jc w:val="both"/>
        <w:rPr>
          <w:rFonts w:ascii="Calibri" w:eastAsia="Arial" w:hAnsi="Calibri" w:cs="Calibri"/>
          <w:kern w:val="2"/>
          <w:sz w:val="22"/>
          <w:szCs w:val="22"/>
        </w:rPr>
      </w:pPr>
      <w:proofErr w:type="spellStart"/>
      <w:r>
        <w:rPr>
          <w:rFonts w:ascii="Calibri" w:hAnsi="Calibri"/>
          <w:sz w:val="22"/>
        </w:rPr>
        <w:t>yy</w:t>
      </w:r>
      <w:proofErr w:type="spellEnd"/>
      <w:r>
        <w:rPr>
          <w:rFonts w:ascii="Calibri" w:hAnsi="Calibri"/>
          <w:sz w:val="22"/>
        </w:rPr>
        <w:t>) I bilag C skal udtrykket "termisk klimaskærm" i overskriften og udtrykket "ikke-beboelige rum" i afsnit 1, litra a), stå i kursiv.</w:t>
      </w:r>
    </w:p>
    <w:p w14:paraId="5ED476EB" w14:textId="77777777" w:rsidR="000760AB" w:rsidRPr="000760AB" w:rsidRDefault="000760AB" w:rsidP="000760AB">
      <w:pPr>
        <w:spacing w:before="200" w:after="100"/>
        <w:ind w:left="284"/>
        <w:jc w:val="both"/>
        <w:rPr>
          <w:rFonts w:ascii="Calibri" w:eastAsia="Arial" w:hAnsi="Calibri" w:cs="Calibri"/>
          <w:kern w:val="2"/>
          <w:sz w:val="22"/>
          <w:szCs w:val="22"/>
        </w:rPr>
      </w:pPr>
      <w:proofErr w:type="spellStart"/>
      <w:r>
        <w:rPr>
          <w:rFonts w:ascii="Calibri" w:hAnsi="Calibri"/>
          <w:sz w:val="22"/>
        </w:rPr>
        <w:t>zz</w:t>
      </w:r>
      <w:proofErr w:type="spellEnd"/>
      <w:r>
        <w:rPr>
          <w:rFonts w:ascii="Calibri" w:hAnsi="Calibri"/>
          <w:sz w:val="22"/>
        </w:rPr>
        <w:t xml:space="preserve">) I bilag D skal udtrykkene "driftsbetingelser", "brugsprofiler" og "anvendelse som private boliger" stå i kursiv i såvel overskriften som i stk. 2 og i tabellerne i tabel a-bilag D, tabel b-bilag D og tabel c-bilag D. </w:t>
      </w:r>
    </w:p>
    <w:p w14:paraId="17E305EB" w14:textId="77777777" w:rsidR="000760AB" w:rsidRPr="000760AB" w:rsidRDefault="000760AB" w:rsidP="000760AB">
      <w:pPr>
        <w:spacing w:before="200" w:after="100"/>
        <w:ind w:left="284"/>
        <w:jc w:val="both"/>
        <w:rPr>
          <w:rFonts w:ascii="Calibri" w:eastAsia="Arial" w:hAnsi="Calibri" w:cs="Calibri"/>
          <w:kern w:val="2"/>
          <w:sz w:val="22"/>
          <w:szCs w:val="22"/>
        </w:rPr>
      </w:pPr>
      <w:proofErr w:type="spellStart"/>
      <w:r>
        <w:rPr>
          <w:rFonts w:ascii="Calibri" w:hAnsi="Calibri"/>
          <w:sz w:val="22"/>
        </w:rPr>
        <w:t>aaa</w:t>
      </w:r>
      <w:proofErr w:type="spellEnd"/>
      <w:r>
        <w:rPr>
          <w:rFonts w:ascii="Calibri" w:hAnsi="Calibri"/>
          <w:sz w:val="22"/>
        </w:rPr>
        <w:t xml:space="preserve">) I bilag D bør stykke "2 </w:t>
      </w:r>
      <w:r>
        <w:rPr>
          <w:rFonts w:ascii="Calibri" w:hAnsi="Calibri"/>
          <w:i/>
          <w:iCs/>
          <w:sz w:val="22"/>
        </w:rPr>
        <w:t>Driftsbetingelserne</w:t>
      </w:r>
      <w:r>
        <w:rPr>
          <w:rFonts w:ascii="Calibri" w:hAnsi="Calibri"/>
          <w:sz w:val="22"/>
        </w:rPr>
        <w:t xml:space="preserve"> og </w:t>
      </w:r>
      <w:r>
        <w:rPr>
          <w:rFonts w:ascii="Calibri" w:hAnsi="Calibri"/>
          <w:i/>
          <w:iCs/>
          <w:sz w:val="22"/>
        </w:rPr>
        <w:t>brugsprofilen</w:t>
      </w:r>
      <w:r>
        <w:rPr>
          <w:rFonts w:ascii="Calibri" w:hAnsi="Calibri"/>
          <w:sz w:val="22"/>
        </w:rPr>
        <w:t xml:space="preserve">..." </w:t>
      </w:r>
      <w:proofErr w:type="spellStart"/>
      <w:r>
        <w:rPr>
          <w:rFonts w:ascii="Calibri" w:hAnsi="Calibri"/>
          <w:sz w:val="22"/>
        </w:rPr>
        <w:t>omnummereres</w:t>
      </w:r>
      <w:proofErr w:type="spellEnd"/>
      <w:r>
        <w:rPr>
          <w:rFonts w:ascii="Calibri" w:hAnsi="Calibri"/>
          <w:sz w:val="22"/>
        </w:rPr>
        <w:t xml:space="preserve"> til "3 </w:t>
      </w:r>
      <w:r>
        <w:rPr>
          <w:rFonts w:ascii="Calibri" w:hAnsi="Calibri"/>
          <w:i/>
          <w:iCs/>
          <w:sz w:val="22"/>
        </w:rPr>
        <w:t xml:space="preserve">Driftsbetingelserne </w:t>
      </w:r>
      <w:r>
        <w:rPr>
          <w:rFonts w:ascii="Calibri" w:hAnsi="Calibri"/>
          <w:sz w:val="22"/>
        </w:rPr>
        <w:t xml:space="preserve">og </w:t>
      </w:r>
      <w:r>
        <w:rPr>
          <w:rFonts w:ascii="Calibri" w:hAnsi="Calibri"/>
          <w:i/>
          <w:iCs/>
          <w:sz w:val="22"/>
        </w:rPr>
        <w:t>brugsprofilen</w:t>
      </w:r>
      <w:r>
        <w:rPr>
          <w:rFonts w:ascii="Calibri" w:hAnsi="Calibri"/>
          <w:sz w:val="22"/>
        </w:rPr>
        <w:t>..."</w:t>
      </w:r>
    </w:p>
    <w:p w14:paraId="7B66B51A" w14:textId="77777777" w:rsidR="000760AB" w:rsidRPr="000760AB" w:rsidRDefault="000760AB" w:rsidP="000760AB">
      <w:pPr>
        <w:spacing w:before="200" w:after="100"/>
        <w:ind w:left="284"/>
        <w:jc w:val="both"/>
        <w:rPr>
          <w:rFonts w:ascii="Calibri" w:eastAsia="Arial" w:hAnsi="Calibri" w:cs="Calibri"/>
          <w:kern w:val="2"/>
          <w:sz w:val="22"/>
        </w:rPr>
      </w:pPr>
      <w:proofErr w:type="spellStart"/>
      <w:r>
        <w:rPr>
          <w:rFonts w:ascii="Calibri" w:hAnsi="Calibri"/>
          <w:sz w:val="22"/>
        </w:rPr>
        <w:t>bbb</w:t>
      </w:r>
      <w:proofErr w:type="spellEnd"/>
      <w:r>
        <w:rPr>
          <w:rFonts w:ascii="Calibri" w:hAnsi="Calibri"/>
          <w:sz w:val="22"/>
        </w:rPr>
        <w:t>) I bilag D, i stk. 4, ændres "Anerkendt dokument" til "Anerkendt dokument til energimærkning af bygninger".</w:t>
      </w:r>
    </w:p>
    <w:p w14:paraId="2E3E9125"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ccc) I bilag E bør udtrykket "anvendelse som private boliger" i afsnit 1 stå i kursiv.</w:t>
      </w:r>
    </w:p>
    <w:p w14:paraId="31530518" w14:textId="77777777" w:rsidR="000760AB" w:rsidRPr="000760AB" w:rsidRDefault="000760AB" w:rsidP="000760AB">
      <w:pPr>
        <w:spacing w:before="200" w:after="100"/>
        <w:ind w:left="284"/>
        <w:jc w:val="both"/>
        <w:rPr>
          <w:rFonts w:ascii="Calibri" w:eastAsia="Arial" w:hAnsi="Calibri" w:cs="Calibri"/>
          <w:kern w:val="2"/>
          <w:sz w:val="22"/>
        </w:rPr>
      </w:pPr>
      <w:proofErr w:type="spellStart"/>
      <w:r>
        <w:rPr>
          <w:rFonts w:ascii="Calibri" w:hAnsi="Calibri"/>
          <w:sz w:val="22"/>
        </w:rPr>
        <w:t>ddd</w:t>
      </w:r>
      <w:proofErr w:type="spellEnd"/>
      <w:r>
        <w:rPr>
          <w:rFonts w:ascii="Calibri" w:hAnsi="Calibri"/>
          <w:sz w:val="22"/>
        </w:rPr>
        <w:t>) I bilag F skal udtrykket "anvendelse som private boliger" stå i kursiv både i afsnit 1 og i tabel a-bilag F.</w:t>
      </w:r>
    </w:p>
    <w:p w14:paraId="58F73C97" w14:textId="77777777" w:rsidR="000760AB" w:rsidRPr="000760AB" w:rsidRDefault="000760AB" w:rsidP="000760AB">
      <w:pPr>
        <w:spacing w:after="160" w:line="259" w:lineRule="auto"/>
        <w:ind w:left="567" w:hanging="283"/>
        <w:jc w:val="both"/>
        <w:rPr>
          <w:rFonts w:ascii="Calibri" w:eastAsia="Arial" w:hAnsi="Calibri" w:cs="Calibri"/>
          <w:kern w:val="2"/>
          <w:sz w:val="22"/>
          <w:szCs w:val="22"/>
        </w:rPr>
      </w:pPr>
      <w:proofErr w:type="spellStart"/>
      <w:r>
        <w:rPr>
          <w:rFonts w:ascii="Calibri" w:hAnsi="Calibri"/>
          <w:sz w:val="22"/>
        </w:rPr>
        <w:t>eee</w:t>
      </w:r>
      <w:proofErr w:type="spellEnd"/>
      <w:r>
        <w:rPr>
          <w:rFonts w:ascii="Calibri" w:hAnsi="Calibri"/>
          <w:sz w:val="22"/>
        </w:rPr>
        <w:t xml:space="preserve">) I bilag H skal følgende sætning indsættes efter afsnittets overskrift:  </w:t>
      </w:r>
    </w:p>
    <w:p w14:paraId="1FDC42A7"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"Bestemmelsen af bygningens </w:t>
      </w:r>
      <w:r>
        <w:rPr>
          <w:rFonts w:ascii="Calibri" w:hAnsi="Calibri"/>
          <w:i/>
          <w:iCs/>
          <w:sz w:val="22"/>
        </w:rPr>
        <w:t xml:space="preserve">luftgennemtrængelighed </w:t>
      </w:r>
      <w:r>
        <w:rPr>
          <w:rFonts w:ascii="Calibri" w:hAnsi="Calibri"/>
          <w:sz w:val="22"/>
        </w:rPr>
        <w:t xml:space="preserve">skal udføres efter en af følgende metoder." </w:t>
      </w:r>
    </w:p>
    <w:p w14:paraId="5FF5B351"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fff</w:t>
      </w:r>
      <w:proofErr w:type="spellEnd"/>
      <w:r>
        <w:rPr>
          <w:rFonts w:ascii="Calibri" w:hAnsi="Calibri"/>
          <w:sz w:val="22"/>
        </w:rPr>
        <w:t xml:space="preserve">) I bilag H, sætningen "Værdien af luftskifteforholdet ved 50 Pa, n50, kan fås ved afprøvning i henhold til metode B i standarden UNE-EN 13829:2002 Bestemmelse af lufttæthed i bygninger. Metode til opretholdelse af tryk ved hjælp af en ventilator" erstattes af: "Værdien af </w:t>
      </w:r>
      <w:r>
        <w:rPr>
          <w:rFonts w:ascii="Calibri" w:hAnsi="Calibri"/>
          <w:i/>
          <w:iCs/>
          <w:sz w:val="22"/>
        </w:rPr>
        <w:t>luftskifteforholdet</w:t>
      </w:r>
      <w:r>
        <w:rPr>
          <w:rFonts w:ascii="Calibri" w:hAnsi="Calibri"/>
          <w:sz w:val="22"/>
        </w:rPr>
        <w:t xml:space="preserve"> ved 50 Pa, n</w:t>
      </w:r>
      <w:r>
        <w:rPr>
          <w:rFonts w:ascii="Calibri" w:hAnsi="Calibri"/>
          <w:sz w:val="22"/>
          <w:vertAlign w:val="subscript"/>
        </w:rPr>
        <w:t>50</w:t>
      </w:r>
      <w:r>
        <w:rPr>
          <w:rFonts w:ascii="Calibri" w:hAnsi="Calibri"/>
          <w:sz w:val="22"/>
        </w:rPr>
        <w:t xml:space="preserve"> ved afprøvning opnås ved hjælp af metode 1 eller 2 i standarden UNE-EN ISO 9972: 2019 </w:t>
      </w:r>
      <w:r>
        <w:rPr>
          <w:rFonts w:ascii="Calibri" w:hAnsi="Calibri"/>
          <w:i/>
          <w:sz w:val="22"/>
        </w:rPr>
        <w:t>Termisk ydeevne for bygninger. Bestemmelse af bygningers luftgennemtrængelighed. Metode til opretholdelse af tryk med ventilator.".</w:t>
      </w:r>
    </w:p>
    <w:p w14:paraId="6FED2289" w14:textId="77777777" w:rsidR="000760AB" w:rsidRPr="000760AB" w:rsidRDefault="000760AB" w:rsidP="000760AB">
      <w:pPr>
        <w:spacing w:before="200" w:after="100"/>
        <w:ind w:left="284"/>
        <w:jc w:val="both"/>
        <w:rPr>
          <w:rFonts w:ascii="Calibri" w:eastAsia="Arial" w:hAnsi="Calibri" w:cs="Calibri"/>
          <w:kern w:val="2"/>
          <w:sz w:val="22"/>
        </w:rPr>
      </w:pPr>
      <w:proofErr w:type="spellStart"/>
      <w:r>
        <w:rPr>
          <w:rFonts w:ascii="Calibri" w:hAnsi="Calibri"/>
          <w:sz w:val="22"/>
        </w:rPr>
        <w:t>ggg</w:t>
      </w:r>
      <w:proofErr w:type="spellEnd"/>
      <w:r>
        <w:rPr>
          <w:rFonts w:ascii="Calibri" w:hAnsi="Calibri"/>
          <w:sz w:val="22"/>
        </w:rPr>
        <w:t>) I afsnit H, afsnit 2, hvor der står: "... 2. Værdien af luftskifteforholdet ved 50 Pa, n</w:t>
      </w:r>
      <w:r>
        <w:rPr>
          <w:rFonts w:ascii="Calibri" w:hAnsi="Calibri"/>
          <w:sz w:val="22"/>
          <w:vertAlign w:val="subscript"/>
        </w:rPr>
        <w:t>50</w:t>
      </w:r>
      <w:r>
        <w:rPr>
          <w:rFonts w:ascii="Calibri" w:hAnsi="Calibri"/>
          <w:sz w:val="22"/>
        </w:rPr>
        <w:t xml:space="preserve">, kan beregnes ud fra følgende ligning:" skal sætningen affattes således: "... 1. Værdien af </w:t>
      </w:r>
      <w:r>
        <w:rPr>
          <w:rFonts w:ascii="Calibri" w:hAnsi="Calibri"/>
          <w:i/>
          <w:iCs/>
          <w:sz w:val="22"/>
        </w:rPr>
        <w:t>luftskifteforholdet</w:t>
      </w:r>
      <w:r>
        <w:rPr>
          <w:rFonts w:ascii="Calibri" w:hAnsi="Calibri"/>
          <w:sz w:val="22"/>
        </w:rPr>
        <w:t xml:space="preserve"> ved 50 Pa, n</w:t>
      </w:r>
      <w:r>
        <w:rPr>
          <w:rFonts w:ascii="Calibri" w:hAnsi="Calibri"/>
          <w:sz w:val="22"/>
          <w:vertAlign w:val="subscript"/>
        </w:rPr>
        <w:t>50</w:t>
      </w:r>
      <w:r>
        <w:rPr>
          <w:rFonts w:ascii="Calibri" w:hAnsi="Calibri"/>
          <w:sz w:val="22"/>
        </w:rPr>
        <w:t xml:space="preserve"> ved hjælp af referenceværdierne beregnes ud fra følgende udtryk:", hvor der står: "n</w:t>
      </w:r>
      <w:r>
        <w:rPr>
          <w:rFonts w:ascii="Calibri" w:hAnsi="Calibri"/>
          <w:sz w:val="22"/>
          <w:vertAlign w:val="subscript"/>
        </w:rPr>
        <w:t>50</w:t>
      </w:r>
      <w:r>
        <w:rPr>
          <w:rFonts w:ascii="Calibri" w:hAnsi="Calibri"/>
          <w:sz w:val="22"/>
        </w:rPr>
        <w:t xml:space="preserve"> = 0,629· (C</w:t>
      </w:r>
      <w:r>
        <w:rPr>
          <w:rFonts w:ascii="Calibri" w:hAnsi="Calibri"/>
          <w:sz w:val="22"/>
          <w:vertAlign w:val="subscript"/>
        </w:rPr>
        <w:t>o</w:t>
      </w:r>
      <w:r>
        <w:rPr>
          <w:rFonts w:ascii="Calibri" w:hAnsi="Calibri"/>
          <w:sz w:val="22"/>
        </w:rPr>
        <w:t xml:space="preserve">· </w:t>
      </w:r>
      <w:proofErr w:type="spellStart"/>
      <w:r>
        <w:rPr>
          <w:rFonts w:ascii="Calibri" w:hAnsi="Calibri"/>
          <w:sz w:val="22"/>
        </w:rPr>
        <w:t>A</w:t>
      </w:r>
      <w:r>
        <w:rPr>
          <w:rFonts w:ascii="Calibri" w:hAnsi="Calibri"/>
          <w:sz w:val="22"/>
          <w:vertAlign w:val="subscript"/>
        </w:rPr>
        <w:t>o</w:t>
      </w:r>
      <w:proofErr w:type="spellEnd"/>
      <w:r>
        <w:rPr>
          <w:rFonts w:ascii="Calibri" w:hAnsi="Calibri"/>
          <w:sz w:val="22"/>
        </w:rPr>
        <w:t xml:space="preserve"> + C</w:t>
      </w:r>
      <w:r>
        <w:rPr>
          <w:rFonts w:ascii="Calibri" w:hAnsi="Calibri"/>
          <w:sz w:val="22"/>
          <w:vertAlign w:val="subscript"/>
        </w:rPr>
        <w:t>h</w:t>
      </w:r>
      <w:r>
        <w:rPr>
          <w:rFonts w:ascii="Calibri" w:hAnsi="Calibri"/>
          <w:sz w:val="22"/>
        </w:rPr>
        <w:t>· A</w:t>
      </w:r>
      <w:r>
        <w:rPr>
          <w:rFonts w:ascii="Calibri" w:hAnsi="Calibri"/>
          <w:sz w:val="22"/>
          <w:vertAlign w:val="subscript"/>
        </w:rPr>
        <w:t>h</w:t>
      </w:r>
      <w:r>
        <w:rPr>
          <w:rFonts w:ascii="Calibri" w:hAnsi="Calibri"/>
          <w:sz w:val="22"/>
        </w:rPr>
        <w:t xml:space="preserve">) / V" skal der stå: </w:t>
      </w:r>
      <w:r>
        <w:rPr>
          <w:rFonts w:ascii="Calibri" w:hAnsi="Calibri"/>
          <w:sz w:val="22"/>
        </w:rPr>
        <w:lastRenderedPageBreak/>
        <w:t>"n</w:t>
      </w:r>
      <w:r>
        <w:rPr>
          <w:rFonts w:ascii="Calibri" w:hAnsi="Calibri"/>
          <w:sz w:val="22"/>
          <w:vertAlign w:val="subscript"/>
        </w:rPr>
        <w:t>50</w:t>
      </w:r>
      <w:r>
        <w:rPr>
          <w:rFonts w:ascii="Calibri" w:hAnsi="Calibri"/>
          <w:sz w:val="22"/>
        </w:rPr>
        <w:t xml:space="preserve"> = 0,629· (C</w:t>
      </w:r>
      <w:r>
        <w:rPr>
          <w:rFonts w:ascii="Calibri" w:hAnsi="Calibri"/>
          <w:sz w:val="22"/>
          <w:vertAlign w:val="subscript"/>
        </w:rPr>
        <w:t>o</w:t>
      </w:r>
      <w:r>
        <w:rPr>
          <w:rFonts w:ascii="Calibri" w:hAnsi="Calibri"/>
          <w:sz w:val="22"/>
        </w:rPr>
        <w:t xml:space="preserve">· </w:t>
      </w:r>
      <w:proofErr w:type="spellStart"/>
      <w:r>
        <w:rPr>
          <w:rFonts w:ascii="Calibri" w:hAnsi="Calibri"/>
          <w:sz w:val="22"/>
        </w:rPr>
        <w:t>A</w:t>
      </w:r>
      <w:r>
        <w:rPr>
          <w:rFonts w:ascii="Calibri" w:hAnsi="Calibri"/>
          <w:sz w:val="22"/>
          <w:vertAlign w:val="subscript"/>
        </w:rPr>
        <w:t>o</w:t>
      </w:r>
      <w:proofErr w:type="spellEnd"/>
      <w:r>
        <w:rPr>
          <w:rFonts w:ascii="Calibri" w:hAnsi="Calibri"/>
          <w:sz w:val="22"/>
        </w:rPr>
        <w:t xml:space="preserve"> + C</w:t>
      </w:r>
      <w:r>
        <w:rPr>
          <w:rFonts w:ascii="Calibri" w:hAnsi="Calibri"/>
          <w:sz w:val="22"/>
          <w:vertAlign w:val="subscript"/>
        </w:rPr>
        <w:t>h</w:t>
      </w:r>
      <w:r>
        <w:rPr>
          <w:rFonts w:ascii="Calibri" w:hAnsi="Calibri"/>
          <w:sz w:val="22"/>
        </w:rPr>
        <w:t>· A</w:t>
      </w:r>
      <w:r>
        <w:rPr>
          <w:rFonts w:ascii="Calibri" w:hAnsi="Calibri"/>
          <w:sz w:val="22"/>
          <w:vertAlign w:val="subscript"/>
        </w:rPr>
        <w:t>h</w:t>
      </w:r>
      <w:r>
        <w:rPr>
          <w:rFonts w:ascii="Calibri" w:hAnsi="Calibri"/>
          <w:sz w:val="22"/>
        </w:rPr>
        <w:t xml:space="preserve">) / </w:t>
      </w:r>
      <w:proofErr w:type="spellStart"/>
      <w:r>
        <w:rPr>
          <w:rFonts w:ascii="Calibri" w:hAnsi="Calibri"/>
          <w:sz w:val="22"/>
        </w:rPr>
        <w:t>V</w:t>
      </w:r>
      <w:r>
        <w:rPr>
          <w:rFonts w:ascii="Calibri" w:hAnsi="Calibri"/>
          <w:sz w:val="22"/>
          <w:vertAlign w:val="subscript"/>
        </w:rPr>
        <w:t>int</w:t>
      </w:r>
      <w:proofErr w:type="spellEnd"/>
      <w:r>
        <w:rPr>
          <w:rFonts w:ascii="Calibri" w:hAnsi="Calibri"/>
          <w:sz w:val="22"/>
        </w:rPr>
        <w:t>", hvor der står: "V er den indre volumen af den termiske klimaskærm i [m</w:t>
      </w:r>
      <w:r>
        <w:rPr>
          <w:rFonts w:ascii="Calibri" w:hAnsi="Calibri"/>
          <w:sz w:val="22"/>
          <w:vertAlign w:val="superscript"/>
        </w:rPr>
        <w:t>3</w:t>
      </w:r>
      <w:r>
        <w:rPr>
          <w:rFonts w:ascii="Calibri" w:hAnsi="Calibri"/>
          <w:sz w:val="22"/>
        </w:rPr>
        <w:t>]" skal der stå: "</w:t>
      </w:r>
      <w:proofErr w:type="spellStart"/>
      <w:r>
        <w:rPr>
          <w:rFonts w:ascii="Calibri" w:hAnsi="Calibri"/>
          <w:sz w:val="22"/>
        </w:rPr>
        <w:t>V</w:t>
      </w:r>
      <w:r>
        <w:rPr>
          <w:rFonts w:ascii="Calibri" w:hAnsi="Calibri"/>
          <w:sz w:val="22"/>
          <w:vertAlign w:val="subscript"/>
        </w:rPr>
        <w:t>int</w:t>
      </w:r>
      <w:proofErr w:type="spellEnd"/>
      <w:r>
        <w:rPr>
          <w:rFonts w:ascii="Calibri" w:hAnsi="Calibri"/>
          <w:sz w:val="22"/>
        </w:rPr>
        <w:t xml:space="preserve"> er den indre luftmængde i den </w:t>
      </w:r>
      <w:r>
        <w:rPr>
          <w:rFonts w:ascii="Calibri" w:hAnsi="Calibri"/>
          <w:i/>
          <w:iCs/>
          <w:sz w:val="22"/>
        </w:rPr>
        <w:t>termiske klimaskærm</w:t>
      </w:r>
      <w:r>
        <w:rPr>
          <w:rFonts w:ascii="Calibri" w:hAnsi="Calibri"/>
          <w:sz w:val="22"/>
        </w:rPr>
        <w:t>, i [m</w:t>
      </w:r>
      <w:r>
        <w:rPr>
          <w:rFonts w:ascii="Calibri" w:hAnsi="Calibri"/>
          <w:sz w:val="22"/>
          <w:vertAlign w:val="superscript"/>
        </w:rPr>
        <w:t>3</w:t>
      </w:r>
      <w:r>
        <w:rPr>
          <w:rFonts w:ascii="Calibri" w:hAnsi="Calibri"/>
          <w:sz w:val="22"/>
        </w:rPr>
        <w:t>]", og hvor der står: "</w:t>
      </w:r>
      <w:proofErr w:type="spellStart"/>
      <w:r>
        <w:rPr>
          <w:rFonts w:ascii="Calibri" w:hAnsi="Calibri"/>
          <w:sz w:val="22"/>
        </w:rPr>
        <w:t>A</w:t>
      </w:r>
      <w:r>
        <w:rPr>
          <w:rFonts w:ascii="Calibri" w:hAnsi="Calibri"/>
          <w:sz w:val="22"/>
          <w:vertAlign w:val="subscript"/>
        </w:rPr>
        <w:t>o</w:t>
      </w:r>
      <w:proofErr w:type="spellEnd"/>
      <w:r>
        <w:rPr>
          <w:rFonts w:ascii="Calibri" w:hAnsi="Calibri"/>
          <w:sz w:val="22"/>
        </w:rPr>
        <w:t xml:space="preserve"> er arealet i [m</w:t>
      </w:r>
      <w:r>
        <w:rPr>
          <w:rFonts w:ascii="Calibri" w:hAnsi="Calibri"/>
          <w:sz w:val="22"/>
          <w:vertAlign w:val="superscript"/>
        </w:rPr>
        <w:t>2</w:t>
      </w:r>
      <w:r>
        <w:rPr>
          <w:rFonts w:ascii="Calibri" w:hAnsi="Calibri"/>
          <w:sz w:val="22"/>
        </w:rPr>
        <w:t xml:space="preserve">] af den uigennemsigtige del af den </w:t>
      </w:r>
      <w:r>
        <w:rPr>
          <w:rFonts w:ascii="Calibri" w:hAnsi="Calibri"/>
          <w:i/>
          <w:iCs/>
          <w:sz w:val="22"/>
        </w:rPr>
        <w:t>termiske klimaskærm</w:t>
      </w:r>
      <w:r>
        <w:rPr>
          <w:rFonts w:ascii="Calibri" w:hAnsi="Calibri"/>
          <w:sz w:val="22"/>
        </w:rPr>
        <w:t>" skal der stå: "</w:t>
      </w:r>
      <w:proofErr w:type="spellStart"/>
      <w:r>
        <w:rPr>
          <w:rFonts w:ascii="Calibri" w:hAnsi="Calibri"/>
          <w:sz w:val="22"/>
        </w:rPr>
        <w:t>A</w:t>
      </w:r>
      <w:r>
        <w:rPr>
          <w:rFonts w:ascii="Calibri" w:hAnsi="Calibri"/>
          <w:sz w:val="22"/>
          <w:vertAlign w:val="subscript"/>
        </w:rPr>
        <w:t>o</w:t>
      </w:r>
      <w:proofErr w:type="spellEnd"/>
      <w:r>
        <w:rPr>
          <w:rFonts w:ascii="Calibri" w:hAnsi="Calibri"/>
          <w:sz w:val="22"/>
        </w:rPr>
        <w:t xml:space="preserve"> er arealet i [m</w:t>
      </w:r>
      <w:r>
        <w:rPr>
          <w:rFonts w:ascii="Calibri" w:hAnsi="Calibri"/>
          <w:sz w:val="22"/>
          <w:vertAlign w:val="superscript"/>
        </w:rPr>
        <w:t>2</w:t>
      </w:r>
      <w:r>
        <w:rPr>
          <w:rFonts w:ascii="Calibri" w:hAnsi="Calibri"/>
          <w:sz w:val="22"/>
        </w:rPr>
        <w:t>] af den uigennemsigtige del af den</w:t>
      </w:r>
      <w:r>
        <w:rPr>
          <w:rFonts w:ascii="Calibri" w:hAnsi="Calibri"/>
          <w:i/>
          <w:iCs/>
          <w:sz w:val="22"/>
        </w:rPr>
        <w:t xml:space="preserve"> termiske klimaskærm</w:t>
      </w:r>
      <w:r>
        <w:rPr>
          <w:rFonts w:ascii="Calibri" w:hAnsi="Calibri"/>
          <w:sz w:val="22"/>
        </w:rPr>
        <w:t xml:space="preserve">, der er i kontakt med udendørs luft". </w:t>
      </w:r>
    </w:p>
    <w:p w14:paraId="7752C220" w14:textId="77777777" w:rsidR="000760AB" w:rsidRPr="000760AB" w:rsidRDefault="000760AB" w:rsidP="000760AB">
      <w:pPr>
        <w:spacing w:before="200" w:after="100"/>
        <w:ind w:left="284"/>
        <w:jc w:val="both"/>
        <w:rPr>
          <w:rFonts w:ascii="Calibri" w:eastAsia="Arial" w:hAnsi="Calibri" w:cs="Calibri"/>
          <w:kern w:val="2"/>
          <w:sz w:val="22"/>
          <w:szCs w:val="22"/>
        </w:rPr>
      </w:pPr>
      <w:proofErr w:type="spellStart"/>
      <w:r>
        <w:rPr>
          <w:rFonts w:ascii="Calibri" w:hAnsi="Calibri"/>
          <w:sz w:val="22"/>
        </w:rPr>
        <w:t>hhh</w:t>
      </w:r>
      <w:proofErr w:type="spellEnd"/>
      <w:r>
        <w:rPr>
          <w:rFonts w:ascii="Calibri" w:hAnsi="Calibri"/>
          <w:sz w:val="22"/>
        </w:rPr>
        <w:t>) I bilag H bør udtrykkene "termisk klimaskærm" og "huller" stå i kursiv i beskrivelsen af udtrykkene C</w:t>
      </w:r>
      <w:r>
        <w:rPr>
          <w:rFonts w:ascii="Calibri" w:hAnsi="Calibri"/>
          <w:sz w:val="22"/>
          <w:vertAlign w:val="subscript"/>
        </w:rPr>
        <w:t>o</w:t>
      </w:r>
      <w:r>
        <w:rPr>
          <w:rFonts w:ascii="Calibri" w:hAnsi="Calibri"/>
          <w:sz w:val="22"/>
        </w:rPr>
        <w:t>, C</w:t>
      </w:r>
      <w:r>
        <w:rPr>
          <w:rFonts w:ascii="Calibri" w:hAnsi="Calibri"/>
          <w:sz w:val="22"/>
          <w:vertAlign w:val="subscript"/>
        </w:rPr>
        <w:t>h</w:t>
      </w:r>
      <w:r>
        <w:rPr>
          <w:rFonts w:ascii="Calibri" w:hAnsi="Calibri"/>
          <w:sz w:val="22"/>
        </w:rPr>
        <w:t>, A</w:t>
      </w:r>
      <w:r>
        <w:rPr>
          <w:rFonts w:ascii="Calibri" w:hAnsi="Calibri"/>
          <w:sz w:val="22"/>
          <w:vertAlign w:val="subscript"/>
        </w:rPr>
        <w:t>h</w:t>
      </w:r>
      <w:r>
        <w:rPr>
          <w:rFonts w:ascii="Calibri" w:hAnsi="Calibri"/>
          <w:sz w:val="22"/>
        </w:rPr>
        <w:t xml:space="preserve"> og i tabel a-bilag H.</w:t>
      </w:r>
    </w:p>
    <w:p w14:paraId="3CEE363E" w14:textId="77777777" w:rsidR="000760AB" w:rsidRPr="000760AB" w:rsidRDefault="000760AB" w:rsidP="00FD453F">
      <w:pPr>
        <w:spacing w:after="160" w:line="259" w:lineRule="auto"/>
        <w:ind w:left="13" w:hanging="13"/>
        <w:jc w:val="both"/>
        <w:rPr>
          <w:rFonts w:ascii="Calibri" w:eastAsia="Calibri" w:hAnsi="Calibri" w:cs="Calibri"/>
          <w:sz w:val="22"/>
          <w:szCs w:val="22"/>
        </w:rPr>
      </w:pPr>
      <w:r>
        <w:rPr>
          <w:rFonts w:ascii="Calibri" w:hAnsi="Calibri"/>
          <w:sz w:val="22"/>
        </w:rPr>
        <w:t>Fire.</w:t>
      </w:r>
      <w:r>
        <w:rPr>
          <w:rFonts w:ascii="Calibri" w:hAnsi="Calibri"/>
          <w:b/>
          <w:sz w:val="22"/>
        </w:rPr>
        <w:t xml:space="preserve"> </w:t>
      </w:r>
      <w:r>
        <w:rPr>
          <w:rFonts w:ascii="Calibri" w:hAnsi="Calibri"/>
          <w:sz w:val="22"/>
        </w:rPr>
        <w:t xml:space="preserve">Følgende ændringer er indført i grunddokumentet DB-SUA "Sikkerhed i brug og tilgængelighed", der indgår i del II i det tekniske bygningsreglement: </w:t>
      </w:r>
    </w:p>
    <w:p w14:paraId="19A3C2AA"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I bilag A omfatter definitionen af "tilgængelig parkeringsplads" en bindestreg med teksten:</w:t>
      </w:r>
    </w:p>
    <w:p w14:paraId="3A6FBAF1"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 Hvis den </w:t>
      </w:r>
      <w:r>
        <w:rPr>
          <w:rFonts w:ascii="Calibri" w:hAnsi="Calibri"/>
          <w:i/>
          <w:sz w:val="22"/>
        </w:rPr>
        <w:t>tilgængelige parkeringsplads</w:t>
      </w:r>
      <w:r>
        <w:rPr>
          <w:rFonts w:ascii="Calibri" w:hAnsi="Calibri"/>
          <w:sz w:val="22"/>
        </w:rPr>
        <w:t xml:space="preserve"> har en </w:t>
      </w:r>
      <w:proofErr w:type="spellStart"/>
      <w:r>
        <w:rPr>
          <w:rFonts w:ascii="Calibri" w:hAnsi="Calibri"/>
          <w:sz w:val="22"/>
        </w:rPr>
        <w:t>ladestation</w:t>
      </w:r>
      <w:proofErr w:type="spellEnd"/>
      <w:r>
        <w:rPr>
          <w:rFonts w:ascii="Calibri" w:hAnsi="Calibri"/>
          <w:sz w:val="22"/>
        </w:rPr>
        <w:t xml:space="preserve"> for elektriske køretøjer, skal den </w:t>
      </w:r>
      <w:r>
        <w:rPr>
          <w:rFonts w:ascii="Calibri" w:hAnsi="Calibri"/>
          <w:i/>
          <w:iCs/>
          <w:sz w:val="22"/>
        </w:rPr>
        <w:t>tilgængelige rute</w:t>
      </w:r>
      <w:r>
        <w:rPr>
          <w:rFonts w:ascii="Calibri" w:hAnsi="Calibri"/>
          <w:sz w:val="22"/>
        </w:rPr>
        <w:t xml:space="preserve"> også omfatte denne </w:t>
      </w:r>
      <w:proofErr w:type="spellStart"/>
      <w:r>
        <w:rPr>
          <w:rFonts w:ascii="Calibri" w:hAnsi="Calibri"/>
          <w:sz w:val="22"/>
        </w:rPr>
        <w:t>ladestation</w:t>
      </w:r>
      <w:proofErr w:type="spellEnd"/>
      <w:r>
        <w:rPr>
          <w:rFonts w:ascii="Calibri" w:hAnsi="Calibri"/>
          <w:sz w:val="22"/>
        </w:rPr>
        <w:t xml:space="preserve">. Stikkontakterne og stikforbindelserne på disse </w:t>
      </w:r>
      <w:proofErr w:type="spellStart"/>
      <w:r>
        <w:rPr>
          <w:rFonts w:ascii="Calibri" w:hAnsi="Calibri"/>
          <w:sz w:val="22"/>
        </w:rPr>
        <w:t>ladestationer</w:t>
      </w:r>
      <w:proofErr w:type="spellEnd"/>
      <w:r>
        <w:rPr>
          <w:rFonts w:ascii="Calibri" w:hAnsi="Calibri"/>
          <w:sz w:val="22"/>
        </w:rPr>
        <w:t xml:space="preserve"> står i farvekontrast til omgivelserne, og er placeret i en højde på mellem 80 og 120 cm, og afstanden til hjørnepunkterne er mindst 35 cm."</w:t>
      </w:r>
    </w:p>
    <w:p w14:paraId="6B637874"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Fem. Følgende ændringer indføres i grunddokumentet DB-HS "Sundhed", der indgår i del II:</w:t>
      </w:r>
    </w:p>
    <w:p w14:paraId="6210F03A"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bookmarkStart w:id="24" w:name="_Hlk103704636"/>
      <w:r>
        <w:rPr>
          <w:rFonts w:ascii="Calibri" w:hAnsi="Calibri"/>
          <w:sz w:val="22"/>
        </w:rPr>
        <w:t>a) I afsnit HS 4, afsnit 3.2.2.1 under punkt 2, erstattes sætningen "minimumsbidraget fra solenergi til produktion af varmt brugsvand" med sætningen "minimumsbidraget fra vedvarende energi til dækning af behovet for varmt brugsvand".</w:t>
      </w:r>
    </w:p>
    <w:p w14:paraId="3EDCC5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 xml:space="preserve">b) I afsnit HS 4, afsnit 6.2 (e) rør af </w:t>
      </w:r>
      <w:proofErr w:type="spellStart"/>
      <w:r>
        <w:rPr>
          <w:rFonts w:ascii="Calibri" w:hAnsi="Calibri"/>
          <w:sz w:val="22"/>
        </w:rPr>
        <w:t>polyvinylchlorid</w:t>
      </w:r>
      <w:proofErr w:type="spellEnd"/>
      <w:r>
        <w:rPr>
          <w:rFonts w:ascii="Calibri" w:hAnsi="Calibri"/>
          <w:sz w:val="22"/>
        </w:rPr>
        <w:t xml:space="preserve"> (PVC-C) i henhold til UNE-EN ISO 15874-1:2013, UNE-EN ISO 15874-2:2013 og UNE-EN ISO 15874-3:2013;" erstattes af "e) rør af </w:t>
      </w:r>
      <w:proofErr w:type="spellStart"/>
      <w:r>
        <w:rPr>
          <w:rFonts w:ascii="Calibri" w:hAnsi="Calibri"/>
          <w:sz w:val="22"/>
        </w:rPr>
        <w:t>polychloreret</w:t>
      </w:r>
      <w:proofErr w:type="spellEnd"/>
      <w:r>
        <w:rPr>
          <w:rFonts w:ascii="Calibri" w:hAnsi="Calibri"/>
          <w:sz w:val="22"/>
        </w:rPr>
        <w:t xml:space="preserve"> </w:t>
      </w:r>
      <w:proofErr w:type="spellStart"/>
      <w:r>
        <w:rPr>
          <w:rFonts w:ascii="Calibri" w:hAnsi="Calibri"/>
          <w:sz w:val="22"/>
        </w:rPr>
        <w:t>vinylchlorid</w:t>
      </w:r>
      <w:proofErr w:type="spellEnd"/>
      <w:r>
        <w:rPr>
          <w:rFonts w:ascii="Calibri" w:hAnsi="Calibri"/>
          <w:sz w:val="22"/>
        </w:rPr>
        <w:t xml:space="preserve"> (PVC-C) i henhold til UNE-EN ISO 15877-1:2009 (+UNE-EN ISO 15877-1:2009/A1): 2011), UNE-EN ISO 15877-2:2009 (+UNE-EN ISO 15877-2:2009/A1: 2011) og UNE-EN ISO 15877-3:2009 (+UNE-EN ISO 15877-3:2009/A1: 2011);".</w:t>
      </w:r>
    </w:p>
    <w:p w14:paraId="36823CBB"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 xml:space="preserve">c) I afsnit HS 4, afsnit 6.2., ændres bogstavet "h) </w:t>
      </w:r>
      <w:proofErr w:type="spellStart"/>
      <w:r>
        <w:rPr>
          <w:rFonts w:ascii="Calibri" w:hAnsi="Calibri"/>
          <w:sz w:val="22"/>
        </w:rPr>
        <w:t>polybutylenrørledninger</w:t>
      </w:r>
      <w:proofErr w:type="spellEnd"/>
      <w:r>
        <w:rPr>
          <w:rFonts w:ascii="Calibri" w:hAnsi="Calibri"/>
          <w:sz w:val="22"/>
        </w:rPr>
        <w:t xml:space="preserve"> (PB) i henhold til UNE-EN ISO 15876-1:2017, UNE-EN ISO 15876-2:2017 og UNE-EN ISO 15876-3:2017;" til "h) </w:t>
      </w:r>
      <w:proofErr w:type="spellStart"/>
      <w:r>
        <w:rPr>
          <w:rFonts w:ascii="Calibri" w:hAnsi="Calibri"/>
          <w:sz w:val="22"/>
        </w:rPr>
        <w:t>polybutylenrørledninger</w:t>
      </w:r>
      <w:proofErr w:type="spellEnd"/>
      <w:r>
        <w:rPr>
          <w:rFonts w:ascii="Calibri" w:hAnsi="Calibri"/>
          <w:sz w:val="22"/>
        </w:rPr>
        <w:t xml:space="preserve"> (PB) i henhold til UNE-EN ISO 15876-1:2017, UNE-EN ISO 15876-2:2017 og UNE-EN ISO 15876-3:2017;".</w:t>
      </w:r>
    </w:p>
    <w:p w14:paraId="3D6093F2"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d) </w:t>
      </w:r>
      <w:proofErr w:type="gramStart"/>
      <w:r>
        <w:rPr>
          <w:rFonts w:ascii="Calibri" w:hAnsi="Calibri"/>
          <w:sz w:val="22"/>
        </w:rPr>
        <w:t>I  afsnit</w:t>
      </w:r>
      <w:proofErr w:type="gramEnd"/>
      <w:r>
        <w:rPr>
          <w:rFonts w:ascii="Calibri" w:hAnsi="Calibri"/>
          <w:sz w:val="22"/>
        </w:rPr>
        <w:t xml:space="preserve"> HS 4, tillæg C, hvor der står: "Rørsystemer i plast til varmt- og </w:t>
      </w:r>
      <w:proofErr w:type="spellStart"/>
      <w:r>
        <w:rPr>
          <w:rFonts w:ascii="Calibri" w:hAnsi="Calibri"/>
          <w:sz w:val="22"/>
        </w:rPr>
        <w:t>koldtvandsinstallationer</w:t>
      </w:r>
      <w:proofErr w:type="spellEnd"/>
      <w:r>
        <w:rPr>
          <w:rFonts w:ascii="Calibri" w:hAnsi="Calibri"/>
          <w:sz w:val="22"/>
        </w:rPr>
        <w:t xml:space="preserve">. Polybutylen (PB). Del 1: Generelt" skal der stå: "Rørsystemer i plast til varmt- og </w:t>
      </w:r>
      <w:proofErr w:type="spellStart"/>
      <w:r>
        <w:rPr>
          <w:rFonts w:ascii="Calibri" w:hAnsi="Calibri"/>
          <w:sz w:val="22"/>
        </w:rPr>
        <w:t>koldtvandsinstallationer</w:t>
      </w:r>
      <w:proofErr w:type="spellEnd"/>
      <w:r>
        <w:rPr>
          <w:rFonts w:ascii="Calibri" w:hAnsi="Calibri"/>
          <w:sz w:val="22"/>
        </w:rPr>
        <w:t xml:space="preserve">. </w:t>
      </w:r>
      <w:proofErr w:type="spellStart"/>
      <w:r>
        <w:rPr>
          <w:rFonts w:ascii="Calibri" w:hAnsi="Calibri"/>
          <w:sz w:val="22"/>
        </w:rPr>
        <w:t>Polybuten</w:t>
      </w:r>
      <w:proofErr w:type="spellEnd"/>
      <w:r>
        <w:rPr>
          <w:rFonts w:ascii="Calibri" w:hAnsi="Calibri"/>
          <w:sz w:val="22"/>
        </w:rPr>
        <w:t xml:space="preserve"> (PB). Del 1: Generelt</w:t>
      </w:r>
    </w:p>
    <w:p w14:paraId="3D1885B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 xml:space="preserve">e) I afsnit HS 4, tillæg C, hvor der står: "Rørsystemer i plast til varmt- og </w:t>
      </w:r>
      <w:proofErr w:type="spellStart"/>
      <w:r>
        <w:rPr>
          <w:rFonts w:ascii="Calibri" w:hAnsi="Calibri"/>
          <w:sz w:val="22"/>
        </w:rPr>
        <w:t>koldtvandsinstallationer</w:t>
      </w:r>
      <w:proofErr w:type="spellEnd"/>
      <w:r>
        <w:rPr>
          <w:rFonts w:ascii="Calibri" w:hAnsi="Calibri"/>
          <w:sz w:val="22"/>
        </w:rPr>
        <w:t xml:space="preserve">. Polybutylen (PB). Del 2: Rørledninger" skal der stå: "Rørsystemer i plast til varmt- og </w:t>
      </w:r>
      <w:proofErr w:type="spellStart"/>
      <w:r>
        <w:rPr>
          <w:rFonts w:ascii="Calibri" w:hAnsi="Calibri"/>
          <w:sz w:val="22"/>
        </w:rPr>
        <w:t>koldtvandsinstallationer</w:t>
      </w:r>
      <w:proofErr w:type="spellEnd"/>
      <w:r>
        <w:rPr>
          <w:rFonts w:ascii="Calibri" w:hAnsi="Calibri"/>
          <w:sz w:val="22"/>
        </w:rPr>
        <w:t xml:space="preserve">. </w:t>
      </w:r>
      <w:proofErr w:type="spellStart"/>
      <w:r>
        <w:rPr>
          <w:rFonts w:ascii="Calibri" w:hAnsi="Calibri"/>
          <w:sz w:val="22"/>
        </w:rPr>
        <w:t>Polybuten</w:t>
      </w:r>
      <w:proofErr w:type="spellEnd"/>
      <w:r>
        <w:rPr>
          <w:rFonts w:ascii="Calibri" w:hAnsi="Calibri"/>
          <w:sz w:val="22"/>
        </w:rPr>
        <w:t xml:space="preserve"> (PB). Del 2: Rørledninger.</w:t>
      </w:r>
    </w:p>
    <w:p w14:paraId="70CF10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 xml:space="preserve">f) I afsnit HS 4, tillæg C, hvor der står: "Rørsystemer i plast til varmt- og </w:t>
      </w:r>
      <w:proofErr w:type="spellStart"/>
      <w:r>
        <w:rPr>
          <w:rFonts w:ascii="Calibri" w:hAnsi="Calibri"/>
          <w:sz w:val="22"/>
        </w:rPr>
        <w:t>koldtvandsinstallationer</w:t>
      </w:r>
      <w:proofErr w:type="spellEnd"/>
      <w:r>
        <w:rPr>
          <w:rFonts w:ascii="Calibri" w:hAnsi="Calibri"/>
          <w:sz w:val="22"/>
        </w:rPr>
        <w:t xml:space="preserve">. Polybutylen (PB). Del 3: Fittings" skal der stå: "Rørsystemer i plast til varmt- og </w:t>
      </w:r>
      <w:proofErr w:type="spellStart"/>
      <w:r>
        <w:rPr>
          <w:rFonts w:ascii="Calibri" w:hAnsi="Calibri"/>
          <w:sz w:val="22"/>
        </w:rPr>
        <w:t>koldtvandsinstallationer</w:t>
      </w:r>
      <w:proofErr w:type="spellEnd"/>
      <w:r>
        <w:rPr>
          <w:rFonts w:ascii="Calibri" w:hAnsi="Calibri"/>
          <w:sz w:val="22"/>
        </w:rPr>
        <w:t xml:space="preserve">. </w:t>
      </w:r>
      <w:proofErr w:type="spellStart"/>
      <w:r>
        <w:rPr>
          <w:rFonts w:ascii="Calibri" w:hAnsi="Calibri"/>
          <w:sz w:val="22"/>
        </w:rPr>
        <w:t>Polybuten</w:t>
      </w:r>
      <w:proofErr w:type="spellEnd"/>
      <w:r>
        <w:rPr>
          <w:rFonts w:ascii="Calibri" w:hAnsi="Calibri"/>
          <w:sz w:val="22"/>
        </w:rPr>
        <w:t xml:space="preserve"> (PB). Del 3: Fittings.</w:t>
      </w:r>
    </w:p>
    <w:p w14:paraId="52A9A5FD"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g) I afsnit HS 4, tillæg C, indsættes følgende efter henvisningen til standarden "UNE-EN ISO 15876-3: 2017</w:t>
      </w:r>
      <w:r>
        <w:rPr>
          <w:rFonts w:ascii="Calibri" w:hAnsi="Calibri"/>
          <w:sz w:val="22"/>
        </w:rPr>
        <w:tab/>
        <w:t xml:space="preserve">Rørsystemer i plast til varmt- og </w:t>
      </w:r>
      <w:proofErr w:type="spellStart"/>
      <w:r>
        <w:rPr>
          <w:rFonts w:ascii="Calibri" w:hAnsi="Calibri"/>
          <w:sz w:val="22"/>
        </w:rPr>
        <w:t>koldtvandsinstallationer</w:t>
      </w:r>
      <w:proofErr w:type="spellEnd"/>
      <w:r>
        <w:rPr>
          <w:rFonts w:ascii="Calibri" w:hAnsi="Calibri"/>
          <w:sz w:val="22"/>
        </w:rPr>
        <w:t xml:space="preserve">. </w:t>
      </w:r>
      <w:proofErr w:type="spellStart"/>
      <w:r>
        <w:rPr>
          <w:rFonts w:ascii="Calibri" w:hAnsi="Calibri"/>
          <w:sz w:val="22"/>
        </w:rPr>
        <w:t>Polybuten</w:t>
      </w:r>
      <w:proofErr w:type="spellEnd"/>
      <w:r>
        <w:rPr>
          <w:rFonts w:ascii="Calibri" w:hAnsi="Calibri"/>
          <w:sz w:val="22"/>
        </w:rPr>
        <w:t xml:space="preserve"> (PB). Del 3: Fittings" følgende standarder:</w:t>
      </w:r>
    </w:p>
    <w:p w14:paraId="5151AE28"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15877-1:2009 Rørsystemer i plast til varmt- og </w:t>
      </w:r>
      <w:proofErr w:type="spellStart"/>
      <w:r>
        <w:rPr>
          <w:rFonts w:ascii="Calibri" w:hAnsi="Calibri"/>
          <w:sz w:val="22"/>
        </w:rPr>
        <w:t>koldtvandsinstallationer</w:t>
      </w:r>
      <w:proofErr w:type="spellEnd"/>
      <w:r>
        <w:rPr>
          <w:rFonts w:ascii="Calibri" w:hAnsi="Calibri"/>
          <w:sz w:val="22"/>
        </w:rPr>
        <w:t xml:space="preserve">. </w:t>
      </w:r>
      <w:proofErr w:type="spellStart"/>
      <w:r>
        <w:rPr>
          <w:rFonts w:ascii="Calibri" w:hAnsi="Calibri"/>
          <w:sz w:val="22"/>
        </w:rPr>
        <w:t>Chloreret</w:t>
      </w:r>
      <w:proofErr w:type="spellEnd"/>
      <w:r>
        <w:rPr>
          <w:rFonts w:ascii="Calibri" w:hAnsi="Calibri"/>
          <w:sz w:val="22"/>
        </w:rPr>
        <w:t xml:space="preserve"> </w:t>
      </w:r>
      <w:proofErr w:type="spellStart"/>
      <w:r>
        <w:rPr>
          <w:rFonts w:ascii="Calibri" w:hAnsi="Calibri"/>
          <w:sz w:val="22"/>
        </w:rPr>
        <w:t>poly</w:t>
      </w:r>
      <w:proofErr w:type="spellEnd"/>
      <w:r>
        <w:rPr>
          <w:rFonts w:ascii="Calibri" w:hAnsi="Calibri"/>
          <w:sz w:val="22"/>
        </w:rPr>
        <w:t>(</w:t>
      </w:r>
      <w:proofErr w:type="spellStart"/>
      <w:r>
        <w:rPr>
          <w:rFonts w:ascii="Calibri" w:hAnsi="Calibri"/>
          <w:sz w:val="22"/>
        </w:rPr>
        <w:t>vinylchlorid</w:t>
      </w:r>
      <w:proofErr w:type="spellEnd"/>
      <w:r>
        <w:rPr>
          <w:rFonts w:ascii="Calibri" w:hAnsi="Calibri"/>
          <w:sz w:val="22"/>
        </w:rPr>
        <w:t xml:space="preserve">) (PVC-C). Del 1: Almindelige bestemmelser (+UNE-EN ISO 15877-1:2009/A1:2011)  </w:t>
      </w:r>
    </w:p>
    <w:p w14:paraId="459306CD"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3478D13F"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lastRenderedPageBreak/>
        <w:t xml:space="preserve">UNE-EN ISO 15877-2:2009 Rørsystemer i plast til varmt- og </w:t>
      </w:r>
      <w:proofErr w:type="spellStart"/>
      <w:r>
        <w:rPr>
          <w:rFonts w:ascii="Calibri" w:hAnsi="Calibri"/>
          <w:sz w:val="22"/>
        </w:rPr>
        <w:t>koldtvandsinstallationer</w:t>
      </w:r>
      <w:proofErr w:type="spellEnd"/>
      <w:r>
        <w:rPr>
          <w:rFonts w:ascii="Calibri" w:hAnsi="Calibri"/>
          <w:sz w:val="22"/>
        </w:rPr>
        <w:t xml:space="preserve">. </w:t>
      </w:r>
      <w:proofErr w:type="spellStart"/>
      <w:r>
        <w:rPr>
          <w:rFonts w:ascii="Calibri" w:hAnsi="Calibri"/>
          <w:sz w:val="22"/>
        </w:rPr>
        <w:t>Chloreret</w:t>
      </w:r>
      <w:proofErr w:type="spellEnd"/>
      <w:r>
        <w:rPr>
          <w:rFonts w:ascii="Calibri" w:hAnsi="Calibri"/>
          <w:sz w:val="22"/>
        </w:rPr>
        <w:t xml:space="preserve"> </w:t>
      </w:r>
      <w:proofErr w:type="spellStart"/>
      <w:r>
        <w:rPr>
          <w:rFonts w:ascii="Calibri" w:hAnsi="Calibri"/>
          <w:sz w:val="22"/>
        </w:rPr>
        <w:t>poly</w:t>
      </w:r>
      <w:proofErr w:type="spellEnd"/>
      <w:r>
        <w:rPr>
          <w:rFonts w:ascii="Calibri" w:hAnsi="Calibri"/>
          <w:sz w:val="22"/>
        </w:rPr>
        <w:t>(</w:t>
      </w:r>
      <w:proofErr w:type="spellStart"/>
      <w:r>
        <w:rPr>
          <w:rFonts w:ascii="Calibri" w:hAnsi="Calibri"/>
          <w:sz w:val="22"/>
        </w:rPr>
        <w:t>vinylchlorid</w:t>
      </w:r>
      <w:proofErr w:type="spellEnd"/>
      <w:r>
        <w:rPr>
          <w:rFonts w:ascii="Calibri" w:hAnsi="Calibri"/>
          <w:sz w:val="22"/>
        </w:rPr>
        <w:t xml:space="preserve">) (PVC-C). Del 2: Rørledninger. (+UNE-EN ISO 15877-2:2009/A1:2011) </w:t>
      </w:r>
    </w:p>
    <w:p w14:paraId="1A003182"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147816FB" w14:textId="3B192627" w:rsid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15877-3:2009 Rørsystemer i plast til varmt- og </w:t>
      </w:r>
      <w:proofErr w:type="spellStart"/>
      <w:r>
        <w:rPr>
          <w:rFonts w:ascii="Calibri" w:hAnsi="Calibri"/>
          <w:sz w:val="22"/>
        </w:rPr>
        <w:t>koldtvandsinstallationer</w:t>
      </w:r>
      <w:proofErr w:type="spellEnd"/>
      <w:r>
        <w:rPr>
          <w:rFonts w:ascii="Calibri" w:hAnsi="Calibri"/>
          <w:sz w:val="22"/>
        </w:rPr>
        <w:t xml:space="preserve">. </w:t>
      </w:r>
      <w:proofErr w:type="spellStart"/>
      <w:r>
        <w:rPr>
          <w:rFonts w:ascii="Calibri" w:hAnsi="Calibri"/>
          <w:sz w:val="22"/>
        </w:rPr>
        <w:t>Chloreret</w:t>
      </w:r>
      <w:proofErr w:type="spellEnd"/>
      <w:r>
        <w:rPr>
          <w:rFonts w:ascii="Calibri" w:hAnsi="Calibri"/>
          <w:sz w:val="22"/>
        </w:rPr>
        <w:t xml:space="preserve"> </w:t>
      </w:r>
      <w:proofErr w:type="spellStart"/>
      <w:r>
        <w:rPr>
          <w:rFonts w:ascii="Calibri" w:hAnsi="Calibri"/>
          <w:sz w:val="22"/>
        </w:rPr>
        <w:t>poly</w:t>
      </w:r>
      <w:proofErr w:type="spellEnd"/>
      <w:r>
        <w:rPr>
          <w:rFonts w:ascii="Calibri" w:hAnsi="Calibri"/>
          <w:sz w:val="22"/>
        </w:rPr>
        <w:t>(</w:t>
      </w:r>
      <w:proofErr w:type="spellStart"/>
      <w:r>
        <w:rPr>
          <w:rFonts w:ascii="Calibri" w:hAnsi="Calibri"/>
          <w:sz w:val="22"/>
        </w:rPr>
        <w:t>vinylchlorid</w:t>
      </w:r>
      <w:proofErr w:type="spellEnd"/>
      <w:r>
        <w:rPr>
          <w:rFonts w:ascii="Calibri" w:hAnsi="Calibri"/>
          <w:sz w:val="22"/>
        </w:rPr>
        <w:t>) (PVC-C). Del 3: Fittings. (+UNE-EN ISO 15877-3:2009/A1:2011)</w:t>
      </w:r>
    </w:p>
    <w:p w14:paraId="4ED97A3D" w14:textId="77777777" w:rsidR="00FD453F" w:rsidRPr="000760AB" w:rsidRDefault="00FD453F" w:rsidP="000760AB">
      <w:pPr>
        <w:spacing w:after="120" w:line="259" w:lineRule="auto"/>
        <w:ind w:left="284"/>
        <w:contextualSpacing/>
        <w:jc w:val="both"/>
        <w:rPr>
          <w:rFonts w:ascii="Calibri" w:eastAsia="Calibri" w:hAnsi="Calibri"/>
          <w:sz w:val="22"/>
          <w:szCs w:val="22"/>
          <w:lang w:eastAsia="en-US"/>
        </w:rPr>
      </w:pPr>
    </w:p>
    <w:bookmarkEnd w:id="24"/>
    <w:p w14:paraId="5E164AFD"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Første overgangsbestemmelse. </w:t>
      </w:r>
      <w:r>
        <w:rPr>
          <w:rFonts w:ascii="Calibri" w:hAnsi="Calibri"/>
          <w:i/>
          <w:sz w:val="22"/>
        </w:rPr>
        <w:t>Bygninger, der er undtaget fra bestemmelserne i dette kongelige dekret.</w:t>
      </w:r>
    </w:p>
    <w:p w14:paraId="1847A16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De ændringer af den tekniske bygningslov, der godkendes ved dette kongelige dekret, gælder ikke for nybyggeri og for anlægsarbejder i eksisterende bygninger, som i begge tilfælde allerede har ansøgt om en kommunal byggetilladelse på tidspunktet for dekretets ikrafttrædelse. </w:t>
      </w:r>
    </w:p>
    <w:p w14:paraId="0F07CFE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Sådanne anlægsarbejder skal påbegyndes inden for den maksimale gyldighedsperiode for ovennævnte tilladelse i overensstemmelse med dens forskriftsmæssige bestemmelser og i modsat fald inden seks måneder fra datoen for udstedelsen af ovennævnte tilladelse. I modsat fald skal projekterne tilpasses til de ændringer af CTE, der er godkendt ved dette kongelige dekret.</w:t>
      </w:r>
    </w:p>
    <w:p w14:paraId="39C072F7"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Anden overgangsbestemmelse. </w:t>
      </w:r>
      <w:r>
        <w:rPr>
          <w:rFonts w:ascii="Calibri" w:hAnsi="Calibri"/>
          <w:i/>
          <w:sz w:val="22"/>
        </w:rPr>
        <w:t>Bygninger, på hvilke bestemmelserne i dette kongelige dekret finder anvendelse på frivillig basis.</w:t>
      </w:r>
    </w:p>
    <w:p w14:paraId="27074C9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De ændringer af den tekniske bygningslov, der godkendes ved dette kongelige dekret, vil blive anvendt på frivillig basis på nybyggeri og på anlægsarbejder i eksisterende bygninger, for hvilke der i begge tilfælde skal søges om en kommunal byggetilladelse inden for seks måneder efter dette kongelige dekrets ikrafttrædelse. </w:t>
      </w:r>
    </w:p>
    <w:p w14:paraId="5E12150B"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Sådanne anlægsarbejder skal påbegyndes inden for den maksimale gyldighedsperiode for ovennævnte tilladelse i overensstemmelse med dens forskriftsmæssige bestemmelser og i modsat fald inden seks måneder fra datoen for udstedelsen af ovennævnte tilladelse. I modsat fald skal projekterne tilpasses til de ændringer af CTE, der er godkendt ved dette kongelige dekret.</w:t>
      </w:r>
    </w:p>
    <w:p w14:paraId="76BE3F2E"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Tredje overgangsbestemmelse. </w:t>
      </w:r>
      <w:r>
        <w:rPr>
          <w:rFonts w:ascii="Calibri" w:hAnsi="Calibri"/>
          <w:i/>
          <w:sz w:val="22"/>
        </w:rPr>
        <w:t>Bygninger, som bestemmelserne i dette kongelige dekret finder obligatorisk anvendelse på.</w:t>
      </w:r>
    </w:p>
    <w:p w14:paraId="7B8AAF09"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De ændringer af den tekniske bygningslov der godkendes ved dette kongelige dekret, vil være obligatoriske for nybyggeri og for anlægsarbejder i eksisterende bygninger, for hvilke der i begge tilfælde skal ansøges om kommunal byggetilladelse inden for seks måneder efter dekretets ikrafttrædelse.</w:t>
      </w:r>
    </w:p>
    <w:p w14:paraId="1269D8B2"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Første afsluttende bestemmelse. </w:t>
      </w:r>
      <w:r>
        <w:rPr>
          <w:rFonts w:ascii="Calibri" w:hAnsi="Calibri"/>
          <w:i/>
          <w:sz w:val="22"/>
        </w:rPr>
        <w:t>Ændring af kongeligt dekret 1053/2014 af 12. december om godkendelse af en ny supplerende teknisk vejledning (ITC) BT 52 "Anlæg til særlige formål. Infrastruktur til opladning af elektriske køretøjer" i forskriften om lavspændingselektronik, godkendt ved kongeligt dekret 842/2002 af 2. august, og andre supplerende tekniske vejledninger ændres.</w:t>
      </w:r>
    </w:p>
    <w:p w14:paraId="01AAD1DA"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Kongeligt dekret 1053/2014 af 12. december om godkendelse af en ny supplerende teknisk vejledning (ITC) BT 52 "Anlæg til særlige formål. Infrastruktur til opladning af elektriske køretøjer" i forskriften om lavspændingselektronik, godkendt ved kongeligt dekret 842/2002 af 2. august, og andre supplerende tekniske vejledninger ændres som følger: </w:t>
      </w:r>
    </w:p>
    <w:p w14:paraId="1141399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En. Den første tillægsbestemmelse ændres og affattes således:</w:t>
      </w:r>
    </w:p>
    <w:p w14:paraId="0E4C1654"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"Første tillægsbestemmelse. Strukturelle minimumsfaciliteter til opladning af elektriske køretøjer på parkeringspladser, der ikke er knyttet til bygninger, som er nyopførte eller skal renoveres i større omfang, såvel som på offentlige veje.</w:t>
      </w:r>
    </w:p>
    <w:p w14:paraId="18015A47"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lastRenderedPageBreak/>
        <w:t xml:space="preserve">1. På parkeringspladser, der er nyopførte eller skal gennemgå større renoveringer, og som ikke er placeret i eller tilknyttet en bygning og derfor ikke er omfattet af anvendelsesområdet for grunddokumentet om energibesparelser (DB HE) i den tekniske bygningslov, skal der installeres mindst én </w:t>
      </w:r>
      <w:proofErr w:type="spellStart"/>
      <w:r>
        <w:rPr>
          <w:rFonts w:ascii="Calibri" w:hAnsi="Calibri"/>
          <w:sz w:val="22"/>
        </w:rPr>
        <w:t>ladestation</w:t>
      </w:r>
      <w:proofErr w:type="spellEnd"/>
      <w:r>
        <w:rPr>
          <w:rFonts w:ascii="Calibri" w:hAnsi="Calibri"/>
          <w:sz w:val="22"/>
        </w:rPr>
        <w:t xml:space="preserve"> for hver 40 parkeringspladser eller den relative brøkdel heraf. En parkeringsplads anses for at være nyopført, når byggeprojektet forelægges den kompetente offentlige forvaltning til behandling efter ikrafttrædelsen af dette kongelige dekret. </w:t>
      </w:r>
    </w:p>
    <w:p w14:paraId="06F10D65"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 xml:space="preserve">2. De nødvendige installationer skal installeres på offentlige veje med henblik på at forsyne de </w:t>
      </w:r>
      <w:proofErr w:type="spellStart"/>
      <w:r>
        <w:rPr>
          <w:rFonts w:ascii="Calibri" w:hAnsi="Calibri"/>
          <w:sz w:val="22"/>
        </w:rPr>
        <w:t>ladestationer</w:t>
      </w:r>
      <w:proofErr w:type="spellEnd"/>
      <w:r>
        <w:rPr>
          <w:rFonts w:ascii="Calibri" w:hAnsi="Calibri"/>
          <w:sz w:val="22"/>
        </w:rPr>
        <w:t>, der er placeret på de parkeringspladser for elektriske køretøjer, som er fastsat i de regionale eller kommunale planer for bæredygtig mobilitet."</w:t>
      </w:r>
    </w:p>
    <w:p w14:paraId="689B86A0"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To. Afsnit 3.2 i INSTRUCCIÓN TÉCNICA COMPLEMENTARIA (ITC) BT-52 affattes således:</w:t>
      </w:r>
    </w:p>
    <w:p w14:paraId="3188850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"3.2 Installation på parkeringspladser eller i kollektive parkeringsområder inden for eller i tilknytning til bygninger eller boligområder. </w:t>
      </w:r>
    </w:p>
    <w:p w14:paraId="5D648D19"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Elektriske installationer til opladning af </w:t>
      </w:r>
      <w:r>
        <w:rPr>
          <w:rFonts w:ascii="Calibri" w:hAnsi="Calibri"/>
          <w:color w:val="000000"/>
          <w:sz w:val="22"/>
        </w:rPr>
        <w:t>elektriske køretøjer</w:t>
      </w:r>
      <w:r>
        <w:rPr>
          <w:rFonts w:ascii="Calibri" w:hAnsi="Calibri"/>
          <w:sz w:val="22"/>
        </w:rPr>
        <w:t>, der er placeret på parkeringspladser eller i parkeringshuse i eller i tilknytning til bygninger eller boligområder, skal følge en af de ovenfor beskrevne ordninger.</w:t>
      </w:r>
      <w:r>
        <w:rPr>
          <w:rFonts w:ascii="Calibri" w:hAnsi="Calibri"/>
          <w:color w:val="000000"/>
          <w:sz w:val="22"/>
        </w:rPr>
        <w:t xml:space="preserve"> </w:t>
      </w:r>
      <w:r>
        <w:rPr>
          <w:rFonts w:ascii="Calibri" w:hAnsi="Calibri"/>
          <w:sz w:val="22"/>
        </w:rPr>
        <w:t>Der kan anvendes forskellige ordninger i samme bygning, forudsat at alle kravene i denne (ITC) BT-52 er opfyldt.</w:t>
      </w:r>
    </w:p>
    <w:p w14:paraId="7585E852"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I ordning 4a skal genopladningskredsløbet følge de installationsbetingelser, der er beskrevet i (ITC) BT-15, idet der anvendes kabler og ledningssystemer af samme typer og karakteristika som for en individuel bypass, og kabelafsnittet skal beregnes i overensstemmelse med de generelle krav i afsnit 5 i denne ITC. Det er ikke nødvendigt at tage højde for en udvidelse af kabelafsnittet for at bestemme diameteren eller de tværgående dimensioner for det ledningssystem, der skal anvendes.</w:t>
      </w:r>
    </w:p>
    <w:p w14:paraId="2D2E95B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Ordning 4b finder anvendelse, når strømforsyningen til </w:t>
      </w:r>
      <w:proofErr w:type="spellStart"/>
      <w:r>
        <w:rPr>
          <w:rFonts w:ascii="Calibri" w:hAnsi="Calibri"/>
          <w:sz w:val="22"/>
        </w:rPr>
        <w:t>ladestationerne</w:t>
      </w:r>
      <w:proofErr w:type="spellEnd"/>
      <w:r>
        <w:rPr>
          <w:rFonts w:ascii="Calibri" w:hAnsi="Calibri"/>
          <w:sz w:val="22"/>
        </w:rPr>
        <w:t xml:space="preserve"> planlægges som en integreret del eller forlængelse af den elektriske installation, der betjener garagernes almindelige tjenester.</w:t>
      </w:r>
    </w:p>
    <w:p w14:paraId="6F33488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I både eksisterende og nye anlæg og for at lette anvendelsen af den valgte elektriske ordning kan de tavler, der rummer de generelle beskyttelsesanordninger og øvrige anordninger til opladning af elektriske køretøjer, placeres i de rum, der er beregnet til dette formål, eller på fællesarealerne.</w:t>
      </w:r>
    </w:p>
    <w:p w14:paraId="1D7341B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Den elektriske </w:t>
      </w:r>
      <w:proofErr w:type="spellStart"/>
      <w:r>
        <w:rPr>
          <w:rFonts w:ascii="Calibri" w:hAnsi="Calibri"/>
          <w:sz w:val="22"/>
        </w:rPr>
        <w:t>formontering</w:t>
      </w:r>
      <w:proofErr w:type="spellEnd"/>
      <w:r>
        <w:rPr>
          <w:rFonts w:ascii="Calibri" w:hAnsi="Calibri"/>
          <w:sz w:val="22"/>
        </w:rPr>
        <w:t xml:space="preserve"> til opladning af elektriske køretøjer på parkeringspladser i eller i tilknytning til bygninger eller boligkomplekser vil lette den efterfølgende anvendelse af de forskellige installationsordninger. Med henblik herpå skal følgende elementer være til rådighed: </w:t>
      </w:r>
    </w:p>
    <w:p w14:paraId="69AC999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a) Installation af kabelledningssystemer fra målercentralen og langs hovedvejene på parkeringspladserne for efterfølgende at kunne forsyne de </w:t>
      </w:r>
      <w:proofErr w:type="spellStart"/>
      <w:r>
        <w:rPr>
          <w:rFonts w:ascii="Calibri" w:hAnsi="Calibri"/>
          <w:sz w:val="22"/>
        </w:rPr>
        <w:t>ladestationer</w:t>
      </w:r>
      <w:proofErr w:type="spellEnd"/>
      <w:r>
        <w:rPr>
          <w:rFonts w:ascii="Calibri" w:hAnsi="Calibri"/>
          <w:sz w:val="22"/>
        </w:rPr>
        <w:t xml:space="preserve">, der måtte være placeret på de enkelte pladser i parkeringsområderne eller på parkeringspladserne. Hvis der er </w:t>
      </w:r>
      <w:proofErr w:type="spellStart"/>
      <w:r>
        <w:rPr>
          <w:rFonts w:ascii="Calibri" w:hAnsi="Calibri"/>
          <w:sz w:val="22"/>
        </w:rPr>
        <w:t>formonteret</w:t>
      </w:r>
      <w:proofErr w:type="spellEnd"/>
      <w:r>
        <w:rPr>
          <w:rFonts w:ascii="Calibri" w:hAnsi="Calibri"/>
          <w:sz w:val="22"/>
        </w:rPr>
        <w:t xml:space="preserve"> ved 100 % af parkeringspladserne, skal der installeres kabelledningssystemer til hver enkelt af disse. Hvis der ikke er </w:t>
      </w:r>
      <w:proofErr w:type="spellStart"/>
      <w:r>
        <w:rPr>
          <w:rFonts w:ascii="Calibri" w:hAnsi="Calibri"/>
          <w:sz w:val="22"/>
        </w:rPr>
        <w:t>formonteret</w:t>
      </w:r>
      <w:proofErr w:type="spellEnd"/>
      <w:r>
        <w:rPr>
          <w:rFonts w:ascii="Calibri" w:hAnsi="Calibri"/>
          <w:sz w:val="22"/>
        </w:rPr>
        <w:t xml:space="preserve"> ved 100 % af pladserne, skal det defineres hvilke pladser, der skal tages i betragtning med henblik på overholdelse af de forskriftsmæssige bestemmelser om kabelledningssystemer, og de pågældende systemer skal således nå hver enkelt af de pladser, der udvælges.</w:t>
      </w:r>
    </w:p>
    <w:p w14:paraId="1D8D11B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b) Centraliseringen af målere skal være dimensioneret i overensstemmelse med det elektriske system, der er valgt til opladning af elektriske køretøjer, og som beskrevet i (ITC) BT-16. Der skal installeres reservemoduler for mindst 20 % af de parkeringspladser, der ikke er knyttet til en bolig, og selv hvis alle parkeringspladser er tilknyttet boliger, skal der installeres mindst ét reservemodul. Disse reservemoduler skal have kapacitet til at rumme hovedmåleren og de </w:t>
      </w:r>
      <w:proofErr w:type="spellStart"/>
      <w:r>
        <w:rPr>
          <w:rFonts w:ascii="Calibri" w:hAnsi="Calibri"/>
          <w:sz w:val="22"/>
        </w:rPr>
        <w:t>overstrømsbeskyttelsesanordninger</w:t>
      </w:r>
      <w:proofErr w:type="spellEnd"/>
      <w:r>
        <w:rPr>
          <w:rFonts w:ascii="Calibri" w:hAnsi="Calibri"/>
          <w:sz w:val="22"/>
        </w:rPr>
        <w:t>, der er forbundet med måleren, enten i form af sikringer eller afbrydere.</w:t>
      </w:r>
    </w:p>
    <w:p w14:paraId="47ED8DD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 xml:space="preserve">De stikdåser eller stikforbindelser, der er monteret i </w:t>
      </w:r>
      <w:proofErr w:type="spellStart"/>
      <w:r>
        <w:rPr>
          <w:rFonts w:ascii="Calibri" w:hAnsi="Calibri"/>
          <w:sz w:val="22"/>
        </w:rPr>
        <w:t>ladestationen</w:t>
      </w:r>
      <w:proofErr w:type="spellEnd"/>
      <w:r>
        <w:rPr>
          <w:rFonts w:ascii="Calibri" w:hAnsi="Calibri"/>
          <w:sz w:val="22"/>
        </w:rPr>
        <w:t>, og deres beskyttelsesafbrydere skal være i overensstemmelse med en af de ordninger, der er angivet i afsnit 5.4."</w:t>
      </w:r>
    </w:p>
    <w:p w14:paraId="7F6774A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Tre. I afsnit 5.4, første underafsnit i SUPPLERENDE TEKNISK VEJLEDNING (ITC) BT-52 foretages der følgende ændringer:</w:t>
      </w:r>
    </w:p>
    <w:p w14:paraId="3EF40F8D"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"5.4 Tilkoblingspunktet. </w:t>
      </w:r>
      <w:bookmarkStart w:id="25" w:name="_Hlk81468651"/>
      <w:r>
        <w:rPr>
          <w:rFonts w:ascii="Calibri" w:hAnsi="Calibri"/>
          <w:sz w:val="22"/>
        </w:rPr>
        <w:t xml:space="preserve">Tilkoblingspunktet skal være placeret i nærheden af det sted, der skal forsynes, og det skal være permanent installeret i et kabinet. </w:t>
      </w:r>
    </w:p>
    <w:bookmarkEnd w:id="25"/>
    <w:p w14:paraId="3405740F"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Stikkontakterne og stikforbindelserne skal være monteret mindst 60 cm over jordoverfladen. </w:t>
      </w:r>
      <w:bookmarkStart w:id="26" w:name="_Hlk81468224"/>
      <w:r>
        <w:rPr>
          <w:rFonts w:ascii="Calibri" w:hAnsi="Calibri"/>
          <w:sz w:val="22"/>
        </w:rPr>
        <w:t xml:space="preserve">Hvis </w:t>
      </w:r>
      <w:proofErr w:type="spellStart"/>
      <w:r>
        <w:rPr>
          <w:rFonts w:ascii="Calibri" w:hAnsi="Calibri"/>
          <w:sz w:val="22"/>
        </w:rPr>
        <w:t>ladestationen</w:t>
      </w:r>
      <w:proofErr w:type="spellEnd"/>
      <w:r>
        <w:rPr>
          <w:rFonts w:ascii="Calibri" w:hAnsi="Calibri"/>
          <w:sz w:val="22"/>
        </w:rPr>
        <w:t xml:space="preserve"> er beregnet til offentlig brug, må den maksimalt være installeret i en højde på 120 cm. På tilgængelige parkeringspladser skal stikkontakter og stikforbindelser stå i farvemæssig kontrast til omgivelserne, de skal være placeret i en højde på mellem 80 og 120 cm, og afstanden til hjørneknudepunkterne skal være på mindst 35 cm."</w:t>
      </w:r>
      <w:bookmarkEnd w:id="26"/>
    </w:p>
    <w:p w14:paraId="504223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Anden afsluttende bestemmelse. </w:t>
      </w:r>
      <w:r>
        <w:rPr>
          <w:rFonts w:ascii="Calibri" w:hAnsi="Calibri"/>
          <w:i/>
          <w:sz w:val="22"/>
        </w:rPr>
        <w:t>Gennemførelse af EU-retten.</w:t>
      </w:r>
    </w:p>
    <w:p w14:paraId="144ADEB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Dette kongelige dekret gennemfører i spansk ret artikel 8.2, 8.4, 8.5 og 8.6 i Europa-Parlamentets og Rådets direktiv 2010/31/EU om bygningers energimæssige ydeevne, som ændret ved Europa-Parlamentets og Rådets direktiv (EU) 2018/844 af 30. maj 2018 om ændring af direktiv 2010/31/EU </w:t>
      </w:r>
      <w:bookmarkStart w:id="27" w:name="_Hlk92814279"/>
      <w:r>
        <w:rPr>
          <w:rFonts w:ascii="Calibri" w:hAnsi="Calibri"/>
          <w:sz w:val="22"/>
        </w:rPr>
        <w:t xml:space="preserve">om bygningers energimæssige </w:t>
      </w:r>
      <w:proofErr w:type="gramStart"/>
      <w:r>
        <w:rPr>
          <w:rFonts w:ascii="Calibri" w:hAnsi="Calibri"/>
          <w:sz w:val="22"/>
        </w:rPr>
        <w:t xml:space="preserve">ydeevne </w:t>
      </w:r>
      <w:bookmarkEnd w:id="27"/>
      <w:r>
        <w:rPr>
          <w:rFonts w:ascii="Calibri" w:hAnsi="Calibri"/>
          <w:sz w:val="22"/>
        </w:rPr>
        <w:t xml:space="preserve"> og</w:t>
      </w:r>
      <w:proofErr w:type="gramEnd"/>
      <w:r>
        <w:rPr>
          <w:rFonts w:ascii="Calibri" w:hAnsi="Calibri"/>
          <w:sz w:val="22"/>
        </w:rPr>
        <w:t xml:space="preserve"> direktiv 2012/27/EU om energieffektivitet.</w:t>
      </w:r>
    </w:p>
    <w:p w14:paraId="174DF2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Tredje afsluttende bestemmelse. </w:t>
      </w:r>
      <w:r>
        <w:rPr>
          <w:rFonts w:ascii="Calibri" w:hAnsi="Calibri"/>
          <w:i/>
          <w:sz w:val="22"/>
        </w:rPr>
        <w:t>Ikrafttrædelse.</w:t>
      </w:r>
    </w:p>
    <w:p w14:paraId="244EE74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Dette kongelige dekret træder i kraft på dagen efter dets offentliggørelse i Spaniens statstidende.</w:t>
      </w:r>
    </w:p>
    <w:p w14:paraId="020B8256" w14:textId="77777777" w:rsidR="000760AB" w:rsidRPr="000760AB" w:rsidRDefault="000760AB" w:rsidP="000760AB">
      <w:pPr>
        <w:spacing w:after="160" w:line="259" w:lineRule="auto"/>
        <w:jc w:val="both"/>
        <w:rPr>
          <w:rFonts w:ascii="Calibri" w:eastAsia="Calibri" w:hAnsi="Calibri" w:cs="Calibri"/>
          <w:sz w:val="20"/>
          <w:szCs w:val="20"/>
          <w:lang w:eastAsia="en-US"/>
        </w:rPr>
      </w:pPr>
    </w:p>
    <w:p w14:paraId="05F2435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FORELÆGGES FOR MINISTERRÅDET</w:t>
      </w:r>
    </w:p>
    <w:p w14:paraId="3A0D8D70" w14:textId="77777777" w:rsidR="001F7365" w:rsidRPr="00081F25" w:rsidRDefault="001F7365" w:rsidP="001F7365">
      <w:pPr>
        <w:autoSpaceDE w:val="0"/>
        <w:autoSpaceDN w:val="0"/>
        <w:adjustRightInd w:val="0"/>
        <w:jc w:val="center"/>
        <w:rPr>
          <w:rFonts w:asciiTheme="minorHAnsi" w:hAnsiTheme="minorHAnsi" w:cstheme="minorHAnsi"/>
          <w:sz w:val="22"/>
          <w:szCs w:val="22"/>
        </w:rPr>
      </w:pPr>
    </w:p>
    <w:p w14:paraId="34F7C3B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Madrid, den            2022</w:t>
      </w:r>
    </w:p>
    <w:p w14:paraId="201B84D8"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p w14:paraId="5AC40BA3"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5141"/>
      </w:tblGrid>
      <w:tr w:rsidR="001F7365" w:rsidRPr="00081F25" w14:paraId="26BBB77F" w14:textId="77777777" w:rsidTr="000D4A40">
        <w:trPr>
          <w:trHeight w:val="2150"/>
        </w:trPr>
        <w:tc>
          <w:tcPr>
            <w:tcW w:w="5141" w:type="dxa"/>
            <w:tcBorders>
              <w:top w:val="nil"/>
              <w:left w:val="nil"/>
              <w:bottom w:val="nil"/>
              <w:right w:val="nil"/>
            </w:tcBorders>
            <w:shd w:val="clear" w:color="auto" w:fill="auto"/>
          </w:tcPr>
          <w:p w14:paraId="2DFF5CC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MINISTEREN FOR TRANSPORT, MOBILITET OG BYPLANLÆGNING</w:t>
            </w:r>
          </w:p>
          <w:p w14:paraId="38965193"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9C438BC"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7C1774F"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540B0B0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46B22890"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3BCAF82D"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 xml:space="preserve">Raquel </w:t>
            </w:r>
            <w:proofErr w:type="spellStart"/>
            <w:r>
              <w:rPr>
                <w:rFonts w:asciiTheme="minorHAnsi" w:hAnsiTheme="minorHAnsi"/>
                <w:sz w:val="22"/>
              </w:rPr>
              <w:t>Sánchez</w:t>
            </w:r>
            <w:proofErr w:type="spellEnd"/>
            <w:r>
              <w:rPr>
                <w:rFonts w:asciiTheme="minorHAnsi" w:hAnsiTheme="minorHAnsi"/>
                <w:sz w:val="22"/>
              </w:rPr>
              <w:t xml:space="preserve"> </w:t>
            </w:r>
            <w:proofErr w:type="spellStart"/>
            <w:r>
              <w:rPr>
                <w:rFonts w:asciiTheme="minorHAnsi" w:hAnsiTheme="minorHAnsi"/>
                <w:sz w:val="22"/>
              </w:rPr>
              <w:t>Jiménez</w:t>
            </w:r>
            <w:proofErr w:type="spellEnd"/>
          </w:p>
        </w:tc>
        <w:tc>
          <w:tcPr>
            <w:tcW w:w="5141" w:type="dxa"/>
            <w:tcBorders>
              <w:top w:val="nil"/>
              <w:left w:val="nil"/>
              <w:bottom w:val="nil"/>
              <w:right w:val="nil"/>
            </w:tcBorders>
          </w:tcPr>
          <w:p w14:paraId="749FA458" w14:textId="77777777" w:rsidR="001F7365" w:rsidRPr="004A2722"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REGERINGENS TREDJE VICEPREMIERMINISTER OG MINISTER FOR DEN ØKOLOGISKE OMSTILLING OG DEN DEMOGRAFISKE UDFORDRING,</w:t>
            </w:r>
          </w:p>
          <w:p w14:paraId="2B70C78B"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A3F7D7"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4D67AC80"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1D518996"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5C180639"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B3A488"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 xml:space="preserve">Teresa </w:t>
            </w:r>
            <w:proofErr w:type="spellStart"/>
            <w:r>
              <w:rPr>
                <w:rFonts w:asciiTheme="minorHAnsi" w:hAnsiTheme="minorHAnsi"/>
                <w:sz w:val="22"/>
              </w:rPr>
              <w:t>Ribera</w:t>
            </w:r>
            <w:proofErr w:type="spellEnd"/>
            <w:r>
              <w:rPr>
                <w:rFonts w:asciiTheme="minorHAnsi" w:hAnsiTheme="minorHAnsi"/>
                <w:sz w:val="22"/>
              </w:rPr>
              <w:t xml:space="preserve"> </w:t>
            </w:r>
            <w:proofErr w:type="spellStart"/>
            <w:r>
              <w:rPr>
                <w:rFonts w:asciiTheme="minorHAnsi" w:hAnsiTheme="minorHAnsi"/>
                <w:sz w:val="22"/>
              </w:rPr>
              <w:t>Rodríguez</w:t>
            </w:r>
            <w:proofErr w:type="spellEnd"/>
          </w:p>
        </w:tc>
      </w:tr>
    </w:tbl>
    <w:p w14:paraId="15FD4F1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sectPr w:rsidR="008577E8">
      <w:headerReference w:type="default" r:id="rId7"/>
      <w:footerReference w:type="even" r:id="rId8"/>
      <w:footerReference w:type="default" r:id="rId9"/>
      <w:headerReference w:type="first" r:id="rId10"/>
      <w:pgSz w:w="11906" w:h="16838" w:code="9"/>
      <w:pgMar w:top="1701" w:right="737" w:bottom="726" w:left="737"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569D" w14:textId="77777777" w:rsidR="00CE3F7F" w:rsidRDefault="00CE3F7F">
      <w:r>
        <w:separator/>
      </w:r>
    </w:p>
  </w:endnote>
  <w:endnote w:type="continuationSeparator" w:id="0">
    <w:p w14:paraId="78FEA4C7" w14:textId="77777777" w:rsidR="00CE3F7F" w:rsidRDefault="00CE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CJK SC Regular">
    <w:altName w:val="Times New Roman"/>
    <w:panose1 w:val="00000000000000000000"/>
    <w:charset w:val="00"/>
    <w:family w:val="roman"/>
    <w:notTrueType/>
    <w:pitch w:val="default"/>
  </w:font>
  <w:font w:name="Gill Sans MT">
    <w:altName w:val="Gill Sans MT"/>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1ADC" w14:textId="77777777"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A43C3" w14:textId="77777777" w:rsidR="00C93CCC" w:rsidRDefault="00C93C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B7FA" w14:textId="7ED610BC"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3417">
      <w:rPr>
        <w:rStyle w:val="PageNumber"/>
      </w:rPr>
      <w:t>2</w:t>
    </w:r>
    <w:r>
      <w:rPr>
        <w:rStyle w:val="PageNumber"/>
      </w:rPr>
      <w:fldChar w:fldCharType="end"/>
    </w:r>
  </w:p>
  <w:p w14:paraId="7719E668" w14:textId="77777777" w:rsidR="00C93CCC" w:rsidRDefault="00C93C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BF75C" w14:textId="77777777" w:rsidR="00CE3F7F" w:rsidRDefault="00CE3F7F">
      <w:r>
        <w:separator/>
      </w:r>
    </w:p>
  </w:footnote>
  <w:footnote w:type="continuationSeparator" w:id="0">
    <w:p w14:paraId="12E3792A" w14:textId="77777777" w:rsidR="00CE3F7F" w:rsidRDefault="00CE3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C93CCC" w14:paraId="19D5BC5E" w14:textId="77777777">
      <w:trPr>
        <w:cantSplit/>
        <w:trHeight w:val="991"/>
        <w:jc w:val="center"/>
      </w:trPr>
      <w:tc>
        <w:tcPr>
          <w:tcW w:w="1346" w:type="dxa"/>
        </w:tcPr>
        <w:p w14:paraId="7D1E4812" w14:textId="77777777" w:rsidR="00C93CCC" w:rsidRDefault="00C93CCC">
          <w:pPr>
            <w:pStyle w:val="Header"/>
            <w:tabs>
              <w:tab w:val="clear" w:pos="4252"/>
              <w:tab w:val="clear" w:pos="8504"/>
            </w:tabs>
          </w:pPr>
        </w:p>
      </w:tc>
      <w:tc>
        <w:tcPr>
          <w:tcW w:w="7726" w:type="dxa"/>
        </w:tcPr>
        <w:p w14:paraId="0DBFE409" w14:textId="77777777" w:rsidR="00C93CCC" w:rsidRDefault="00C93CCC">
          <w:pPr>
            <w:pStyle w:val="Header"/>
            <w:tabs>
              <w:tab w:val="clear" w:pos="4252"/>
              <w:tab w:val="left" w:pos="2127"/>
              <w:tab w:val="left" w:pos="6521"/>
            </w:tabs>
          </w:pPr>
        </w:p>
      </w:tc>
      <w:bookmarkStart w:id="28" w:name="_MON_1030527131"/>
      <w:bookmarkEnd w:id="28"/>
      <w:tc>
        <w:tcPr>
          <w:tcW w:w="1843" w:type="dxa"/>
        </w:tcPr>
        <w:p w14:paraId="159BECBD" w14:textId="77777777" w:rsidR="00C93CCC" w:rsidRDefault="00C93CCC">
          <w:pPr>
            <w:pStyle w:val="Header"/>
            <w:tabs>
              <w:tab w:val="clear" w:pos="4252"/>
              <w:tab w:val="left" w:pos="6521"/>
            </w:tabs>
            <w:spacing w:before="120" w:after="120"/>
            <w:jc w:val="right"/>
            <w:rPr>
              <w:rFonts w:ascii="Gill Sans MT" w:hAnsi="Gill Sans MT"/>
              <w:sz w:val="10"/>
            </w:rPr>
          </w:pPr>
          <w:r>
            <w:object w:dxaOrig="1081" w:dyaOrig="1141" w14:anchorId="41648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44.35pt" fillcolor="window">
                <v:imagedata r:id="rId1" o:title=""/>
              </v:shape>
              <o:OLEObject Type="Embed" ProgID="Word.Picture.8" ShapeID="_x0000_i1025" DrawAspect="Content" ObjectID="_1724479314" r:id="rId2"/>
            </w:object>
          </w:r>
        </w:p>
      </w:tc>
    </w:tr>
  </w:tbl>
  <w:p w14:paraId="37A83458" w14:textId="77777777" w:rsidR="00C93CCC" w:rsidRDefault="00C93CCC">
    <w:pPr>
      <w:pStyle w:val="Header"/>
    </w:pPr>
  </w:p>
  <w:p w14:paraId="4AECF7C6" w14:textId="6EDD15A4" w:rsidR="00C93CCC" w:rsidRDefault="00FD453F">
    <w:pPr>
      <w:pStyle w:val="Header"/>
    </w:pPr>
    <w:r>
      <w:rPr>
        <w:noProof/>
        <w:sz w:val="20"/>
      </w:rPr>
      <mc:AlternateContent>
        <mc:Choice Requires="wps">
          <w:drawing>
            <wp:anchor distT="0" distB="0" distL="114300" distR="114300" simplePos="0" relativeHeight="251658240" behindDoc="0" locked="0" layoutInCell="0" allowOverlap="1" wp14:anchorId="4819963E" wp14:editId="4FA1022B">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0C89DAC6"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9963E"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" o:allowincell="f">
              <v:textbox>
                <w:txbxContent>
                  <w:p w14:paraId="0C89DAC6" w14:textId="77777777" w:rsidR="00C93CCC" w:rsidRDefault="00C93CCC"/>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76" w:type="dxa"/>
      <w:jc w:val="center"/>
      <w:tblLayout w:type="fixed"/>
      <w:tblCellMar>
        <w:left w:w="70" w:type="dxa"/>
        <w:right w:w="70" w:type="dxa"/>
      </w:tblCellMar>
      <w:tblLook w:val="0000" w:firstRow="0" w:lastRow="0" w:firstColumn="0" w:lastColumn="0" w:noHBand="0" w:noVBand="0"/>
    </w:tblPr>
    <w:tblGrid>
      <w:gridCol w:w="1394"/>
      <w:gridCol w:w="3831"/>
      <w:gridCol w:w="2075"/>
      <w:gridCol w:w="3876"/>
    </w:tblGrid>
    <w:tr w:rsidR="00546D77" w14:paraId="1E577442" w14:textId="77777777" w:rsidTr="00BC4DA1">
      <w:trPr>
        <w:cantSplit/>
        <w:trHeight w:val="545"/>
        <w:jc w:val="center"/>
      </w:trPr>
      <w:tc>
        <w:tcPr>
          <w:tcW w:w="1394" w:type="dxa"/>
          <w:vMerge w:val="restart"/>
        </w:tcPr>
        <w:p w14:paraId="6CB9E49B" w14:textId="77777777" w:rsidR="00546D77" w:rsidRDefault="00546D77">
          <w:pPr>
            <w:pStyle w:val="Header"/>
            <w:tabs>
              <w:tab w:val="clear" w:pos="4252"/>
              <w:tab w:val="clear" w:pos="8504"/>
            </w:tabs>
            <w:ind w:left="-41" w:right="1318"/>
          </w:pPr>
          <w:r>
            <w:object w:dxaOrig="1081" w:dyaOrig="1141" w14:anchorId="18A5A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56.95pt;height:59.45pt" fillcolor="window">
                <v:imagedata r:id="rId1" o:title=""/>
              </v:shape>
              <o:OLEObject Type="Embed" ProgID="Word.Picture.8" ShapeID="_x0000_i1050" DrawAspect="Content" ObjectID="_1724479315" r:id="rId2"/>
            </w:object>
          </w:r>
        </w:p>
      </w:tc>
      <w:tc>
        <w:tcPr>
          <w:tcW w:w="3831" w:type="dxa"/>
          <w:vMerge w:val="restart"/>
        </w:tcPr>
        <w:p w14:paraId="6198FA01" w14:textId="77777777" w:rsidR="00546D77" w:rsidRPr="008D3E08" w:rsidRDefault="00546D77">
          <w:pPr>
            <w:pStyle w:val="Header"/>
            <w:tabs>
              <w:tab w:val="clear" w:pos="4252"/>
              <w:tab w:val="left" w:pos="-819"/>
              <w:tab w:val="left" w:pos="6521"/>
            </w:tabs>
            <w:ind w:right="-7"/>
            <w:rPr>
              <w:sz w:val="22"/>
              <w:szCs w:val="22"/>
            </w:rPr>
          </w:pPr>
          <w:r>
            <w:rPr>
              <w:sz w:val="22"/>
            </w:rPr>
            <w:t xml:space="preserve">MINISTERIET </w:t>
          </w:r>
        </w:p>
        <w:p w14:paraId="72B91BEF" w14:textId="0FE9D540" w:rsidR="00546D77" w:rsidRPr="008D3E08" w:rsidRDefault="00546D77">
          <w:pPr>
            <w:pStyle w:val="Header"/>
            <w:tabs>
              <w:tab w:val="clear" w:pos="4252"/>
              <w:tab w:val="left" w:pos="-819"/>
              <w:tab w:val="left" w:pos="6521"/>
            </w:tabs>
            <w:ind w:right="-7"/>
            <w:rPr>
              <w:sz w:val="22"/>
              <w:szCs w:val="22"/>
            </w:rPr>
          </w:pPr>
          <w:r>
            <w:rPr>
              <w:sz w:val="22"/>
            </w:rPr>
            <w:t>FOR TRANSPORT, MOBILITET OG BYPLANLÆGNING</w:t>
          </w:r>
        </w:p>
        <w:p w14:paraId="17DC2EEB" w14:textId="77777777" w:rsidR="008D3E08" w:rsidRPr="008D3E08" w:rsidRDefault="008D3E08">
          <w:pPr>
            <w:pStyle w:val="Header"/>
            <w:tabs>
              <w:tab w:val="clear" w:pos="4252"/>
              <w:tab w:val="left" w:pos="-819"/>
              <w:tab w:val="left" w:pos="6521"/>
            </w:tabs>
            <w:ind w:right="-7"/>
            <w:rPr>
              <w:sz w:val="22"/>
              <w:szCs w:val="22"/>
            </w:rPr>
          </w:pPr>
        </w:p>
        <w:p w14:paraId="76421220" w14:textId="2838AE55" w:rsidR="008D3E08" w:rsidRDefault="008D3E08">
          <w:pPr>
            <w:pStyle w:val="Header"/>
            <w:tabs>
              <w:tab w:val="clear" w:pos="4252"/>
              <w:tab w:val="left" w:pos="-819"/>
              <w:tab w:val="left" w:pos="6521"/>
            </w:tabs>
            <w:ind w:right="-7"/>
            <w:rPr>
              <w:rFonts w:ascii="Gill Sans MT" w:hAnsi="Gill Sans MT"/>
              <w:sz w:val="16"/>
            </w:rPr>
          </w:pPr>
          <w:r>
            <w:rPr>
              <w:sz w:val="22"/>
            </w:rPr>
            <w:t>MINISTERIET FOR DEN ØKOLOGISKE OMSTILLING OG DEN DEMOGRAFISKE UDFORDRING</w:t>
          </w:r>
        </w:p>
      </w:tc>
      <w:tc>
        <w:tcPr>
          <w:tcW w:w="2075" w:type="dxa"/>
          <w:vMerge w:val="restart"/>
        </w:tcPr>
        <w:p w14:paraId="5FBE566D" w14:textId="77777777" w:rsidR="00546D77" w:rsidRDefault="00546D77">
          <w:pPr>
            <w:pStyle w:val="Header"/>
            <w:tabs>
              <w:tab w:val="clear" w:pos="4252"/>
              <w:tab w:val="left" w:pos="-819"/>
              <w:tab w:val="left" w:pos="6521"/>
            </w:tabs>
            <w:rPr>
              <w:rFonts w:ascii="Gill Sans MT" w:hAnsi="Gill Sans MT"/>
              <w:sz w:val="16"/>
            </w:rPr>
          </w:pPr>
        </w:p>
      </w:tc>
      <w:tc>
        <w:tcPr>
          <w:tcW w:w="3876" w:type="dxa"/>
        </w:tcPr>
        <w:p w14:paraId="240676BB" w14:textId="77777777" w:rsidR="00546D77" w:rsidRDefault="00546D77">
          <w:pPr>
            <w:pStyle w:val="Header"/>
            <w:tabs>
              <w:tab w:val="clear" w:pos="4252"/>
              <w:tab w:val="left" w:pos="6521"/>
            </w:tabs>
            <w:spacing w:before="100"/>
          </w:pPr>
        </w:p>
        <w:p w14:paraId="2705A353" w14:textId="77777777" w:rsidR="00546D77" w:rsidRDefault="00546D77">
          <w:pPr>
            <w:pStyle w:val="Header"/>
            <w:tabs>
              <w:tab w:val="clear" w:pos="4252"/>
              <w:tab w:val="left" w:pos="6521"/>
            </w:tabs>
            <w:spacing w:before="100"/>
          </w:pPr>
        </w:p>
      </w:tc>
    </w:tr>
    <w:tr w:rsidR="00546D77" w14:paraId="4DD47A0F" w14:textId="77777777" w:rsidTr="00BC4DA1">
      <w:trPr>
        <w:cantSplit/>
        <w:trHeight w:hRule="exact" w:val="127"/>
        <w:jc w:val="center"/>
      </w:trPr>
      <w:tc>
        <w:tcPr>
          <w:tcW w:w="1394" w:type="dxa"/>
          <w:vMerge/>
        </w:tcPr>
        <w:p w14:paraId="1C13B7EF" w14:textId="77777777" w:rsidR="00546D77" w:rsidRDefault="00546D77">
          <w:pPr>
            <w:pStyle w:val="Header"/>
            <w:tabs>
              <w:tab w:val="clear" w:pos="4252"/>
              <w:tab w:val="clear" w:pos="8504"/>
            </w:tabs>
            <w:ind w:left="-41" w:right="1176"/>
          </w:pPr>
        </w:p>
      </w:tc>
      <w:tc>
        <w:tcPr>
          <w:tcW w:w="3831" w:type="dxa"/>
          <w:vMerge/>
        </w:tcPr>
        <w:p w14:paraId="3B8408E4" w14:textId="77777777" w:rsidR="00546D77" w:rsidRDefault="00546D77">
          <w:pPr>
            <w:pStyle w:val="Header"/>
            <w:tabs>
              <w:tab w:val="clear" w:pos="4252"/>
              <w:tab w:val="left" w:pos="-819"/>
              <w:tab w:val="left" w:pos="6521"/>
            </w:tabs>
            <w:rPr>
              <w:rFonts w:ascii="Gill Sans MT" w:hAnsi="Gill Sans MT"/>
              <w:sz w:val="16"/>
            </w:rPr>
          </w:pPr>
        </w:p>
      </w:tc>
      <w:tc>
        <w:tcPr>
          <w:tcW w:w="2075" w:type="dxa"/>
          <w:vMerge/>
        </w:tcPr>
        <w:p w14:paraId="5355EE17" w14:textId="77777777" w:rsidR="00546D77" w:rsidRDefault="00546D77">
          <w:pPr>
            <w:pStyle w:val="Header"/>
            <w:tabs>
              <w:tab w:val="clear" w:pos="4252"/>
              <w:tab w:val="left" w:pos="-819"/>
              <w:tab w:val="left" w:pos="6521"/>
            </w:tabs>
            <w:rPr>
              <w:rFonts w:ascii="Gill Sans MT" w:hAnsi="Gill Sans MT"/>
              <w:sz w:val="16"/>
            </w:rPr>
          </w:pPr>
        </w:p>
      </w:tc>
      <w:tc>
        <w:tcPr>
          <w:tcW w:w="3876" w:type="dxa"/>
        </w:tcPr>
        <w:p w14:paraId="229BCB56" w14:textId="77777777" w:rsidR="00546D77" w:rsidRDefault="00546D77">
          <w:pPr>
            <w:pStyle w:val="Header"/>
            <w:tabs>
              <w:tab w:val="clear" w:pos="4252"/>
              <w:tab w:val="left" w:pos="6521"/>
            </w:tabs>
            <w:ind w:right="782"/>
            <w:rPr>
              <w:rFonts w:ascii="Gill Sans MT" w:hAnsi="Gill Sans MT"/>
              <w:sz w:val="14"/>
            </w:rPr>
          </w:pPr>
        </w:p>
      </w:tc>
    </w:tr>
    <w:tr w:rsidR="00546D77" w14:paraId="5B3C05C1" w14:textId="77777777" w:rsidTr="00BC4DA1">
      <w:trPr>
        <w:cantSplit/>
        <w:trHeight w:hRule="exact" w:val="545"/>
        <w:jc w:val="center"/>
      </w:trPr>
      <w:tc>
        <w:tcPr>
          <w:tcW w:w="1394" w:type="dxa"/>
          <w:vMerge/>
        </w:tcPr>
        <w:p w14:paraId="6B5B66CA" w14:textId="77777777" w:rsidR="00546D77" w:rsidRDefault="00546D77">
          <w:pPr>
            <w:pStyle w:val="Header"/>
            <w:tabs>
              <w:tab w:val="clear" w:pos="4252"/>
              <w:tab w:val="clear" w:pos="8504"/>
            </w:tabs>
            <w:ind w:left="-41" w:right="1176"/>
          </w:pPr>
        </w:p>
      </w:tc>
      <w:tc>
        <w:tcPr>
          <w:tcW w:w="3831" w:type="dxa"/>
          <w:vMerge/>
        </w:tcPr>
        <w:p w14:paraId="2C834F51" w14:textId="77777777" w:rsidR="00546D77" w:rsidRDefault="00546D77">
          <w:pPr>
            <w:pStyle w:val="Header"/>
            <w:tabs>
              <w:tab w:val="clear" w:pos="4252"/>
              <w:tab w:val="left" w:pos="-819"/>
              <w:tab w:val="left" w:pos="6521"/>
            </w:tabs>
            <w:rPr>
              <w:rFonts w:ascii="Gill Sans MT" w:hAnsi="Gill Sans MT"/>
              <w:sz w:val="16"/>
            </w:rPr>
          </w:pPr>
        </w:p>
      </w:tc>
      <w:tc>
        <w:tcPr>
          <w:tcW w:w="2075" w:type="dxa"/>
          <w:vMerge/>
        </w:tcPr>
        <w:p w14:paraId="44869AAF" w14:textId="77777777" w:rsidR="00546D77" w:rsidRDefault="00546D77">
          <w:pPr>
            <w:pStyle w:val="Header"/>
            <w:tabs>
              <w:tab w:val="clear" w:pos="4252"/>
              <w:tab w:val="left" w:pos="-819"/>
              <w:tab w:val="left" w:pos="6521"/>
            </w:tabs>
            <w:rPr>
              <w:rFonts w:ascii="Gill Sans MT" w:hAnsi="Gill Sans MT"/>
              <w:sz w:val="16"/>
            </w:rPr>
          </w:pPr>
        </w:p>
      </w:tc>
      <w:tc>
        <w:tcPr>
          <w:tcW w:w="3876" w:type="dxa"/>
          <w:tcBorders>
            <w:top w:val="single" w:sz="4" w:space="0" w:color="auto"/>
            <w:left w:val="single" w:sz="4" w:space="0" w:color="auto"/>
            <w:bottom w:val="single" w:sz="4" w:space="0" w:color="auto"/>
            <w:right w:val="single" w:sz="4" w:space="0" w:color="auto"/>
          </w:tcBorders>
        </w:tcPr>
        <w:p w14:paraId="7AE9179E" w14:textId="77777777" w:rsidR="00546D77" w:rsidRDefault="00546D77">
          <w:pPr>
            <w:pStyle w:val="Header"/>
            <w:tabs>
              <w:tab w:val="clear" w:pos="4252"/>
              <w:tab w:val="left" w:pos="6521"/>
            </w:tabs>
            <w:spacing w:before="100"/>
            <w:ind w:right="782"/>
          </w:pPr>
          <w:r>
            <w:rPr>
              <w:rFonts w:ascii="Gill Sans MT" w:hAnsi="Gill Sans MT"/>
              <w:sz w:val="14"/>
            </w:rPr>
            <w:t>REF.:</w:t>
          </w:r>
        </w:p>
      </w:tc>
    </w:tr>
    <w:tr w:rsidR="00546D77" w14:paraId="245FEC80" w14:textId="77777777" w:rsidTr="00BC4DA1">
      <w:trPr>
        <w:cantSplit/>
        <w:trHeight w:hRule="exact" w:val="765"/>
        <w:jc w:val="center"/>
      </w:trPr>
      <w:tc>
        <w:tcPr>
          <w:tcW w:w="1394" w:type="dxa"/>
          <w:vMerge/>
        </w:tcPr>
        <w:p w14:paraId="28B5929C" w14:textId="77777777" w:rsidR="00546D77" w:rsidRDefault="00546D77">
          <w:pPr>
            <w:pStyle w:val="Header"/>
            <w:tabs>
              <w:tab w:val="clear" w:pos="4252"/>
              <w:tab w:val="clear" w:pos="8504"/>
            </w:tabs>
            <w:ind w:left="-41" w:right="1176"/>
          </w:pPr>
        </w:p>
      </w:tc>
      <w:tc>
        <w:tcPr>
          <w:tcW w:w="3831" w:type="dxa"/>
          <w:vMerge/>
        </w:tcPr>
        <w:p w14:paraId="58C627D0" w14:textId="77777777" w:rsidR="00546D77" w:rsidRDefault="00546D77">
          <w:pPr>
            <w:pStyle w:val="Header"/>
            <w:tabs>
              <w:tab w:val="clear" w:pos="4252"/>
              <w:tab w:val="left" w:pos="-819"/>
              <w:tab w:val="left" w:pos="6521"/>
            </w:tabs>
            <w:rPr>
              <w:rFonts w:ascii="Gill Sans MT" w:hAnsi="Gill Sans MT"/>
              <w:sz w:val="16"/>
            </w:rPr>
          </w:pPr>
        </w:p>
      </w:tc>
      <w:tc>
        <w:tcPr>
          <w:tcW w:w="2075" w:type="dxa"/>
          <w:vMerge/>
        </w:tcPr>
        <w:p w14:paraId="44F238CB" w14:textId="77777777" w:rsidR="00546D77" w:rsidRDefault="00546D77">
          <w:pPr>
            <w:pStyle w:val="Header"/>
            <w:tabs>
              <w:tab w:val="clear" w:pos="4252"/>
              <w:tab w:val="left" w:pos="-819"/>
              <w:tab w:val="left" w:pos="6521"/>
            </w:tabs>
            <w:rPr>
              <w:rFonts w:ascii="Gill Sans MT" w:hAnsi="Gill Sans MT"/>
              <w:sz w:val="16"/>
            </w:rPr>
          </w:pPr>
        </w:p>
      </w:tc>
      <w:tc>
        <w:tcPr>
          <w:tcW w:w="3876" w:type="dxa"/>
          <w:tcBorders>
            <w:top w:val="single" w:sz="4" w:space="0" w:color="auto"/>
            <w:left w:val="single" w:sz="4" w:space="0" w:color="auto"/>
            <w:bottom w:val="single" w:sz="4" w:space="0" w:color="auto"/>
            <w:right w:val="single" w:sz="4" w:space="0" w:color="auto"/>
          </w:tcBorders>
        </w:tcPr>
        <w:p w14:paraId="1B79A29C" w14:textId="77777777" w:rsidR="00546D77" w:rsidRDefault="00546D77">
          <w:pPr>
            <w:pStyle w:val="Header"/>
            <w:tabs>
              <w:tab w:val="clear" w:pos="4252"/>
              <w:tab w:val="left" w:pos="6521"/>
            </w:tabs>
            <w:spacing w:before="100"/>
            <w:ind w:right="782"/>
          </w:pPr>
          <w:r>
            <w:rPr>
              <w:rFonts w:ascii="Gill Sans MT" w:hAnsi="Gill Sans MT"/>
              <w:sz w:val="14"/>
            </w:rPr>
            <w:t>REF. MINISTERRÅDET:</w:t>
          </w:r>
        </w:p>
      </w:tc>
    </w:tr>
  </w:tbl>
  <w:p w14:paraId="0F00BC53" w14:textId="5A2A6B0E" w:rsidR="00C93CCC" w:rsidRDefault="00FD453F">
    <w:pPr>
      <w:pStyle w:val="Header"/>
    </w:pPr>
    <w:r>
      <w:rPr>
        <w:noProof/>
        <w:sz w:val="20"/>
      </w:rPr>
      <mc:AlternateContent>
        <mc:Choice Requires="wps">
          <w:drawing>
            <wp:anchor distT="0" distB="0" distL="114300" distR="114300" simplePos="0" relativeHeight="251657216" behindDoc="0" locked="0" layoutInCell="0" allowOverlap="1" wp14:anchorId="25F39437" wp14:editId="6D6516D9">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0930644B"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39437"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" o:allowincell="f">
              <v:textbox>
                <w:txbxContent>
                  <w:p w14:paraId="0930644B" w14:textId="77777777" w:rsidR="00C93CCC" w:rsidRDefault="00C93CCC"/>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29115" w:hanging="840"/>
      </w:pPr>
      <w:rPr>
        <w:rFonts w:hint="default"/>
      </w:rPr>
    </w:lvl>
    <w:lvl w:ilvl="1" w:tplc="0C0A0019" w:tentative="1">
      <w:start w:val="1"/>
      <w:numFmt w:val="lowerLetter"/>
      <w:lvlText w:val="%2."/>
      <w:lvlJc w:val="left"/>
      <w:pPr>
        <w:ind w:left="29355" w:hanging="360"/>
      </w:pPr>
    </w:lvl>
    <w:lvl w:ilvl="2" w:tplc="0C0A001B" w:tentative="1">
      <w:start w:val="1"/>
      <w:numFmt w:val="lowerRoman"/>
      <w:lvlText w:val="%3."/>
      <w:lvlJc w:val="right"/>
      <w:pPr>
        <w:ind w:left="30075" w:hanging="180"/>
      </w:pPr>
    </w:lvl>
    <w:lvl w:ilvl="3" w:tplc="0C0A000F" w:tentative="1">
      <w:start w:val="1"/>
      <w:numFmt w:val="decimal"/>
      <w:lvlText w:val="%4."/>
      <w:lvlJc w:val="left"/>
      <w:pPr>
        <w:ind w:left="30795" w:hanging="360"/>
      </w:pPr>
    </w:lvl>
    <w:lvl w:ilvl="4" w:tplc="0C0A0019" w:tentative="1">
      <w:start w:val="1"/>
      <w:numFmt w:val="lowerLetter"/>
      <w:lvlText w:val="%5."/>
      <w:lvlJc w:val="left"/>
      <w:pPr>
        <w:ind w:left="31515" w:hanging="360"/>
      </w:pPr>
    </w:lvl>
    <w:lvl w:ilvl="5" w:tplc="0C0A001B" w:tentative="1">
      <w:start w:val="1"/>
      <w:numFmt w:val="lowerRoman"/>
      <w:lvlText w:val="%6."/>
      <w:lvlJc w:val="right"/>
      <w:pPr>
        <w:ind w:left="32235" w:hanging="180"/>
      </w:pPr>
    </w:lvl>
    <w:lvl w:ilvl="6" w:tplc="0C0A000F" w:tentative="1">
      <w:start w:val="1"/>
      <w:numFmt w:val="decimal"/>
      <w:lvlText w:val="%7."/>
      <w:lvlJc w:val="left"/>
      <w:pPr>
        <w:ind w:left="-32581" w:hanging="360"/>
      </w:pPr>
    </w:lvl>
    <w:lvl w:ilvl="7" w:tplc="0C0A0019" w:tentative="1">
      <w:start w:val="1"/>
      <w:numFmt w:val="lowerLetter"/>
      <w:lvlText w:val="%8."/>
      <w:lvlJc w:val="left"/>
      <w:pPr>
        <w:ind w:left="-31861" w:hanging="360"/>
      </w:pPr>
    </w:lvl>
    <w:lvl w:ilvl="8" w:tplc="0C0A001B" w:tentative="1">
      <w:start w:val="1"/>
      <w:numFmt w:val="lowerRoman"/>
      <w:lvlText w:val="%9."/>
      <w:lvlJc w:val="right"/>
      <w:pPr>
        <w:ind w:left="-31141"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A45B39"/>
    <w:multiLevelType w:val="hybridMultilevel"/>
    <w:tmpl w:val="C6BEE67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15:restartNumberingAfterBreak="0">
    <w:nsid w:val="0885190B"/>
    <w:multiLevelType w:val="hybridMultilevel"/>
    <w:tmpl w:val="EDF21534"/>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7253EF"/>
    <w:multiLevelType w:val="multilevel"/>
    <w:tmpl w:val="666816CA"/>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8" w15:restartNumberingAfterBreak="0">
    <w:nsid w:val="19FA4502"/>
    <w:multiLevelType w:val="multilevel"/>
    <w:tmpl w:val="F062902C"/>
    <w:lvl w:ilvl="0">
      <w:start w:val="1"/>
      <w:numFmt w:val="lowerLetter"/>
      <w:lvlText w:val="%1)"/>
      <w:lvlJc w:val="left"/>
      <w:pPr>
        <w:ind w:left="644"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0"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1FBB6F6B"/>
    <w:multiLevelType w:val="hybridMultilevel"/>
    <w:tmpl w:val="68A05250"/>
    <w:lvl w:ilvl="0" w:tplc="0C0A0017">
      <w:start w:val="1"/>
      <w:numFmt w:val="lowerLetter"/>
      <w:lvlText w:val="%1)"/>
      <w:lvlJc w:val="left"/>
      <w:pPr>
        <w:ind w:left="333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3" w15:restartNumberingAfterBreak="0">
    <w:nsid w:val="26D74DAF"/>
    <w:multiLevelType w:val="hybridMultilevel"/>
    <w:tmpl w:val="CBD8B54E"/>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5"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3F1E1148"/>
    <w:multiLevelType w:val="hybridMultilevel"/>
    <w:tmpl w:val="5922E64A"/>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46AF73D0"/>
    <w:multiLevelType w:val="hybridMultilevel"/>
    <w:tmpl w:val="4B264938"/>
    <w:lvl w:ilvl="0" w:tplc="0C0A0017">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AB7108E"/>
    <w:multiLevelType w:val="hybridMultilevel"/>
    <w:tmpl w:val="B512019C"/>
    <w:lvl w:ilvl="0" w:tplc="9F2A7DC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5" w15:restartNumberingAfterBreak="0">
    <w:nsid w:val="54742056"/>
    <w:multiLevelType w:val="hybridMultilevel"/>
    <w:tmpl w:val="E222D0B2"/>
    <w:lvl w:ilvl="0" w:tplc="6FDEFA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65F81EE4"/>
    <w:multiLevelType w:val="hybridMultilevel"/>
    <w:tmpl w:val="C4CAF34C"/>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abstractNum w:abstractNumId="33" w15:restartNumberingAfterBreak="0">
    <w:nsid w:val="7BBB7816"/>
    <w:multiLevelType w:val="hybridMultilevel"/>
    <w:tmpl w:val="4EE4F85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16cid:durableId="806165444">
    <w:abstractNumId w:val="13"/>
  </w:num>
  <w:num w:numId="2" w16cid:durableId="640647079">
    <w:abstractNumId w:val="3"/>
  </w:num>
  <w:num w:numId="3" w16cid:durableId="776681883">
    <w:abstractNumId w:val="2"/>
  </w:num>
  <w:num w:numId="4" w16cid:durableId="295841785">
    <w:abstractNumId w:val="18"/>
  </w:num>
  <w:num w:numId="5" w16cid:durableId="838276280">
    <w:abstractNumId w:val="28"/>
  </w:num>
  <w:num w:numId="6" w16cid:durableId="571279413">
    <w:abstractNumId w:val="31"/>
  </w:num>
  <w:num w:numId="7" w16cid:durableId="782578975">
    <w:abstractNumId w:val="12"/>
  </w:num>
  <w:num w:numId="8" w16cid:durableId="1270163073">
    <w:abstractNumId w:val="12"/>
    <w:lvlOverride w:ilvl="0">
      <w:startOverride w:val="1"/>
    </w:lvlOverride>
  </w:num>
  <w:num w:numId="9" w16cid:durableId="158887420">
    <w:abstractNumId w:val="1"/>
  </w:num>
  <w:num w:numId="10" w16cid:durableId="1676878742">
    <w:abstractNumId w:val="29"/>
  </w:num>
  <w:num w:numId="11" w16cid:durableId="2055226268">
    <w:abstractNumId w:val="5"/>
  </w:num>
  <w:num w:numId="12" w16cid:durableId="1522432203">
    <w:abstractNumId w:val="20"/>
  </w:num>
  <w:num w:numId="13" w16cid:durableId="291982446">
    <w:abstractNumId w:val="19"/>
  </w:num>
  <w:num w:numId="14" w16cid:durableId="2104302648">
    <w:abstractNumId w:val="0"/>
  </w:num>
  <w:num w:numId="15" w16cid:durableId="594635587">
    <w:abstractNumId w:val="24"/>
  </w:num>
  <w:num w:numId="16" w16cid:durableId="649208695">
    <w:abstractNumId w:val="9"/>
  </w:num>
  <w:num w:numId="17" w16cid:durableId="1010789022">
    <w:abstractNumId w:val="11"/>
  </w:num>
  <w:num w:numId="18" w16cid:durableId="772552138">
    <w:abstractNumId w:val="14"/>
  </w:num>
  <w:num w:numId="19" w16cid:durableId="338392972">
    <w:abstractNumId w:val="16"/>
  </w:num>
  <w:num w:numId="20" w16cid:durableId="677078459">
    <w:abstractNumId w:val="22"/>
  </w:num>
  <w:num w:numId="21" w16cid:durableId="888809413">
    <w:abstractNumId w:val="15"/>
  </w:num>
  <w:num w:numId="22" w16cid:durableId="487944804">
    <w:abstractNumId w:val="10"/>
  </w:num>
  <w:num w:numId="23" w16cid:durableId="1331299523">
    <w:abstractNumId w:val="32"/>
  </w:num>
  <w:num w:numId="24" w16cid:durableId="262542336">
    <w:abstractNumId w:val="6"/>
  </w:num>
  <w:num w:numId="25" w16cid:durableId="669719516">
    <w:abstractNumId w:val="4"/>
  </w:num>
  <w:num w:numId="26" w16cid:durableId="809595804">
    <w:abstractNumId w:val="17"/>
  </w:num>
  <w:num w:numId="27" w16cid:durableId="940382160">
    <w:abstractNumId w:val="30"/>
  </w:num>
  <w:num w:numId="28" w16cid:durableId="644630731">
    <w:abstractNumId w:val="27"/>
  </w:num>
  <w:num w:numId="29" w16cid:durableId="4384505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5157183">
    <w:abstractNumId w:val="26"/>
  </w:num>
  <w:num w:numId="31" w16cid:durableId="681014506">
    <w:abstractNumId w:val="33"/>
  </w:num>
  <w:num w:numId="32" w16cid:durableId="82923998">
    <w:abstractNumId w:val="8"/>
  </w:num>
  <w:num w:numId="33" w16cid:durableId="609434477">
    <w:abstractNumId w:val="7"/>
  </w:num>
  <w:num w:numId="34" w16cid:durableId="1394111462">
    <w:abstractNumId w:val="23"/>
  </w:num>
  <w:num w:numId="35" w16cid:durableId="581530033">
    <w:abstractNumId w:val="25"/>
  </w:num>
  <w:num w:numId="36" w16cid:durableId="9846294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CC"/>
    <w:rsid w:val="000370F1"/>
    <w:rsid w:val="000760AB"/>
    <w:rsid w:val="000C089F"/>
    <w:rsid w:val="001F7365"/>
    <w:rsid w:val="002B64A6"/>
    <w:rsid w:val="004D344F"/>
    <w:rsid w:val="00513973"/>
    <w:rsid w:val="00546D77"/>
    <w:rsid w:val="00717198"/>
    <w:rsid w:val="007C6042"/>
    <w:rsid w:val="008577E8"/>
    <w:rsid w:val="008D3E08"/>
    <w:rsid w:val="00991C0F"/>
    <w:rsid w:val="009B305A"/>
    <w:rsid w:val="00B00277"/>
    <w:rsid w:val="00B369EC"/>
    <w:rsid w:val="00BC3417"/>
    <w:rsid w:val="00BC4DA1"/>
    <w:rsid w:val="00C93CCC"/>
    <w:rsid w:val="00CE0018"/>
    <w:rsid w:val="00CE3F7F"/>
    <w:rsid w:val="00D60A1D"/>
    <w:rsid w:val="00E379B2"/>
    <w:rsid w:val="00E605F9"/>
    <w:rsid w:val="00EA33B6"/>
    <w:rsid w:val="00EB4797"/>
    <w:rsid w:val="00F00583"/>
    <w:rsid w:val="00F34379"/>
    <w:rsid w:val="00F43C1F"/>
    <w:rsid w:val="00F96586"/>
    <w:rsid w:val="00FD45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B9D97"/>
  <w15:chartTrackingRefBased/>
  <w15:docId w15:val="{D5C0325E-C9FD-4E76-A1D4-6A1D1B83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60AB"/>
    <w:pPr>
      <w:keepNext/>
      <w:spacing w:before="240" w:after="6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0760AB"/>
    <w:pPr>
      <w:keepNext/>
      <w:spacing w:before="240" w:after="60"/>
      <w:outlineLvl w:val="1"/>
    </w:pPr>
    <w:rPr>
      <w:rFonts w:ascii="Calibri Light" w:hAnsi="Calibri Light"/>
      <w:color w:val="2E74B5"/>
      <w:sz w:val="26"/>
      <w:szCs w:val="26"/>
    </w:rPr>
  </w:style>
  <w:style w:type="paragraph" w:styleId="Heading4">
    <w:name w:val="heading 4"/>
    <w:basedOn w:val="Normal"/>
    <w:next w:val="Normal"/>
    <w:link w:val="Heading4Char"/>
    <w:uiPriority w:val="9"/>
    <w:unhideWhenUsed/>
    <w:qFormat/>
    <w:rsid w:val="000760AB"/>
    <w:pPr>
      <w:keepNext/>
      <w:suppressAutoHyphens/>
      <w:spacing w:before="240" w:after="60"/>
      <w:outlineLvl w:val="3"/>
    </w:pPr>
    <w:rPr>
      <w:rFonts w:ascii="Calibri" w:hAnsi="Calibri"/>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p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BlockText">
    <w:name w:val="Block Text"/>
    <w:basedOn w:val="Normal"/>
    <w:pPr>
      <w:ind w:left="540" w:right="892"/>
      <w:jc w:val="both"/>
    </w:pPr>
    <w:rPr>
      <w:rFonts w:ascii="Arial" w:hAnsi="Arial"/>
      <w:sz w:val="28"/>
    </w:rPr>
  </w:style>
  <w:style w:type="paragraph" w:styleId="FootnoteText">
    <w:name w:val="footnote text"/>
    <w:basedOn w:val="Normal"/>
    <w:link w:val="FootnoteTextChar"/>
    <w:rsid w:val="008577E8"/>
    <w:rPr>
      <w:sz w:val="20"/>
      <w:szCs w:val="20"/>
    </w:rPr>
  </w:style>
  <w:style w:type="character" w:customStyle="1" w:styleId="FootnoteTextChar">
    <w:name w:val="Footnote Text Char"/>
    <w:link w:val="FootnoteText"/>
    <w:rsid w:val="008577E8"/>
    <w:rPr>
      <w:lang w:val="da-DK" w:eastAsia="es-ES" w:bidi="ar-SA"/>
    </w:rPr>
  </w:style>
  <w:style w:type="paragraph" w:customStyle="1" w:styleId="Ttulo11">
    <w:name w:val="Título 11"/>
    <w:basedOn w:val="Normal"/>
    <w:next w:val="Normal"/>
    <w:uiPriority w:val="9"/>
    <w:qFormat/>
    <w:rsid w:val="000760AB"/>
    <w:pPr>
      <w:keepNext/>
      <w:keepLines/>
      <w:spacing w:before="240" w:line="259" w:lineRule="auto"/>
      <w:outlineLvl w:val="0"/>
    </w:pPr>
    <w:rPr>
      <w:rFonts w:ascii="Calibri Light" w:hAnsi="Calibri Light"/>
      <w:color w:val="2E74B5"/>
      <w:sz w:val="32"/>
      <w:szCs w:val="32"/>
      <w:lang w:eastAsia="en-US"/>
    </w:rPr>
  </w:style>
  <w:style w:type="paragraph" w:customStyle="1" w:styleId="Ttulo21">
    <w:name w:val="Título 21"/>
    <w:basedOn w:val="Normal"/>
    <w:next w:val="Normal"/>
    <w:uiPriority w:val="9"/>
    <w:semiHidden/>
    <w:unhideWhenUsed/>
    <w:qFormat/>
    <w:rsid w:val="000760AB"/>
    <w:pPr>
      <w:keepNext/>
      <w:keepLines/>
      <w:spacing w:before="40" w:line="259" w:lineRule="auto"/>
      <w:outlineLvl w:val="1"/>
    </w:pPr>
    <w:rPr>
      <w:rFonts w:ascii="Calibri Light" w:hAnsi="Calibri Light"/>
      <w:color w:val="2E74B5"/>
      <w:sz w:val="26"/>
      <w:szCs w:val="26"/>
      <w:lang w:eastAsia="en-US"/>
    </w:rPr>
  </w:style>
  <w:style w:type="character" w:customStyle="1" w:styleId="Heading4Char">
    <w:name w:val="Heading 4 Char"/>
    <w:basedOn w:val="DefaultParagraphFont"/>
    <w:link w:val="Heading4"/>
    <w:uiPriority w:val="9"/>
    <w:rsid w:val="000760AB"/>
    <w:rPr>
      <w:rFonts w:ascii="Calibri" w:hAnsi="Calibri"/>
      <w:b/>
      <w:bCs/>
      <w:sz w:val="28"/>
      <w:szCs w:val="28"/>
      <w:lang w:eastAsia="zh-CN"/>
    </w:rPr>
  </w:style>
  <w:style w:type="numbering" w:customStyle="1" w:styleId="Sinlista1">
    <w:name w:val="Sin lista1"/>
    <w:next w:val="NoList"/>
    <w:uiPriority w:val="99"/>
    <w:semiHidden/>
    <w:unhideWhenUsed/>
    <w:rsid w:val="000760AB"/>
  </w:style>
  <w:style w:type="character" w:customStyle="1" w:styleId="Heading1Char">
    <w:name w:val="Heading 1 Char"/>
    <w:link w:val="Heading1"/>
    <w:uiPriority w:val="9"/>
    <w:rsid w:val="000760AB"/>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sid w:val="000760AB"/>
    <w:rPr>
      <w:rFonts w:ascii="Calibri Light" w:eastAsia="Times New Roman" w:hAnsi="Calibri Light" w:cs="Times New Roman"/>
      <w:color w:val="2E74B5"/>
      <w:sz w:val="26"/>
      <w:szCs w:val="26"/>
    </w:rPr>
  </w:style>
  <w:style w:type="paragraph" w:customStyle="1" w:styleId="Prrafodelista1">
    <w:name w:val="Párrafo de lista1"/>
    <w:basedOn w:val="Normal"/>
    <w:next w:val="ListParagraph"/>
    <w:uiPriority w:val="34"/>
    <w:qFormat/>
    <w:rsid w:val="000760AB"/>
    <w:pPr>
      <w:spacing w:after="160" w:line="259" w:lineRule="auto"/>
      <w:ind w:left="720"/>
      <w:contextualSpacing/>
    </w:pPr>
    <w:rPr>
      <w:rFonts w:ascii="Calibri" w:eastAsia="Calibri" w:hAnsi="Calibri"/>
      <w:sz w:val="22"/>
      <w:szCs w:val="22"/>
      <w:lang w:eastAsia="en-US"/>
    </w:rPr>
  </w:style>
  <w:style w:type="character" w:styleId="CommentReference">
    <w:name w:val="annotation reference"/>
    <w:unhideWhenUsed/>
    <w:rsid w:val="000760AB"/>
    <w:rPr>
      <w:sz w:val="16"/>
      <w:szCs w:val="16"/>
    </w:rPr>
  </w:style>
  <w:style w:type="paragraph" w:customStyle="1" w:styleId="Textocomentario1">
    <w:name w:val="Texto comentario1"/>
    <w:basedOn w:val="Normal"/>
    <w:next w:val="CommentText"/>
    <w:link w:val="TextocomentarioCar"/>
    <w:unhideWhenUsed/>
    <w:qFormat/>
    <w:rsid w:val="000760AB"/>
    <w:pPr>
      <w:spacing w:after="160"/>
    </w:pPr>
    <w:rPr>
      <w:sz w:val="20"/>
      <w:szCs w:val="20"/>
    </w:rPr>
  </w:style>
  <w:style w:type="character" w:customStyle="1" w:styleId="TextocomentarioCar">
    <w:name w:val="Texto comentario Car"/>
    <w:link w:val="Textocomentario1"/>
    <w:rsid w:val="000760AB"/>
    <w:rPr>
      <w:sz w:val="20"/>
      <w:szCs w:val="20"/>
    </w:rPr>
  </w:style>
  <w:style w:type="paragraph" w:customStyle="1" w:styleId="Textodeglobo1">
    <w:name w:val="Texto de globo1"/>
    <w:basedOn w:val="Normal"/>
    <w:next w:val="BalloonText"/>
    <w:link w:val="TextodegloboCar"/>
    <w:uiPriority w:val="99"/>
    <w:semiHidden/>
    <w:unhideWhenUsed/>
    <w:rsid w:val="000760AB"/>
    <w:rPr>
      <w:rFonts w:ascii="Segoe UI" w:hAnsi="Segoe UI" w:cs="Segoe UI"/>
      <w:sz w:val="18"/>
      <w:szCs w:val="18"/>
    </w:rPr>
  </w:style>
  <w:style w:type="character" w:customStyle="1" w:styleId="TextodegloboCar">
    <w:name w:val="Texto de globo Car"/>
    <w:link w:val="Textodeglobo1"/>
    <w:uiPriority w:val="99"/>
    <w:semiHidden/>
    <w:rsid w:val="000760AB"/>
    <w:rPr>
      <w:rFonts w:ascii="Segoe UI" w:hAnsi="Segoe UI" w:cs="Segoe UI"/>
      <w:sz w:val="18"/>
      <w:szCs w:val="18"/>
    </w:rPr>
  </w:style>
  <w:style w:type="paragraph" w:customStyle="1" w:styleId="Asuntodelcomentario1">
    <w:name w:val="Asunto del comentario1"/>
    <w:basedOn w:val="CommentText"/>
    <w:next w:val="CommentText"/>
    <w:uiPriority w:val="99"/>
    <w:semiHidden/>
    <w:unhideWhenUsed/>
    <w:rsid w:val="000760AB"/>
    <w:pPr>
      <w:spacing w:after="160"/>
    </w:pPr>
    <w:rPr>
      <w:rFonts w:ascii="Calibri" w:eastAsia="Calibri" w:hAnsi="Calibri"/>
      <w:b/>
      <w:bCs/>
      <w:lang w:eastAsia="en-US"/>
    </w:rPr>
  </w:style>
  <w:style w:type="character" w:customStyle="1" w:styleId="CommentSubjectChar">
    <w:name w:val="Comment Subject Char"/>
    <w:link w:val="CommentSubject"/>
    <w:uiPriority w:val="99"/>
    <w:semiHidden/>
    <w:rsid w:val="000760AB"/>
    <w:rPr>
      <w:b/>
      <w:bCs/>
      <w:sz w:val="20"/>
      <w:szCs w:val="20"/>
    </w:rPr>
  </w:style>
  <w:style w:type="character" w:customStyle="1" w:styleId="HeaderChar">
    <w:name w:val="Header Char"/>
    <w:basedOn w:val="DefaultParagraphFont"/>
    <w:link w:val="Header"/>
    <w:uiPriority w:val="99"/>
    <w:rsid w:val="000760AB"/>
    <w:rPr>
      <w:sz w:val="24"/>
      <w:szCs w:val="24"/>
    </w:rPr>
  </w:style>
  <w:style w:type="character" w:customStyle="1" w:styleId="FooterChar">
    <w:name w:val="Footer Char"/>
    <w:basedOn w:val="DefaultParagraphFont"/>
    <w:link w:val="Footer"/>
    <w:uiPriority w:val="99"/>
    <w:rsid w:val="000760AB"/>
    <w:rPr>
      <w:sz w:val="24"/>
      <w:szCs w:val="24"/>
    </w:rPr>
  </w:style>
  <w:style w:type="table" w:customStyle="1" w:styleId="Tablaconcuadrcula1">
    <w:name w:val="Tabla con cuadrícula1"/>
    <w:basedOn w:val="TableNormal"/>
    <w:next w:val="TableGrid"/>
    <w:uiPriority w:val="39"/>
    <w:rsid w:val="000760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60AB"/>
    <w:pPr>
      <w:autoSpaceDE w:val="0"/>
      <w:autoSpaceDN w:val="0"/>
      <w:adjustRightInd w:val="0"/>
    </w:pPr>
    <w:rPr>
      <w:rFonts w:ascii="Arial" w:eastAsia="Calibri" w:hAnsi="Arial" w:cs="Arial"/>
      <w:color w:val="000000"/>
      <w:sz w:val="24"/>
      <w:szCs w:val="24"/>
      <w:lang w:eastAsia="en-US"/>
    </w:rPr>
  </w:style>
  <w:style w:type="character" w:customStyle="1" w:styleId="st1">
    <w:name w:val="st1"/>
    <w:basedOn w:val="DefaultParagraphFont"/>
    <w:rsid w:val="000760AB"/>
  </w:style>
  <w:style w:type="paragraph" w:customStyle="1" w:styleId="CTENumeracion">
    <w:name w:val="CTE_Numeracion"/>
    <w:basedOn w:val="Normal"/>
    <w:qFormat/>
    <w:rsid w:val="000760AB"/>
    <w:pPr>
      <w:spacing w:before="60" w:after="60"/>
      <w:ind w:left="357" w:hanging="357"/>
      <w:jc w:val="both"/>
    </w:pPr>
    <w:rPr>
      <w:rFonts w:ascii="Arial" w:hAnsi="Arial"/>
      <w:sz w:val="20"/>
    </w:rPr>
  </w:style>
  <w:style w:type="character" w:customStyle="1" w:styleId="CTEModTachaprob">
    <w:name w:val="CTE_Mod_Tach_aprob"/>
    <w:rsid w:val="000760AB"/>
    <w:rPr>
      <w:strike w:val="0"/>
      <w:dstrike w:val="0"/>
      <w:shd w:val="clear" w:color="auto" w:fill="FFFF00"/>
    </w:rPr>
  </w:style>
  <w:style w:type="paragraph" w:styleId="BodyTextIndent2">
    <w:name w:val="Body Text Indent 2"/>
    <w:basedOn w:val="Normal"/>
    <w:link w:val="BodyTextIndent2Char"/>
    <w:uiPriority w:val="99"/>
    <w:unhideWhenUsed/>
    <w:rsid w:val="000760AB"/>
    <w:pPr>
      <w:suppressAutoHyphens/>
      <w:spacing w:after="120" w:line="480" w:lineRule="auto"/>
      <w:ind w:left="283"/>
    </w:pPr>
    <w:rPr>
      <w:sz w:val="20"/>
      <w:szCs w:val="20"/>
      <w:lang w:eastAsia="zh-CN"/>
    </w:rPr>
  </w:style>
  <w:style w:type="character" w:customStyle="1" w:styleId="BodyTextIndent2Char">
    <w:name w:val="Body Text Indent 2 Char"/>
    <w:basedOn w:val="DefaultParagraphFont"/>
    <w:link w:val="BodyTextIndent2"/>
    <w:uiPriority w:val="99"/>
    <w:rsid w:val="000760AB"/>
    <w:rPr>
      <w:lang w:eastAsia="zh-CN"/>
    </w:rPr>
  </w:style>
  <w:style w:type="paragraph" w:customStyle="1" w:styleId="CteTtulo3">
    <w:name w:val="CteTítulo3"/>
    <w:basedOn w:val="Normal"/>
    <w:next w:val="Normal"/>
    <w:autoRedefine/>
    <w:rsid w:val="000760AB"/>
    <w:pPr>
      <w:keepNext/>
      <w:numPr>
        <w:ilvl w:val="2"/>
      </w:numPr>
      <w:spacing w:before="60" w:after="120"/>
      <w:ind w:left="851"/>
      <w:jc w:val="both"/>
      <w:outlineLvl w:val="3"/>
    </w:pPr>
    <w:rPr>
      <w:rFonts w:ascii="Arial" w:hAnsi="Arial"/>
      <w:b/>
      <w:bCs/>
      <w:sz w:val="22"/>
      <w:szCs w:val="22"/>
      <w:lang w:eastAsia="zh-CN"/>
    </w:rPr>
  </w:style>
  <w:style w:type="paragraph" w:customStyle="1" w:styleId="CteAnejo-TituloSeccion">
    <w:name w:val="CteAnejo-TituloSeccion"/>
    <w:basedOn w:val="Normal"/>
    <w:rsid w:val="000760AB"/>
    <w:pPr>
      <w:keepNext/>
      <w:spacing w:before="480" w:after="160"/>
      <w:outlineLvl w:val="0"/>
    </w:pPr>
    <w:rPr>
      <w:rFonts w:ascii="Arial" w:hAnsi="Arial"/>
      <w:b/>
      <w:bCs/>
      <w:sz w:val="32"/>
    </w:rPr>
  </w:style>
  <w:style w:type="character" w:customStyle="1" w:styleId="EstiloCTEModTachaprob16ptNegritaSinTachado">
    <w:name w:val="Estilo CTE_Mod_Tach_aprob + 16 pt Negrita Sin Tachado"/>
    <w:rsid w:val="000760AB"/>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0760AB"/>
    <w:rPr>
      <w:strike/>
      <w:dstrike w:val="0"/>
      <w:bdr w:val="none" w:sz="0" w:space="0" w:color="auto"/>
      <w:shd w:val="clear" w:color="auto" w:fill="auto"/>
    </w:rPr>
  </w:style>
  <w:style w:type="paragraph" w:customStyle="1" w:styleId="Textoindependiente1">
    <w:name w:val="Texto independiente1"/>
    <w:basedOn w:val="Normal"/>
    <w:next w:val="BodyText"/>
    <w:link w:val="TextoindependienteCar"/>
    <w:uiPriority w:val="99"/>
    <w:semiHidden/>
    <w:unhideWhenUsed/>
    <w:rsid w:val="000760AB"/>
    <w:pPr>
      <w:spacing w:after="120" w:line="259" w:lineRule="auto"/>
    </w:pPr>
    <w:rPr>
      <w:sz w:val="20"/>
      <w:szCs w:val="20"/>
    </w:rPr>
  </w:style>
  <w:style w:type="character" w:customStyle="1" w:styleId="TextoindependienteCar">
    <w:name w:val="Texto independiente Car"/>
    <w:basedOn w:val="DefaultParagraphFont"/>
    <w:link w:val="Textoindependiente1"/>
    <w:uiPriority w:val="99"/>
    <w:semiHidden/>
    <w:rsid w:val="000760AB"/>
  </w:style>
  <w:style w:type="paragraph" w:customStyle="1" w:styleId="nota">
    <w:name w:val="nota"/>
    <w:basedOn w:val="Normal"/>
    <w:rsid w:val="000760AB"/>
    <w:pPr>
      <w:tabs>
        <w:tab w:val="left" w:pos="1122"/>
        <w:tab w:val="left" w:pos="1309"/>
      </w:tabs>
      <w:jc w:val="both"/>
    </w:pPr>
    <w:rPr>
      <w:rFonts w:ascii="Arial" w:hAnsi="Arial" w:cs="Arial"/>
      <w:bCs/>
      <w:sz w:val="20"/>
    </w:rPr>
  </w:style>
  <w:style w:type="paragraph" w:customStyle="1" w:styleId="Ttulo1CTE">
    <w:name w:val="Título1CTE"/>
    <w:basedOn w:val="Heading1"/>
    <w:next w:val="Normal"/>
    <w:autoRedefine/>
    <w:rsid w:val="000760AB"/>
  </w:style>
  <w:style w:type="paragraph" w:customStyle="1" w:styleId="artculo-tex">
    <w:name w:val="artículo-tex"/>
    <w:basedOn w:val="Normal"/>
    <w:rsid w:val="000760AB"/>
    <w:pPr>
      <w:pBdr>
        <w:top w:val="single" w:sz="4" w:space="1" w:color="00000A"/>
        <w:left w:val="single" w:sz="4" w:space="4" w:color="00000A"/>
        <w:bottom w:val="single" w:sz="4" w:space="1" w:color="00000A"/>
        <w:right w:val="single" w:sz="4" w:space="4" w:color="00000A"/>
      </w:pBdr>
      <w:suppressAutoHyphens/>
      <w:autoSpaceDN w:val="0"/>
      <w:spacing w:before="60" w:after="60"/>
      <w:textAlignment w:val="baseline"/>
    </w:pPr>
    <w:rPr>
      <w:rFonts w:ascii="Arial" w:eastAsia="Arial" w:hAnsi="Arial" w:cs="Arial"/>
      <w:kern w:val="3"/>
      <w:sz w:val="22"/>
      <w:lang w:bidi="hi-IN"/>
    </w:rPr>
  </w:style>
  <w:style w:type="numbering" w:customStyle="1" w:styleId="WWNum3">
    <w:name w:val="WWNum3"/>
    <w:basedOn w:val="NoList"/>
    <w:rsid w:val="000760AB"/>
    <w:pPr>
      <w:numPr>
        <w:numId w:val="7"/>
      </w:numPr>
    </w:pPr>
  </w:style>
  <w:style w:type="paragraph" w:customStyle="1" w:styleId="Revisin1">
    <w:name w:val="Revisión1"/>
    <w:next w:val="Revision"/>
    <w:hidden/>
    <w:uiPriority w:val="99"/>
    <w:semiHidden/>
    <w:rsid w:val="000760AB"/>
    <w:rPr>
      <w:rFonts w:ascii="Calibri" w:eastAsia="Calibri" w:hAnsi="Calibri"/>
      <w:sz w:val="22"/>
      <w:szCs w:val="22"/>
      <w:lang w:eastAsia="en-US"/>
    </w:rPr>
  </w:style>
  <w:style w:type="paragraph" w:customStyle="1" w:styleId="NormalWeb1">
    <w:name w:val="Normal (Web)1"/>
    <w:basedOn w:val="Normal"/>
    <w:next w:val="NormalWeb"/>
    <w:uiPriority w:val="99"/>
    <w:semiHidden/>
    <w:unhideWhenUsed/>
    <w:rsid w:val="000760AB"/>
    <w:pPr>
      <w:spacing w:before="100" w:beforeAutospacing="1" w:after="100" w:afterAutospacing="1"/>
    </w:pPr>
    <w:rPr>
      <w:rFonts w:eastAsia="Calibri"/>
    </w:rPr>
  </w:style>
  <w:style w:type="paragraph" w:customStyle="1" w:styleId="CTENormal">
    <w:name w:val="CTE_Normal"/>
    <w:basedOn w:val="Normal"/>
    <w:qFormat/>
    <w:rsid w:val="000760AB"/>
    <w:pPr>
      <w:spacing w:before="200" w:after="100"/>
    </w:pPr>
    <w:rPr>
      <w:rFonts w:ascii="Arial" w:eastAsia="Arial" w:hAnsi="Arial" w:cs="Arial"/>
      <w:kern w:val="2"/>
      <w:sz w:val="22"/>
      <w:lang w:eastAsia="zh-CN" w:bidi="hi-IN"/>
    </w:rPr>
  </w:style>
  <w:style w:type="paragraph" w:customStyle="1" w:styleId="CteTtulo2">
    <w:name w:val="CteTítulo2"/>
    <w:basedOn w:val="Heading2"/>
    <w:qFormat/>
    <w:rsid w:val="000760AB"/>
  </w:style>
  <w:style w:type="character" w:customStyle="1" w:styleId="Ninguno">
    <w:name w:val="Ninguno"/>
    <w:rsid w:val="000760AB"/>
  </w:style>
  <w:style w:type="character" w:customStyle="1" w:styleId="Ttulo1Car1">
    <w:name w:val="Título 1 Car1"/>
    <w:basedOn w:val="DefaultParagraphFont"/>
    <w:rsid w:val="000760AB"/>
    <w:rPr>
      <w:rFonts w:asciiTheme="majorHAnsi" w:eastAsiaTheme="majorEastAsia" w:hAnsiTheme="majorHAnsi" w:cstheme="majorBidi"/>
      <w:b/>
      <w:bCs/>
      <w:kern w:val="32"/>
      <w:sz w:val="32"/>
      <w:szCs w:val="32"/>
    </w:rPr>
  </w:style>
  <w:style w:type="character" w:customStyle="1" w:styleId="Ttulo2Car1">
    <w:name w:val="Título 2 Car1"/>
    <w:basedOn w:val="DefaultParagraphFont"/>
    <w:semiHidden/>
    <w:rsid w:val="000760AB"/>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0760AB"/>
    <w:pPr>
      <w:ind w:left="708"/>
    </w:pPr>
  </w:style>
  <w:style w:type="paragraph" w:styleId="CommentText">
    <w:name w:val="annotation text"/>
    <w:basedOn w:val="Normal"/>
    <w:link w:val="CommentTextChar"/>
    <w:rsid w:val="000760AB"/>
    <w:rPr>
      <w:sz w:val="20"/>
      <w:szCs w:val="20"/>
    </w:rPr>
  </w:style>
  <w:style w:type="character" w:customStyle="1" w:styleId="CommentTextChar">
    <w:name w:val="Comment Text Char"/>
    <w:basedOn w:val="DefaultParagraphFont"/>
    <w:link w:val="CommentText"/>
    <w:rsid w:val="000760AB"/>
  </w:style>
  <w:style w:type="paragraph" w:styleId="BalloonText">
    <w:name w:val="Balloon Text"/>
    <w:basedOn w:val="Normal"/>
    <w:link w:val="BalloonTextChar"/>
    <w:semiHidden/>
    <w:unhideWhenUsed/>
    <w:rsid w:val="000760AB"/>
    <w:rPr>
      <w:rFonts w:ascii="Segoe UI" w:hAnsi="Segoe UI" w:cs="Segoe UI"/>
      <w:sz w:val="18"/>
      <w:szCs w:val="18"/>
    </w:rPr>
  </w:style>
  <w:style w:type="character" w:customStyle="1" w:styleId="BalloonTextChar">
    <w:name w:val="Balloon Text Char"/>
    <w:basedOn w:val="DefaultParagraphFont"/>
    <w:link w:val="BalloonText"/>
    <w:semiHidden/>
    <w:rsid w:val="000760A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760AB"/>
    <w:rPr>
      <w:b/>
      <w:bCs/>
    </w:rPr>
  </w:style>
  <w:style w:type="character" w:customStyle="1" w:styleId="AsuntodelcomentarioCar1">
    <w:name w:val="Asunto del comentario Car1"/>
    <w:basedOn w:val="CommentTextChar"/>
    <w:semiHidden/>
    <w:rsid w:val="000760AB"/>
    <w:rPr>
      <w:b/>
      <w:bCs/>
    </w:rPr>
  </w:style>
  <w:style w:type="table" w:styleId="TableGrid">
    <w:name w:val="Table Grid"/>
    <w:basedOn w:val="TableNormal"/>
    <w:rsid w:val="00076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760AB"/>
    <w:pPr>
      <w:spacing w:after="120"/>
    </w:pPr>
  </w:style>
  <w:style w:type="character" w:customStyle="1" w:styleId="BodyTextChar">
    <w:name w:val="Body Text Char"/>
    <w:basedOn w:val="DefaultParagraphFont"/>
    <w:link w:val="BodyText"/>
    <w:rsid w:val="000760AB"/>
    <w:rPr>
      <w:sz w:val="24"/>
      <w:szCs w:val="24"/>
    </w:rPr>
  </w:style>
  <w:style w:type="paragraph" w:styleId="Revision">
    <w:name w:val="Revision"/>
    <w:hidden/>
    <w:uiPriority w:val="99"/>
    <w:semiHidden/>
    <w:rsid w:val="000760AB"/>
    <w:rPr>
      <w:sz w:val="24"/>
      <w:szCs w:val="24"/>
    </w:rPr>
  </w:style>
  <w:style w:type="paragraph" w:styleId="NormalWeb">
    <w:name w:val="Normal (Web)"/>
    <w:basedOn w:val="Normal"/>
    <w:rsid w:val="0007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LANTILLAS\R.D.%20BLAN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BLANCA</Template>
  <TotalTime>0</TotalTime>
  <Pages>16</Pages>
  <Words>7088</Words>
  <Characters>43169</Characters>
  <Application>Microsoft Office Word</Application>
  <DocSecurity>0</DocSecurity>
  <Lines>605</Lines>
  <Paragraphs>246</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50073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mlasalgado</dc:creator>
  <cp:keywords>class='Internal'</cp:keywords>
  <dc:description/>
  <cp:lastModifiedBy>Ines Varvodic</cp:lastModifiedBy>
  <cp:revision>2</cp:revision>
  <cp:lastPrinted>2002-07-26T08:33:00Z</cp:lastPrinted>
  <dcterms:created xsi:type="dcterms:W3CDTF">2022-09-12T07:15:00Z</dcterms:created>
  <dcterms:modified xsi:type="dcterms:W3CDTF">2022-09-12T07:15:00Z</dcterms:modified>
</cp:coreProperties>
</file>