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Navrhuje sa, aby Rada ministrov schválila tento návrh ustanovenia:</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Návrh kráľovského dekrétu, ktorým sa mení technický stavebný zákon, schválený kráľovským dekrétom č. 314/2006 zo 17. marca 2006.</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V zákone č. 38/1999 z 5. novembra o stavebných predpisoch sa vymedzuje technický stavebný zákon (CTE) ako regulačný rámec, ktorým sa stanovujú základné požiadavky na kvalitu budov a ich zariadení a ktorým sa umožňuje súlad so základnými požiadavkami stanovenými v článku 3. Technický stavebný zákon (CTE) uvedený v tomto zákone bol schválený kráľovským dekrétom č. 314/2006 zo 17. marca. V základných dokumentoch, ktoré tvoria časť II CTE, sa stanovujú a prípadne kvantifikujú základné požiadavky stanovené v časti I prostredníctvom stanovenia cieľových úrovní alebo limitov výkonnosti alebo iných parametrov. Najmä v základnom dokumente DB-HE „Úspory energie“ sa špecifikujú a kvantifikujú požiadavky na energetickú efektívnosť, ktoré majú spĺňať novopostavené budovy, ako aj zásahy do existujúcich budov.</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Dňa 30. mája 2018 bola prijatá smernica Európskeho parlamentu a Rady (EÚ) 2018/844, ktorou sa mení smernica 2010/31/EÚ o energetickej hospodárnosti budov a smernica 2012/27/EÚ o energetickej efektívnosti.</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Táto smernica podporuje zavedenie osobitných požiadaviek na implementáciu infraštruktúry nabíjania elektrických vozidiel na parkoviskách v budovách. Sektor stavebníctva aj sektor mobility by preto mali byť strategickými oblasťami pre celkovú dekarbonizáciu hospodárstva s regulačným rámcom, ktorého cieľom je podporiť inovácie, udržateľnosť a energetickú efektívnosť v týchto sektoroch.</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Rozvoj infraštruktúry na inteligentné nabíjanie elektrických vozidiel zase prispeje k riadeniu a flexibilite energie, využívaniu obnoviteľných zdrojov energie a zlepšeniu kvality ovzdušia a jej energetická hospodárnosť sa optimalizuje tým, že budovy sa stanú digitálnejšími a do tejto oblasti sa začlenia nové technológie.</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V integrovanom národnom energetickom a klimatickom pláne na roky 2021 – 2030 (PNIEC), ktorý Španielsko predložilo Európskej komisii, sa plánuje podpora elektrickej mobility ako opatrenia na zníženie spotreby energie a emisií vozidiel prostredníctvom regulačných úprav a začlenenia právnych predpisov Európskej únie, ktoré umožnia zavedenie infraštruktúry na nabíjanie elektrických vozidiel v súlade s rozvojom elektrifikácie vozového parku, ako aj prostredníctvom iných mechanizmov stimulácie a podpory.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 cieľom dosiahnuť tieto ciele a čiastočne transponovať smernicu v tejto súvislosti sa týmto kráľovským dekrétom do technického stavebného zákona zavádza nová základná požiadavka na úsporu energie, ktorá sa týka minimálnych kvót </w:t>
      </w:r>
      <w:r>
        <w:rPr>
          <w:rFonts w:ascii="Calibri" w:hAnsi="Calibri"/>
          <w:sz w:val="22"/>
        </w:rPr>
        <w:lastRenderedPageBreak/>
        <w:t xml:space="preserve">na nabíjaciu infraštruktúru elektrických vozidiel, ktorá sa vyvíja v novom oddiele HE 6 „Minimálne zariadenia nabíjacej infraštruktúry pre elektrické vozidlá“ základného dokumentu o DB-HE „Úspora energie“.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Na druhej strane je potrebné poznamenať, že zákon 7/2021 z 20. mája o zmene klímy a energetickej transformácii v článku 15 ods. 10 odkazuje na technický stavebný zákon (CTE) pre toto nariadenie s cieľom stanoviť minimálne ustanovenia o infraštruktúre nabíjania elektrických vozidiel pre existujúce budovy na iné ako súkromné obytné účely, ktoré majú parkovaciu plochu s viac ako dvadsiatimi miestami, a to buď vo vnútri, alebo v pridelenom vonkajšom priestore, pričom ide o ustanovenia, ktoré by mali byť zavedené pred 1. januárom 2023. Tieto minimálne kvóty však boli nakoniec stanovené kráľovským zákonným dekrétom č. 29/2021 z 21. decembra, ktorým sa prijímajú naliehavé opatrenia v oblasti energetiky na podporu elektrickej mobility, vlastnej spotreby a využívania energie z obnoviteľných zdrojov, čo zahŕňa túto požiadavku v článku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S cieľom dokončiť reguláciu infraštruktúr nabíjania elektrických vozidiel sa mení aj kráľovský dekrét č. 1053/2014 z 12. decembra, ktorým sa schvaľuje nový doplňujúci technický pokyn (ITC) BT 52 „Inštalácie na osobitné účely. Infraštruktúra pre nabíjanie elektrických vozidiel“ nariadenia o nízkonapäťových elektrotechnických zariadeniach schváleného kráľovským dekrétom č. 842/2002 z 2. augusta a menia sa ďalšie doplňujúce technické pokyny k nemu.</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Okrem toho sa v PNIEC ako opatrenie na podporu energie z obnoviteľných zdrojov, zlepšenie konkurencieschopnosti výrobných odvetví a podnietenie spotrebiteľov, aby sa viac zapájali do riadenia svojej energie, plánuje rozvoj vlastnej spotreby s energiou z obnoviteľných zdrojov a distribuovanej výroby v obytných a obchodných oblastiach.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Schválenie kráľovského dekrétu č. 244/2019 z 5. apríla, ktorým sa upravujú administratívne, technické a hospodárske podmienky vlastnej spotreby elektrickej energie, v tejto súvislosti umožnilo okrem iného kolektívnu vlastnú spotrebu a zároveň obmedzilo administratívne postupy na realizáciu vlastnej spotreby. Dospelo sa preto k záveru, že súčasný právny rámec umožňuje rozšírenie rozsahu základnej požiadavky HE 5 týkajúcej sa minimálnej výroby elektrickej energie z obnoviteľných zdrojov tak, aby sa uplatňovala v budovách na súkromné účely bývania, ako aj znížením prahovej hodnoty vybudovanej plochy v budovách na všetky použitia, na ktoré sa vzťahuje požiadavka.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Okrem toho sa považuje za potrebné zmeniť niektoré časti základných dokumentov DB-HE „Úspora energie“</w:t>
      </w:r>
      <w:bookmarkStart w:id="0" w:name="_Hlk92819359"/>
      <w:bookmarkEnd w:id="0"/>
      <w:r>
        <w:rPr>
          <w:rFonts w:ascii="Calibri" w:hAnsi="Calibri"/>
          <w:sz w:val="22"/>
        </w:rPr>
        <w:t xml:space="preserve"> a DB-HS „Zdravie“, aby sa uľahčilo ich uplatňovanie, a rýchlo upraviť základný dokument DB-SUA „Bezpečnosť použitia a prístupnosť“ s cieľom začleniť kritériá prístupnosti k nabíjacím staniciam na prístupných parkovacích miestach.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Zmena zákona CTE týkajúca sa začlenenia nového oddielu HE 6 „Minimálne ustanovenia o nabíjacej infraštruktúre elektrických vozidiel“ základného dokumentu DB-HE o úspore energie, ako aj zmena kráľovského dekrétu č. 1053/2014 z 12. decembra, ktorým sa schvaľuje nový doplňujúci technický pokyn (ITC) BT 52 zahrnutý do prvého záverečného ustanovenia, sú súčasťou regulačných reforiem plánovaných v Pláne obnovy, transformácie a odolnosti (PRTR). Konkrétne zložka 1 PRTR s názvom „Plán udržateľnej, bezpečnej a prepojenej mobility v mestskom a metropolitnom prostredí“ si vyžaduje schválenie tohto kráľovského dekrétu, ktorým sa vykonávajú uvedené regulačné reformy v rámci reformy C1.R1 s názvom „Plán zavádzania nabíjacej infraštruktúry a podpory elektrických vozidiel“.  Reforma C1.R1 je navrhnutá ako štatutárny, regulačný a strategický rámec na uľahčenie zavádzania nabíjacej infraštruktúry na podporu elektrických vozidiel v Španielsku a má dva míľniky. Prvý z nich tvorí nariadenie TMA/178/2020 z 19. februára, ktorým sa mení nariadenie zo 16. decembra 1997, ktorým sa upravujú prístupy k štátnym cestám, obslužným komunikáciám a výstavba servisných zariadení, a kráľovský zákonný dekrét č. 23/2020 z 23. júna, ktorým sa schvaľujú opatrenia v oblasti energetiky a iných oblastí na reaktiváciu hospodárstva. Druhý míľnik reformy C1.R1 zahŕňa schválenie tohto kráľovského dekrétu, ktorým sa mení technický stavebný zákon a kráľovský dekrét č. 1053/2014 z 12. decembra, ktorým sa schvaľuje nový doplňujúci technický pokyn (ITC) BT 52.  Časovým míľnikom tejto reformy je nadobudnutie účinnosti kráľovského dekrétu, ktorým sa táto reforma upravuje, pred 30. júnom 2022. Reforma C1.R1 súvisí s investíciou C1.I2 „Motivačný plán pre inštaláciu nabíjacích staníc, nákup elektrických vozidiel a vozidiel s palivovými článkami a inovácie v oblasti elektromobility, nabíjania a ekologicky čistého </w:t>
      </w:r>
      <w:r>
        <w:rPr>
          <w:rFonts w:ascii="Calibri" w:hAnsi="Calibri"/>
          <w:sz w:val="22"/>
        </w:rPr>
        <w:lastRenderedPageBreak/>
        <w:t xml:space="preserve">vodíka.“ Táto investícia zahŕňa linky pomoci na inštaláciu nabíjacích staníc uvedené v kráľovskom dekréte č. 266/2021 z 13. apríla 2021, ktorým sa schvaľuje priame poskytovanie pomoci autonómnym oblastiam a mestám Ceuta a Melilla na realizáciu motivačných programov spojených s elektrickou mobilitou (MOVES III) v rámci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V tomto kráľovskom dekréte sa rešpektuje zásada „nespôsobovať významnú škodu“ (zásada DNSH – „Do No Significant Harm“) a podmienky pre klimatické a digitálne označovanie v súlade s ustanoveniami PRTR, nariadenia Európskeho parlamentu a Rady (EÚ) 2021/241 z 12. februára 2021, ktorým sa zriaďuje Mechanizmus na podporu obnovy a odolnosti, a jeho vykonávacích právnych predpisov, najmä oznámenia technického usmernenia Komisie k uplatňovaniu zásady „nespôsobovať významnú škodu“ podľa nariadenia o mechanizme odolnosti a obnovy, ako aj požiadavky vykonávacieho rozhodnutia Rady o schválení hodnotenia španielskeho plánu obnovy, transformácie a odolnosti. To zahŕňa dodržiavanie osobitných podmienok stanovených v zložke 1, ako aj v reforme 1, ktorá tvorí pre tento kráľovský dekrét rámec, a to tak vzhľadom na zásadu „nespôsobovať významnú škodu““, ako aj na klimatické a digitálne označovanie, a najmä na tie, ktoré sú uvedené v oddieloch 3, 6 a 8 dokumentu o zložke PRTR. V rámci investícií PRTR C1.I2 spojených s reformou C1.R1 sa takisto dodržiava zásada „nespôsobovať významnú škodu“ v životnom prostredí a podmienky klimatického a digitálneho označovania.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Tento kráľovský dekrét je v súlade so zásadami nevyhnutnosti, účinnosti, proporcionality, právnej istoty, transparentnosti a efektívnosti stanovenými v článku 129 zákona č. 39/2015 z 1. októbra o spoločných administratívnych postupoch vo verejnej správe. Pokiaľ ide o zásady nevyhnutnosti a účinnosti, zákon reaguje na povinnosť transponovať európske smernice do vnútroštátneho práva a je v súlade s cieľmi všeobecného záujmu, ako je prispôsobenie stavebnej infraštruktúry na podporu udržateľnej mobility a využívania energie z obnoviteľných zdrojov. Výsledkom bude blahobyt v spoločnosti a ochrana životného prostredia. Tento kráľovský dekrét je takisto v súlade so zásadou proporcionality, keďže poskytuje potrebné a dostatočné prostriedky na vykonanie zákonného mandátu stanoveného v smernici, nevyžaduje si však inováciu, ktorá môže byť nepotrebná alebo prekračuje zákonné požiadavky, ani nepredstavuje obmedzenie práv občanov. Tento právny predpis je v súlade so zásadou právnej istoty, pretože bol vypracovaný v súlade s postupmi vymedzenými v zákone vlády č. 50/1997 z 27. novembra 1997 a zásadou transparentnosti, pretože jasne určuje jeho účel a jeho obsah v plnom rozsahu vysvetľuje verejne prístupná dôvodová správa. Napokon spĺňa aj zásadu efektívnosti, pretože nespôsobuje žiadnu administratívnu záťaž.</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Toto všeobecné ustanovenie podlieha postupom predchádzajúcej verejnej diskusie, verejného prerokovania a sprístupnenia informácií, ktoré sú stanovené v článku 26 vládneho zákona 50/1997 z 27. novembra, ako aj postupu pri poskytovaní informácií v oblasti technických predpisov a pravidiel vzťahujúcich sa na služby informačnej spoločnosti, ktorý je stanovený v smernici Európskeho parlamentu a Rady (EÚ) 2015/1535 z 9. septembra 2015 a v kráľovskom dekréte č. 1337/1999 z 31. júla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Na základe toho na návrh ministra dopravy, mobility a mestskej agendy a ministra pre ekologickú transformáciu a demografickú výzvu, po dohode so Štátnou radou a po rokovaniach Rady ministrov na jej zasadnutí dňa</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SA NARIAĎUJE: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Jediný článok. </w:t>
      </w:r>
      <w:r>
        <w:rPr>
          <w:rFonts w:ascii="Calibri" w:hAnsi="Calibri"/>
          <w:i/>
          <w:sz w:val="22"/>
        </w:rPr>
        <w:t>Zmena technického stavebného zákona (CTE), schváleného kráľovským dekrétom č. 314/2006 zo 17. marca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Technický stavebný zákon (CTE), schválený kráľovským dekrétom č. 314/2006 zo 17. marca, sa mení takto:</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Po prvé. Index v časti I sa mení takto:</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Znenie „15.6. Základná požiadavka HE5: Minimálna výroba elektrickej energie" toto znenie:</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„15.6. Základná požiadavka HE 5: Minimálna výroba elektrickej energie z obnoviteľných zdrojov“</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Do odkazu na článok 15 sa vkladá ďalší bod s týmto textom:</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Základná požiadavka HE6: Minimálne zariadenia nabíjacej infraštruktúry pre elektrické vozidlá.</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Po druhé. Článok 15 časti I sa mení takto:</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Bod 15.6 sa mení takto:</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Základná požiadavka HE 5: Minimálna výroba elektrickej energie z obnoviteľných zdrojov.</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Budovy musia mať systémy na výrobu elektrickej energie z obnoviteľných zdrojov na vlastnú spotrebu alebo na zásobovanie rozvodnej siete.“</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Dopĺňa sa nový oddiel 15.7 s týmto obsahom:</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Základná požiadavka HE 6: Minimálne zariadenia nabíjacej infraštruktúry pre elektrické vozidlá.</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Budovy musia mať minimálnu infraštruktúru umožňujúcu nabíjanie elektrických vozidiel.“</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 tretie. V základnom dokumente DB-HE „Úspora energie“, ktorý je zahrnutý v časti II, sa vykonávajú tieto zmeny:</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prvom pododseku oddielu „I Predmet“ v rámci časti „Úvod“ by sa vo vete „Oddiely tohto základného dokumentu zodpovedajú základným požiadavkám HE 0 a až HE 5“ malo namiesto „HE 5“ uvádzať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oddiele I „Predmet“ v rámci časti „Úvod“ sa odkaz na článok 15.6 časti I CTE mení takto:</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Základná požiadavka HE 5: Minimálna výroba elektrickej energie z obnoviteľných zdrojov.</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Budovy musia mať systémy na výrobu elektrickej energie z obnoviteľných zdrojov na vlastnú spotrebu alebo na zásobovanie rozvodnej siete.“</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oddiele I „Predmet“ v rámci časti „Úvod“ sa do odkazu na článok 15 časti I CTE na konci CTE vkladá dodatočný bod s týmto textom:</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Základná požiadavka HE 6: Minimálne zariadenia nabíjacej infraštruktúry pre elektrické vozidlá.</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Budovy musia mať minimálnu infraštruktúru umožňujúcu nabíjanie </w:t>
      </w:r>
      <w:r>
        <w:rPr>
          <w:rFonts w:ascii="Calibri" w:hAnsi="Calibri"/>
          <w:i/>
          <w:sz w:val="22"/>
        </w:rPr>
        <w:t>elektrických vozidiel</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V obsahu sa názov oddielu HE 5 mení takto:</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„Oddiel HE 5 Minimálna výroba elektrickej energie z obnoviteľných zdrojov.“</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Do odkazu na článok 15 v indexe sa vkladá ďalší bod s týmto textom:</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„Oddiel HE 6 Minimálne zariadenia nabíjacej infraštruktúry pre elektrické vozidlá</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Rozsah pôsobnosti</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Opis požiadavky</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Kvantifikácia požiadavky</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Odôvodnenie požiadavky</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Výstavba, údržba a udržiavanie</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Vykonávanie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Monitorovanie vykonávania prác</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Kontrola dokončených prác</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lastRenderedPageBreak/>
        <w:t>5.4</w:t>
      </w:r>
      <w:r>
        <w:rPr>
          <w:rFonts w:ascii="Calibri" w:hAnsi="Calibri"/>
          <w:sz w:val="22"/>
        </w:rPr>
        <w:tab/>
        <w:t>Údržba a udržiavanie budovy“</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oddiele 1 Rozsah pôsobnosti, odsek 1, sa text: „...ak celková rozšírená úžitková plocha presahuje 50 m</w:t>
      </w:r>
      <w:r>
        <w:rPr>
          <w:rFonts w:ascii="Calibri" w:hAnsi="Calibri"/>
          <w:sz w:val="22"/>
          <w:vertAlign w:val="superscript"/>
        </w:rPr>
        <w:t>2</w:t>
      </w:r>
      <w:r>
        <w:rPr>
          <w:rFonts w:ascii="Calibri" w:hAnsi="Calibri"/>
          <w:sz w:val="22"/>
        </w:rPr>
        <w:t>;“ nahrádza znením „...ak rozšírená úžitková plocha presahuje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oddiele 3 Kvantifikácia požiadavky, oddiel 3.1 Spotreba primárnej energie z neobnoviteľných zdrojov</w:t>
      </w:r>
      <w:bookmarkStart w:id="1" w:name="_Hlk96944651"/>
      <w:r>
        <w:rPr>
          <w:rFonts w:ascii="Calibri" w:hAnsi="Calibri"/>
          <w:sz w:val="22"/>
        </w:rPr>
        <w:t>,</w:t>
      </w:r>
      <w:bookmarkEnd w:id="1"/>
      <w:r>
        <w:rPr>
          <w:rFonts w:ascii="Calibri" w:hAnsi="Calibri"/>
          <w:sz w:val="22"/>
        </w:rPr>
        <w:t xml:space="preserve"> odsek 1, </w:t>
      </w:r>
      <w:r>
        <w:t xml:space="preserve"> </w:t>
      </w:r>
      <w:bookmarkStart w:id="2" w:name="_Hlk96943118"/>
      <w:r>
        <w:rPr>
          <w:rFonts w:ascii="Calibri" w:hAnsi="Calibri"/>
          <w:sz w:val="22"/>
        </w:rPr>
        <w:t xml:space="preserve">sa výraz „Cep, nren“ nahrádza výrazom „C </w:t>
      </w:r>
      <w:r>
        <w:rPr>
          <w:rFonts w:ascii="Calibri" w:hAnsi="Calibri"/>
          <w:sz w:val="22"/>
          <w:vertAlign w:val="subscript"/>
        </w:rPr>
        <w:t>ep,nren</w:t>
      </w:r>
      <w:r>
        <w:rPr>
          <w:rFonts w:ascii="Calibri" w:hAnsi="Calibri"/>
          <w:sz w:val="22"/>
        </w:rPr>
        <w:t>“ a výraz „Cep,nren,lim“ sa nahrádza výrazom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oddiele 3 Kvantifikácia požiadavky, oddiel 3.1 Spotreba primárnej energie z neobnoviteľných zdrojov, odsek 2, sa výraz „Cep,nren,lim“ nahrádza výrazom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oddiele 3 Kvantifikácia požiadavky, oddiel 3.2. Celková spotreba primárnej energie, odsek 1, sa výraz „Cep,tot“ nahrádza výrazom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oddiele 3 Kvantifikácia požiadavky, oddiel 3.2 Celková spotreba primárnej energie, odsek 2, sa výraz „Cep,tot,lim“ nahrádza výrazom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oddiele 3 Kvantifikácia požiadavky, by sa mal výraz „</w:t>
      </w:r>
      <w:r>
        <w:rPr>
          <w:rFonts w:ascii="Calibri" w:hAnsi="Calibri"/>
          <w:i/>
          <w:sz w:val="22"/>
        </w:rPr>
        <w:t>súkromné účely bývania“</w:t>
      </w:r>
      <w:r>
        <w:rPr>
          <w:rFonts w:ascii="Calibri" w:hAnsi="Calibri"/>
          <w:sz w:val="22"/>
        </w:rPr>
        <w:t xml:space="preserve"> uviesť kurzívou.</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v oddiele 4.1 „Postup výpočtu“ sa v odseku 9 slová „uznávaný dokument“ nahrádzajú slovami „uznávaný dokument o energetickej certifikácii budov“.</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V oddiele HE 0, v oddiele 4.1 „Postup výpočtu“ sa odsek 9 stáva odsekom 11 a dopĺňajú sa tieto pododseky:</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Výpočet energetickej bilancie potrebnej na overenie požiadaviek tohto BD sa vykonáva v súlade s normou UNE-EN ISO 52000-1:2019: </w:t>
      </w:r>
      <w:r>
        <w:rPr>
          <w:rFonts w:ascii="Calibri" w:hAnsi="Calibri"/>
          <w:i/>
          <w:sz w:val="22"/>
        </w:rPr>
        <w:t>Zastrešujúce posúdenie energetickej hospodárnosti budov. Časť 1: Všeobecný rámec a postupy</w:t>
      </w:r>
      <w:r>
        <w:rPr>
          <w:rFonts w:ascii="Calibri" w:hAnsi="Calibri"/>
          <w:sz w:val="22"/>
        </w:rPr>
        <w:t>, s použitím exportného faktora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Na účely prideľovania rôznych služieb sa distribúcia elektrickej energie vyrobenej na mieste v každom časovom intervale vypočíta úmerne k elektrickej spotrebe príslušnej spotreby (vykurovanie, chladenie, vetranie, ACS a a v terciárnom použití navyše osvetlenie).“</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oddiele HE 0, oddiele 4.3 Vnútorné požiadavky a prevádzkové podmienky, odsek 2, by mal byť výraz „</w:t>
      </w:r>
      <w:r>
        <w:rPr>
          <w:rFonts w:ascii="Calibri" w:hAnsi="Calibri"/>
          <w:i/>
          <w:sz w:val="22"/>
        </w:rPr>
        <w:t>súkromné účely bývania</w:t>
      </w:r>
      <w:r>
        <w:rPr>
          <w:rFonts w:ascii="Calibri" w:hAnsi="Calibri"/>
          <w:sz w:val="22"/>
        </w:rPr>
        <w:t>“ uvedený kurzívou.</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V oddiele HE 0, oddiele 4.5 Referenčné systémy na súkromné účely bývania by mal byť výraz „</w:t>
      </w:r>
      <w:r>
        <w:rPr>
          <w:rFonts w:ascii="Calibri" w:hAnsi="Calibri"/>
          <w:i/>
          <w:sz w:val="22"/>
        </w:rPr>
        <w:t>súkromné účely bývania</w:t>
      </w:r>
      <w:r>
        <w:rPr>
          <w:rFonts w:ascii="Calibri" w:hAnsi="Calibri"/>
          <w:sz w:val="22"/>
        </w:rPr>
        <w:t>“ uvedený v názve aj v odseku 1 kurzívou.</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oddiele HE 1 oddiele 3 Kvantifikácia požiadavky, oddiel 3.1.1. Priepustnosť </w:t>
      </w:r>
      <w:r>
        <w:rPr>
          <w:rFonts w:ascii="Calibri" w:hAnsi="Calibri"/>
          <w:i/>
          <w:sz w:val="22"/>
        </w:rPr>
        <w:t>tepelného plášťa</w:t>
      </w:r>
      <w:r>
        <w:rPr>
          <w:rFonts w:ascii="Calibri" w:hAnsi="Calibri"/>
          <w:sz w:val="22"/>
        </w:rPr>
        <w:t xml:space="preserve"> by mal byť výraz „kompaktnosť“ v tabuľkách 3.1.1.b-HE1 a 3.1.1.c-HE1 uvedený kurzívou.</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oddiele HE 1 oddiele 3 Kvantifikácia požiadavky, oddiel 3.1.1. Priepustnosť </w:t>
      </w:r>
      <w:r>
        <w:rPr>
          <w:rFonts w:ascii="Calibri" w:hAnsi="Calibri"/>
          <w:i/>
          <w:sz w:val="22"/>
        </w:rPr>
        <w:t>tepelného plášťa</w:t>
      </w:r>
      <w:r>
        <w:rPr>
          <w:rFonts w:ascii="Calibri" w:hAnsi="Calibri"/>
          <w:sz w:val="22"/>
        </w:rPr>
        <w:t xml:space="preserve"> by mal byť výraz „kompaktnosť“ v poznámkach pod čiarou k tabuľke 3.1.1.b-HE1 a v tabuľke 3.1.1.c-HE1 a výraz „kompaktnosť“ v poznámke pod čiarou k tabuľke 3.1.1.c-HE1 uvedený kurzívou.</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oddiele HE 1 oddiele 3 Kvantifikácia požiadavky, oddiel 3.1.1. Priepustnosť </w:t>
      </w:r>
      <w:r>
        <w:rPr>
          <w:rFonts w:ascii="Calibri" w:hAnsi="Calibri"/>
          <w:i/>
          <w:sz w:val="22"/>
        </w:rPr>
        <w:t>tepelného plášťa</w:t>
      </w:r>
      <w:r>
        <w:rPr>
          <w:rFonts w:ascii="Calibri" w:hAnsi="Calibri"/>
          <w:sz w:val="22"/>
        </w:rPr>
        <w:t xml:space="preserve">, oddiel 3, by mal byť výraz </w:t>
      </w:r>
      <w:r>
        <w:rPr>
          <w:rFonts w:ascii="Calibri" w:hAnsi="Calibri"/>
          <w:i/>
          <w:sz w:val="22"/>
        </w:rPr>
        <w:t>súkromné účely bývania</w:t>
      </w:r>
      <w:r>
        <w:rPr>
          <w:rFonts w:ascii="Calibri" w:hAnsi="Calibri"/>
          <w:sz w:val="22"/>
        </w:rPr>
        <w:t xml:space="preserve"> uvedený kurzívou v odseku 3 aj v tabuľke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oddiele HE 1 oddiele 3 Kvantifikácia požiadavky, oddiel 3.1.1. Priepustnosť </w:t>
      </w:r>
      <w:r>
        <w:rPr>
          <w:rFonts w:ascii="Calibri" w:hAnsi="Calibri"/>
          <w:i/>
          <w:sz w:val="22"/>
        </w:rPr>
        <w:t>tepelného plášťa</w:t>
      </w:r>
      <w:r>
        <w:rPr>
          <w:rFonts w:ascii="Calibri" w:hAnsi="Calibri"/>
          <w:sz w:val="22"/>
        </w:rPr>
        <w:t xml:space="preserve"> by mal byť výraz „tepelného plášťa“ v tabuľkách 3.1.1.b-HE1 a 3.1.1.c-HE1 uvedený kurzívou.</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V oddiele HE 1, oddiele 3 Kvantifikácia požiadavky, sa v oddiele 3.1.1 „</w:t>
      </w:r>
      <w:r>
        <w:rPr>
          <w:rFonts w:ascii="Calibri" w:hAnsi="Calibri"/>
          <w:i/>
          <w:sz w:val="22"/>
        </w:rPr>
        <w:t>Priepustnosť tepelného plášťa</w:t>
      </w:r>
      <w:r>
        <w:rPr>
          <w:rFonts w:ascii="Calibri" w:hAnsi="Calibri"/>
          <w:sz w:val="22"/>
        </w:rPr>
        <w:t>“ dopĺňa tento pododsek:</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Budovy alebo v prípade čiastočných zásahov do existujúcich budov časti budov, na ktorých sa vykonávajú zásahy, ktorých požiadavky na vykurovanie a chladenie sú v oboch prípadoch nižšie ako 15 kWh/m</w:t>
      </w:r>
      <w:r>
        <w:rPr>
          <w:rFonts w:ascii="Calibri" w:hAnsi="Calibri"/>
          <w:sz w:val="22"/>
          <w:vertAlign w:val="superscript"/>
        </w:rPr>
        <w:t>2</w:t>
      </w:r>
      <w:r>
        <w:rPr>
          <w:rFonts w:ascii="Calibri" w:hAnsi="Calibri"/>
          <w:sz w:val="22"/>
        </w:rPr>
        <w:t xml:space="preserve">, môžu byť vyňaté z dodržiavania súladu s </w:t>
      </w:r>
      <w:r>
        <w:rPr>
          <w:rFonts w:ascii="Calibri" w:hAnsi="Calibri"/>
          <w:i/>
          <w:sz w:val="22"/>
        </w:rPr>
        <w:t>celkovým koeficientom prenosu tepla cez tepelný plášť</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oddiele HE 1, oddiele 3 Kvantifikácia požiadavky, oddiel 3.1.2 Regulácia solárnej energie tepelného plášťa, sa text: „Tabuľka 3.1.2-HE1 Limitná hodnota parametra regulácie solárnej energie qsol;jul,lim [kWh/m</w:t>
      </w:r>
      <w:r>
        <w:rPr>
          <w:rFonts w:ascii="Calibri" w:hAnsi="Calibri"/>
          <w:sz w:val="22"/>
          <w:vertAlign w:val="superscript"/>
        </w:rPr>
        <w:t>2</w:t>
      </w:r>
      <w:r>
        <w:rPr>
          <w:rFonts w:ascii="Calibri" w:hAnsi="Calibri"/>
          <w:sz w:val="22"/>
        </w:rPr>
        <w:t>·mes]“ nahrádza znením: „Tabuľka 3.1.2-HE1 Limitná hodnota parametra regulácie solárnej energie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oddiele HE 1, oddiele 3 Kvantifikácia požiadavky, oddiel 3.1.3 Vzduchová priepustnosť tepelného plášťa, musí byť výraz „tepelný plášť“ kurzívou v názve oddielu aj v názve tabuľky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V oddiele HE 1, oddiele 3 Kvantifikácia požiadavky, sa v oddiele 3.1.3 „Vzduchová priepustnosť </w:t>
      </w:r>
      <w:r>
        <w:rPr>
          <w:rFonts w:ascii="Calibri" w:hAnsi="Calibri"/>
          <w:i/>
          <w:sz w:val="22"/>
        </w:rPr>
        <w:t>tepelného plášťa</w:t>
      </w:r>
      <w:r>
        <w:rPr>
          <w:rFonts w:ascii="Calibri" w:hAnsi="Calibri"/>
          <w:sz w:val="22"/>
        </w:rPr>
        <w:t>“ dopĺňa tento nový odsek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„V prípade zmien sa uvedená tabuľka 3.1.3.a-HE1 vzťahuje len na tie prvky </w:t>
      </w:r>
      <w:r>
        <w:rPr>
          <w:rFonts w:ascii="Calibri" w:hAnsi="Calibri"/>
          <w:i/>
          <w:sz w:val="22"/>
        </w:rPr>
        <w:t>tepelného plášťa</w:t>
      </w:r>
      <w:r>
        <w:rPr>
          <w:rFonts w:ascii="Calibri" w:hAnsi="Calibri"/>
          <w:sz w:val="22"/>
        </w:rPr>
        <w:t>, ktoré sú vymenené, začlenené alebo podstatne zmenené;“</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Súčasné odseky 3 a 4 oddielu 3.1.3 „Vzduchová priepustnosť </w:t>
      </w:r>
      <w:r>
        <w:rPr>
          <w:rFonts w:ascii="Calibri" w:hAnsi="Calibri"/>
          <w:i/>
          <w:sz w:val="22"/>
        </w:rPr>
        <w:t>tepelného plášťa</w:t>
      </w:r>
      <w:r>
        <w:rPr>
          <w:rFonts w:ascii="Calibri" w:hAnsi="Calibri"/>
          <w:sz w:val="22"/>
        </w:rPr>
        <w:t>“ sa menia na odseky 4 a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oddiele HE 1, oddiele 3 Kvantifikácia požiadavky, oddiel 3.1.3 Vzduchová priepustnosť </w:t>
      </w:r>
      <w:r>
        <w:rPr>
          <w:rFonts w:ascii="Calibri" w:hAnsi="Calibri"/>
          <w:i/>
          <w:sz w:val="22"/>
        </w:rPr>
        <w:t>tepelného plášťa</w:t>
      </w:r>
      <w:r>
        <w:rPr>
          <w:rFonts w:ascii="Calibri" w:hAnsi="Calibri"/>
          <w:sz w:val="22"/>
        </w:rPr>
        <w:t xml:space="preserve"> by mal byť výraz „kompaktnosť“ v tabuľke 3.1.3.b-HE1, výraz „kompaktnosť“ v tabuľke 3.1.3.b-HE1 a výraz „súkromné účely bývania“ v odseku 3 uvedený kurzívou.</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oddiele HE 1, oddiele 3 Kvantifikácia požiadavky, oddiel 3.1.3 Vzduchová priepustnosť </w:t>
      </w:r>
      <w:r>
        <w:rPr>
          <w:rFonts w:ascii="Calibri" w:hAnsi="Calibri"/>
          <w:i/>
          <w:sz w:val="22"/>
        </w:rPr>
        <w:t>tepelného plášťa,</w:t>
      </w:r>
      <w:r>
        <w:rPr>
          <w:rFonts w:ascii="Calibri" w:hAnsi="Calibri"/>
          <w:sz w:val="22"/>
        </w:rPr>
        <w:t xml:space="preserve"> tabuľka 3.1.3.b-HE1, kde sa uvádza „m</w:t>
      </w:r>
      <w:r>
        <w:rPr>
          <w:rFonts w:ascii="Calibri" w:hAnsi="Calibri"/>
          <w:sz w:val="22"/>
          <w:vertAlign w:val="superscript"/>
        </w:rPr>
        <w:t>3</w:t>
      </w:r>
      <w:r>
        <w:rPr>
          <w:rFonts w:ascii="Calibri" w:hAnsi="Calibri"/>
          <w:sz w:val="22"/>
        </w:rPr>
        <w:t>/m2“, by malo byť znenie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s číslom 2 ako horným indexom.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oddiele HE 1 oddiele 4 Odôvodnenie požiadavky by mal byť výraz „kompaktnosť“ v oddiele 4.1.b) a výraz „súkromné účely bývania“ v oddiele 4.1.g) uvedený kurzívou.</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V oddiele HE 3, v tabuľke 3.1-HE3 Limitná hodnota účinnosti inštalácie (VEEI</w:t>
      </w:r>
      <w:r>
        <w:rPr>
          <w:rFonts w:ascii="Calibri" w:hAnsi="Calibri"/>
          <w:sz w:val="22"/>
          <w:vertAlign w:val="subscript"/>
        </w:rPr>
        <w:t>lim</w:t>
      </w:r>
      <w:r>
        <w:rPr>
          <w:rFonts w:ascii="Calibri" w:hAnsi="Calibri"/>
          <w:sz w:val="22"/>
        </w:rPr>
        <w:t>) sa slová „Sklady a malé obchody“ nahrádzajú slovami „Sklady a malé obchody</w:t>
      </w:r>
      <w:r>
        <w:rPr>
          <w:rFonts w:ascii="Calibri" w:hAnsi="Calibri"/>
          <w:sz w:val="22"/>
          <w:vertAlign w:val="superscript"/>
        </w:rPr>
        <w:t xml:space="preserve"> (10)</w:t>
      </w:r>
      <w:r>
        <w:rPr>
          <w:rFonts w:ascii="Calibri" w:hAnsi="Calibri"/>
          <w:sz w:val="22"/>
        </w:rPr>
        <w:t>“ a dopĺňa sa táto poznámka pod čiarou:</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Termín obchod sa vzťahuje na malé nezávislé obchody a časť na komerčné použitie, ktorá sa bežne nepoužíva v nákupných centrách.“</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V oddiele HE 3, oddiele 3.3 Kontrolné a regulačné systémy, odsek 2, ktorý znie „...možno nahradiť jednou z týchto dvoch možností: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kontrola aktivácie a deaktivácie pomocou časovaného systému detekcie prítomnosti; alebo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systém časovaných tlačidiel.“</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by mal znieť „...možno nahradiť jednou z týchto dvoch možností: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kontrola aktivácie a deaktivácie pomocou </w:t>
      </w:r>
      <w:r>
        <w:rPr>
          <w:rFonts w:ascii="Calibri" w:hAnsi="Calibri"/>
          <w:i/>
          <w:sz w:val="22"/>
        </w:rPr>
        <w:t>časovaného systému detekcie prítomnosti</w:t>
      </w:r>
      <w:r>
        <w:rPr>
          <w:rFonts w:ascii="Calibri" w:hAnsi="Calibri"/>
          <w:sz w:val="22"/>
        </w:rPr>
        <w:t xml:space="preserve"> alebo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časovacím systémom</w:t>
      </w:r>
      <w:r>
        <w:rPr>
          <w:rFonts w:ascii="Calibri" w:hAnsi="Calibri"/>
          <w:sz w:val="22"/>
        </w:rPr>
        <w:t xml:space="preserve"> s tlačidlom.“</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V oddiele HE 3, oddiele 4 Odôvodnenie požiadavky, odsek 1 písm. b), by mal v ňom uvedený text „...účinnosť použitých</w:t>
      </w:r>
      <w:r>
        <w:rPr>
          <w:rFonts w:ascii="Calibri" w:hAnsi="Calibri"/>
          <w:i/>
          <w:sz w:val="22"/>
        </w:rPr>
        <w:t xml:space="preserve"> žiaroviek</w:t>
      </w:r>
      <w:r>
        <w:rPr>
          <w:rFonts w:ascii="Calibri" w:hAnsi="Calibri"/>
          <w:sz w:val="22"/>
        </w:rPr>
        <w:t xml:space="preserve"> (z hľadiska lm/W)“ znieť „...účinnosť použitých</w:t>
      </w:r>
      <w:r>
        <w:rPr>
          <w:rFonts w:ascii="Calibri" w:hAnsi="Calibri"/>
          <w:i/>
          <w:sz w:val="22"/>
        </w:rPr>
        <w:t xml:space="preserve"> žiaroviek</w:t>
      </w:r>
      <w:r>
        <w:rPr>
          <w:rFonts w:ascii="Calibri" w:hAnsi="Calibri"/>
          <w:sz w:val="22"/>
        </w:rPr>
        <w:t xml:space="preserve"> (z hľadiska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V oddiele HE 4, oddiele 2 Opis požiadavky, odsek 1 znie takto:</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Budovy musia vo veľkej miere spĺňať svoje potreby týkajúce sa DHW a ohrevu vody pre vyhrievané vnútorné bazény využívajúc </w:t>
      </w:r>
      <w:r>
        <w:rPr>
          <w:rFonts w:ascii="Calibri" w:hAnsi="Calibri"/>
          <w:i/>
          <w:sz w:val="22"/>
        </w:rPr>
        <w:t>energiu z obnoviteľných zdrojov energie</w:t>
      </w:r>
      <w:r>
        <w:rPr>
          <w:rFonts w:ascii="Calibri" w:hAnsi="Calibri"/>
          <w:sz w:val="22"/>
        </w:rPr>
        <w:t xml:space="preserve"> alebo obnoviteľné kogeneračné procesy; buď generované v samotnej budove alebo prostredníctvom pripojenia k </w:t>
      </w:r>
      <w:r>
        <w:rPr>
          <w:rFonts w:ascii="Calibri" w:hAnsi="Calibri"/>
          <w:i/>
          <w:sz w:val="22"/>
        </w:rPr>
        <w:t>systému diaľkového vykurovania</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V oddiele HE 4, oddiele 3 Kvantifikácia požiadavky, oddiel 3.1 Minimálny príspevok z obnoviteľných zdrojov na DHW a/alebo vykurovanie bazéna, odsek 4, sa znenie: </w:t>
      </w:r>
      <w:bookmarkStart w:id="3" w:name="_Hlk96945986"/>
      <w:r>
        <w:rPr>
          <w:rFonts w:ascii="Calibri" w:hAnsi="Calibri"/>
          <w:sz w:val="22"/>
        </w:rPr>
        <w:t>„...</w:t>
      </w:r>
      <w:bookmarkEnd w:id="3"/>
      <w:r>
        <w:rPr>
          <w:rFonts w:ascii="Calibri" w:hAnsi="Calibri"/>
          <w:sz w:val="22"/>
        </w:rPr>
        <w:t>viac ako 2,5, ak je elektricky aktivované a viac ako 1,15, ak je poháňané tepelnou energiou...“ nahrádza znením „...rovné alebo väčšie ako 2,5 pri elektrickom pohone a rovné alebo väčšie ako 1,15, ak je poháňané tepelnou energiou...“.</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V oddiele HE 4, oddiele 3 Kvantifikácia požiadavky, oddiel 3.1 Minimálny príspevok z obnoviteľných zdrojov na DHW a/alebo vykurovanie bazéna, odsek 5, sa znenie: „... obytné budovy...“ nahrádza znením „... budovy na </w:t>
      </w:r>
      <w:r>
        <w:rPr>
          <w:rFonts w:ascii="Calibri" w:hAnsi="Calibri"/>
          <w:i/>
          <w:sz w:val="22"/>
        </w:rPr>
        <w:t>súkromné účely bývania</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oddiele HE 4 pred oddielom „5.1. „Vykonávanie“ sa vkladá „5. Výstavba, údržba a udržiavanie“ ako názov.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oddiele HE 5 sa názov „Oddiel HE 5 Minimálna výroba elektrickej energie“ nahrádza názvom „Oddiel HE 5 </w:t>
      </w:r>
      <w:bookmarkStart w:id="4" w:name="_Hlk92123384"/>
      <w:r>
        <w:rPr>
          <w:rFonts w:ascii="Calibri" w:hAnsi="Calibri"/>
          <w:sz w:val="22"/>
        </w:rPr>
        <w:t>Minimálna výroba elektrickej energie</w:t>
      </w:r>
      <w:bookmarkEnd w:id="4"/>
      <w:r>
        <w:t xml:space="preserve"> </w:t>
      </w:r>
      <w:r>
        <w:rPr>
          <w:rFonts w:ascii="Calibri" w:hAnsi="Calibri"/>
          <w:sz w:val="22"/>
        </w:rPr>
        <w:t>z obnoviteľných zdrojov.“</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oddiele HE 5 má odsek 1 „Rozsah pôsobnosti“ toto znenie: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Tento oddiel sa uplatňuje v týchto prípadoch: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novopostavené budovy, ak zastavaná plocha presahuje 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rozšírenia existujúcich budov, keď sa zastavaná plocha zväčší o viac ako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existujúce budovy, ktoré sú úplne renovované, alebo ak dôjde k zmene ich použitia, ak zastavaná plocha presahuje 1 000 m</w:t>
      </w:r>
      <w:r>
        <w:rPr>
          <w:rFonts w:ascii="Calibri" w:hAnsi="Calibri"/>
          <w:sz w:val="22"/>
          <w:vertAlign w:val="superscript"/>
        </w:rPr>
        <w:t>2</w:t>
      </w:r>
      <w:r>
        <w:rPr>
          <w:rFonts w:ascii="Calibri" w:hAnsi="Calibri"/>
          <w:sz w:val="22"/>
        </w:rPr>
        <w:t>.</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Zastavaná plocha sa považuje za plochu zahŕňajúcu parkovacie plochy vo vnútri budovy a nezahŕňajúcu spoločné vonkajšie priestory.“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V oddiele HE 5 má prvý pododsek oddielu 2 „Charakterizácia požiadavky“ toto znenie:</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Budovy musia mať systémy na výrobu elektrickej energie z obnoviteľných zdrojov na vlastnú spotrebu alebo na zásobovanie rozvodnej siete.“</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V oddiele HE 5 má odsek 3 „Kvantifikácia požiadavky“ toto znenie:</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Minimálny výkon na inštaláciu</w:t>
      </w:r>
      <w:r>
        <w:rPr>
          <w:rFonts w:ascii="Calibri" w:hAnsi="Calibri"/>
          <w:sz w:val="22"/>
        </w:rPr>
        <w:t xml:space="preserve"> P</w:t>
      </w:r>
      <w:r>
        <w:rPr>
          <w:rFonts w:ascii="Calibri" w:hAnsi="Calibri"/>
          <w:sz w:val="22"/>
          <w:vertAlign w:val="subscript"/>
        </w:rPr>
        <w:t>min</w:t>
      </w:r>
      <w:r>
        <w:rPr>
          <w:rFonts w:ascii="Calibri" w:hAnsi="Calibri"/>
          <w:sz w:val="22"/>
        </w:rPr>
        <w:t xml:space="preserve"> musí byť najnižší z výsledku z týchto dvoch rovníc: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kde: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výkon na inštaláciu</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faktor výroby energie, ktorý má hodnotu 0,005 pre súkromné účely bývania a 0,010 pre iné použitia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plocha zastavanej plochy budovy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povrchová plocha neprístupnej strechy alebo prístupnej len na udržiavanie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povrchová plocha neprístupnej strechy alebo prístupnej na udržiavanie, obsadená len tepelnými solárnymi kolektormi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lastRenderedPageBreak/>
        <w:t>2</w:t>
      </w:r>
      <w:r>
        <w:rPr>
          <w:rFonts w:ascii="Calibri" w:hAnsi="Calibri"/>
          <w:sz w:val="22"/>
        </w:rPr>
        <w:tab/>
        <w:t xml:space="preserve">V budovách, v ktorých z mestských alebo architektonických dôvodov alebo z dôvodu, že ide o úradne chránené budovy, kde úradnú ochranu udeľuje orgán, nie je možné dosiahnuť minimálny </w:t>
      </w:r>
      <w:r>
        <w:rPr>
          <w:rFonts w:ascii="Calibri" w:hAnsi="Calibri"/>
          <w:i/>
          <w:sz w:val="22"/>
        </w:rPr>
        <w:t>výkon na inštaláciu</w:t>
      </w:r>
      <w:r>
        <w:rPr>
          <w:rFonts w:ascii="Calibri" w:hAnsi="Calibri"/>
          <w:sz w:val="22"/>
        </w:rPr>
        <w:t>, musí byť táto nemožnosť odôvodnená analýzou rôznych alternatív a prijme sa riešenie, ktoré dosiahne maximálny možný inštalovaný výkon.“</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V oddiele HE 5 sa v odseku 4 „Odôvodnenie požiadavky“ dopĺňa:</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ak je to vhodné, dôvody, ktoré bránia dosiahnutiu minimálneho požadovaného </w:t>
      </w:r>
      <w:r>
        <w:rPr>
          <w:rFonts w:ascii="Calibri" w:hAnsi="Calibri"/>
          <w:i/>
          <w:sz w:val="22"/>
        </w:rPr>
        <w:t>výkonu na inštaláciu</w:t>
      </w:r>
      <w:r>
        <w:rPr>
          <w:rFonts w:ascii="Calibri" w:hAnsi="Calibri"/>
          <w:sz w:val="22"/>
        </w:rPr>
        <w:t>, analýzu alternatív a riešenia prijatého na dosiahnutie maximálneho možného inštalovaného výkonu.“</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V základnom dokumente DB-HE „Úspora energie“ sa dopĺňa oddiel HE 6 s názvom „Minimálne </w:t>
      </w:r>
      <w:r>
        <w:rPr>
          <w:rFonts w:ascii="Calibri" w:hAnsi="Calibri"/>
          <w:i/>
          <w:sz w:val="22"/>
        </w:rPr>
        <w:t>zariadenia nabíjacej infraštruktúry pre elektrické vozidlá</w:t>
      </w:r>
      <w:r>
        <w:rPr>
          <w:rFonts w:ascii="Calibri" w:hAnsi="Calibri"/>
          <w:sz w:val="22"/>
        </w:rPr>
        <w:t xml:space="preserve">“ s týmto obsahom: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„Oddiel HE 6</w:t>
      </w:r>
      <w:r>
        <w:rPr>
          <w:rFonts w:ascii="Calibri" w:hAnsi="Calibri"/>
          <w:sz w:val="22"/>
        </w:rPr>
        <w:br/>
        <w:t xml:space="preserve">Minimálne </w:t>
      </w:r>
      <w:r>
        <w:rPr>
          <w:rFonts w:ascii="Calibri" w:hAnsi="Calibri"/>
          <w:i/>
          <w:sz w:val="22"/>
        </w:rPr>
        <w:t>zariadenia nabíjacej infraštruktúry pre elektrické vozidlá</w:t>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Rozsah pôsobnosti</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Požiadavky stanovené v tomto oddiele sa vzťahujú na budovy, ktoré majú parkovaciu plochu vo vnútri alebo mimo budovy, v týchto prípadoch:</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novovybudované budovy;</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existujúce budovy, v týchto prípadoch:</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zmeny charakteristického používania budovy;</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rozšírenia v prípadoch, ktoré zahŕňajú zásahy do parkoviska a povrchovej plochy, alebo keď sa konštrukčný objem jednotky alebo</w:t>
      </w:r>
      <w:r>
        <w:rPr>
          <w:rFonts w:ascii="Calibri" w:hAnsi="Calibri"/>
          <w:i/>
          <w:sz w:val="22"/>
        </w:rPr>
        <w:t xml:space="preserve"> úžitkových jednotiek</w:t>
      </w:r>
      <w:r>
        <w:rPr>
          <w:rFonts w:ascii="Calibri" w:hAnsi="Calibri"/>
          <w:sz w:val="22"/>
        </w:rPr>
        <w:t>, kde sa zásah uskutočňuje, zvýši o viac ako 10 % a zvýšená využiteľná plocha je väčšia ako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opravy, ktoré zahŕňajú zásahy do parkoviska a ktoré obnovujú viac ako 25 % celkovej plochy konečného </w:t>
      </w:r>
      <w:r>
        <w:rPr>
          <w:rFonts w:ascii="Calibri" w:hAnsi="Calibri"/>
          <w:i/>
          <w:sz w:val="22"/>
        </w:rPr>
        <w:t>tepelného plášťa</w:t>
      </w:r>
      <w:r>
        <w:rPr>
          <w:rFonts w:ascii="Calibri" w:hAnsi="Calibri"/>
          <w:sz w:val="22"/>
        </w:rPr>
        <w:t xml:space="preserve"> budovy;</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zásahy do elektroinštalácie budovy ovplyvňujúce viac ako 50 % elektrického výkonu inštalovaného v budove pred zásahom v prípadoch, keď sa parkovisko nachádza v budove</w:t>
      </w:r>
      <w:r>
        <w:rPr>
          <w:rFonts w:ascii="Calibri" w:hAnsi="Calibri"/>
          <w:sz w:val="22"/>
          <w:u w:color="FF0000"/>
        </w:rPr>
        <w:t>, za predpokladu, že developer, ktorý takýto zásah vykoná, je nato oprávnený</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zásahy do elektroinštalácie parkoviska ovplyvňujúce viac ako 50 % elektrického výkonu inštalovaného na parkovisku pred zásahom.</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Tieto oblasti nepatria do rozsahu pôsobnosti:</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budovy na iné účely ako súkromné bývanie s parkovacím priestorom maximálne 10 parkovacích miest;</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existujúce budovy na iné účely ako súkromné bývanie s parkovacím priestorom maximálne 20 parkovacích miest a existujúce budovy na </w:t>
      </w:r>
      <w:r>
        <w:rPr>
          <w:rFonts w:ascii="Calibri" w:hAnsi="Calibri"/>
          <w:i/>
          <w:sz w:val="22"/>
        </w:rPr>
        <w:t>súkromné účely bývania</w:t>
      </w:r>
      <w:r>
        <w:rPr>
          <w:rFonts w:ascii="Calibri" w:hAnsi="Calibri"/>
          <w:sz w:val="22"/>
        </w:rPr>
        <w:t>, kde v oboch prípadoch náklady na dodržanie tohto odseku prevyšujú 7 % nákladov na rozšírenie, zmenu účelu používania alebo renovačný zásah, ktoré by dávalo základ na dodržanie ustanovení tohto odseku. S cieľom určiť náklady na uvedené zásahy sa ich skutočné a efektívne náklady považujú za ich fyzické náklady na výstavbu;</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budovy, ktoré sú úradne chránené, pretože sú súčasťou deklarovaného prostredia alebo z dôvodu ich osobitnej architektonickej alebo historickej hodnoty, sú vyňaté z týchto povinností, pokiaľ by súlad s požiadavkami stanovenými v tomto oddiele mohol neprimerane zmeniť ich charakter alebo vzhľad, a nezmeniteľné prvky určuje orgán, ktorý nariaďuje úradnú ochranu.</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lastRenderedPageBreak/>
        <w:t>2</w:t>
      </w:r>
      <w:r>
        <w:rPr>
          <w:rFonts w:ascii="Calibri" w:hAnsi="Calibri"/>
          <w:sz w:val="22"/>
        </w:rPr>
        <w:tab/>
        <w:t>Opis požiadavky</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Budovy musia mať minimálnu infraštruktúru umožňujúcu nabíjanie </w:t>
      </w:r>
      <w:r>
        <w:rPr>
          <w:rFonts w:ascii="Calibri" w:hAnsi="Calibri"/>
          <w:i/>
          <w:sz w:val="22"/>
        </w:rPr>
        <w:t>elektrických vozidiel</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Táto </w:t>
      </w:r>
      <w:r>
        <w:rPr>
          <w:rFonts w:ascii="Calibri" w:hAnsi="Calibri"/>
          <w:i/>
          <w:sz w:val="22"/>
        </w:rPr>
        <w:t>infraštruktúra nabíjania elektrických vozidiel</w:t>
      </w:r>
      <w:r>
        <w:rPr>
          <w:rFonts w:ascii="Calibri" w:hAnsi="Calibri"/>
          <w:sz w:val="22"/>
        </w:rPr>
        <w:t xml:space="preserve"> bude v súlade s ustanoveniami platného nariadenia o nízkonapäťových elektrotechnických zariadeniach a jeho doplňujúceho technického pokynu (ITC) BT 52 „Inštalácie na osobitné účely. Infraštruktúra na nabíjanie </w:t>
      </w:r>
      <w:r>
        <w:rPr>
          <w:rFonts w:ascii="Calibri" w:hAnsi="Calibri"/>
          <w:i/>
          <w:sz w:val="22"/>
        </w:rPr>
        <w:t>elektrických vozidiel</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Kvantifikácia požiadavky</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V budovách na </w:t>
      </w:r>
      <w:r>
        <w:rPr>
          <w:rFonts w:ascii="Calibri" w:hAnsi="Calibri"/>
          <w:i/>
          <w:sz w:val="22"/>
        </w:rPr>
        <w:t>súkromné účely bývania</w:t>
      </w:r>
      <w:r>
        <w:rPr>
          <w:rFonts w:ascii="Calibri" w:hAnsi="Calibri"/>
          <w:sz w:val="22"/>
        </w:rPr>
        <w:t xml:space="preserve"> sa nainštalujú elektroinštalačné systémy, ktoré umožnia budúce dodávky do </w:t>
      </w:r>
      <w:r>
        <w:rPr>
          <w:rFonts w:ascii="Calibri" w:hAnsi="Calibri"/>
          <w:i/>
          <w:sz w:val="22"/>
        </w:rPr>
        <w:t>nabíjacích staníc</w:t>
      </w:r>
      <w:r>
        <w:rPr>
          <w:rFonts w:ascii="Calibri" w:hAnsi="Calibri"/>
          <w:sz w:val="22"/>
        </w:rPr>
        <w:t xml:space="preserve"> pre 100 % parkovacích miest.</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V budovách určených na iné účely ako súkromné bývanie sa nainštalujú elektroinštalačné systémy, ktoré umožnia budúce dodávky do </w:t>
      </w:r>
      <w:r>
        <w:rPr>
          <w:rFonts w:ascii="Calibri" w:hAnsi="Calibri"/>
          <w:i/>
          <w:sz w:val="22"/>
        </w:rPr>
        <w:t>nabíjacích staníc</w:t>
      </w:r>
      <w:r>
        <w:rPr>
          <w:rFonts w:ascii="Calibri" w:hAnsi="Calibri"/>
          <w:sz w:val="22"/>
        </w:rPr>
        <w:t xml:space="preserve"> pre najmenej 20 % parkovacích miest.</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Okrem toho sa nainštaluje jedna </w:t>
      </w:r>
      <w:r>
        <w:rPr>
          <w:rFonts w:ascii="Calibri" w:hAnsi="Calibri"/>
          <w:i/>
          <w:sz w:val="22"/>
        </w:rPr>
        <w:t>nabíjacia stanica</w:t>
      </w:r>
      <w:r>
        <w:rPr>
          <w:rFonts w:ascii="Calibri" w:hAnsi="Calibri"/>
          <w:sz w:val="22"/>
        </w:rPr>
        <w:t xml:space="preserve"> na každých 40 parkovacích miest alebo ich určitý podiel.</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V budovách určených na iné účely ako súkromné bývanie vo vlastníctve všeobecnej štátnej správy alebo verejných orgánov, ktoré sú s ňou spojené alebo sú od nej závislé, musí byť podiel väčší, ako je všeobecne stanovené, vo forme inštalácie</w:t>
      </w:r>
      <w:r>
        <w:rPr>
          <w:rFonts w:ascii="Calibri" w:hAnsi="Calibri"/>
          <w:color w:val="1F497D"/>
          <w:sz w:val="22"/>
        </w:rPr>
        <w:t xml:space="preserve"> </w:t>
      </w:r>
      <w:r>
        <w:rPr>
          <w:rFonts w:ascii="Calibri" w:hAnsi="Calibri"/>
          <w:sz w:val="22"/>
        </w:rPr>
        <w:t xml:space="preserve">jednej </w:t>
      </w:r>
      <w:r>
        <w:rPr>
          <w:rFonts w:ascii="Calibri" w:hAnsi="Calibri"/>
          <w:i/>
          <w:sz w:val="22"/>
        </w:rPr>
        <w:t>nabíjacej stanice</w:t>
      </w:r>
      <w:r>
        <w:rPr>
          <w:rFonts w:ascii="Calibri" w:hAnsi="Calibri"/>
          <w:sz w:val="22"/>
        </w:rPr>
        <w:t xml:space="preserve"> na každých 20 parkovacích miest alebo ich určitý podiel.</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V prípade parkovísk s prístupnými parkovacími miestami, ako sa uvádza v základnom dokumente Bezpečnosť použitia a prístupnosť (DB SUA), sa na každých 5 prístupných parkovacích miest nainštaluje jedna </w:t>
      </w:r>
      <w:r>
        <w:rPr>
          <w:rFonts w:ascii="Calibri" w:hAnsi="Calibri"/>
          <w:i/>
          <w:sz w:val="22"/>
        </w:rPr>
        <w:t>nabíjacia stanica</w:t>
      </w:r>
      <w:r>
        <w:rPr>
          <w:rFonts w:ascii="Calibri" w:hAnsi="Calibri"/>
          <w:sz w:val="22"/>
        </w:rPr>
        <w:t xml:space="preserve">. </w:t>
      </w:r>
      <w:r>
        <w:rPr>
          <w:rFonts w:ascii="Calibri" w:hAnsi="Calibri"/>
          <w:i/>
          <w:sz w:val="22"/>
        </w:rPr>
        <w:t>Nabíjacie stanice</w:t>
      </w:r>
      <w:r>
        <w:rPr>
          <w:rFonts w:ascii="Calibri" w:hAnsi="Calibri"/>
          <w:sz w:val="22"/>
        </w:rPr>
        <w:t xml:space="preserve"> na týchto miestach sa počítajú na účely splnenia kvantifikácie požiadavky.</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V prípade budov, ktoré majú jednotky na </w:t>
      </w:r>
      <w:r>
        <w:rPr>
          <w:rFonts w:ascii="Calibri" w:hAnsi="Calibri"/>
          <w:i/>
          <w:sz w:val="22"/>
        </w:rPr>
        <w:t xml:space="preserve">súkromné účely bývania </w:t>
      </w:r>
      <w:r>
        <w:rPr>
          <w:rFonts w:ascii="Calibri" w:hAnsi="Calibri"/>
          <w:sz w:val="22"/>
        </w:rPr>
        <w:t>spoločne s jednotkami na iný účel, kde parkovacie plochy spojené s každým účelom nie sú jasne odlíšené, sa uplatňuje kritérium charakteristického využitia budovy.</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Odôvodnenie požiadavky</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S cieľom preukázať, že budova spĺňa požiadavky tohto základného dokumentu, musí projektová dokumentácia obsahovať tieto informácie o budove alebo jej príslušnej časti:</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schéma zapojenia používaná na dimenzovanie, ako je opísané v nariadení o nízkonapäťových elektrotechnických zariadeniach;</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opis hlavného potrubného systému a pripravených inštalačných rúr s uvedením percentuálneho podielu parkovacích miest s elektroinštalačnými systémami a minimálneho požadovaného percenta;</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počet nainštalovaných </w:t>
      </w:r>
      <w:r>
        <w:rPr>
          <w:rFonts w:ascii="Calibri" w:hAnsi="Calibri"/>
          <w:i/>
          <w:sz w:val="22"/>
        </w:rPr>
        <w:t>nabíjacích staníc</w:t>
      </w:r>
      <w:r>
        <w:rPr>
          <w:rFonts w:ascii="Calibri" w:hAnsi="Calibri"/>
          <w:sz w:val="22"/>
        </w:rPr>
        <w:t xml:space="preserve"> a minimálny počet vyplývajúci z kvantifikácie požiadavky;</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typy </w:t>
      </w:r>
      <w:r>
        <w:rPr>
          <w:rFonts w:ascii="Calibri" w:hAnsi="Calibri"/>
          <w:i/>
          <w:sz w:val="22"/>
        </w:rPr>
        <w:t>nabíjacích staníc</w:t>
      </w:r>
      <w:r>
        <w:rPr>
          <w:rFonts w:ascii="Calibri" w:hAnsi="Calibri"/>
          <w:sz w:val="22"/>
        </w:rPr>
        <w:t xml:space="preserve"> a ich menovité výkony.</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Výstavba, údržba a udržiavanie</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Vykonávanie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Stavebné práce budovy sa vykonávajú v súlade s projektom a jeho úpravami schválenými stavbyvedúcim so súhlasom developera, platnými právnymi predpismi, špecifikáciami nariadenia o nízkonapäťových elektrotechnických zariadeniach a v jeho doplnkovom technickom pokyne ITC BT-52 „Inštalácie na osobitné účely. </w:t>
      </w:r>
      <w:r>
        <w:rPr>
          <w:rFonts w:ascii="Calibri" w:hAnsi="Calibri"/>
          <w:sz w:val="22"/>
        </w:rPr>
        <w:lastRenderedPageBreak/>
        <w:t xml:space="preserve">Infraštruktúra na nabíjanie </w:t>
      </w:r>
      <w:r>
        <w:rPr>
          <w:rFonts w:ascii="Calibri" w:hAnsi="Calibri"/>
          <w:i/>
          <w:sz w:val="22"/>
        </w:rPr>
        <w:t>elektrických vozidiel</w:t>
      </w:r>
      <w:r>
        <w:rPr>
          <w:rFonts w:ascii="Calibri" w:hAnsi="Calibri"/>
          <w:sz w:val="22"/>
        </w:rPr>
        <w:t>“, podľa noriem správnej stavebnej praxe a pokynov stavbyvedúceho a manažéra realizácie projektu, ako sa uvádza v článku 7 časti I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Monitorovanie vykonávania prác</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Realizácia</w:t>
      </w:r>
      <w:r>
        <w:rPr>
          <w:rFonts w:ascii="Calibri" w:hAnsi="Calibri"/>
          <w:color w:val="FF0000"/>
          <w:sz w:val="22"/>
        </w:rPr>
        <w:t xml:space="preserve"> </w:t>
      </w:r>
      <w:r>
        <w:rPr>
          <w:rFonts w:ascii="Calibri" w:hAnsi="Calibri"/>
          <w:sz w:val="22"/>
        </w:rPr>
        <w:t>prác sa monitoruje v súlade so špecifikáciami projektu, jeho prílohami a úpravami schválenými stavbyvedúcim a pokynmi manažéra realizácie projektu podľa špecifikácií nariadenia o nízkonapäťových elektrotechnických zariadeniach v súlade s článkom 7 ods. 3 časti I CTE a inými platnými predpismi.</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Realizácia prác sa kontroluje s cieľom zabezpečiť, aby sa inšpekcie vykonávali v požadovanej frekvencii podľa špecifikácií projektu.</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Akékoľvek zmeny vykonané počas realizácie prác sa zaznamenajú do dokumentácie dokončených prác a vo všetkých prípadoch musia byť splnené minimálne podmienky stanovené v tomto základnom dokumente.</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Dokumentácia týkajúca sa vlastností výrobkov, zariadení a systémov začlenených do budovy, musí byť zahrnutá do stavebnej knihy.</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Kontrola dokončených prác</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Inšpekcia dokončených prác musí byť v súlade s kritériami uvedenými v článku 7 ods. 4 časti I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V tomto oddiele základného dokumentu nie sú predpísané záverečné testy.</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Údržba a udržiavanie budovy</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Plán údržby uvedený v stavebnej knihe musí obsahovať operácie a frekvenciu potrebné na údržbu konštrukčných a výkonnostných parametrov </w:t>
      </w:r>
      <w:r>
        <w:rPr>
          <w:rFonts w:ascii="Calibri" w:hAnsi="Calibri"/>
          <w:i/>
          <w:sz w:val="22"/>
        </w:rPr>
        <w:t>infraštruktúry nabíjania elektrických vozidiel</w:t>
      </w:r>
      <w:r>
        <w:rPr>
          <w:rFonts w:ascii="Calibri" w:hAnsi="Calibri"/>
          <w:sz w:val="22"/>
        </w:rPr>
        <w:t xml:space="preserve"> v priebehu času.</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Podobne sa v stavebnej knihe zdokumentujú všetky zásahy, či už opravy, rekonštrukcie alebo obnovy vykonávané počas celej životnosti budovy.“</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V prílohe A sa vypúšťajú pojmy „Počiatočné osvetlenie“ a „Odrazivosť“.</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V prílohe A vo vymedzení pojmu „</w:t>
      </w:r>
      <w:r>
        <w:rPr>
          <w:rFonts w:ascii="Calibri" w:hAnsi="Calibri"/>
          <w:i/>
          <w:sz w:val="22"/>
        </w:rPr>
        <w:t>Celkový koeficient prenosu tepla (cez tepelný plášť budovy</w:t>
      </w:r>
      <w:r>
        <w:rPr>
          <w:rFonts w:ascii="Calibri" w:hAnsi="Calibri"/>
          <w:sz w:val="22"/>
        </w:rPr>
        <w:t>) (K)“, kde sa uvádza: “... K = X Hx/Aint...“ znenie: „x“, „x“ a „int“ ako dolný index: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by mali byť výrazy „parietodynamické steny“ a „Trombeho steny“ kurzívou.</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V prílohe A by vo vymedzení pojmu „kompaktnosť“ malo byť slovo „kompaktnosť“ uvedené v druhom odseku kurzívou.</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V prílohe A by vo vymedzení pojmu „prevádzkové podmienky“ mal byť výraz „súkromné účely bývania“ uvedený kurzívou.</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V prílohe A by sa malo vo vymedzení pojmu „Spotreba primárnej energie z neobnoviteľných zdrojov“, kde sa uvádza: “... Spotreba primárnej energie z neobnoviteľných zdrojov...“ uviesť „ep,nren“ v dolnom indexe: “... Spotreba primárnej energie z neobnoviteľných zdrojov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V prílohe A by sa malo vo vymedzení pojmu „Celková spotreba primárnej energie“, kde sa uvádza: “... Celková spotreba primárnej energie...“ uviesť „ep,tot“ v dolnom indexe: “... Celková spotreba primárnej energie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V prílohe A by malo vo vymedzení pojmu „regulácia solárnej energie (q</w:t>
      </w:r>
      <w:r>
        <w:rPr>
          <w:rFonts w:ascii="Calibri" w:hAnsi="Calibri"/>
          <w:sz w:val="22"/>
          <w:vertAlign w:val="subscript"/>
        </w:rPr>
        <w:t>sol;jul</w:t>
      </w:r>
      <w:r>
        <w:rPr>
          <w:rFonts w:ascii="Calibri" w:hAnsi="Calibri"/>
          <w:sz w:val="22"/>
        </w:rPr>
        <w:t>)“, kde sa uvádza: „... úžitková plocha priestorov...“ byť uvedené: „... úžitková plocha obytných priestorov...“. Bodka a nový odsek na konci vymedzenia zložky vzorca „Hsol;jul“ sa nahrádzajú bodkočiarkou a vymedzenie ďalšej zložky vzorca sa dopĺňa takto:</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„A</w:t>
      </w:r>
      <w:r>
        <w:rPr>
          <w:rFonts w:ascii="Calibri" w:hAnsi="Calibri"/>
          <w:sz w:val="22"/>
          <w:vertAlign w:val="subscript"/>
        </w:rPr>
        <w:t>util</w:t>
      </w:r>
      <w:r>
        <w:rPr>
          <w:rFonts w:ascii="Calibri" w:hAnsi="Calibri"/>
          <w:sz w:val="22"/>
        </w:rPr>
        <w:t>plocha považovaná za plochu v súlade s oddielom 4.6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V prílohe A sa v definícii pojmu „konečná energia“ výraz „Ide o energiu, ktorú nakupujú spotrebitelia vo forme elektrickej energie alebo palív na priamu spotrebu“ nahrádza výrazom „Ide o energiu, ktorá sa dodáva do systémov budov na poskytovanie služieb; zvyčajne sa poskytuje prostredníctvom palív, výroby na mieste alebo osobitných sietí (elektrina, plyn, diaľkové vykurovanie alebo chladenie atď.)“.</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V prílohe A by mal byť vo vymedzení pojmu „Podmienený obytný priestor“ výraz „súkromné účely bývania“ uvedený kurzívou.</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V prílohe A by mal byť vo vymedzení pojmu „Obdobie používania“ v druhom odseku výraz „súkromné účely bývania“ uvedený kurzívou.</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V prílohe A sa vo vymedzení pojmu „tepelný prenos (hodnota U)“ na konci vymedzenia pojmu dopĺňa táto veta:</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„Vyjadrené v W/m</w:t>
      </w:r>
      <w:r>
        <w:rPr>
          <w:rFonts w:ascii="Calibri" w:hAnsi="Calibri"/>
          <w:sz w:val="22"/>
          <w:vertAlign w:val="superscript"/>
        </w:rPr>
        <w:t xml:space="preserve"> 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V prílohe A by mal byť vo vymedzení pojmu „Hodnota energetickej efektívnosti zariadenia (VEEI)“ pojem „súkromné účely bývania“ uvedený kurzívou.</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Do prílohy A „Terminológia“ sa začleňujú tieto pojmy:</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Pomocné zariadenie</w:t>
      </w:r>
      <w:r>
        <w:rPr>
          <w:rFonts w:ascii="Calibri" w:hAnsi="Calibri"/>
          <w:b/>
          <w:sz w:val="22"/>
        </w:rPr>
        <w:t xml:space="preserve">: </w:t>
      </w:r>
      <w:r>
        <w:rPr>
          <w:rFonts w:ascii="Calibri" w:hAnsi="Calibri"/>
          <w:sz w:val="22"/>
        </w:rPr>
        <w:t>elektrické alebo elektronické zariadenie spojené so svetlom, odlišné pre každý typ svetla, ktorého funkciou je zapaľovanie a ovládanie prevádzkových podmienok. Toto pomocné zariadenie, pokiaľ nie je elektronické, je tvorené kombináciou štartéra, predradníka a kondenzátora.</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Nabíjacia stanica</w:t>
      </w:r>
      <w:r>
        <w:rPr>
          <w:rFonts w:ascii="Calibri" w:hAnsi="Calibri"/>
          <w:b/>
          <w:sz w:val="22"/>
        </w:rPr>
        <w:t xml:space="preserve">: </w:t>
      </w:r>
      <w:r>
        <w:rPr>
          <w:rFonts w:ascii="Calibri" w:hAnsi="Calibri"/>
          <w:sz w:val="22"/>
        </w:rPr>
        <w:t xml:space="preserve">súbor prvkov potrebných na pripojenie elektrického vozidla k pevnej elektrickej inštalácii potrebnej na nabíjanie. </w:t>
      </w:r>
      <w:r>
        <w:rPr>
          <w:rFonts w:ascii="Calibri" w:hAnsi="Calibri"/>
          <w:i/>
          <w:sz w:val="22"/>
        </w:rPr>
        <w:t>Nabíjacie stanice</w:t>
      </w:r>
      <w:r>
        <w:rPr>
          <w:rFonts w:ascii="Calibri" w:hAnsi="Calibri"/>
          <w:sz w:val="22"/>
        </w:rPr>
        <w:t xml:space="preserve"> sú klasifikované ako:</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Jedno nabíjacie miesto pozostávajúce z potrebnej ochrany, jednej alebo viacerých zásuviek, ktoré nie sú špecifické pre </w:t>
      </w:r>
      <w:r>
        <w:rPr>
          <w:rFonts w:ascii="Calibri" w:hAnsi="Calibri"/>
          <w:i/>
          <w:sz w:val="22"/>
        </w:rPr>
        <w:t>elektrické vozidlo</w:t>
      </w:r>
      <w:r>
        <w:rPr>
          <w:rFonts w:ascii="Calibri" w:hAnsi="Calibri"/>
          <w:sz w:val="22"/>
        </w:rPr>
        <w:t xml:space="preserve"> a prípadne plášťa.</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Nabíjacie miesto SAVE</w:t>
      </w:r>
      <w:r>
        <w:rPr>
          <w:rFonts w:ascii="Calibri" w:hAnsi="Calibri"/>
          <w:i/>
          <w:sz w:val="22"/>
        </w:rPr>
        <w:t xml:space="preserve"> (Specific Electric Vehicle Power Supply System</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Nabíjacia infraštruktúra pre elektrické vozidlá</w:t>
      </w:r>
      <w:r>
        <w:rPr>
          <w:rFonts w:ascii="Calibri" w:hAnsi="Calibri"/>
          <w:b/>
          <w:sz w:val="22"/>
        </w:rPr>
        <w:t xml:space="preserve">: </w:t>
      </w:r>
      <w:r>
        <w:rPr>
          <w:rFonts w:ascii="Calibri" w:hAnsi="Calibri"/>
          <w:sz w:val="22"/>
        </w:rPr>
        <w:t xml:space="preserve">súbor fyzických a logických zariadení určených na nabíjanie elektrických vozidiel spĺňajúcich požiadavky na bezpečnosť a dostupnosť stanovené pre každý prípad v nariadení o nízkonapäťových elektrotechnických zariadeniach, ktoré sú schopné poskytovať úplnú a komplexnú službu nabíjania. Zahŕňa </w:t>
      </w:r>
      <w:r>
        <w:rPr>
          <w:rFonts w:ascii="Calibri" w:hAnsi="Calibri"/>
          <w:i/>
          <w:sz w:val="22"/>
        </w:rPr>
        <w:t>nabíjacie stanice</w:t>
      </w:r>
      <w:r>
        <w:rPr>
          <w:rFonts w:ascii="Calibri" w:hAnsi="Calibri"/>
          <w:sz w:val="22"/>
        </w:rPr>
        <w:t xml:space="preserve">, riadiaci systém, elektrické rozvody, elektrické ovládacie a ochranné panely a meracie zariadenia, ak sú určené výlučne na nabíjanie </w:t>
      </w:r>
      <w:r>
        <w:rPr>
          <w:rFonts w:ascii="Calibri" w:hAnsi="Calibri"/>
          <w:i/>
          <w:sz w:val="22"/>
        </w:rPr>
        <w:t>elektrického vozidla</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Specific Electric Vehicle Power System (SAVE)</w:t>
      </w:r>
      <w:r>
        <w:rPr>
          <w:rFonts w:ascii="Calibri" w:hAnsi="Calibri"/>
          <w:b/>
          <w:sz w:val="22"/>
        </w:rPr>
        <w:t>:</w:t>
      </w:r>
      <w:r>
        <w:rPr>
          <w:rFonts w:ascii="Calibri" w:hAnsi="Calibri"/>
          <w:sz w:val="22"/>
        </w:rPr>
        <w:t xml:space="preserve"> súbor zariadení zmontovaných na zásobovanie elektrickou energiu na nabíjanie elektrického vozidla vrátane ochrany nabíjacej stanice, spojovacieho kábla (s fázovým, neutrálnym a ochranným vodičom), základne alebo konektora zásuvky a prípadne konvertora striedavého prúdu. Tento systém musí v prípade potreby umožňovať komunikáciu medzi </w:t>
      </w:r>
      <w:r>
        <w:rPr>
          <w:rFonts w:ascii="Calibri" w:hAnsi="Calibri"/>
          <w:i/>
          <w:sz w:val="22"/>
        </w:rPr>
        <w:t>elektrickým vozidlom</w:t>
      </w:r>
      <w:r>
        <w:rPr>
          <w:rFonts w:ascii="Calibri" w:hAnsi="Calibri"/>
          <w:sz w:val="22"/>
        </w:rPr>
        <w:t xml:space="preserve"> a pevnou inštaláciou.“</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Súkromné účely bývania</w:t>
      </w:r>
      <w:r>
        <w:rPr>
          <w:rFonts w:ascii="Calibri" w:hAnsi="Calibri"/>
          <w:sz w:val="22"/>
        </w:rPr>
        <w:t>: Budova alebo plocha určená na trvalý pobyt bez ohľadu na typ budovy: samostatne stojaci dom, bytový dom atď., tak pre verejný, ako aj súkromný rozvoj.“</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Elektrické vozidlo</w:t>
      </w:r>
      <w:r>
        <w:rPr>
          <w:rFonts w:ascii="Calibri" w:hAnsi="Calibri"/>
          <w:sz w:val="22"/>
        </w:rPr>
        <w:t>: motorové vozidlo vybavené pohonnou skupinou s aspoň jedným neperiférnym elektrickým mechanizmom fungujúcim ako menič energie a vybavené dobíjateľným zásobníkom elektrickej energie, ktorý možno dobíjať zvonku.“</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lastRenderedPageBreak/>
        <w:t>yy) V prílohe C musí byť výraz „tepelný plášť“ v názve a výraz „neobytné priestory“ uvedený v oddiele 1 písm. a) kurzívou.</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V prílohe D sa „Prevádzkové podmienky“, „profily používania“ a „súkromné účely bývania“ musia uvádzať kurzívou v názve, odseku 2 a v tabuľke a – príloha D, tabuľke b – príloha D a tabuľke c – príloha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V prílohe D by sa odsek „2 </w:t>
      </w:r>
      <w:r>
        <w:rPr>
          <w:rFonts w:ascii="Calibri" w:hAnsi="Calibri"/>
          <w:i/>
          <w:sz w:val="22"/>
        </w:rPr>
        <w:t>Prevádzkové podmienky</w:t>
      </w:r>
      <w:r>
        <w:rPr>
          <w:rFonts w:ascii="Calibri" w:hAnsi="Calibri"/>
          <w:sz w:val="22"/>
        </w:rPr>
        <w:t xml:space="preserve"> a </w:t>
      </w:r>
      <w:r>
        <w:rPr>
          <w:rFonts w:ascii="Calibri" w:hAnsi="Calibri"/>
          <w:i/>
          <w:sz w:val="22"/>
        </w:rPr>
        <w:t>profil používania</w:t>
      </w:r>
      <w:r>
        <w:rPr>
          <w:rFonts w:ascii="Calibri" w:hAnsi="Calibri"/>
          <w:sz w:val="22"/>
        </w:rPr>
        <w:t xml:space="preserve">...“ mali prečíslovať na „3 </w:t>
      </w:r>
      <w:r>
        <w:rPr>
          <w:rFonts w:ascii="Calibri" w:hAnsi="Calibri"/>
          <w:i/>
          <w:sz w:val="22"/>
        </w:rPr>
        <w:t>Prevádzkové podmienky</w:t>
      </w:r>
      <w:r>
        <w:rPr>
          <w:rFonts w:ascii="Calibri" w:hAnsi="Calibri"/>
          <w:sz w:val="22"/>
        </w:rPr>
        <w:t xml:space="preserve"> a </w:t>
      </w:r>
      <w:r>
        <w:rPr>
          <w:rFonts w:ascii="Calibri" w:hAnsi="Calibri"/>
          <w:i/>
          <w:sz w:val="22"/>
        </w:rPr>
        <w:t>profil používania</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V prílohe D ods. 4 sa text „Uznávaný dokument“ nahrádza textom „Uznávaný dokument o energetickej certifikácii budov“.</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V prílohe E by mal byť výraz „súkromné účely bývania“ uvedený v oddiele 1 kurzívou.</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V prílohe F by mal byť výraz „súkromné účely bývania“ uvedený kurzívou v oddiele 1 aj v tabuľke a – príloha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V prílohe H sa za názov oddielu vkladá tento text: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„Stanovenie </w:t>
      </w:r>
      <w:r>
        <w:rPr>
          <w:rFonts w:ascii="Calibri" w:hAnsi="Calibri"/>
          <w:i/>
          <w:sz w:val="22"/>
        </w:rPr>
        <w:t xml:space="preserve">vzduchovej priepustnosti </w:t>
      </w:r>
      <w:r>
        <w:rPr>
          <w:rFonts w:ascii="Calibri" w:hAnsi="Calibri"/>
          <w:sz w:val="22"/>
        </w:rPr>
        <w:t xml:space="preserve">budovy sa musí vykonať jednou z nasledujúcich metód.“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V prílohe H sa text „Hodnotu pomeru zmeny vzduchu pri 50 Pa, n50, možno získať skúškou podľa metódy B normy UNE-EN 13829:2002 Stanovenie vzduchovej priepustnosti budov. Metóda pretlaku pomocou ventilátora.“ nahrádza takto: „Hodnota </w:t>
      </w:r>
      <w:r>
        <w:rPr>
          <w:rFonts w:ascii="Calibri" w:hAnsi="Calibri"/>
          <w:i/>
          <w:sz w:val="22"/>
        </w:rPr>
        <w:t>pomeru zmeny vzduchu</w:t>
      </w:r>
      <w:r>
        <w:rPr>
          <w:rFonts w:ascii="Calibri" w:hAnsi="Calibri"/>
          <w:sz w:val="22"/>
        </w:rPr>
        <w:t xml:space="preserve"> pri 50 Pa, n</w:t>
      </w:r>
      <w:r>
        <w:rPr>
          <w:rFonts w:ascii="Calibri" w:hAnsi="Calibri"/>
          <w:sz w:val="22"/>
          <w:vertAlign w:val="subscript"/>
        </w:rPr>
        <w:t>50</w:t>
      </w:r>
      <w:r>
        <w:rPr>
          <w:rFonts w:ascii="Calibri" w:hAnsi="Calibri"/>
          <w:sz w:val="22"/>
        </w:rPr>
        <w:t xml:space="preserve">, pomocou skúšky sa získa z metódy 1 alebo 2 UNE-EN ISO 9972: 2019 </w:t>
      </w:r>
      <w:r>
        <w:rPr>
          <w:rFonts w:ascii="Calibri" w:hAnsi="Calibri"/>
          <w:i/>
          <w:sz w:val="22"/>
        </w:rPr>
        <w:t>Tepelnotechnické vlastnosti budov. Stanovenie vzduchovej priepustnosti budov. Metóda pretlaku pomocou ventilátora.“.</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V oddiele H, oddiele 2, ktorý má toto znenie: „... 2. Hodnota pomeru zmeny vzduchu pri 50 Pa, n</w:t>
      </w:r>
      <w:r>
        <w:rPr>
          <w:rFonts w:ascii="Calibri" w:hAnsi="Calibri"/>
          <w:sz w:val="22"/>
          <w:vertAlign w:val="subscript"/>
        </w:rPr>
        <w:t>50</w:t>
      </w:r>
      <w:r>
        <w:rPr>
          <w:rFonts w:ascii="Calibri" w:hAnsi="Calibri"/>
          <w:sz w:val="22"/>
        </w:rPr>
        <w:t xml:space="preserve">, sa môže vypočítať z tejto rovnice:“ by mal mať text toto znenie: „... 1. Hodnota </w:t>
      </w:r>
      <w:r>
        <w:rPr>
          <w:rFonts w:ascii="Calibri" w:hAnsi="Calibri"/>
          <w:i/>
          <w:sz w:val="22"/>
        </w:rPr>
        <w:t>pomeru zmeny vzduchu</w:t>
      </w:r>
      <w:r>
        <w:rPr>
          <w:rFonts w:ascii="Calibri" w:hAnsi="Calibri"/>
          <w:sz w:val="22"/>
        </w:rPr>
        <w:t xml:space="preserve"> pri 50 Pa, n</w:t>
      </w:r>
      <w:r>
        <w:rPr>
          <w:rFonts w:ascii="Calibri" w:hAnsi="Calibri"/>
          <w:sz w:val="22"/>
          <w:vertAlign w:val="subscript"/>
        </w:rPr>
        <w:t>50</w:t>
      </w:r>
      <w:r>
        <w:rPr>
          <w:rFonts w:ascii="Calibri" w:hAnsi="Calibri"/>
          <w:sz w:val="22"/>
        </w:rPr>
        <w:t xml:space="preserve"> referenčnými hodnotami sa získa z tohto výrazu:“, kde sa uvádza: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by mal mať text toto znenie: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kde sa uvádza: „V je vnútorný objem tepelného plášťa v [m</w:t>
      </w:r>
      <w:r>
        <w:rPr>
          <w:rFonts w:ascii="Calibri" w:hAnsi="Calibri"/>
          <w:sz w:val="22"/>
          <w:vertAlign w:val="superscript"/>
        </w:rPr>
        <w:t>3</w:t>
      </w:r>
      <w:r>
        <w:rPr>
          <w:rFonts w:ascii="Calibri" w:hAnsi="Calibri"/>
          <w:sz w:val="22"/>
        </w:rPr>
        <w:t>]“ by malo mať toto znenie: „V</w:t>
      </w:r>
      <w:r>
        <w:rPr>
          <w:rFonts w:ascii="Calibri" w:hAnsi="Calibri"/>
          <w:sz w:val="22"/>
          <w:vertAlign w:val="subscript"/>
        </w:rPr>
        <w:t>int</w:t>
      </w:r>
      <w:r>
        <w:rPr>
          <w:rFonts w:ascii="Calibri" w:hAnsi="Calibri"/>
          <w:sz w:val="22"/>
        </w:rPr>
        <w:t xml:space="preserve"> je vnútorný objem vzduchu </w:t>
      </w:r>
      <w:r>
        <w:rPr>
          <w:rFonts w:ascii="Calibri" w:hAnsi="Calibri"/>
          <w:i/>
          <w:sz w:val="22"/>
        </w:rPr>
        <w:t>tepelného plášťa</w:t>
      </w:r>
      <w:r>
        <w:rPr>
          <w:rFonts w:ascii="Calibri" w:hAnsi="Calibri"/>
          <w:sz w:val="22"/>
        </w:rPr>
        <w:t>, v [m</w:t>
      </w:r>
      <w:r>
        <w:rPr>
          <w:rFonts w:ascii="Calibri" w:hAnsi="Calibri"/>
          <w:sz w:val="22"/>
          <w:vertAlign w:val="superscript"/>
        </w:rPr>
        <w:t>3</w:t>
      </w:r>
      <w:r>
        <w:rPr>
          <w:rFonts w:ascii="Calibri" w:hAnsi="Calibri"/>
          <w:sz w:val="22"/>
        </w:rPr>
        <w:t>]“ a kde sa uvádza: „A</w:t>
      </w:r>
      <w:r>
        <w:rPr>
          <w:rFonts w:ascii="Calibri" w:hAnsi="Calibri"/>
          <w:sz w:val="22"/>
          <w:vertAlign w:val="subscript"/>
        </w:rPr>
        <w:t>o</w:t>
      </w:r>
      <w:r>
        <w:rPr>
          <w:rFonts w:ascii="Calibri" w:hAnsi="Calibri"/>
          <w:sz w:val="22"/>
        </w:rPr>
        <w:t xml:space="preserve"> je povrch nepriehľadnej časti </w:t>
      </w:r>
      <w:r>
        <w:rPr>
          <w:rFonts w:ascii="Calibri" w:hAnsi="Calibri"/>
          <w:i/>
          <w:sz w:val="22"/>
        </w:rPr>
        <w:t>tepelného plášťa</w:t>
      </w:r>
      <w:r>
        <w:rPr>
          <w:rFonts w:ascii="Calibri" w:hAnsi="Calibri"/>
          <w:sz w:val="22"/>
        </w:rPr>
        <w:t xml:space="preserve"> v [m</w:t>
      </w:r>
      <w:r>
        <w:rPr>
          <w:rFonts w:ascii="Calibri" w:hAnsi="Calibri"/>
          <w:sz w:val="22"/>
          <w:vertAlign w:val="superscript"/>
        </w:rPr>
        <w:t>2</w:t>
      </w:r>
      <w:r>
        <w:rPr>
          <w:rFonts w:ascii="Calibri" w:hAnsi="Calibri"/>
          <w:sz w:val="22"/>
        </w:rPr>
        <w:t>]“ by malo mať toto znenie: „A</w:t>
      </w:r>
      <w:r>
        <w:rPr>
          <w:rFonts w:ascii="Calibri" w:hAnsi="Calibri"/>
          <w:sz w:val="22"/>
          <w:vertAlign w:val="subscript"/>
        </w:rPr>
        <w:t>o</w:t>
      </w:r>
      <w:r>
        <w:rPr>
          <w:rFonts w:ascii="Calibri" w:hAnsi="Calibri"/>
          <w:sz w:val="22"/>
        </w:rPr>
        <w:t xml:space="preserve"> je povrch nepriehľadnej časti </w:t>
      </w:r>
      <w:r>
        <w:rPr>
          <w:rFonts w:ascii="Calibri" w:hAnsi="Calibri"/>
          <w:i/>
          <w:sz w:val="22"/>
        </w:rPr>
        <w:t>tepelného plášťa</w:t>
      </w:r>
      <w:r>
        <w:rPr>
          <w:rFonts w:ascii="Calibri" w:hAnsi="Calibri"/>
          <w:sz w:val="22"/>
        </w:rPr>
        <w:t xml:space="preserve"> v kontakte s vonkajším vzduchom v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V prílohe H by mali byť výrazy „tepelný plášť“ a „otvory“ uvedené kurzívou v opise pojmov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a v tabuľke a – príloha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Po štvrté.</w:t>
      </w:r>
      <w:r>
        <w:rPr>
          <w:rFonts w:ascii="Calibri" w:hAnsi="Calibri"/>
          <w:b/>
          <w:sz w:val="22"/>
        </w:rPr>
        <w:t xml:space="preserve"> </w:t>
      </w:r>
      <w:r>
        <w:rPr>
          <w:rFonts w:ascii="Calibri" w:hAnsi="Calibri"/>
          <w:sz w:val="22"/>
        </w:rPr>
        <w:t xml:space="preserve">V základnom dokumente DB-SUA „Bezpečnosť používania a prístupnosť“, ktorý je súčasťou časti II Technického stavebného zákona, boli zavedené nasledujúce úpravy: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V prílohe A zahŕňa vymedzenie pojmu „prístupné parkovacie miesto“ spojovník s textom:</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V prípade, že </w:t>
      </w:r>
      <w:r>
        <w:rPr>
          <w:rFonts w:ascii="Calibri" w:hAnsi="Calibri"/>
          <w:i/>
          <w:sz w:val="22"/>
        </w:rPr>
        <w:t>prístupné parkovacie miesto</w:t>
      </w:r>
      <w:r>
        <w:rPr>
          <w:rFonts w:ascii="Calibri" w:hAnsi="Calibri"/>
          <w:sz w:val="22"/>
        </w:rPr>
        <w:t xml:space="preserve"> má nabíjaciu stanicu pre elektrické vozidlá, bude v </w:t>
      </w:r>
      <w:r>
        <w:rPr>
          <w:rFonts w:ascii="Calibri" w:hAnsi="Calibri"/>
          <w:i/>
          <w:sz w:val="22"/>
        </w:rPr>
        <w:t>prístupnom pláne trasy</w:t>
      </w:r>
      <w:r>
        <w:rPr>
          <w:rFonts w:ascii="Calibri" w:hAnsi="Calibri"/>
          <w:sz w:val="22"/>
        </w:rPr>
        <w:t xml:space="preserve"> aj táto nabíjacia stanica. Sieťové zásuvky a konektory týchto nabíjacích staníc musia mať farebný kontrast s ohľadom na okolie, musia byť umiestnené vo výške 80 až 120 cm a vzdialenosť od rohov musí byť najmenej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Po piate. V základnom dokumente DB-HS „Zdravie“, ktorý je zahrnutý v časti II, sa vykonávajú tieto zmeny:</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lastRenderedPageBreak/>
        <w:t>a) V oddiele HS 4, v oddiele 3.2.2.1 bode 2 sa veta „minimálny príspevok solárnej energie na výrobu teplej úžitkovej vody“ nahrádza vetou „minimálny príspevok energie z obnoviteľných zdrojov na pokrytie dopytu po teplej úžitkovej vode“.</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V oddiele HS 4, v oddiele 6.2 sa písmeno „e) polyvinylchloridové chlórované (PVC-C) rúry podľa UNE-EN ISO 15874-1:2013, UNE-EN ISO 15874-2:2013 a UNE-EN ISO 15874-3:2013;“ nahrádza písmenom „e) rúry z polychlórovaného vinylchloridu (PVC-C), podľa UNE-EN ISO 15877-1:2009 (+UNE-EN ISO 15877-1:2009/A1): 2011), UNE-EN ISO 15877-2:2009 (+UNE-EN ISO 15877-2:2009/A1: 2011) a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V oddiele HS 4, v oddiele 6.2 sa písmeno „h) polybutylénové rúry (PB) podľa UNE-EN ISO 15876-1:2017, UNE-EN ISO 15876-2:2017 a UNE-EN ISO 15876-3:2017 nahrádza písmenom „h) polybutylénové rúry (PB) podľa UNE-EN ISO 15876-1:2017, UNE-EN ISO 15876-2:2017 a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V</w:t>
      </w:r>
      <w:r>
        <w:rPr>
          <w:rFonts w:ascii="Calibri" w:hAnsi="Calibri"/>
          <w:b/>
          <w:sz w:val="22"/>
        </w:rPr>
        <w:t xml:space="preserve"> </w:t>
      </w:r>
      <w:r>
        <w:rPr>
          <w:rFonts w:ascii="Calibri" w:hAnsi="Calibri"/>
          <w:sz w:val="22"/>
        </w:rPr>
        <w:t>oddiele HS 4, dodatok C, ktorý má znenie: Plastové potrubné systémy na rozvod teplej a studenej vody. Polybutylén (PB). Časť 1: Všeobecné“ by malo znieť takto: Plastové potrubné systémy na rozvod teplej a studenej vody. Polybutén (PB). Časť 1: Všeobecne</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V</w:t>
      </w:r>
      <w:r>
        <w:rPr>
          <w:rFonts w:ascii="Calibri" w:hAnsi="Calibri"/>
          <w:b/>
          <w:sz w:val="22"/>
        </w:rPr>
        <w:t xml:space="preserve"> </w:t>
      </w:r>
      <w:r>
        <w:rPr>
          <w:rFonts w:ascii="Calibri" w:hAnsi="Calibri"/>
          <w:sz w:val="22"/>
        </w:rPr>
        <w:t>oddiele HS 4, dodatok C, ktorý má znenie: Plastové potrubné systémy na rozvod teplej a studenej vody. Polybutylén (PB). Časť 2: Rúry“ by malo znieť takto: Plastové potrubné systémy na rozvod teplej a studenej vody. Polybutén (PB). Časť 2: Rúry.</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V</w:t>
      </w:r>
      <w:r>
        <w:rPr>
          <w:rFonts w:ascii="Calibri" w:hAnsi="Calibri"/>
          <w:b/>
          <w:sz w:val="22"/>
        </w:rPr>
        <w:t xml:space="preserve"> </w:t>
      </w:r>
      <w:r>
        <w:rPr>
          <w:rFonts w:ascii="Calibri" w:hAnsi="Calibri"/>
          <w:sz w:val="22"/>
        </w:rPr>
        <w:t>oddiele HS 4, dodatok C, ktorý má znenie: Plastové potrubné systémy na rozvod teplej a studenej vody. Polybutylén (PB). Časť 3: Armatúry“ by malo znieť takto: Plastové potrubné systémy na rozvod teplej a studenej vody. Polybutén (PB). Časť 3: Armatúry.</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V oddiele HS 4, dodatok C sa za odkaz na normu „UNE-EN ISO 15876-3 vkladá: 2017</w:t>
      </w:r>
      <w:r>
        <w:rPr>
          <w:rFonts w:ascii="Calibri" w:hAnsi="Calibri"/>
          <w:sz w:val="22"/>
        </w:rPr>
        <w:tab/>
        <w:t>Plastové potrubné systémy na rozvod teplej a studenej vody. Polybutén (PB). Časť 3: Armatúry“ vkladajú tieto normy:</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Plastové potrubné systémy na rozvod teplej a studenej vody. Chlórovaný poly (vinylchlorid) (PVC-C). Časť 1: Všeobecné ustanovenia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Plastové potrubné systémy na rozvod teplej a studenej vody. Chlórovaný poly (vinylchlorid) (PVC-C). Časť 2: Rúry.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Plastové potrubné systémy na rozvod teplej a studenej vody. Chlórovaný poly (vinylchlorid) (PVC-C). Časť 3: Armatúry.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Prvé prechodné ustanovenie. </w:t>
      </w:r>
      <w:r>
        <w:rPr>
          <w:rFonts w:ascii="Calibri" w:hAnsi="Calibri"/>
          <w:i/>
          <w:sz w:val="22"/>
        </w:rPr>
        <w:t>Budovy vyňaté z ustanovení tohto kráľovského dekrétu.</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Zmeny technického stavebného zákona (CTE) prijaté týmto kráľovským dekrétom sa nevzťahujú na nové budovy alebo práce na existujúcich budovách, ktoré už v čase nadobudnutia účinnosti tohto kráľovského dekrétu požiadali o povolenie na mestské práce.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Tieto práce sa začnú v rámci maximálnej lehoty účinnosti uvedeného povolenia v súlade s jeho upravujúcimi predpismi alebo, ak to nebude možné, do šiestich mesiacov od udelenia uvedeného povolenia. V opačnom prípade sa projekty musia prispôsobiť zmenám CTE schváleným týmto kráľovským dekrétom.</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Druhé prechodné ustanovenie. </w:t>
      </w:r>
      <w:r>
        <w:rPr>
          <w:rFonts w:ascii="Calibri" w:hAnsi="Calibri"/>
          <w:i/>
          <w:sz w:val="22"/>
        </w:rPr>
        <w:t>Budovy, v prípade ktorých je uplatňovanie ustanovení tohto kráľovského dekrétu dobrovoľné.</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Zmeny technického stavebného zákona schválené týmto kráľovským dekrétom sa dobrovoľne uplatňujú na nové stavebné práce a práce na existujúcich budovách, na ktoré sa v oboch prípadoch vyžaduje povolenie na mestské práce do šiestich mesiacov od nadobudnutia účinnosti tohto kráľovského dekrétu.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Tieto práce sa začnú v rámci maximálnej lehoty účinnosti uvedeného povolenia v súlade s jeho upravujúcimi predpismi alebo, ak to nebude možné, do šiestich mesiacov od udelenia uvedeného povolenia. V opačnom prípade sa projekty musia prispôsobiť zmenám CTE schváleným týmto kráľovským dekrétom.</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Tretie prechodné ustanovenie. </w:t>
      </w:r>
      <w:r>
        <w:rPr>
          <w:rFonts w:ascii="Calibri" w:hAnsi="Calibri"/>
          <w:i/>
          <w:sz w:val="22"/>
        </w:rPr>
        <w:t>Budovy, v prípade ktorých je uplatňovanie ustanovení tohto kráľovského dekrétu povinné.</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Uplatňovanie zmien technického stavebného zákona (CTE) prijatých týmto kráľovským dekrétom je povinné pre nové budovy alebo práce na existujúcich budovách, ktoré žiadajú o povolenie na mestské práce neskôr ako deväť mesiacov po nadobudnutí účinnosti tohto ustanovenia.</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Prvé záverečné ustanovenie. </w:t>
      </w:r>
      <w:r>
        <w:rPr>
          <w:rFonts w:ascii="Calibri" w:hAnsi="Calibri"/>
          <w:i/>
          <w:sz w:val="22"/>
        </w:rPr>
        <w:t>Zmena kráľovského dekrétu č. 1053/2014 z 12. decembra, ktorým sa schvaľuje nový doplňujúci technický pokyn (ITC) BT 52 „Inštalácie na osobitné účely. Infraštruktúra pre nabíjanie elektrických vozidiel“ nariadenia o nízkonapäťových elektrotechnických zariadeniach, schváleného kráľovským dekrétom č. 842/2002 z 2. augusta, a menia sa ďalšie doplňujúce technické pokyny.</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Kráľovský dekrét č. 1053/2014 z 12. decembra, ktorým sa schvaľuje nový doplňujúci technický pokyn (ITC) BT 52 „Inštalácie na osobitné účely. Infraštruktúra na dobíjanie elektrických vozidiel“ nariadenia o nízkonapäťových elektrotechnických zariadeniach schváleného kráľovským dekrétom č. 842/2002 z 2. augusta a menia sa ďalšie doplňujúce technické pokyny: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 prvé. Prvé dodatočné ustanovenie sa mení a znie takto:</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„Prvé dodatočné ustanovenie. Minimálne konštrukčné zariadenia na nabíjanie elektrických vozidiel na parkoviskách, ktoré nie sú určené pre budovy, novovybudované alebo podliehajúce významnej obnove, a na verejných cestách.</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Na novovybudovaných parkoviskách alebo parkoviskách prechádzajúcich významnou rekonštrukciou, ktoré nie sú umiestnené v budove alebo s ňou susedia, a teda mimo rámca základného dokumentu o úspore energie (DB HE) technického stavebného zákona, musí byť na každých 40 parkovacích miest alebo ich podiel inštalovaná aspoň jedna nabíjacia stanica. Parkovisko sa považuje za novovybudované, keď sa projekt výstavby predloží príslušnej verejnej správe na spracovanie po nadobudnutí účinnosti tohto kráľovského dekrétu.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Musia byť zaručené zariadenia potrebné na napájanie nabíjacích staníc umiestnených na miestach pre elektrické vozidlá na verejných komunikáciách, ktoré sú uvedené v plánoch udržateľnej mobility na úrovni vyšších samospráv alebo obcí.“</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 druhé. Oddiel 3.2 INSTRUCCIÓN TÉCNICA COMPLEMENTARIA (ITC) BT-52 sa mení takto:</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Inštalácia na parkoviskách alebo spoločných parkovacích miestach priľahlých budov alebo komplexov budov.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Elektrické zariadenia na nabíjanie </w:t>
      </w:r>
      <w:r>
        <w:rPr>
          <w:rFonts w:ascii="Calibri" w:hAnsi="Calibri"/>
          <w:color w:val="000000"/>
          <w:sz w:val="22"/>
        </w:rPr>
        <w:t>elektrických vozidiel</w:t>
      </w:r>
      <w:r>
        <w:rPr>
          <w:rFonts w:ascii="Calibri" w:hAnsi="Calibri"/>
          <w:sz w:val="22"/>
        </w:rPr>
        <w:t xml:space="preserve"> umiestnené na parkoviskách alebo na parkoviskách vo vnútri budov alebo obytných priestorov alebo na nich pripevnené, musia dodržiavať ktorýkoľvek z uvedených režimov.</w:t>
      </w:r>
      <w:r>
        <w:rPr>
          <w:rFonts w:ascii="Calibri" w:hAnsi="Calibri"/>
          <w:color w:val="000000"/>
          <w:sz w:val="22"/>
        </w:rPr>
        <w:t xml:space="preserve"> </w:t>
      </w:r>
      <w:r>
        <w:rPr>
          <w:rFonts w:ascii="Calibri" w:hAnsi="Calibri"/>
          <w:sz w:val="22"/>
        </w:rPr>
        <w:t>V tej istej budove sa môžu použiť rôzne schémy za predpokladu, že sú splnené všetky požiadavky stanovené v tomto dokumente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V schéme 4a sa nabíjací okruh riadi podmienkami inštalácie opísanými v dokumente (ITC) BT-15 s použitím káblov a systémov vedenia rovnakých typov a charakteristík ako v prípade individuálneho vetvy a prierez kábla sa vypočíta </w:t>
      </w:r>
      <w:r>
        <w:rPr>
          <w:rFonts w:ascii="Calibri" w:hAnsi="Calibri"/>
          <w:sz w:val="22"/>
        </w:rPr>
        <w:lastRenderedPageBreak/>
        <w:t>v súlade so všeobecnými požiadavkami oddielu 5 tohto dokumentu ITC. Nie je potrebné predpokladať rozšírenie prierezu káblov na určenie priemeru alebo priečnych rozmerov systému vedenia, ktorý sa má použiť.</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Schéma 4b sa použije, ak je napájanie nabíjacích staníc navrhnuté ako neoddeliteľná súčasť alebo rozšírenie elektrického zariadenia slúžiaceho všeobecným službám garáží.</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Ako v existujúcich zariadeniach, tak aj v nových zariadeniach, a aby sa uľahčilo používanie zvolenej elektrickej schémy, panely, v ktorých sú umiestnené všeobecné ochrany a iné zariadenia na nabíjanie elektrických vozidiel, môžu byť umiestnené v miestnostiach určených na tento účel alebo v spoločných priestoroch.</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Elektrická predinštalácia na nabíjanie elektrických vozidiel na parkoviskách umiestnených alebo susediacich s budovami alebo stavebnými komplexmi uľahčuje následné využívanie ktoréhokoľvek z možných systémov inštalácie. Patria sem tieto prvky: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Inštalácia systémov vedenia káblov z centralizácie meračov a hlavných ciest parkovísk, aby bolo možné neskôr napájať nabíjacie stanice, ktoré môžu byť umiestnené na jednotlivých parkovacích miestach alebo parkoviskách. Ak je predinštalácia plánovaná pre 100 % miest, systémy vedenia káblov musia viesť ku každému miestu. Ak sa predinštalácia neplánuje pre 100 % miest, musia sa definovať miesta, ktoré sa považujú za vyhovujúce regulačnému zabezpečeniu systémov vedenia káblov a tieto systémy musia viesť ku každému z týchto miest.</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Centralizácia meračov musí byť dimenzovaná v súlade s elektrickou schémou zvolenou na nabíjanie elektrického vozidla a uvedenou v dokumente (ITC) BT-16. Záložné moduly musia byť inštalované aspoň pre 20 % garážových priestorov, ktoré nie sú spojené s obydlím, a keď sú všetky priestory spojené s obydlím, musí sa inštalovať aspoň jeden záložný modul. Tieto záložné moduly musia mať kapacitu na umiestnenie hlavného merača a nadprúdových ochranných zariadení spojených s meračom, či už s poistkami alebo ističmi.</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Zásuvky alebo konektory inštalované v nabíjacej stanici a jej automatické ochranné ističe musia spĺňať jednu z možností uvedených v oddiele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 tretie. Prvý pododsek oddielu 5.4 DOPLŇUJÚCEHO TECHNICKÉHO POKYNU (ITC) BT-52 sa mení takto:</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Miesto pripojenia. </w:t>
      </w:r>
      <w:bookmarkStart w:id="26" w:name="_Hlk81468651"/>
      <w:r>
        <w:rPr>
          <w:rFonts w:ascii="Calibri" w:hAnsi="Calibri"/>
          <w:sz w:val="22"/>
        </w:rPr>
        <w:t xml:space="preserve">Miesto pripojenia musí byť umiestnené vedľa miesta, ktoré sa má napájať, a musí byť trvalo inštalované v uzavretom priestore.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Minimálna montážna výška zásuviek a konektorov musí byť 60 cm nad úrovňou zeme. </w:t>
      </w:r>
      <w:bookmarkStart w:id="27" w:name="_Hlk81468224"/>
      <w:r>
        <w:rPr>
          <w:rFonts w:ascii="Calibri" w:hAnsi="Calibri"/>
          <w:sz w:val="22"/>
        </w:rPr>
        <w:t>Ak je nabíjacia stanica určená na verejné použitie, maximálna výška je 120 cm. Na prístupných parkovacích miestach musia mať zásuvky a konektory farebný kontrast s ohľadom na okolie, musia byť umiestnené vo výške 80 až 120 cm a vzdialenosť od rohových spojov musí byť najmenej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Druhé záverečné ustanovenie. </w:t>
      </w:r>
      <w:r>
        <w:rPr>
          <w:rFonts w:ascii="Calibri" w:hAnsi="Calibri"/>
          <w:i/>
          <w:sz w:val="22"/>
        </w:rPr>
        <w:t>Transpozícia právnych predpisov Európskej únie.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Týmto kráľovským dekrétom sa do španielskeho práva transponujú články 8.2, 8.4, 8.5 a 8.6 smernice Európskeho parlamentu a Rady 2010/31/EÚ o energetickej hospodárnosti budov, v znení smernice Európskeho parlamentu a Rady (EÚ) 2018/844 z 30. mája 2018, ktorou sa mení smernica 2010/31/EÚ </w:t>
      </w:r>
      <w:r>
        <w:t xml:space="preserve"> </w:t>
      </w:r>
      <w:bookmarkStart w:id="28" w:name="_Hlk92814279"/>
      <w:r>
        <w:rPr>
          <w:rFonts w:ascii="Calibri" w:hAnsi="Calibri"/>
          <w:sz w:val="22"/>
        </w:rPr>
        <w:t>o energetickej hospodárnosti budov</w:t>
      </w:r>
      <w:r>
        <w:t xml:space="preserve"> </w:t>
      </w:r>
      <w:bookmarkEnd w:id="28"/>
      <w:r>
        <w:t xml:space="preserve"> </w:t>
      </w:r>
      <w:r>
        <w:rPr>
          <w:rFonts w:ascii="Calibri" w:hAnsi="Calibri"/>
          <w:sz w:val="22"/>
        </w:rPr>
        <w:t>a smernica 2012/27/EÚ o energetickej efektívnosti.</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Tretie záverečné ustanovenie. </w:t>
      </w:r>
      <w:r>
        <w:rPr>
          <w:rFonts w:ascii="Calibri" w:hAnsi="Calibri"/>
          <w:i/>
          <w:sz w:val="22"/>
        </w:rPr>
        <w:t>Nadobudnutie účinnosti.</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Tento kráľovský dekrét nadobúda účinnosť v nasledujúci deň po jeho uverejnení v úradnom vestníku.</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NA PREDLOŽENIE RADE MINISTROV</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V Madride dňa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MINISTER DOPRAVY, MOBILITY A MESTSKEJ AGENDY</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TRETÍ PODPREDSEDA VLÁDY A MINISTER PRE EKOLOGICKÚ TRANSFORMÁCIU A DEMOGRAFICKÚ VÝZVU</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E00B" w14:textId="77777777" w:rsidR="00025CBD" w:rsidRDefault="00025CBD">
      <w:r>
        <w:separator/>
      </w:r>
    </w:p>
  </w:endnote>
  <w:endnote w:type="continuationSeparator" w:id="0">
    <w:p w14:paraId="282EE69F" w14:textId="77777777" w:rsidR="00025CBD" w:rsidRDefault="0002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64C9" w14:textId="77777777" w:rsidR="00025CBD" w:rsidRDefault="00025CBD">
      <w:r>
        <w:separator/>
      </w:r>
    </w:p>
  </w:footnote>
  <w:footnote w:type="continuationSeparator" w:id="0">
    <w:p w14:paraId="2D30DDB9" w14:textId="77777777" w:rsidR="00025CBD" w:rsidRDefault="0002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735"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736"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MINISTERSTVO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DOPRAVY, MOBILITY A MESTSKEJ AGENDY</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MINISTERSTVO PRE EKOLOGICKÚ TRANSFORMÁCIU A DEMOGRAFICKÚ VÝZVU</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25CBD"/>
    <w:rsid w:val="000370F1"/>
    <w:rsid w:val="000760AB"/>
    <w:rsid w:val="000C089F"/>
    <w:rsid w:val="001F7365"/>
    <w:rsid w:val="002B64A6"/>
    <w:rsid w:val="00345FE0"/>
    <w:rsid w:val="004D344F"/>
    <w:rsid w:val="00513973"/>
    <w:rsid w:val="00546D77"/>
    <w:rsid w:val="00717198"/>
    <w:rsid w:val="007C6042"/>
    <w:rsid w:val="008577E8"/>
    <w:rsid w:val="008D3E08"/>
    <w:rsid w:val="00991C0F"/>
    <w:rsid w:val="009B305A"/>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sk-SK"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0</TotalTime>
  <Pages>16</Pages>
  <Words>6752</Words>
  <Characters>40446</Characters>
  <Application>Microsoft Office Word</Application>
  <DocSecurity>0</DocSecurity>
  <Lines>594</Lines>
  <Paragraphs>286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2022-09-12T07:39:00Z</dcterms:created>
  <dcterms:modified xsi:type="dcterms:W3CDTF">2022-09-12T07:39:00Z</dcterms:modified>
</cp:coreProperties>
</file>