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[projekt] rozporządzenia Irlandii Północnej</w:t>
      </w:r>
    </w:p>
    <w:p w14:paraId="5D1F8D67" w14:textId="77777777" w:rsidR="00E61B82" w:rsidRDefault="00E61B82" w:rsidP="00E61B82">
      <w:pPr>
        <w:pStyle w:val="Number"/>
      </w:pPr>
      <w:r>
        <w:t xml:space="preserve">2023 r. Lp. </w:t>
      </w:r>
    </w:p>
    <w:p w14:paraId="1E808628" w14:textId="77777777" w:rsidR="00E61B82" w:rsidRPr="00292216" w:rsidRDefault="00A07397" w:rsidP="00E61B82">
      <w:pPr>
        <w:pStyle w:val="subject"/>
      </w:pPr>
      <w:r>
        <w:t>ruch drogowy i pojazdy</w:t>
      </w:r>
    </w:p>
    <w:p w14:paraId="43A768EC" w14:textId="77777777" w:rsidR="00E61B82" w:rsidRDefault="00A07397" w:rsidP="00E61B82">
      <w:pPr>
        <w:pStyle w:val="Title"/>
      </w:pPr>
      <w:r>
        <w:t>Nowelizacja z 2023 r. przepisów w sprawie pojazdów silnikowych (budowa i eksploatacja) (Irlandia Północna)</w:t>
      </w:r>
    </w:p>
    <w:p w14:paraId="08710F03" w14:textId="77777777" w:rsidR="00E61B82" w:rsidRPr="00D87569" w:rsidRDefault="00E61B82" w:rsidP="00A41E19">
      <w:pPr>
        <w:pStyle w:val="Made"/>
        <w:tabs>
          <w:tab w:val="left" w:pos="4111"/>
        </w:tabs>
      </w:pPr>
      <w:r>
        <w:t>Sporządzono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A41E19">
      <w:pPr>
        <w:pStyle w:val="Coming"/>
        <w:tabs>
          <w:tab w:val="clear" w:pos="3232"/>
          <w:tab w:val="clear" w:pos="3629"/>
          <w:tab w:val="left" w:pos="4111"/>
        </w:tabs>
      </w:pPr>
      <w:r>
        <w:t>Wejście w życie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Ministerstwo Infrastruktury(</w:t>
      </w:r>
      <w:r>
        <w:rPr>
          <w:rStyle w:val="FootnoteReference"/>
        </w:rPr>
        <w:footnoteReference w:id="2"/>
      </w:r>
      <w:r>
        <w:t>), korzystając z uprawnień nadanych na podstawie art. 55 ust. 1, 2 lit. a) i 6 oraz art. 110 ust. 2 rozporządzenia z 1995 r. w sprawie ruchu drogowego (Irlandia Północna)(</w:t>
      </w:r>
      <w:r w:rsidR="00E54DC5">
        <w:rPr>
          <w:rStyle w:val="FootnoteReference"/>
        </w:rPr>
        <w:footnoteReference w:id="3"/>
      </w:r>
      <w:r>
        <w:t>) i obecnie mu powierzonych (</w:t>
      </w:r>
      <w:r w:rsidR="00FB6465">
        <w:rPr>
          <w:rStyle w:val="FootnoteReference"/>
        </w:rPr>
        <w:footnoteReference w:id="4"/>
      </w:r>
      <w:r>
        <w:t>), niniejszym rozporządza, co następuje:</w:t>
      </w:r>
    </w:p>
    <w:p w14:paraId="799E9B50" w14:textId="77777777" w:rsidR="00252709" w:rsidRDefault="00FB6465" w:rsidP="00FB6465">
      <w:pPr>
        <w:pStyle w:val="H1"/>
      </w:pPr>
      <w:r>
        <w:t>Tytuł i wejście w życie</w:t>
      </w:r>
    </w:p>
    <w:p w14:paraId="54B94898" w14:textId="4B752315" w:rsidR="00FB6465" w:rsidRDefault="00FB6465" w:rsidP="00FB6465">
      <w:pPr>
        <w:pStyle w:val="N1"/>
      </w:pPr>
      <w:r>
        <w:t xml:space="preserve"> Niniejsze przepisy noszą tytuł: Nowelizacja z 2023 r. przepisów w sprawie pojazdów silnikowych (budowa i eksploatacja) (Irlandia Północna) i wchodzą w życie z dniem xx xxxxx 2023 r.</w:t>
      </w:r>
    </w:p>
    <w:p w14:paraId="6322C4DC" w14:textId="77777777" w:rsidR="00FB6465" w:rsidRDefault="00FB6465" w:rsidP="00FB6465">
      <w:pPr>
        <w:pStyle w:val="H1"/>
      </w:pPr>
      <w:r>
        <w:t>Zmiana przepisów dotyczących budowy i eksploatacji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W przepisach z 1999 r. w sprawie pojazdów silnikowych (budowa i eksploatacja) (Irlandia Północna) (</w:t>
      </w:r>
      <w:r>
        <w:rPr>
          <w:rStyle w:val="FootnoteReference"/>
        </w:rPr>
        <w:footnoteReference w:id="5"/>
      </w:r>
      <w:r>
        <w:t>) wprowadza się zmiany zgodnie z ust. 2–5.</w:t>
      </w:r>
    </w:p>
    <w:p w14:paraId="085E52C7" w14:textId="77777777" w:rsidR="006A64B8" w:rsidRDefault="006A64B8" w:rsidP="006A64B8">
      <w:pPr>
        <w:pStyle w:val="N2"/>
      </w:pPr>
      <w:r>
        <w:t>W art. 2 ust. 2 (interpretacja), w definicji „regulamin EKG, po którym następuje liczba” wyrażenie „więcej niż dwie cyfry” zastępuje się wyrażeniem „kropka, po której następuje inna liczba”.</w:t>
      </w:r>
    </w:p>
    <w:p w14:paraId="259A558A" w14:textId="77777777" w:rsidR="00022A1B" w:rsidRDefault="00022A1B" w:rsidP="006A64B8">
      <w:pPr>
        <w:pStyle w:val="N2"/>
      </w:pPr>
      <w:r>
        <w:t>W przepisie 30 (obciążenia opon i prędkości znamionowe):</w:t>
      </w:r>
    </w:p>
    <w:p w14:paraId="2CD06048" w14:textId="77777777" w:rsidR="00022A1B" w:rsidRDefault="00022A1B" w:rsidP="00022A1B">
      <w:pPr>
        <w:pStyle w:val="N3"/>
      </w:pPr>
      <w:r>
        <w:t>w ust. 7 wyrażenie „ale wymóg ten nie ma zastosowania do opony bieżnikowanej” zastępuje się wyrażeniem „lub, w przypadku opony bieżnikowanej, wymaganiami określonymi w regulaminie EKG nr 108 lub regulaminie EKG nr 109.”; oraz</w:t>
      </w:r>
    </w:p>
    <w:p w14:paraId="510A7921" w14:textId="77777777" w:rsidR="00022A1B" w:rsidRDefault="00022A1B" w:rsidP="00022A1B">
      <w:pPr>
        <w:pStyle w:val="N3"/>
      </w:pPr>
      <w:r>
        <w:t>w ust. 12, w definicji „wskaźnik nośności” wyrażenie „2.29” do końca zastępuje się wyrażeniem „2 regulaminu EKG 30.02 lub regulaminu EKG nr 54 lub jako „wskaźnik obciążenia” w ust. 2 regulaminu EKG nr 108 lub regulaminu EKG nr 109;”.</w:t>
      </w:r>
    </w:p>
    <w:p w14:paraId="19D5D210" w14:textId="77777777" w:rsidR="00DD69B1" w:rsidRDefault="00DD69B1" w:rsidP="00DD69B1">
      <w:pPr>
        <w:pStyle w:val="N2"/>
      </w:pPr>
      <w:r>
        <w:t>W art. 32 (stan i konserwacja opon):</w:t>
      </w:r>
    </w:p>
    <w:p w14:paraId="3AE878F1" w14:textId="77777777" w:rsidR="00DD69B1" w:rsidRDefault="00DD69B1" w:rsidP="00DD69B1">
      <w:pPr>
        <w:pStyle w:val="N3"/>
      </w:pPr>
      <w:r>
        <w:t>w ust. 1:</w:t>
      </w:r>
    </w:p>
    <w:p w14:paraId="03749A2F" w14:textId="77777777" w:rsidR="00DD69B1" w:rsidRDefault="00DD69B1" w:rsidP="00DD69B1">
      <w:pPr>
        <w:pStyle w:val="N4"/>
      </w:pPr>
      <w:r>
        <w:t>wyrażenie „Z zastrzeżeniem ust. 2–4” zastępuje się wyrażeniem „Z zastrzeżeniem ust. 1A i ust. 2–4”;</w:t>
      </w:r>
    </w:p>
    <w:p w14:paraId="2B4BAE61" w14:textId="77777777" w:rsidR="00DD69B1" w:rsidRDefault="007442AA" w:rsidP="00DD69B1">
      <w:pPr>
        <w:pStyle w:val="N4"/>
      </w:pPr>
      <w:r>
        <w:lastRenderedPageBreak/>
        <w:t>w lit. g) ppkt (ii) pomija się „lub” na końcu;</w:t>
      </w:r>
    </w:p>
    <w:p w14:paraId="116D86A6" w14:textId="77777777" w:rsidR="007442AA" w:rsidRDefault="007442AA" w:rsidP="00DD69B1">
      <w:pPr>
        <w:pStyle w:val="N4"/>
      </w:pPr>
      <w:r>
        <w:t>po lit. h) dodaje się:</w:t>
      </w:r>
    </w:p>
    <w:p w14:paraId="31D345C1" w14:textId="364E70A3" w:rsidR="007442AA" w:rsidRDefault="00E21C8D" w:rsidP="00E21C8D">
      <w:pPr>
        <w:pStyle w:val="LQN4"/>
      </w:pPr>
      <w:r>
        <w:tab/>
        <w:t>„i)</w:t>
      </w:r>
      <w:r>
        <w:tab/>
        <w:t>opona nie jest oponą bieżnikowaną oraz:</w:t>
      </w:r>
    </w:p>
    <w:p w14:paraId="1127C07A" w14:textId="77777777" w:rsidR="00A42AA8" w:rsidRDefault="00A42AA8" w:rsidP="00A42AA8">
      <w:pPr>
        <w:pStyle w:val="NLQN4"/>
      </w:pPr>
      <w:r>
        <w:tab/>
        <w:t>i)</w:t>
      </w:r>
      <w:r>
        <w:tab/>
        <w:t>tydzień produkcji oznaczony na ścianie bocznej zgodnie z regulaminem EKG nr 30 lub nr 54 przypada na ponad 10 lat przed datą użytkowania pojazdu silnikowego na drodze; lub</w:t>
      </w:r>
    </w:p>
    <w:p w14:paraId="3D0FC71C" w14:textId="0322961D" w:rsidR="00A42AA8" w:rsidRDefault="00A42AA8" w:rsidP="00A42AA8">
      <w:pPr>
        <w:pStyle w:val="NLQN4"/>
      </w:pPr>
      <w:r>
        <w:tab/>
        <w:t>ii)</w:t>
      </w:r>
      <w:r>
        <w:tab/>
        <w:t>nie posiada oznakowania tygodnia produkcji zgodnego z regulaminem EKG nr 30 lub nr 54 (niezależnie od tego, czy wynika to z jej produkcji przed zastosowaniem regulaminu EKG, czy z innego względu);</w:t>
      </w:r>
    </w:p>
    <w:p w14:paraId="21565F41" w14:textId="77777777" w:rsidR="00A42AA8" w:rsidRDefault="00A42AA8" w:rsidP="00A42AA8">
      <w:pPr>
        <w:pStyle w:val="LQN4"/>
      </w:pPr>
      <w:r>
        <w:tab/>
        <w:t>j)</w:t>
      </w:r>
      <w:r>
        <w:tab/>
        <w:t>opona jest oponą bieżnikowaną oraz:</w:t>
      </w:r>
    </w:p>
    <w:p w14:paraId="0991118A" w14:textId="77777777" w:rsidR="00A42AA8" w:rsidRDefault="00A42AA8" w:rsidP="00A42AA8">
      <w:pPr>
        <w:pStyle w:val="NLQN4"/>
      </w:pPr>
      <w:r>
        <w:tab/>
        <w:t>i)</w:t>
      </w:r>
      <w:r>
        <w:tab/>
        <w:t>tydzień bieżnikowania oznaczony na ścianie bocznej zgodnie z regulaminem EKG nr 108 lub nr 109 przypada na ponad 10 lat przed datą użytkowania pojazdu silnikowego na drodze; lub</w:t>
      </w:r>
    </w:p>
    <w:p w14:paraId="1D5A9534" w14:textId="77777777" w:rsidR="00520F87" w:rsidRDefault="00520F87" w:rsidP="00520F87">
      <w:pPr>
        <w:pStyle w:val="NLQN4"/>
      </w:pPr>
      <w:r>
        <w:tab/>
        <w:t>ii)</w:t>
      </w:r>
      <w:r>
        <w:tab/>
        <w:t>nie posiada oznakowania tygodnia bieżnikowania zgodnego z regulaminem EKG nr 108 lub nr 109 (niezależnie od tego, czy wynika to z jej bieżnikowania przed zastosowaniem regulaminu EKG, czy z innego względu); lub</w:t>
      </w:r>
    </w:p>
    <w:p w14:paraId="371ABCF7" w14:textId="1D9D5575" w:rsidR="00520F87" w:rsidRDefault="00520F87" w:rsidP="00520F87">
      <w:pPr>
        <w:pStyle w:val="LQN4"/>
      </w:pPr>
      <w:r>
        <w:tab/>
        <w:t>k)</w:t>
      </w:r>
      <w:r>
        <w:tab/>
        <w:t>data oznaczona na ścianie bocznej opony zgodnie z regulaminem EKG nr 30. 54, 108 lub 109 jest nieczytelna.”;</w:t>
      </w:r>
    </w:p>
    <w:p w14:paraId="17D017BD" w14:textId="77777777" w:rsidR="00520F87" w:rsidRDefault="00520F87" w:rsidP="00520F87">
      <w:pPr>
        <w:pStyle w:val="N3"/>
      </w:pPr>
      <w:r>
        <w:t>po ust. 1 dodaje się:</w:t>
      </w:r>
    </w:p>
    <w:p w14:paraId="252B767E" w14:textId="65543917" w:rsidR="00EE3061" w:rsidRDefault="00E21C8D" w:rsidP="00EE3061">
      <w:pPr>
        <w:pStyle w:val="LQN2"/>
      </w:pPr>
      <w:r>
        <w:t>„1A) Z zastrzeżeniem ust. 4 lit. a) i ca) i niezależnie od jakichkolwiek postanowień przepisu 30:</w:t>
      </w:r>
    </w:p>
    <w:p w14:paraId="0F6D8888" w14:textId="77777777" w:rsidR="00EE3061" w:rsidRDefault="00EE3061" w:rsidP="00EE3061">
      <w:pPr>
        <w:pStyle w:val="LQN3"/>
      </w:pPr>
      <w:r>
        <w:t>a)</w:t>
      </w:r>
      <w:r>
        <w:tab/>
        <w:t>ust. 1 lit. i) i j) stosuje się wyłącznie do opon zamontowanych:</w:t>
      </w:r>
    </w:p>
    <w:p w14:paraId="781B8B31" w14:textId="77777777" w:rsidR="00EE3061" w:rsidRDefault="00EE3061" w:rsidP="00EE3061">
      <w:pPr>
        <w:pStyle w:val="LQN4"/>
      </w:pPr>
      <w:r>
        <w:tab/>
        <w:t>i)</w:t>
      </w:r>
      <w:r>
        <w:tab/>
        <w:t>na przedniej osi autobusu innego niż minibus;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ii)</w:t>
      </w:r>
      <w:r>
        <w:tab/>
        <w:t>w pojedynczej konfiguracji na dowolnej osi minibusa; lub</w:t>
      </w:r>
    </w:p>
    <w:p w14:paraId="4BC37583" w14:textId="77777777" w:rsidR="00EE3061" w:rsidRDefault="00EE3061" w:rsidP="00EE3061">
      <w:pPr>
        <w:pStyle w:val="LQN4"/>
      </w:pPr>
      <w:r>
        <w:tab/>
        <w:t>iii)</w:t>
      </w:r>
      <w:r>
        <w:tab/>
        <w:t>na przedniej osi pojazdu ciężarowego o dopuszczalnej masie całkowitej przekraczającej 3500 kg;</w:t>
      </w:r>
    </w:p>
    <w:p w14:paraId="247FF29E" w14:textId="77777777" w:rsidR="00EE3061" w:rsidRDefault="00EE3061" w:rsidP="00EE3061">
      <w:pPr>
        <w:pStyle w:val="LQN3"/>
      </w:pPr>
      <w:r>
        <w:t>b)</w:t>
      </w:r>
      <w:r>
        <w:tab/>
        <w:t>w lit. a):</w:t>
      </w:r>
    </w:p>
    <w:p w14:paraId="5B8B4A93" w14:textId="77777777" w:rsidR="00EE3061" w:rsidRPr="00F9319A" w:rsidRDefault="00EE3061" w:rsidP="00EE3061">
      <w:pPr>
        <w:pStyle w:val="LQN4"/>
      </w:pPr>
      <w:r>
        <w:tab/>
        <w:t>i)</w:t>
      </w:r>
      <w:r>
        <w:tab/>
        <w:t>„oś przednia” oznacza każdą oś, przed środkowym punktem podwozia, na której koła są sterowane przez układ kierowniczy; oraz</w:t>
      </w:r>
    </w:p>
    <w:p w14:paraId="09B8C591" w14:textId="77777777" w:rsidR="00EE3061" w:rsidRDefault="00EE3061" w:rsidP="00EE3061">
      <w:pPr>
        <w:pStyle w:val="LQN4"/>
      </w:pPr>
      <w:r>
        <w:tab/>
        <w:t>ii)</w:t>
      </w:r>
      <w:r>
        <w:tab/>
        <w:t>„pojedyncza konfiguracja” oznacza, że na każdym końcu danej osi zamontowany jest nie więcej niż jeden zespół koła i opony; oraz</w:t>
      </w:r>
    </w:p>
    <w:p w14:paraId="10800F30" w14:textId="77777777" w:rsidR="00EE3061" w:rsidRDefault="00EE3061" w:rsidP="00EE3061">
      <w:pPr>
        <w:pStyle w:val="LQN3"/>
      </w:pPr>
      <w:r>
        <w:t>c)</w:t>
      </w:r>
      <w:r>
        <w:tab/>
        <w:t>ust. 1 lit. k) ma zastosowanie wyłącznie do:</w:t>
      </w:r>
    </w:p>
    <w:p w14:paraId="1BD3712B" w14:textId="77777777" w:rsidR="00FF5A1C" w:rsidRPr="00F9319A" w:rsidRDefault="00FF5A1C" w:rsidP="00FF5A1C">
      <w:pPr>
        <w:pStyle w:val="LQN4"/>
      </w:pPr>
      <w:r>
        <w:tab/>
        <w:t>i)</w:t>
      </w:r>
      <w:r>
        <w:tab/>
        <w:t>autobusów (w tym minibusów); oraz</w:t>
      </w:r>
    </w:p>
    <w:p w14:paraId="19A93219" w14:textId="001A4982" w:rsidR="00FF5A1C" w:rsidRDefault="00FF5A1C" w:rsidP="00FF5A1C">
      <w:pPr>
        <w:pStyle w:val="LQN4"/>
      </w:pPr>
      <w:r>
        <w:tab/>
        <w:t>ii)</w:t>
      </w:r>
      <w:r>
        <w:tab/>
        <w:t>pojazdów ciężarowych o dopuszczalnej masie całkowitej przekraczającej 3500 kg.;</w:t>
      </w:r>
    </w:p>
    <w:p w14:paraId="0AF3BAC2" w14:textId="77777777" w:rsidR="00FF5A1C" w:rsidRDefault="00FF5A1C" w:rsidP="00FF5A1C">
      <w:pPr>
        <w:pStyle w:val="N3"/>
      </w:pPr>
      <w:r>
        <w:t>w ust. 4:</w:t>
      </w:r>
    </w:p>
    <w:p w14:paraId="43505781" w14:textId="77777777" w:rsidR="00426F4F" w:rsidRDefault="00426F4F" w:rsidP="00426F4F">
      <w:pPr>
        <w:pStyle w:val="N4"/>
      </w:pPr>
      <w:r>
        <w:t>w lit. a) po wyrazach „ust. 1 lit. a)–g)” dodaje się wyrazy „oraz lit. i)–k)”;</w:t>
      </w:r>
    </w:p>
    <w:p w14:paraId="7C39BE16" w14:textId="77777777" w:rsidR="00426F4F" w:rsidRDefault="00426F4F" w:rsidP="00426F4F">
      <w:pPr>
        <w:pStyle w:val="N4"/>
      </w:pPr>
      <w:r>
        <w:t>po lit. c) dodaje się:</w:t>
      </w:r>
    </w:p>
    <w:p w14:paraId="4E3E441C" w14:textId="3789445E" w:rsidR="00426F4F" w:rsidRDefault="00E21C8D" w:rsidP="00426F4F">
      <w:pPr>
        <w:pStyle w:val="LQN3"/>
      </w:pPr>
      <w:r>
        <w:t>„ca)</w:t>
      </w:r>
      <w:r>
        <w:tab/>
        <w:t>Żadne z postanowień ust. 1 lit. i)–k) nie ma zastosowania do pojazdu o znaczeniu historycznym wykorzystywanego do celów niekomercyjnych i w tym celu „pojazd o znaczeniu historycznym” oznacza pojazd, który ministerstwo uznaje za mający znaczenie historyczne dla Irlandii Północnej i który:</w:t>
      </w:r>
    </w:p>
    <w:p w14:paraId="45C7B239" w14:textId="77777777" w:rsidR="00A213F5" w:rsidRDefault="00A213F5" w:rsidP="00A213F5">
      <w:pPr>
        <w:pStyle w:val="LQN4"/>
      </w:pPr>
      <w:r>
        <w:tab/>
        <w:t>i)</w:t>
      </w:r>
      <w:r>
        <w:tab/>
        <w:t>został wyprodukowany lub zarejestrowany po raz pierwszy co najmniej 40 lat wcześniej;</w:t>
      </w:r>
    </w:p>
    <w:p w14:paraId="190D1C8F" w14:textId="77777777" w:rsidR="00A213F5" w:rsidRDefault="00A213F5" w:rsidP="00A213F5">
      <w:pPr>
        <w:pStyle w:val="LQN4"/>
      </w:pPr>
      <w:r>
        <w:tab/>
        <w:t>ii)</w:t>
      </w:r>
      <w:r>
        <w:tab/>
        <w:t>jego typ nie jest już produkowany; oraz</w:t>
      </w:r>
    </w:p>
    <w:p w14:paraId="270D6A59" w14:textId="77777777" w:rsidR="00A213F5" w:rsidRDefault="00A213F5" w:rsidP="00A213F5">
      <w:pPr>
        <w:pStyle w:val="LQN4"/>
      </w:pPr>
      <w:r>
        <w:lastRenderedPageBreak/>
        <w:tab/>
        <w:t>iii)</w:t>
      </w:r>
      <w:r>
        <w:tab/>
        <w:t>jest historycznie zachowany lub utrzymany w oryginalnym stanie i nie uległ istotnym zmianom w zakresie charakterystyki technicznej jego głównych elementów,</w:t>
      </w:r>
    </w:p>
    <w:p w14:paraId="48B5AE59" w14:textId="56DE3A66" w:rsidR="00A213F5" w:rsidRDefault="00A213F5" w:rsidP="00A213F5">
      <w:pPr>
        <w:pStyle w:val="LQT2"/>
      </w:pPr>
      <w:r>
        <w:t>gdzie „typ” w odniesieniu do pojazdu ma takie samo znaczenie jak „typ pojazdu” w art. 3 ust. 32 rozporządzenia Parlamentu Europejskiego i Rady (UE) 2018/858 z dnia 30 maja 2018 r. w sprawie homologacji i nadzoru rynku pojazdów silnikowych i ich przyczep oraz układów, komponentów i oddzielnych zespołów technicznych przeznaczonych do tych pojazdów (</w:t>
      </w:r>
      <w:r>
        <w:rPr>
          <w:rStyle w:val="FootnoteReference"/>
        </w:rPr>
        <w:footnoteReference w:id="6"/>
      </w:r>
      <w:r>
        <w:t>);”; oraz</w:t>
      </w:r>
    </w:p>
    <w:p w14:paraId="7CEE7A40" w14:textId="77777777" w:rsidR="00A213F5" w:rsidRDefault="00A213F5" w:rsidP="00A213F5">
      <w:pPr>
        <w:pStyle w:val="N3"/>
      </w:pPr>
      <w:r>
        <w:t>w ust. 6 lit. a) w definicji „oryginalnego wzoru bieżnika” w przypadku wyrażenia „ponownie bieżnikowany”, w obu miejscach, w których się ono pojawia, zastępuje się je wyrazem „bieżnikowany”.</w:t>
      </w:r>
    </w:p>
    <w:p w14:paraId="63D4D4FF" w14:textId="77777777" w:rsidR="004800DA" w:rsidRDefault="004800DA" w:rsidP="004800DA">
      <w:pPr>
        <w:pStyle w:val="N2"/>
      </w:pPr>
      <w:r>
        <w:t>W załączniku 1 w tabeli 2 (Regulaminy EKG), po treści dotyczącej pozycji 44 dodaje się:</w:t>
      </w:r>
    </w:p>
    <w:p w14:paraId="76FC1C44" w14:textId="77777777" w:rsidR="00A42AA8" w:rsidRDefault="00A42AA8" w:rsidP="001D0E3C">
      <w:pPr>
        <w:pStyle w:val="linespace"/>
      </w:pPr>
    </w:p>
    <w:tbl>
      <w:tblPr>
        <w:tblW w:w="909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697"/>
        <w:gridCol w:w="1233"/>
        <w:gridCol w:w="1233"/>
      </w:tblGrid>
      <w:tr w:rsidR="001D0E3C" w:rsidRPr="001D0E3C" w14:paraId="342E504E" w14:textId="77777777" w:rsidTr="00A41E19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„45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Opony bieżnikowane do samochodów osobowych i ich przyczep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A41E19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Opony bieżnikowane do pojazdów użytkowych i ich przyczep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Opieczętowane oficjalną pieczęcią Ministerstwa Infrastruktury w dniu xx xxxxx 2023 r.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Wyższy urzędnik Ministerstwa Infrastruktury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NOTA WYJAŚNIAJĄCA</w:t>
      </w:r>
    </w:p>
    <w:p w14:paraId="2D3DC66A" w14:textId="3ED882CF" w:rsidR="00040058" w:rsidRDefault="00040058" w:rsidP="00040058">
      <w:pPr>
        <w:pStyle w:val="XNotenote"/>
      </w:pPr>
      <w:r>
        <w:t>(Niniejsza nota nie stanowi części przepisów)</w:t>
      </w:r>
    </w:p>
    <w:p w14:paraId="35F194C5" w14:textId="2CB6F34C" w:rsidR="00040058" w:rsidRDefault="00040058" w:rsidP="00040058">
      <w:pPr>
        <w:pStyle w:val="T1"/>
      </w:pPr>
      <w:r>
        <w:t>Niniejsze przepisy zmieniają przepisy z 1999 r. w sprawie pojazdów silnikowych (budowa i eksploatacja) (Irlandia Północna) w celu ustanowienia przepisów dotyczących wieku opon (w tym opon bieżnikowanych) oraz czytelności oznaczeń dat na oponach, które są dozwolone do stosowania w autobusach (w tym minibusach) i pojazdach ciężarowych o dopuszczalnej masie całkowitej przekraczającej 3500 kg. Przepisy zmieniają również tabelę 2 załącznika 1 do przepisów z 1999 r. w celu włączenia przepisów dotyczących opon bieżnikowanych do regulaminów EKG nr 108 i 109. Niniejsze przepisy przewidują zwolnienie dla pojazdów o znaczeniu historycznym, o ile nie są one wykorzystywane do celów komercyjnych.</w:t>
      </w:r>
    </w:p>
    <w:p w14:paraId="0FE50F41" w14:textId="77777777" w:rsidR="006D38F1" w:rsidRDefault="006D38F1" w:rsidP="00040058">
      <w:pPr>
        <w:pStyle w:val="T1"/>
      </w:pPr>
      <w:r>
        <w:t>Niniejsze przepisy zostały zgłoszone Komisji Europejskiej zgodnie z dyrektywą Parlamentu Europejskiego i Rady (UE) 2015/1535 z dnia 9 września 2015 r. (Dz.U. L 241 z 17.9.2015, s. 1) w ramach powiadomienia nr </w:t>
      </w:r>
      <w:r>
        <w:rPr>
          <w:color w:val="FF0000"/>
        </w:rPr>
        <w:t xml:space="preserve">xxxxxxxx. </w:t>
      </w:r>
      <w:r>
        <w:t xml:space="preserve">Podczas trzymiesięcznego okresu zawieszenia nie zgłoszono żadnych uwag. Dyrektywa jest dostępna w Internecie pod adresem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Regulaminy EKG są wydawane przez Europejską Komisję Gospodarczą Organizacji Narodów Zjednoczonych. Kopie regulaminów EKG, o których mowa w niniejszych przepisach, można uzyskać na stronie internetowej EKG ONZ: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Kopie można również uzyskać w Oddziale ds. Polityki Dotyczącej Pojazdów, Wydział Bezpiecznego i Zrównoważonego Podróżowania, Ministerstwo Infrastruktury, Clarence Court, 10-18 Adelaide Street, Town Parks, Belfast BT2 8GB (e-mail: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Opracowano ocenę skutków regulacji i uzasadnienie, które są dostępne w Oddziale ds. Polityki Dotyczącej Pojazdów pod powyższym adresem lub online, wraz z niniejszym rozporządzeniem, pod adresem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Uprzednio Ministerstwo Rozwoju Regionalnego; zob. art. 1 ust. 6 i 11 oraz załącznik 1 do ustawy z 2016 r. o ministerstwach (Irlandia Północna) (2016 r. 5 (I.P.)). Na podstawie art. 1 ust. 9 tej ustawy Ministerstwo ds. Środowiska zostaje zlikwidowane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S.I. 1995/2994 (I.P. 18) Art. 55 został zmieniony art. 42 ust. 1 rozporządzenia w sprawie ruchu drogowego (Irlandia Północna) z 2007 r. (S.I. 2007/916 (I.P. 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Zob. </w:t>
      </w:r>
      <w:r>
        <w:t>art. 8 ust. 1 lit. b) i część 2 załącznika 5 do rozporządzenia z 2016 r. w sprawie przeniesienia funkcji ministerstw (Irlandia Północna) (S.R. nr 76 z 2016 r.)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S.R. nr 454 z 1999 r.; istotnymi przepisami zmieniającymi są S.R. nr 20 z 2011 r., S.R. nr 303 z 2011 r. i S.R. nr 160 z 2016 r.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Dz.U. L 151 z 14.6.2018 s. 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Drugi projekt z kwietnia 2023 r. – w wersji zatwierdzonej przez OSD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1E19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pl-PL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pl-PL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276</TotalTime>
  <Pages>4</Pages>
  <Words>1089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