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81"/>
        <w:gridCol w:w="812"/>
        <w:gridCol w:w="1251"/>
      </w:tblGrid>
      <w:tr w:rsidR="005C2641" w:rsidRPr="00C32FE3" w14:paraId="06BA75C1" w14:textId="77777777" w:rsidTr="007E2825">
        <w:trPr>
          <w:cantSplit/>
          <w:trHeight w:val="279"/>
        </w:trPr>
        <w:tc>
          <w:tcPr>
            <w:tcW w:w="3344" w:type="dxa"/>
            <w:gridSpan w:val="3"/>
          </w:tcPr>
          <w:p w14:paraId="0380FEC5" w14:textId="77777777" w:rsidR="005C2641" w:rsidRPr="00C32FE3" w:rsidRDefault="005C2641" w:rsidP="00C13834">
            <w:pPr>
              <w:pStyle w:val="SNREPUBLIQUE"/>
            </w:pPr>
            <w:r>
              <w:t>PRANCŪZIJOS RESPUBLIKA</w:t>
            </w:r>
          </w:p>
        </w:tc>
      </w:tr>
      <w:tr w:rsidR="005C2641" w:rsidRPr="00C32FE3" w14:paraId="60AB21EC" w14:textId="77777777" w:rsidTr="007E2825">
        <w:trPr>
          <w:cantSplit/>
          <w:trHeight w:hRule="exact" w:val="110"/>
        </w:trPr>
        <w:tc>
          <w:tcPr>
            <w:tcW w:w="1281" w:type="dxa"/>
          </w:tcPr>
          <w:p w14:paraId="3A442AB4" w14:textId="77777777" w:rsidR="005C2641" w:rsidRPr="00C32FE3" w:rsidRDefault="005C2641" w:rsidP="00C13834"/>
        </w:tc>
        <w:tc>
          <w:tcPr>
            <w:tcW w:w="812" w:type="dxa"/>
            <w:tcBorders>
              <w:bottom w:val="single" w:sz="1" w:space="0" w:color="000000"/>
            </w:tcBorders>
          </w:tcPr>
          <w:p w14:paraId="64272111" w14:textId="77777777" w:rsidR="005C2641" w:rsidRPr="00C32FE3" w:rsidRDefault="005C2641" w:rsidP="00C13834"/>
        </w:tc>
        <w:tc>
          <w:tcPr>
            <w:tcW w:w="1250" w:type="dxa"/>
          </w:tcPr>
          <w:p w14:paraId="4C2C75AC" w14:textId="77777777" w:rsidR="005C2641" w:rsidRPr="00C32FE3" w:rsidRDefault="005C2641" w:rsidP="00C13834"/>
        </w:tc>
      </w:tr>
      <w:tr w:rsidR="005C2641" w:rsidRPr="00C32FE3" w14:paraId="61593BD7" w14:textId="77777777" w:rsidTr="007E2825">
        <w:trPr>
          <w:cantSplit/>
          <w:trHeight w:val="789"/>
        </w:trPr>
        <w:tc>
          <w:tcPr>
            <w:tcW w:w="3344" w:type="dxa"/>
            <w:gridSpan w:val="3"/>
          </w:tcPr>
          <w:p w14:paraId="20413DCB" w14:textId="77777777" w:rsidR="005C2641" w:rsidRDefault="005C2641" w:rsidP="00C13834">
            <w:pPr>
              <w:pStyle w:val="SNTimbre"/>
            </w:pPr>
            <w:r>
              <w:t>Ekologinės pertvarkos departamentas</w:t>
            </w:r>
          </w:p>
          <w:p w14:paraId="01EC4D2C" w14:textId="77777777" w:rsidR="005C2641" w:rsidRPr="00C32FE3" w:rsidRDefault="005C2641" w:rsidP="00C13834">
            <w:pPr>
              <w:pStyle w:val="SNTimbre"/>
            </w:pPr>
            <w:r>
              <w:t>Būstas</w:t>
            </w:r>
          </w:p>
        </w:tc>
      </w:tr>
      <w:tr w:rsidR="005C2641" w:rsidRPr="00C32FE3" w14:paraId="22B0EA09" w14:textId="77777777" w:rsidTr="007E2825">
        <w:trPr>
          <w:cantSplit/>
          <w:trHeight w:hRule="exact" w:val="222"/>
        </w:trPr>
        <w:tc>
          <w:tcPr>
            <w:tcW w:w="1281" w:type="dxa"/>
          </w:tcPr>
          <w:p w14:paraId="3759A36A" w14:textId="77777777" w:rsidR="005C2641" w:rsidRPr="00C32FE3" w:rsidRDefault="005C2641" w:rsidP="00C13834"/>
        </w:tc>
        <w:tc>
          <w:tcPr>
            <w:tcW w:w="812" w:type="dxa"/>
            <w:tcBorders>
              <w:bottom w:val="single" w:sz="1" w:space="0" w:color="000000"/>
            </w:tcBorders>
          </w:tcPr>
          <w:p w14:paraId="04DEF11A" w14:textId="77777777" w:rsidR="005C2641" w:rsidRPr="00C32FE3" w:rsidRDefault="005C2641" w:rsidP="00C13834"/>
        </w:tc>
        <w:tc>
          <w:tcPr>
            <w:tcW w:w="1250" w:type="dxa"/>
          </w:tcPr>
          <w:p w14:paraId="77D432E1" w14:textId="77777777" w:rsidR="005C2641" w:rsidRPr="00C32FE3" w:rsidRDefault="005C2641" w:rsidP="00C13834"/>
        </w:tc>
      </w:tr>
      <w:tr w:rsidR="005C2641" w:rsidRPr="00C32FE3" w14:paraId="3B71A753" w14:textId="77777777" w:rsidTr="007E2825">
        <w:trPr>
          <w:cantSplit/>
          <w:trHeight w:hRule="exact" w:val="222"/>
        </w:trPr>
        <w:tc>
          <w:tcPr>
            <w:tcW w:w="1281" w:type="dxa"/>
          </w:tcPr>
          <w:p w14:paraId="780F1E54" w14:textId="77777777" w:rsidR="005C2641" w:rsidRPr="00C32FE3" w:rsidRDefault="005C2641" w:rsidP="00C13834"/>
        </w:tc>
        <w:tc>
          <w:tcPr>
            <w:tcW w:w="812" w:type="dxa"/>
          </w:tcPr>
          <w:p w14:paraId="770B6C28" w14:textId="77777777" w:rsidR="005C2641" w:rsidRPr="00C32FE3" w:rsidRDefault="005C2641" w:rsidP="00C13834"/>
        </w:tc>
        <w:tc>
          <w:tcPr>
            <w:tcW w:w="1250"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 Nutarimas</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dėl produktų, skirtų naudoti statybos darbams, aplinkosauginės deklaracijos ir produktų, naudojamų pastatų aplinkosauginiam veiksmingumui apskaičiuoti, aplinkosauginės deklaracijos</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Susiję subjektai:</w:t>
      </w:r>
      <w:r>
        <w:rPr>
          <w:rFonts w:ascii="Times New Roman" w:hAnsi="Times New Roman"/>
          <w:i/>
          <w:sz w:val="24"/>
        </w:rPr>
        <w:t xml:space="preserve"> su statybos ir apdailos produktais, taip pat elektros, elektroninės ir klimato inžinerinė įranga, naudojama pastatų aplinkosauginiam veiksmingumui apskaičiuoti, susiję registruotojai.</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Tikslas:</w:t>
      </w:r>
      <w:r>
        <w:rPr>
          <w:rFonts w:ascii="Times New Roman" w:hAnsi="Times New Roman"/>
          <w:i/>
          <w:sz w:val="24"/>
        </w:rPr>
        <w:t xml:space="preserve"> nustatyti Vartotojų kodekso R. 412-49–R. 412-57 straipsnių bei Statybos ir būsto kodekso R. 111-20-24–R. 111-20-30 straipsnių taikymą.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Įsigaliojimas:</w:t>
      </w:r>
      <w:r>
        <w:rPr>
          <w:rFonts w:ascii="Times New Roman" w:hAnsi="Times New Roman"/>
          <w:i/>
          <w:sz w:val="24"/>
        </w:rPr>
        <w:t xml:space="preserve"> tekstas įsigalioja 2022 m. sausio 1 d.</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Pranešimas:</w:t>
      </w:r>
      <w:r>
        <w:rPr>
          <w:rFonts w:ascii="Times New Roman" w:hAnsi="Times New Roman"/>
          <w:i/>
          <w:sz w:val="24"/>
        </w:rPr>
        <w:t xml:space="preserve"> nutarimo tikslas – nustatyti Vartotojų kodekso R. 412-49–R. 412-57 straipsnių ir Statybos ir būsto kodekso R. 111-20-24–R. 111-20-30 straipsnių taikymą.</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Nutarimu nustatomas:</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statybos ir apdailos produktų, elektros, elektroninės ir klimato inžinerinės įrangos, skirtos naudoti statybos darbams, bei statybos ir apdailos produktų aplinkosauginių deklaracijų, taip pat elektros, elektroninės ir klimato inžinerinės įrangos, naudojamos pastatų aplinkosauginiam veiksmingumui apskaičiuoti, aplinkosauginių deklaracijų turinys;</w:t>
      </w:r>
    </w:p>
    <w:p w14:paraId="25B1EABC" w14:textId="263877A4" w:rsidR="00770B24" w:rsidRPr="007E2825" w:rsidRDefault="00E04C22" w:rsidP="007E2825">
      <w:pPr>
        <w:pStyle w:val="ListParagraph"/>
        <w:numPr>
          <w:ilvl w:val="0"/>
          <w:numId w:val="76"/>
        </w:numPr>
        <w:jc w:val="both"/>
        <w:rPr>
          <w:rFonts w:ascii="Times New Roman" w:hAnsi="Times New Roman" w:cs="Times New Roman"/>
          <w:i/>
          <w:sz w:val="24"/>
          <w:szCs w:val="24"/>
        </w:rPr>
      </w:pPr>
      <w:r w:rsidRPr="007E2825">
        <w:rPr>
          <w:rFonts w:ascii="Times New Roman" w:hAnsi="Times New Roman"/>
          <w:i/>
          <w:sz w:val="24"/>
        </w:rPr>
        <w:t>Aplinkosauginėje deklaracijoje pateiktos informacijos vertinimo ir apskaičiavimo metodika;</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visi aplinkosauginėje deklaracijoje pateiktos informacijos, kuri turi būti pateikta aplinkosauginės deklaracijos programai ir kontrolės institucijoms arba jų atstovams, patvirtinantys įrodymai;</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duomenų bazės (-ių), kurioje (-iose) pateikiamos Statybos ir būsto kodekso R. 111-20-25 straipsnyje nurodytos aplinkosauginės deklaracijos, adresas;</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kolektyvinių aplinkosauginių deklaracijų, susijusių su keliais registruotojais, kurie susiję su statybos arba apdailos produktais ar įranga, rengimo sąlygos;</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t>– priskiriamų deklaracijų, susijusių su statybos arba apdailos produktais ar įranga, parengimo sąlygos.</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lastRenderedPageBreak/>
        <w:t>Nuorodos:</w:t>
      </w:r>
      <w:r>
        <w:rPr>
          <w:rFonts w:ascii="Times New Roman" w:hAnsi="Times New Roman"/>
          <w:i/>
          <w:sz w:val="24"/>
        </w:rPr>
        <w:t xml:space="preserve"> tekstus, sukurtus ar pakeistus šiuo nutarimu, kurie buvo priimti šiuo pakeitimu, galima rasti Légifrance interneto svetainėje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Ekologinės pertvarkos ministras ir už būstą atsakingas asocijuotasis ministras, pavaldus ekologinės pertvarkos ministrui,</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atsižvelgdami į 2015 m. rugsėjo 9 d. Europos Parlamento ir Tarybos direktyvą (ES) 2015/1535, kuria nustatoma informacijos apie techninius reglamentus ir informacinės visuomenės paslaugų taisykles teikimo tvarka, (kodifikuotas tekstas), ypač į pranešimą Nr. </w:t>
      </w:r>
      <w:r>
        <w:rPr>
          <w:rFonts w:ascii="Times New Roman" w:hAnsi="Times New Roman"/>
          <w:sz w:val="24"/>
          <w:highlight w:val="yellow"/>
          <w:shd w:val="clear" w:color="auto" w:fill="FFFFFF"/>
        </w:rPr>
        <w:t>metai/XXX/F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atsižvelgdami į Vartotojų kodeksą, ypač į jo L. 412-1 ir R. 412-49–R. 412-57 straipsnius,</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atsižvelgdami į Statybos ir būsto kodeksą, ypač į jo L. 111-9-2 ir R. 111-20-24–R. 111-20-30 straipsnius,</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atsižvelgdami į pastabas, pateiktas per viešas konsultacijas, vykusias nuo </w:t>
      </w:r>
      <w:r>
        <w:rPr>
          <w:rFonts w:ascii="Times New Roman" w:hAnsi="Times New Roman"/>
          <w:sz w:val="24"/>
          <w:highlight w:val="yellow"/>
        </w:rPr>
        <w:t xml:space="preserve">[...] </w:t>
      </w:r>
      <w:r>
        <w:rPr>
          <w:rFonts w:ascii="Times New Roman" w:hAnsi="Times New Roman"/>
          <w:sz w:val="24"/>
        </w:rPr>
        <w:t xml:space="preserve">iki </w:t>
      </w:r>
      <w:r>
        <w:rPr>
          <w:rFonts w:ascii="Times New Roman" w:hAnsi="Times New Roman"/>
          <w:sz w:val="24"/>
          <w:highlight w:val="yellow"/>
        </w:rPr>
        <w:t>[...]</w:t>
      </w:r>
      <w:r>
        <w:rPr>
          <w:rFonts w:ascii="Times New Roman" w:hAnsi="Times New Roman"/>
          <w:sz w:val="24"/>
        </w:rPr>
        <w:t xml:space="preserve"> pagal Aplinkos kodekso L. 120-1 straipsnį,</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atsižvelgdami į 2021 m. balandžio 13 d. Aukščiausiosios tarybos dėl statybos ir energijos vartojimo efektyvumo nuomonę,</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nutaria:</w:t>
      </w:r>
    </w:p>
    <w:p w14:paraId="36B5C6AB" w14:textId="5A8F9966" w:rsidR="008F5FB3" w:rsidRPr="005D260E" w:rsidRDefault="008F5FB3" w:rsidP="007F6637">
      <w:pPr>
        <w:pStyle w:val="Titre2FDES"/>
      </w:pPr>
      <w:r>
        <w:t>1 straipsnis.</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(Apibrėžtys)</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Šiame nutarime vartojamos šios terminų apibrėžtys: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rodiklis – kiekybinė vertė, susijusi su aplinkos aspektais; </w:t>
      </w:r>
    </w:p>
    <w:p w14:paraId="7CB46E4F" w14:textId="4E4C0FD1" w:rsidR="008F5FB3" w:rsidRPr="005D260E" w:rsidRDefault="00CF19F7" w:rsidP="00CD009F">
      <w:pPr>
        <w:pStyle w:val="NormalWeb"/>
        <w:jc w:val="both"/>
      </w:pPr>
      <w:r>
        <w:t xml:space="preserve">žodis „registruotojas“ suprantamas kaip „atsakingas už pateikimą rinkai“ Vartotojų kodekso R. 412-49 straipsnyje arba kaip „registruotojas“ – Statybos ir būsto kodekso R. 111-20-24 straipsnyje;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funkcinis vienetas – kiekybiškai išreikštas produktų, skirtų naudoti kaip referencinis vienetas atliekant gyvavimo ciklo analizę, sistemos veiksmingumas;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nurodytas vienetas – be funkcinio vieneto, statybos arba apdailos produkto, kuris skirtas naudoti kaip referencinis vienetas atliekant gyvavimo ciklo analizę, įrangos (jei yra) skaičius;</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statybos arba apdailos produkto ar įrangos etaloninis gyvavimas – eksploatavimo trukmė, kurios galima tikėtis statybos arba apdailos produkto arba įrangos atveju pagal pamatines naudojimo sąlygas ir kuri gali būti naudojama kaip pagrindas vertinant trukmę kitomis naudojimo sąlygomis;</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papildomas produktas – bendras bet kokio produkto, kuris kiekvienu įgyvendinimo etapu ir gyvavimo laikotarpiu būtinai turi būti susietas su statybos, apdailos ar pirmine įranga, terminas;</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lastRenderedPageBreak/>
        <w:t>priskiriama deklaracija – aplinkosauginė deklaracija, kurioje pateikiamos jame nurodytos informacijos pritaikymo prie konkretaus produkto taisyklės ir kompiuterinė priemonė toms taisyklėms taikyti.</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Tolesniuose straipsniuose terminas „produktas“ suprantamas kaip „statybos produktai“, „apdailos produktai“ ir „elektros, elektroninės ir klimato inžinerinė įranga“, kaip apibrėžta Statybos ir būsto kodekso R. 111-20-24 straipsnyje.</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2 straipsnis.</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(Taikymo sritis)</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Šio nutarimo nuostatos taikomos Vartotojų kodekso R. 412-50 straipsnyje bei Statybos ir būsto kodekso R. 111-20-24 straipsnyje nurodytiems produktams.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3 straipsnis.</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(Aplinkosauginės deklaracijos turinys)</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Vartotojų kodekso R. 412-51 straipsnyje ir Statybos ir būsto kodekso R. 111-20-25 straipsnyje nurodytoje aplinkosauginėje deklaracijoje pateikiama toliau nurodyta informacija.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Toliau nurodytų rodiklių gamybos etapo, statybos proceso etapo, naudojimo etapo, gyvavimo ciklo pabaigos ir šių etapų sumos vertės: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poveikio aplinkai apibūdinimas: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visuotinis atšilimas (išmetamas šiltnamio efektą sukeliančių dujų kiekis);</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ozono sluoksnio ardymas;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dirvožemio ir vandens rūgštėjimas;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eutrofikacija;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fotocheminis ozono susidarymas;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abiotinių išteklių – elementų – išeikvojimas;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abiotinių išteklių – iškastinio kuro – išeikvojimas;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išteklių naudojimo aprašymas: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atsinaujinančiųjų išteklių pirminės energijos naudojimas, išskyrus atsinaujinančiuosius pirminės energijos išteklius, naudojamus kaip žaliavos;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atsinaujinančiųjų pirminės energijos išteklių, naudojamų kaip žaliavos, naudojimas;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lastRenderedPageBreak/>
        <w:t xml:space="preserve">bendras atsinaujinančiųjų pirminės energijos išteklių (pirminės energijos ir pirminės energijos išteklių, naudojamų kaip žaliavos) naudojimas;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neatsinaujinančiosios pirminės energijos, išskyrus neatsinaujinančiuosius pirminės energijos išteklius, naudojamus kaip žaliavos, naudojimas;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neatsinaujinančiųjų pirminės energijos išteklių, naudojamų kaip žaliavos, naudojimas;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bendras neatsinaujinančiųjų pirminės energijos išteklių (pirminės energijos ir pirminės energijos išteklių, naudojamų kaip žaliavos) naudojimas;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antrinės medžiagos naudojimas;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antrinio kuro iš atsinaujinančiųjų išteklių naudojimas;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antrinio kuro iš neatsinaujinančiųjų išteklių naudojimas;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grynasis gėlo vandens naudojimas;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atliekų kategorijų apibūdinimas: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šalinamos pavojingosios atliekos;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šalinamos nepavojingosios atliekos;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šalinamos radioaktyviosios atliekos;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išeinamųjų srautų apibūdinimas: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pakartotiniam naudojimui skirtoms sudedamosioms dalims;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antriniam perdirbimui skirtoms medžiagoms;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energijai gauti skirtoms medžiagoms;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lauke tiekiama energija.</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Nuo 2022 m. sausio 1 d.:</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Iš atsinaujinančiųjų išteklių gautų medžiagų, įtrauktų į produktą, naudojimas, išreiškiant anglies kiekio iš atmosferos, esančio statybos arba apdailos produkte, rodikliu;</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1 punkte išvardytų rodiklių vertės kiekvieno naudojimo etapo poetapio, t. y. šių poetapių, atveju: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naudojimas ar taikymas, išskyrus pastato eksploatavimo etapo energijos ir vandens poreikius;</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techninė priežiūra;</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remontas;</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pakeitimas;</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atnaujinimas;</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lastRenderedPageBreak/>
        <w:t>energijos suvartojimas naudojimo metu;</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vandens suvartojimas naudojimo metu.</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Jei aplinkosauginė deklaracija turi įtakos šio nutarimo 9 straipsnio reikalavimams, 9 straipsnyje nurodytų kontrolinių rodiklių variacijos intervalai (didžiausios ir mažiausios vertės).</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Aplinkosauginėse deklaracijose, patikrintose nuo 2022 m. spalio 1 d.:</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iš atsinaujinančiųjų išteklių gaunamų medžiagų, esančių produkte, naudojimas, išreikštas įrangoje esančio anglies kiekio rodikliu;</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naudos ir išlaidų rodiklių, susijusių su gyvavimo ciklo pabaigos vertinimu, vertės.</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Nuo 2025 m. sausio 1 d.: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naudos ir išlaidų rodiklių, susijusių su gyvavimo ciklo pabaigos vertinimu, vertės.</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Gaminio funkcinis arba nurodytas vienetas.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Produkto etaloninis gyvavimas.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Funkcinį vienetą arba nurodytą vienetą sudarančių produktų aprašymas (pagrindinio produkto kiekis, pakuočių kiekis, papildomų produktų kiekis, susijęs su įgyvendinimu ar gyvavimo laikotarpiu).</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Produkto naudojimo sritis.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Ši informacija apie produktą, dėl kurio pateikiama aplinkosauginė deklaracija: registruotojo (-ų) grupė, aprašymas (-ai) arba komercinis (-iai) pavadinimas (-ai), vardas (-ai) ir pavardė (-ės) ar pavadinimas.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Aplinkosauginės deklaracijos data.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Patikros sertifikatas ir auditoriaus, atlikusio nepriklausomą trečiosios šalies patikrą, nurodytą Vartotojų kodekso R. 412-55 straipsnyje bei Statybos ir būsto kodekso R. 111-20-27 straipsnyje, kontaktiniai duomenys.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Registruotojo duomenys.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Svetainės, kurioje šią informaciją galima gauti nemokamai, adresas.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4 straipsnis.</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(Registruotojo pateikiamų patvirtinamųjų įrodymų teikimas)</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Registruotojas saugo aplinkosauginės deklaracijos programą ir administracines institucijas, atsakingas už patikrinimus, arba jų atstovus, visus produktus arba šiuos produktus laikančių fizinių ar juridinių asmenų kontaktinius duomenis, kad galėtų pagrįsti aplinkosauginėje deklaracijoje pateiktą informaciją, visų pirma: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produkto žaliavų, medžiagų ir sudedamųjų dalių kilmė;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lastRenderedPageBreak/>
        <w:t xml:space="preserve">sąnaudų, neįtrauktų į gyvavimo ciklo aprašą, identifikavimas pagal ribinės vertės nustatymo taisyklę;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bendra į gyvavimo ciklo aprašą neįtrauktų dėl ribinės vertės nustatymo taisyklės sąnaudų masė;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apraše pateikto apskaičiavimo rezultatai;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produkto etaloninio gyvavimo patvirtinamieji įrodymai;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jei turi būti naudojami bendrieji duomenys, gauti iš viešųjų ar privačių duomenų bazių, dokumentai, susiję su naudojamų bendrųjų duomenų bazių technologiniu, geografiniu ir laikinu tipiškumu, nuorodos į duomenų bazes, iš kurių jie buvo gauti, ir naudotų duomenų modulių nuorodos;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scenarijai, kuriais grindžiamas gyvavimo ciklo aprašas;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aplinkosauginėje deklaracijoje nurodyta (-os) gamybos vieta (-os);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kiekvienos vietos gamyba, išreikšta funkciniame vienete apibrėžto kiekio vienetu;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jeigu taikomas ėminių ėmimo metodas, įrodymai, kad naudojamas ėminys yra tipiškas, ypač geografiniu, laiko ir technologiniu požiūriu, produkto gamybai;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aplinkosauginių deklaracijų, kurioms taikomi 9 straipsnio reikalavimai, galiojimo sistemos sudedamosioms dalims;</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11 straipsnyje nurodytos priskiriamos deklaracijos sudedamosios dalys.</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5 straipsnis.</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(Vienetai)</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Funkcinių vienetų formatai kiekvienos statybos arba apdailos produktų kategorijos atveju yra apibrėžti I priede.</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Įrangos funkcinių vienetų arba vienetų formatai yra apibrėžti II priede.</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6 straipsnis</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(Įvertinimo ir skaičiavimo metodai)</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straipsnyje nurodytos informacijos, visų pirma rodiklių, vertinimo ir apskaičiavimo metodams taikomos visos šios sąlygos:</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dėl jų nepraleidžiami procesai, sudarantys iš viso daugiau kaip 5 % kiekvieno nurodyto informacijos elemento vertės;</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dėl jų neteikiamas produktas, kuriam, apskaičiuojant nurodytus informacijos elementus, privaloma pateikti naudos aplinkosauginę deklaraciją kitiems produktams, išskyrus </w:t>
      </w:r>
      <w:r>
        <w:rPr>
          <w:rFonts w:ascii="Times New Roman" w:hAnsi="Times New Roman"/>
          <w:sz w:val="24"/>
        </w:rPr>
        <w:lastRenderedPageBreak/>
        <w:t>rodiklius, susijusius su pelnu ir išlaidomis, susijusiais su gyvavimo ciklo pabaigos vertinimu;</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jie atitinka standartą NF EN 15804 + A1: 2014-04 arba standartą </w:t>
      </w:r>
      <w:r>
        <w:rPr>
          <w:rFonts w:ascii="Times New Roman" w:hAnsi="Times New Roman"/>
          <w:sz w:val="24"/>
          <w:shd w:val="clear" w:color="auto" w:fill="FFFFFF"/>
        </w:rPr>
        <w:t>XP C08-100-1: 2016-12 arba standartą EN 50693: 2019-08 arba bet kurį lygiavertį standartą;</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jie turi atitikti III priede apibrėžtą pelno ir išlaidų, susijusių su gyvavimo ciklo pabaigos vertinimu, apskaičiavimo metodą.</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Be to, nuo 2022 m. spalio 1 d. patikrintų aplinkosauginių deklaracijų atveju, kai aplinkosauginėje deklaracijoje nurodyti skirtingi produkto, kuriam ji taikoma, nustatymo būdai, nurodytos informacijos vertinimo ir apskaičiavimo metodai turi atitikti toliau pateiktas taisykles.</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Vertinami šie kiekvieno iš šių įrangos režimų kontroliniai rodikliai: </w:t>
      </w:r>
      <w:r>
        <w:rPr>
          <w:rFonts w:ascii="Times New Roman" w:hAnsi="Times New Roman"/>
          <w:snapToGrid w:val="0"/>
          <w:sz w:val="24"/>
        </w:rPr>
        <w:t xml:space="preserve"> bendras klimato atšilimas, bendras neatsinaujinančiosios pirminės energijos naudojimas, šalinamos nepavojingosios atliekos.</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Kiekvieno iš šių kontrolinių rodiklių didžiausia vertė, gauta 3 straipsnyje nurodytų etapų sumai, lyginama su gautų verčių vidurkiu (t. y. įvairių įrangos režimų vidutiniu poveikiu). Jei vieno iš šių rodiklių didžiausia vertė yra daugiau kaip 1,1 karto didesnė už vidutinę vertę, tai yra didžiausia vertė (t. y. didžiausias poveikis tarp skirtingų klojimo būdų), kuri turi būti nurodyta kiekvienam iš aplinkosauginėje deklaracijoje nurodytų rodiklių. Priešingu atveju galima pateikti kiekvieno rodiklio vidutinę vertę.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7 straipsnis.</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(Katalogavimas duomenų bazėje (-ėse)</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Registruotojas pateikia patikrintą aplinkosauginę deklaraciją duomenų bazėje (-ėse), kuri (-ios) nurodyta (-os) sutartyje, kurią pasirašo už statybą atsakingas ministras ir aplinkosauginės deklaracijos programai atstovaujantis juridinis asmuo.</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Duomenų bazės adresą arba duomenų bazių adresus galima rasti už statybą atsakingo ministro interneto svetainėje.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8 straipsnis.</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(Atnaujinta aplinkosauginė deklaracija)</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Aplinkosauginė deklaracija atnaujinama atsižvelgiant į kiekvieną reikšmingą produkto pakeitimą, kai tai būtina atsižvelgiant į technologijų pažangą ar kitas aplinkybes, galinčias turėti įtakos aplinkosauginės deklaracijos turiniui ar tikslumui, ir ne rečiau kaip kas penkerius metus.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9 straipsnis.</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(Kolektyviniai duomenys apie aplinką)</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Aplinkosauginė deklaracija gali būti grindžiama kelių registruotojų pateikta kolektyvine panašių produktų aplinkosaugine deklaracija.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Ši kolektyvinė aplinkosauginė deklaracija atitinka šias sąlygas: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ji susijusi su „standartiniu produktu“;</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ji nustatoma pirmesniuose straipsniuose nurodytomis sąlygomis;</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turi būti užtikrintas parametrų, turinčių didelę įtaką kiekvieno rodiklio vertei, vienodumas; šiuo tikslu kolektyvinėje aplinkosauginėje deklaracijoje pateikiama IV priede apibrėžta galiojimo sistema, kurioje kaupiama ši informacija:</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lemiamą įtaką turinčių parametrų nustatymas, nurodant, ar jie papildyti bendraisiais ar konkrečiais duomenimis;</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šių parametrų galiojimo laikotarpiai.</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Kolektyvinę aplinkosauginę deklaraciją pateikęs registruotojas yra atsakingas už joje pateiktą informaciją, įskaitant atitinkamų produktų sąrašą ir sąlygas, kuriomis produktai gali būti susieti, jei būtina.</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Produktų, kuriems taikoma ši kolektyvinė aplinkosauginė deklaracija, registruotojai turi atitikti šias sąlygas: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jie yra atsakingi už pirmiau minėtam registruotojui perduodamą informaciją;</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jie laikosi kolektyvinės aplinkosauginės deklaracijos galiojimo sistemos;</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jie pateikia sertifikatą, kuriame nurodoma, ar laikomasi kolektyvinės aplinkosauginės deklaracijos galiojimo sistemos;</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jie užtikrina tikrinimo institucijoms galimybę susipažinti su įrodymais, patvirtinančiais, kad laikomasi galiojimo sistemos.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Nepriklausomos trečiosios šalies atliekamas prie kolektyvinės aplinkosauginės deklaracijos pridedamų produktų tikrinimas, kaip nurodyta Vartotojų kodekso R. 412-55 straipsnyje ir Statybos ir būsto kodekso R. 111-20-27 straipsnyje, yra nepriklausomos trečiosios šalies atliekamas kolektyvinės aplinkosauginės deklaracijos tikrinimas.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Kontroliniai rodikliai, į kuriuos reikia atsižvelgti, turi būti bent:</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bendras visuotinis atšilimas;</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bendras neatsinaujinančiosios pirminės energijos suvartojimas;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šalinamos nepavojingosios atliekos.</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Kolektyvinės aplinkosauginės deklaracijos turi atitikti šiuos reikalavimus:</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jeigu kiekvieno kontrolinio rodiklio didžiausia vertė, gauta sudėjus 3 straipsnyje nurodytus etapus ir apskaičiuojant IV priede aprašytą kintamumą, yra mažesnė arba lygi vidutinei rodiklio vertei, padaugintai iš ribinės vertės, rodiklių vertės gali būti apskaičiuojamos iš svarbių parametrų vidutinių verčių. Priešingu atveju turi būti nurodyta viršutinė riba (didžiausia vertė, kurią rodiklis gali pasiekti).</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lastRenderedPageBreak/>
        <w:t>Nuo 2022 m. spalio 1 d. rengiant kolektyvines aplinkosaugines deklaracijas pirmiau minėta ribinė vertė yra „1,4“, o pirmiau minėtas kintamumas apskaičiuojamas bent jau įtraukiant svarbius parametrus, susijusius su:</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produkto sudėtimi: medžiagų kiekiu ir rūšimi;</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pakuočių kiekiu;</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gamybos procesais, išskyrus žaliavų gavybą ir perdirbimą (A2 ir A3 etapai).</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Nuo 2022 m. spalio 1 d. rengiant kolektyvines aplinkosaugines deklaracijas pirmiau minėta ribinė vertė yra „1,3“, o pirmiau minėtas kintamumas apskaičiuojamas bent jau įtraukiant svarbius parametrus, susijusius su:</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produkto sudėtimi: medžiagų kiekiu ir rūšimi;</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pakuočių kiekiu;</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gamybos procesais, išskyrus žaliavų gavybą ir perdirbimą (A2 ir A3 etapai);</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vežimą į vietą (A4 etapas).</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10 straipsnis.</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(Aplinkos duomenų intervalas)</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Aplinkosauginė deklaracija gali būti grindžiama panašiais to paties registruotojo produktais. Šios aplinkosauginės deklaracijos turi atitikti 9 straipsnyje nustatytus kolektyvinių aplinkosauginių deklaracijų reikalavimus.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11 straipsnis.</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(Priskiriami aplinkos duomenys)</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Aplinkosauginė deklaracija gali būti grindžiama priskiriama deklaracija.</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Ši priskiriama deklaracija atitinka šias sąlygas: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ji susijusi su „standartiniu produktu“;</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ji nustatoma pirmesniuose straipsniuose nurodytomis sąlygomis;</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joje pateikiamos skaičiavimo taisyklės, pagal kurias, remiantis keičiamais parametrais, joje nurodyta informacija pritaikoma prie produkto, panašaus į standartinį produktą, bet kurio matmenys, sudėtis arba tam tikri gyvavimo ciklo procesai skiriasi;</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pristatant pastatą turi būti įmanoma patikrinti pirmiau nurodytų keičiamų parametrų vertę;</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joje pateikiamas galiojimo pagrindas, pagal kurį apibrėžiamos vertės, kurios gali būti naudojamos pirmiau minėtiems keičiamiems parametrams, ir charakteristikos, kurias </w:t>
      </w:r>
      <w:r>
        <w:rPr>
          <w:rFonts w:ascii="Times New Roman" w:hAnsi="Times New Roman"/>
          <w:sz w:val="24"/>
        </w:rPr>
        <w:lastRenderedPageBreak/>
        <w:t>turi atitikti pirmiau minėtas panašus produktas.</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Prie kiekvienos priskiriamos deklaracijos, patikrintos nuo 2022 m. spalio 1 d., pridedama kompiuterinė skaičiavimo priemonė, skirta pirmiau minėtoms skaičiavimo taisyklėms taikyti ir 3 straipsnyje reikalaujamai informacijai eksportuoti, kartu su pirmiau minėtų keičiamų parametrų sąrašu ir jų vertėmis. Visa ši informacija eksportuojama kaip kompiuterinė byla pagal formatą, nustatytą už statybą atsakingos ministerijos interneto svetainėje.</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Nepriklausomos trečiosios šalies atliekamas tikrinimas, nurodytas Vartotojų kodekso R. 412-55 straipsnyje bei nurodytas Statybos ir būsto kodekso R. 111-20-27 straipsnyje, taip pat priskiriamos deklaracijos atveju taip pat apima šiame straipsnyje nurodytas apskaičiavimo taisykles ir pirmesnėje dalyje nurodytą kompiuterinio skaičiavimo priemonę.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12 straipsnis.</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(Sertifikavimas)</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Laikoma, kad Vartotojų kodekso R. 412-53 straipsnyje nurodytas aplinkosauginių charakteristikų sertifikavimas atitinka reikalavimus, jei atsižvelgiama į visus standarto NF EN ISO 14024: 2018-03 reikalavimus. Šį statybos ar apdailos produktų ar įrangos sertifikatą išduoda Prancūzijos akreditavimo komiteto (COFRAC) arba kitos akreditavimo įstaigos, pasirašiusios daugiašalius tarpusavio pripažinimo susitarimus, tam tikslui akredituota organizacija.</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Šis skirsnis netaikomas aplinkosauginėms deklaracijoms, naudojamoms apskaičiuojant pastatų aplinkosauginį veiksmingumą.</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13 straipsnis.</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Panaikinamas 2013 m. gruodžio 23 d. nutarimas dėl statybos ir apdailos produktų, naudojamų statybos darbams atlikti, aplinkosauginės deklaracijos.</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Panaikinamas 2015 m. rugpjūčio 31 d. nutarimas dėl statybos darbams naudojamos elektros, elektroninės ir klimato inžinerinės įrangos aplinkosauginės deklaracijos.</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13 straipsnis.</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Būsto, miestų plėtros ir kraštovaizdžio direktorius yra atsakingas už šio nutarimo, kuris skelbiamas Prancūzijos Respublikos </w:t>
      </w:r>
      <w:r>
        <w:rPr>
          <w:rFonts w:ascii="Times New Roman" w:hAnsi="Times New Roman"/>
          <w:i/>
          <w:iCs/>
          <w:sz w:val="24"/>
        </w:rPr>
        <w:t>oficialiajame leidinyje</w:t>
      </w:r>
      <w:r>
        <w:rPr>
          <w:rFonts w:ascii="Times New Roman" w:hAnsi="Times New Roman"/>
          <w:sz w:val="24"/>
        </w:rPr>
        <w:t>, įgyvendinimą.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Asocijuotasis būsto ministras, pavaldus ekologinės pertvarkos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ministrui</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Ministro vardu: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Būsto, miestų plėtros ir kraštovaizdžio direktorius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Ekologinės pertvarkos ministras</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Ministro vardu:</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Būsto, miestų plėtros ir kraštovaizdžio direktorius</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0C081737" w14:textId="77777777" w:rsidR="00A73D71" w:rsidRDefault="00A73D71">
      <w:pPr>
        <w:rPr>
          <w:rFonts w:ascii="Times New Roman" w:hAnsi="Times New Roman"/>
          <w:b/>
          <w:sz w:val="24"/>
        </w:rPr>
      </w:pPr>
      <w:r>
        <w:rPr>
          <w:rFonts w:ascii="Times New Roman" w:hAnsi="Times New Roman"/>
          <w:b/>
          <w:sz w:val="24"/>
        </w:rPr>
        <w:br w:type="page"/>
      </w:r>
    </w:p>
    <w:p w14:paraId="4A1A9D13" w14:textId="53D0CAFC"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Priedai</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I priedas</w:t>
      </w:r>
    </w:p>
    <w:p w14:paraId="6761F1F1" w14:textId="57464D42" w:rsidR="001308A1" w:rsidRPr="005D260E" w:rsidRDefault="00C51AA3" w:rsidP="00F76954">
      <w:pPr>
        <w:pStyle w:val="Titre2FDES"/>
        <w:jc w:val="left"/>
      </w:pPr>
      <w:r>
        <w:t>Kiekvienai statybos ar apdailos produktų kategorijai skirti funkcinių vienetų formatai</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Nr.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FUNKCIJA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KATEGORIJA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VIENETO FORMATAS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tarptautinės sistemos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funkciniai vienetai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Keliai, įvairūs tinklai (įskaitant vidaus tinklus)</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Rezervuarai ir cisternos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Tam tikro tūrio vienetas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Drenažo ir sanitarijos tinklai (geležies ir nuotekų)</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terpė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Vandens tiekimo tinklai (vidaus ir išorės)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terpė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Dujų tiekimo tinklai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terpė</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Drenažo sistema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terpė</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Keliai ir išorinės dangos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Tam tikram naudojimui skirtingos dangos (m²) (išorinė terasa, žemo eismo keliai, stovėjimo aikštelė ir t. t.)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Atskyrimo priemonės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Atskyrimo priemonės (m)</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Apvalkalai ir (arba) latakai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Įvairūs kiti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Konstrukcija, mūras, esminiai darbai, rėmas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Dūmų blokai ir kaminų dūmtraukių vamzdžiai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Nurodytos vidinės dalies ortakis (m)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Lyginimo tašai ir (arba) plūdrieji lyginimo tašai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pagal nurodytą storį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Rėmai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dengtas plotas arba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Tvirtinamuosius statramsčiai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Tvirtinamasis statramstis (m²)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Plokštės ir liejimo būdu pagamintos plokštės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Horizontalieji laikantieji elementai (sijos, perdangos sijos, izoliacija, kiaurymėtosios plokštės, tuščiavidurės plokštės, sąramos)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Apkrovą laikantis elementas (m) (nurodyti naudojimo sritį ir dalį) arba m² (paviršiaus elemento atveju)</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Vertikalieji apkrovas laikantys elementai (stulpai / kolonos / atramos)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elementas (m) (nurodyti dalį)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Laiptai (vidiniai ir išoriniai)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Nurodyto aukščio iškilimo matavimo vienetas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Pagrindas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Maži mūro komponentai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(nurodyti šiluminę varžą)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Grindys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Grindys (m²) (nurodyti apkrovą)</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Sienos (architektūriniai elementai)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(nurodyti storį)</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Įvairūs kiti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Fasadas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Apvalkalas (apdaila, sienų apkalos, apvalkalas)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Fasadas (m²)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Apdarinės sienos ir stoglangiai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Fasadas (m²) (nurodyti matinio </w:t>
            </w:r>
            <w:r>
              <w:rPr>
                <w:rFonts w:ascii="Times New Roman" w:hAnsi="Times New Roman"/>
                <w:sz w:val="24"/>
              </w:rPr>
              <w:lastRenderedPageBreak/>
              <w:t xml:space="preserve">paviršiaus procentinę dalį)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Fasadų išorinis paviršius (įskaitant sudėtines išorines šiluminės izoliacijos sistemas)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Fasadas( m²) (jei reikia, nurodykite šiluminę varžą)</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Įvairūs kiti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Stogų dengimas ir (arba) sandarinimas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Dideli stogų elementai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Maži stogų elementai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Dengtų sienų hidroizoliaciniai ir sandarinimo produktai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Stogų sandarinimo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Žaliųjų stogų elementai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(nurodyti, kokios rūšies augmenija palaikoma, ir, jei reikia, šilumines charakteristikas)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Įvairūs kiti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Vidiniai ir išoriniai medžio dirbiniai, uždarymo elementai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Langai, langai-durys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Stalių gaminiai (m²) (atviro paviršiaus plotas prieš montavimą) (nurodyti U vertę, saulės koeficientą, oro, vandens ir vėjo galią ir šviesos pralaidumą)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Paramsčiai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Paramsčiai (m)</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Durys (vidinės, išorinės, paradinio įėjimo ir t. t.) </w:t>
            </w:r>
          </w:p>
          <w:p w14:paraId="49074EDD" w14:textId="1FC62C2F" w:rsidR="00F301F5" w:rsidRPr="00A73D71"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(atviro paviršiaus plotas prieš montavimą)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Langinės, ritininės žaliuzės, žaliuzės, saulės spindulių pertraukikliai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Matinio / apsaugoto paviršiaus plotas (m²)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Stoglangiai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Stalių gaminiai (m²) (atviro paviršiaus plotas prieš montavimą) (nurodyti U vertę, saulės koeficientą, oro, vandens ir vėjo galią ir šviesos pralaidumą)</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Įvairūs kiti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Izoliacija</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Ševroninės dėžės, stogo plokštės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Izoliacija (m²) (nurodyti šiluminę varžą)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Klojinių sistemos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Izoliacija (m²) (nurodyti šiluminę varžą)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Papildoma izoliacija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Izoliacija (m²) (nurodyti šiluminę varžą)</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Kiaurymėtosios plokštės, izoliacinės plokštės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Izoliacija (m²) (nurodyti šiluminę varžą)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Terminiai ir akustiniai sienų izoliatoriai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Izoliacija (m²) (nurodyti atsparumą šilumai ir garsui)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Palėpėms skirti terminiai ir akustiniai izoliatoriai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Izoliacija (m²) (nurodyti atsparumą šilumai ir garsui)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Šilumos ir garso izoliacija (palaida)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Izoliacija (m²) (nurodyti atsparumą šilumai ir garsui)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Stogų terasoms skirti šilumos ir garso izoliatoriai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Izoliacija (m²) (nurodyti atsparumą šilumai ir garsui)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Apatinio sluoksnio šilumos ir garso izoliacija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Izoliacija (m²) (nurodyti atsparumą šilumai ir garsui)</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Apkrovos nelaikanti paskirstyta izoliacija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Izoliacija (m²) (jei reikia, nurodyti atsparumą šilumai ir garsui)</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Sienų šilumos ir garso izoliatoriai </w:t>
            </w:r>
            <w:r>
              <w:rPr>
                <w:rFonts w:ascii="Times New Roman" w:hAnsi="Times New Roman"/>
                <w:sz w:val="24"/>
              </w:rPr>
              <w:lastRenderedPageBreak/>
              <w:t>(ITE)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Izoliacija (m²) (nurodyti atsparumą </w:t>
            </w:r>
            <w:r>
              <w:rPr>
                <w:rFonts w:ascii="Times New Roman" w:hAnsi="Times New Roman"/>
                <w:sz w:val="24"/>
              </w:rPr>
              <w:lastRenderedPageBreak/>
              <w:t>šilumai ir garsui)</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Pertvarų garso izoliatoriai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Izoliacija (m²) (nurodyti atsparumą šilumai ir garsui)</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Šilumos ir garso izoliacija po plokštėmis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Izoliacija (m²) (nurodyti atsparumą šilumai ir garsui)</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Izoliacija po grindinio ir žemės plokštėmis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Izoliacija (m²) (nurodyti atsparumą šilumai ir garsui)</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Įvairūs kiti produktai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Atitvarai, kabamosios lubos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Atitvarai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Atitvarai (m²) (jei reikia, nurodyti akustines charakteristikas)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Kabamosios lubos, įtempiamos lubos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Kabamosios lubos (m²) (nurodyti akustines charakteristikas)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Įvairūs kiti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Grindų ir sienų dangos, dažai, apdailos produktai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Dažai, beicas ir lakai, tinkas (be sodriklių)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Uždengtas plotas (m²)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Grindjuostės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Grindjuostės (m)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Sienų ir lubų dangos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Kietosios grindų dangos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(nurodyti UPEC naudojimo klasę arba atsparumo dėvėjimuisi ir pramušimui klasifikaciją, vandens savybes ir atsparumą cheminėms medžiagoms ar pan.)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Minkštos grindų dangos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(nurodyti UPEC naudojimo klasę arba atsparumo dėvėjimuisi ir pramušimui klasifikaciją, vandens savybes ir atsparumą cheminėms medžiagoms ar pan.)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Garso izoliacijos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Danga (m²) (nurodyti UPEC naudojimo klasę arba atsparumo dėvėjimuisi ir pramušimui klasifikaciją, vandens savybes ir atsparumą cheminėms medžiagoms ar pan.)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Sodrikliai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Uždengtas plotas (m²)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Įvairūs kiti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Paruošimo ir įrengimo produktai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Dailidžių klijai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(nurodyti tankį)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Remontas ir surinkimas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(nurodyti tankį)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Žemė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Prie žemės klijuoti skirti klijai (m²)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Mūro skiedinys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(nurodyti tankį)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Dengimas plytelėmis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Dengimas plytelėmis (m²)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Apdaila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(nurodyti tankį)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Mastika ir poliuretano putos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(nurodyti tiesinę masę)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Pastatų chemija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(nurodyti tankį)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Betonui skirti produktai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(nurodyti tankį)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Sintetinės dervos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(nurodyti tankį)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Įvairūs kiti produktai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Sanitarijos ir </w:t>
            </w:r>
            <w:r>
              <w:rPr>
                <w:rFonts w:ascii="Times New Roman" w:hAnsi="Times New Roman"/>
                <w:sz w:val="24"/>
              </w:rPr>
              <w:lastRenderedPageBreak/>
              <w:t xml:space="preserve">vonios įranga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Čiaupai ir dušo kolonėlės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Įrenginys (nurodyti tipą)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Vonia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Įrenginys (nurodyti talpos tūrį litrais ir formą)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Dušo dėklas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Įrenginys (nurodyti matmenis: plotis ir ilgis)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Kriauklė</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Įrenginys (nurodyti matmenis: plotis, ilgis ir šiukšliadėžių skaičius)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Praustuvas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Įrenginys (nurodyti matmenis: plotis, ilgis ir šiukšliadėžių skaičius)</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tualetas – dubuo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Įrenginys (nurodyti matmenis: plotis ir ilgis)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Įvairūs kiti produktai</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Kita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Įvairūs kiti produktai</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II priedas</w:t>
      </w:r>
    </w:p>
    <w:p w14:paraId="1E7210AD" w14:textId="4609938E" w:rsidR="001308A1" w:rsidRPr="005D260E" w:rsidRDefault="00C51AA3" w:rsidP="007F6637">
      <w:pPr>
        <w:pStyle w:val="Titre2FDES"/>
      </w:pPr>
      <w:r>
        <w:t>Įrenginių funkciniai arba nurodytų vienetų formatai.</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Nr.</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Funkcija</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Kategorija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funkcinis blokas</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Nurodytas vienetas</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Grupė</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Sprendimas</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Elektros energijos ir ryšių tinklų įrengimo įrenginys</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Sienų jungiamosios detalės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Automatizuotos sistemos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Judesio jutikliai</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Termostatai</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Srovės / įtampos reguliatoriai</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Įrangos dėžės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Skirta gipso kartono plokštėms</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Skirta mūryti</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Valdymo priemonės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Jungikliai</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Mygtukai</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Kita: Ventiliacija su ortakiais, ritininės žaliuzės ir t. t.</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Plokštės ir atramos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Sienų įrangos surenkamasis mazgas</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Kištukiniai elektros lizdai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Silpnosios srovės išėjimo angos</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Didelės srovės kištukiniai elektros lizdai</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Įvairūs kištukiniai elektros lizdai (televizorius, garsiakalbis, IT ir t. t.)</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Signalizavimas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Garso išvestis: garsiakalbis</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Garso išvestis: skambučiai ir varpeliai</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Šviesiniai rodytuvai</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Priedai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Nuotolinio valdymo pultai, langinės, spaustuvai</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Gaubtų modulinė įranga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Bendrosios apsaugos priemonės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Jungtys</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Srovės pertraukikliai</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Tinklų jungčių srovės pertraukikliai</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Jungikliai / izoliatoriai</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Šaltinių keitikliai</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Diferencialinės relės</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Apsauga nuo žaibo iškrovos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Žaibolaidžiai</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Telekomunikacijų žaibolaidžiai</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Linijos apsauga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Srovės pertraukikliai</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Dalymo srovės pertraukikliai</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Motoriniai srovės pertraukikliai</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Saugikliai</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Apsauga nuo nuotėkio į žemę</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Diferenciniai blokai</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Liekamosios srovės įtaisų srovės pertraukikliai</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Liekamosios srovės įtaisų jungikliai</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Apšvietimo valdymas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Fotoelementų jungikliai</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Saulės energijos valdymas</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Srovės / įtampos reguliatoriai</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Energijos valdymas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Apkrovą išjungiantys įrenginiai</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Energijos valdymo prietaisai</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Žaliuzių ir langinių valdymas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Žaliuzių ir langinių valdymas</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Laiko valdymas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Susikertančių taškų tvarkaraščiai</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Laikmačiai</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Laikmačio relės</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Šiluminis valdymas (šildymas, vėdinimas)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Termostatai</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Energijos skaitikliai</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Lietaus, saulės šviesos jutikliai ir t. t.</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Voltmetrai, ampermetrai</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Valdymo įtaisai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Mygtukai</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Kontaktoriai</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Jungikliai, keitikliai, komutatoriai ir t. t.</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Nuotolinio valdymo impulso jungikliai</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Signalizacijos įtaisai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Varpeliai ir skambučių tonai</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Šviesiniai rodytuvai</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Namų automatizavimo ir ryšių sistemos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Daugialypės terpės tinklai ir VDI (garsas, duomenys ir vaizdas)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Namų automatizavimo modulinė įranga</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Namų automatizavimo galiniai įrenginiai</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Signalizavimo / aptikimo skirstytuvai</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„Wi-Fi“ prieigos taškai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Gaubtai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Spintos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Poliesterio spintos</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Metalinės spintos</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Jungtys</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Spintų įranga</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Dėžės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Gnybtų dangteliai</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Vandens nuleidimo įrangos dėžės</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Vandeniui nelaidžios dėžės</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Išsikišusios dėžės</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VDI dėžės</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Jungiamosios dėžutės</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Kita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Stalai, gaubtų šiluminis valdymas</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Kabelių maršrutų išdėstymo sprendimai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Metras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Kabelių maršrutų išdėstymo sistemos ir kabelių stovai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Laidinių kabelių keliai</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Plytelėmis iškloti kabeliniai loveliai</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Kabelių stovai</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Dėžinių kanalų sistemos ir ortakiai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Ortakiai</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Profiliuoti ortakiai</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Standūs vamzdžiai ir ortakiai</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Tiekimo ortakiai</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Grindų ortakiai</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Montavimo ortakiai</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Bagetai ir grindjuostės</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Kiti kabelių valdymo taškų produktai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Techninio įrengimo korpusas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Grindų ortakiai</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Skyriklių dėžės ir vertikalios montavimo kolonos</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Spintelių kabelių dėžiniai kanalai</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Kita ir priedai</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Kita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Jungtis / sandūra (už gaubto)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Jungties blokai</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Jungtys</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Pramoniniai lizdai</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Maitinimo šaltiniai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Transformatoriai</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Centriniai šaltiniai</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Kilnojamoji elektros įranga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Apžiūrai skirta lempa</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Kelių elektros lizdų adapteriai, telefono skyriklio lizdai, kita</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Sklendės atidarymo variklis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Durų, vartų ir t. t. motorizavimas</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Ritininių žaliuzių motorizavimas</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Įvairūs kiti produktai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Laidai ir kabeliai</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Elektros tinklai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Vidutinės įtampos kabeliai.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Žemosios įtampos kabeliai &lt;1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Elektros tinklo priedai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Elektros energijos ir duomenų perdavimas pastato viduje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Energijos laidai ir kabeliai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Variniai ir šviesolaidinio ryšio kabeliai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Aksesuarai pastato viduje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Kiti laidai ir kabeliai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Neizoliuoti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Šildymo kabeliai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Įvairūs kiti produktai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Asmenų sauga ir prieigos kontrolė</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Prieigos nustatymas ir kontrolė</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Įsilaužimo nustatymo sistema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Įsilaužimo nustatymo įranga</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Valdymo įranga (klavišinis, nuotolinio valdymo pultas ir t. t.)</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Pavojaus signalų pultai</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Signalizavimo įranga (sirena, siųstuvas ir kt.)</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Prieigos kontrolės sistema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Įėjimas pro duris su garsiniu signalu</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Įėjimas pro duris su stebėjimas vaizdo kameromis</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Stebėjimas vaizdo kameromis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Stebėjimo vaizdo kameromis sistema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Vaizdo gavimo įranga (kameros)</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Vaizdo valdymo įranga</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Jungtys</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Įvairūs kiti produktai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Pastato saugumas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Apsaugos apšvietimo sistema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Aplinka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Autonominiai avarinio apšvietimo moduliai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Centrinio šaltinio šviesos įranga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Prožektoriai</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Evakuacija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Autonominiai avarinio apšvietimo moduliai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Autonominiai gyvenamųjų pastatų apšvietimo moduliai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Dviejų funkcijų įrenginys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Centrinio šaltinio šviesos įranga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(apšvietimo įtaisas)</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(geresnio atpažinimo prietaisas)</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Avarinis apšvietimas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Autonominiai gyvenamųjų pastatų apšvietimo moduliai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Dviejų funkcijų įrenginys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Intervencija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Nešiojamieji atskiri intervencijos įrenginiai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Tiekimas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Centrinis avarinės šviesos įrangos šaltinis</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Priešgaisrinė sauga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Priešgaisrinė sauga ir techninė pavojaus signalizacija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Autonominiai dūmų detektoriai / pavojaus signalai</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Techniniai pavojaus signalai ir detektoriai (potvynis, dujos ir t. t.)</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Autonominiai anglies monoksido detektoriai</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Techniniai pavojaus signalai ir detektoriai</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Įvairūs kiti produktai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Šildymo, ventiliavimo ir oro kondicionavimo įranga</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Šildymo ir (arba) vėsinimo ir (arba) buitinio karšto vandens gamyba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Katilas (vien šildymas)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Dujinis katilas</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Mazuto katilas</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Hibridinis katilas</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Biomasės katilas</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Mišrus katilas (šildymo ir buitinis karštas vanduo)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Dujinis katilas</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Mazuto katilas</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Autonominiai prietaisai su biomase</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Šilumos siurblys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Elektrinis kompresinis šilumos siurblys</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Hibridinis šilumos siurblys</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Vandens cirkuliacinis siurblys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Radiatorius</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Gyvatukas</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Tiesioginis elektrinis šildymas per matomą stacionarų įrenginį</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Konvektorius</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Spinduliatorius</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Radiatorius</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Įranga su antrine funkcija kaip gyvatukas</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Karšto vandens gamyba namuose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Litras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Atskiras talpykloje laikomo vandens šildytuvas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Elektrinis vandens šildytuvas</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Termodinaminis vandens šildytuvas</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Dujinis vandens šildytuvas</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Atskiras saulės energiją naudojančio vandens šildytuvas</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Galinio komforto įrenginiai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Ventiliatoriai-šildytuvai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Ventiliatoriai-šildytuvai</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Šaltosios sijos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Pasyviosios šaltosios sijos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Aktyviosios šaltosios sijos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Dinaminiai radiatoriai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Dinaminiai radiatoriai</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Ortakiai ir tinklo priedai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Ortakis (ml)</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Lankstūs ortakiai</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Standūs ortakiai</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Alkūnės ir aksesuarai</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Oro difuzija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m3/val.</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arba</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Pasyvieji galiniai įrenginiai</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Difuzoriai</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Oro įleidimo angos</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Trauktuvo ir pūstuvo angos</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Oro valymas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m3/val.</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Oro valymo įrenginys</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Dviejų krypčių srauto įrenginys</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Oro filtrai</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Vėdinimo dėžė</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m3/val.</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Vienos krypties srauto mechaniniu būdu valdoma ventiliacija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Dviejų krypčių srauto mechaniniu būdu valdoma ventiliacija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Vėdinimo dėžė</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Šaldymas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Ledinio vandens gamybos įrenginys</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Aušinimo bokštas</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Oro aušintuvai</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Įvairūs kiti produktai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Vietos elektros energijos gamyba</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Elektros energijos gamybos įrenginys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Fotovoltiniai moduliai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Kristalinis silicis (monokristalinis arba polikristalinis)</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Ploni sluoksniai</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Vėjo turbinos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Horizontalioji</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Vertikalioji</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Konversija ir reguliavimas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Konversija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Sinchroniniai keitikliai</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Autonominiai keitikliai</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Nuolatinės–nuolatinės srovės keitiklis</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Nuolatinės–kintamosios srovės keitiklis</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Reguliavimas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Apkrovos reguliatorius</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Kaupimas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Elektrocheminė baterija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Švinas – rūgštis</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Ličio – jonų</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Kita</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Įvairūs kiti produktai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Stebėsena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Stebėsena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Stebėsenos įranga</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Įvairūs kiti produktai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Apšvietimo įranga</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Patalpų apšvietimo ir maitinimo šaltinių įranga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Šviesos srautas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Nišoje įtaisyta šviesa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Linijinis biuro apšvietimo vidaus vandens nuleidimo įrangos šviesa</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Nelinijinis biuro apšvietimo vidaus nišoje įtaisyta šviesa</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Vidaus nišoje įtaisyto akcento apšvietimas (taškai)</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Ant paviršiaus tvirtinamos šviesos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Biuro arba pramoniniam apšvietimui skirtos lubų šviesos, linijinės vidaus pakabinamosios jungiamosios detalės</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Vidinis linijinis ant paviršiaus tvirtinamas sienelių apšvietimas</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Lubų šviesos, ant paviršiaus tvirtinami sieniniai šviestuvai, dekoratyvinė vidaus pakabinamoji įranga</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Vidinės prievadų angos</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Vidaus apšvietimo juostos (be optinių įtaisų, priešingai nei tiesiniai produktai)</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Vidaus prožektoriai, prie sienų arba bėgelių tvirtinami arba pakabinami, skirti akcentiniam apšvietimui</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Vandeniui atspari vidaus </w:t>
            </w:r>
            <w:r>
              <w:rPr>
                <w:rFonts w:ascii="Times New Roman" w:hAnsi="Times New Roman"/>
                <w:sz w:val="24"/>
              </w:rPr>
              <w:lastRenderedPageBreak/>
              <w:t>šviesos įranga</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Lankstūs LED virbai ir juostelės (įskaitant maitinimo šaltinius)</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Pakabamoji įranga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Pramoninė armatūra</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Ištisinės pramoninio arba komercinio apšvietimo neautonominės konstrukcijos</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Tvirtinimo įtaisai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Apšvietimo įrangos tiekimo bėgeliai</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Lauko apšvietimo ir maitinimo šaltinių įranga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Šviesos srautas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Prožektoriai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Sporto aikštynams ir dideliems plotams skirti prožektoriai</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Dekoratyviniam apšvietimui skirti lauko prožektoriai</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Lauko apšvietimui skirta šviesos įranga, išskyrus prožektorius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Dekoratyvinio apšvietimui skirta šviesos įranga</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Funkciniam apšvietimui skirta šviesos įranga</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Tam tikram laikui naudojamas apšvietimas</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Nišoje įtaisyti prožektoriai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Lauko prožektoriai, įtaisyti į grindis arba sienas</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Įtaisytas orientacinis apšvietimas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Lauko orientacinio apšvietimo įranga, įtaisoma į grindis arba sienas</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Stulpai ir kolonos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Dekoratyviniai išoriniai terminalai</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Dekoratyvinės išorinės šviesos kolonos</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Vandeniui atsparios šviesos įrangos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Ant paviršiaus montuojami sieniniai šviestuvai ir vandeniui atsparūs įvadai</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Povandeninės įtaisomos baseinų arba fontanų šviesos</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Povandeniniai plaukimo baseinų arba fontanų prožektoriai</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matavimo vienetas</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Stiebai ir tvirtinimo įtaisai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Stiebai</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Sandūros</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Įvairūs lauko šviesos įrangos tvirtinimo įtaisai</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Įvairūs kiti produktai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Kita</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Įvairūs kiti </w:t>
            </w:r>
            <w:r>
              <w:rPr>
                <w:rFonts w:ascii="Times New Roman" w:hAnsi="Times New Roman"/>
                <w:sz w:val="24"/>
              </w:rPr>
              <w:lastRenderedPageBreak/>
              <w:t>produktai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III priedas</w:t>
      </w:r>
    </w:p>
    <w:p w14:paraId="67517A54" w14:textId="77777777" w:rsidR="00C51AA3" w:rsidRPr="005D260E" w:rsidRDefault="003C68D4" w:rsidP="008837F2">
      <w:pPr>
        <w:pStyle w:val="Titre2FDES"/>
        <w:jc w:val="left"/>
      </w:pPr>
      <w:r>
        <w:t xml:space="preserve">Pelno ir išlaidų, susijusių su gyvavimo ciklo pabaigos vertinimu, apskaičiavimas.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Rodant teigiamą vertę gaunamas grynasis mokestis, o rodant neigiamą vertę – grynasis pelnas.</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Perdirbimo atveju tam tikram perdirbtų atliekų srautui (taigi ir tam tikrai lambda medžiagai) taikoma ši formulė: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ChargeNetRecycl = MSval (ISval – IVval)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kur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antrinės medžiagos, faktiškai panaudotos iš surinktų atsargų masės, masė (kg) („perdirbti skirtų medžiagų“ sraute esančios medžiagos lambda dalis);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medžiagos (arba mišinio), kuriai perdirbta lambda antrinė medžiaga pakeičiama ją naudojančioje galutinės grandies sistemoje, gamybos inventorius (vienam kg) (t. y. ne galutinės grandies produkto gamybos inventorius, o gamybos inventoriaus medžiaga, sudaranti šį galutinės grandies produktą);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iš atsargų gautos paruoštos naudoti antrinės medžiagos galutinės grandies sistemoje gamybos inventorius (vienam kg);</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antrinės medžiagos, įdėtos į produktą, kuriam gamybos metu taikoma deklaracija, masė (kg) (medžiagos lambda sudedamoji dalis „antrinių medžiagų naudojimo“ sraute);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produkto, kuriam taikoma deklaracija, gamybai naudotos grynos medžiagos gamybos inventorius (vienam kg), jei medžiaga neperdirbama;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paruoštos naudoti antrinės medžiagos, naudotos produktui, kuriam taikoma deklaracija, gamybai, inventorius (vienam kg).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Energijos gavybos atveju tam tikram perdirbtų atliekų srautui taikoma ši formulė: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kur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antrinės medžiagos, faktiškai išgautos iš surinktos atsargų masės, masė (kg) („energiją išgaunančių medžiagų“ srauto medžiagos lambda sudedamoji dalis (-ys);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energijos, į kurią galutinės grandies sistemoje išgaunama energija, gauta perdirbant antrinių medžiagų energiją (t. y. ne galutinės grandies sistemos, prie kurios bus prisidedama antrinės medžiagos, gamybos inventorius, bet galutinės grandies sistemoje suvartotos energijos gamybos inventorius, išreikštas MJ, yra gamybos inventorius (vienam kg);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iš atsargų gautos antrinės medžiagos, kurios etaloninis srautas yra perdirbtos antrinės medžiagos kiekis, energijos perdirbimo inventorius (vienam kg);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PCISval = panaudotos antrinės medžiagos IBD (MJ/kg);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panaudotų antrinių medžiagų energijos perdirbimo įrenginio energijos išeiga.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Tuomet bendra nurodyto produkto nauda gaunama kaip visos bendros naudos, apskaičiuotos kiekvienai medžiagai ir (arba) srautui, suma.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IV priedas</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Produktų kolektyvinių aplinkosauginių deklaracijų galiojimo sistema</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Homogeniškumas</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Gyvavimo ciklo analizė (GCA) apima didelį kiekį duomenų apie daugelį scenarijų. Tam tikri duomenys renkami vietoje, kai kurie yra apskaičiuojami ir kai kurie yra vertinami. Todėl GCA duomenys yra duomenys, kuriems būdingas tam tikras neapibrėžtumas. Taigi GCA rezultatas yra gana svarbus įvesties duomenų pokyčiams.</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Nutarimo 9 straipsnyje reikalaujama, kad registruotojų, naudojančių tą pačią kolektyvinę aplinkosauginę deklaraciją, poveikis aplinkai būtų vienodas. Taigi, kolektyvinė aplinkosauginė deklaracija bus taikoma ekologiškumo požiūriu vienarūšiams produktams, jei įmanoma užtikrinti, kad būtų nurodytas visų produktų, kuriems taikomas reikalavimas, poveikis aplinkai žemiau ribinės vertės, jei jie atitiktų su šia kolektyvine aplinkosaugine deklaracija susijusią galiojimo sistemą.</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Pripažįstama, kad toks vienarūšiškumas turėtų būti įrodytas tik tam tikriems kontroliniams rodikliams.</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Kalbant apie GCA rodiklius, vienarūšiškumas įrodomas atliekant neaiškių parametrų ir parametrų, kurie skiriasi skirtingų registruotojų atveju, svarbumo analizę. Primygtinai rekomenduojama šią analizę atlikti ankstyvuoju GCA proceso etapu ir, remiantis šia analize, parengti kolektyvinę aplinkosauginę deklaraciją.</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Jautrumo analizė</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GCA svarbumo analizė turi apimti šiuos etapus:</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kontrolės rodiklių atranka;</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svarbių parametrų nustatymas: dalyvių tyrimas siekiant nustatyti įvesties parametrus, kurie labiausiai padeda paaiškinti kontrolės rodiklių vertę (GCA rezultatai);</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nustatyti svarbių parametrų variacijos intervalus (ribinius parametrus ir bet kokį statistinį pasiskirstymą);</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pagal parametrus nustatytas modeliavimas, pagrįstas b ir c etapais.</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Svarbumo analizė gali būti kartotinė. Svarbumo analizės rezultatas turi būti:</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veiksnių, turinčių įtakos GCA rezultatams (svarbiems parametrams) ir leistiniems jų variacijos laukams, sąrašas (šis sąrašas yra galiojimo laukas).</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kiekvieno kontrolinio rodiklio atveju – tikėtinas kintamumo intervalas (95 % pasikliautinasis intervalas) nuo rodiklio verčių, gautų atliekant parametrų modeliavimą.</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1 etapas: kontrolinių rodiklių atrinkimas</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Kontrolinių rodiklių atrinkimas turi būti pagrįstas. Jie gali būti pasirenkami kiekvienu konkrečiu atveju iš tų, kurie nurodyti nutarimo 3 straipsnyje. Jų atrinkimas turi būti pagrįstas. Reikėtų ištirti bent šiuos rodiklius:</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visuotinis atšilimas;</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neatsinaujinančiosios pirminės energijos, išskyrus neatsinaujinančiuosius pirminės energijos išteklius, naudojamus kaip žaliavos, naudojimas;</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šalinamos nepavojingosios atliekos.</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etapas: svarbių parametrų identifikavimas</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Turėtų būti atliekama kiekvieno kontrolinio rodiklio svarbių parametrų analizė. Šiuo tikslu siūloma, kad iš pradžių poveikis būtų padalytas pagal į gyvavimo ciklą įtrauktus procesus. Ši analizė turėtų būti pagrįsta svarbumo analizėje aprašytu pamatiniu scenarijumi.</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Rekomenduojama atsižvelgti į visus procesus, kurių indėlis pagal pagrindinį scenarijų būtų didesnis nei 5 %. Tada reikėtų nustatyti GCA modelio parametrus (įvedant arba nutraukiant procesą, vidaus procesų modeliavimo parametrą ir t. t.), kurie keičia šį poveikį. Šie parametrai laikomi svarbiais.</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Šios analizės pabaigoje registruotojas turės procesų, kurie daugiausia prisideda prie kontrolinių rodiklių per visą gyvavimo ciklą, sąrašą ir svarbių parametrų sąrašą.</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etapas: svarbių parametrų variacijos intervalo apibrėžimas</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Šis etapas apima kiekvieno svarbaus parametro variacijos intervalą. Tada šis intervalas turėtų būti siūlomas bent intervalais. Jei žinoma, parametro skirstymui per pirmiau nurodytą intervalą gali būti numatytas įstatymas.</w:t>
      </w:r>
      <w:r>
        <w:rPr>
          <w:rFonts w:ascii="Times New Roman" w:hAnsi="Times New Roman"/>
          <w:sz w:val="24"/>
        </w:rPr>
        <w:br/>
        <w:t>Po šio etapo kiekvienas svarbus parametras yra susietas su variacijos intervalu.</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4 etapas: rodiklių kintamumo apskaičiavimas</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Remiantis 2 ir 3 etapais, šis etapas apima tinkamą matematinį metodą rodiklių variacijos intervalui (didžiausioms vertėms, vidutinėms vertėms ir mažiausioms vertėms) nustatyti, kai GCA modelis priklauso nuo svarbių parametrų variacijų.</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4 etapo rezultatas yra kiekvieno svarbumo analizėje nagrinėjamo rodiklio verčių intervalas.</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Apskaičiuojant rodiklių kintamumą atsižvelgiama bent jau į svarbius parametrus, susijusius su šio nutarimo 9 straipsnyje nurodytais elementais.</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ir 4 etapai gali būti atliekami iteracijos būdu, siekiant pritaikyti svarbių parametrų diapazoną prie reikalaujamų vienarūšiškumo sąlygų.</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Svarbumo analizės ataskaita</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Ataskaitoje pateikiami punktai, atitinkantys keturis svarbumo analizės etapus ir galutinius svarbumo analizės rezultatus, įskaitant kolektyvinės aplinkosauginės deklaracijos galiojimo apimtį ir kontrolinių rodiklių variacijos intervalus.</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Svarbumo analizė ir nurodytos aplinkosauginės vertės</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Svarbumo analizės rezultatai atitinka aplinkosaugines vertes, nurodytas kolektyvinėje aplinkosauginėje deklaracijoje, kaip nurodyta šio nutarimo 9 skirsnyje.</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Kai kiekvieno poveikio aplinkai kontrolės rodiklio variacijos intervalo didžiausia vertė (arba didžiausia, esant 95 % patikimumui, jei taikomas statistinis metodas) yra</w:t>
      </w:r>
      <w:r>
        <w:rPr>
          <w:rFonts w:ascii="Times New Roman" w:hAnsi="Times New Roman"/>
          <w:sz w:val="24"/>
        </w:rPr>
        <w:t xml:space="preserve"> mažesnė arba lygi vidutinei rodiklio vertei, padaugintai iš ribinės vertės (nurodytos šio nutarimo 9 straipsnyje)</w:t>
      </w:r>
      <w:r>
        <w:rPr>
          <w:rFonts w:ascii="Times New Roman" w:hAnsi="Times New Roman"/>
          <w:sz w:val="24"/>
          <w:shd w:val="clear" w:color="auto" w:fill="FFFFFF"/>
        </w:rPr>
        <w:t>, deklaruotų poveikio aplinkai rodiklių vertės apskaičiuojamos pagal svarbių parametrų vidutines vertes).</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Jei ne, t. y. jei bent vieno iš poveikio aplinkai kontrolės rodiklių didžiausia vertė yra didesnė nei </w:t>
      </w:r>
      <w:r>
        <w:rPr>
          <w:rFonts w:ascii="Times New Roman" w:hAnsi="Times New Roman"/>
          <w:sz w:val="24"/>
        </w:rPr>
        <w:t>vidutinė rodiklio vertė, padauginta iš ribinės vertės (nurodytos šio nutarimo 9 straipsnyje)</w:t>
      </w:r>
      <w:r>
        <w:rPr>
          <w:rFonts w:ascii="Times New Roman" w:hAnsi="Times New Roman"/>
          <w:sz w:val="24"/>
          <w:shd w:val="clear" w:color="auto" w:fill="FFFFFF"/>
        </w:rPr>
        <w:t>, turi būti nurodoma viršutinė riba. Ši viršutinė riba atitinka rodiklių vertę, gautą naudojant svarbių parametrų didžiausias vertes (arba didžiausias su 95 % tikimybe, jei taikomas statistinis metodas).</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Tikslus deklaracijoje nurodytų produktų identifikavimas</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Siekiant nustatyti, ar produktui gali būti taikoma kolektyvinė aplinkosauginė deklaracija, reikia nustatyti, ar produktas yra panašus į standartinį taikomą produktą ir ar to produkto registruotojui leidžiama naudoti šią kolektyvinę aplinkosauginę deklaraciją.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Standartinio produkto identifikavimas</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Standartinis produktas turi būti tiksliai apibrėžtas ir aprašytas, kad būtų lengviau suderinti produkto ir standartinio produkto aprašymą. Standartinio produkto apraše turi būti nurodyta bent ši informacija:</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pagrindinių sudedamųjų dalių arba daugiausia naudojamų medžiagų sąrašas;</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informacija apie funkcijas arba veiklos lygį.</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Šio identifikavimo turi pakakti greitai ir nedviprasmiškai išsiaiškinti, ar konkrečiam produktui gali būti taikoma kolektyvinė deklaracija.</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Registruotojų, kurie gali naudoti kolektyvinę aplinkosauginę deklaraciją, identifikavimas</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Kadangi kolektyvinė aplinkosauginė deklaracija yra bendruomenės nuosavybė ir atsakomybė, ši bendruomenė gali nuspręsti, ar tik kai kurie registruotojai gali naudotis šia kolektyvine aplinkosaugine deklaracija.</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Registruotojų, kuriems leidžiama naudoti kolektyvinę aplinkosauginę deklaraciją, sąrašas turi būti pateiktas:</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arba išsamiame pavadinimų sąraše,</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arba narystės kolektyve sąlygomis (asociacija, profesinė sąjunga, gerosios patirties chartiją pasirašiusios šalys ir kt.). Tokiu atveju tos bendruomenės narių sąrašas turi būti viešai prieinamas.</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Galiojimo sistemos turinys</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Galiojimo sistemą sudaro bent:</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standartinio produkto identifikavimas (privalomas);</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produktams, kuriems taikoma kolektyvinė aplinkosauginė deklaracija;</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registruotojų, kurie gali naudotis kolektyvine aplinkosaugine deklaracija, identifikavimas;</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svarbumo tyrimo ataskaita, kurioje nurodomas pagrįstumo intervalas ir pateikiama įrodymų, kad deklaruojamos rodiklių vertės yra vienodos.</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Galiojimo sistemos taikymas</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Kad registruotojas galėtų naudoti kolektyvinę aplinkosauginę deklaraciją savo produktui, jis turi pateikti įrodymus:</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kad jo produktas atitinka „standartinį produktą“, nurodytą kolektyvinėje aplinkosauginėje deklaracijoje;</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kad jis yra įtrauktas į registruotojų, kuriems leidžiama pateikti šią kolektyvinę aplinkosauginę deklaraciją, sąrašą;</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kad jis atitinka atitinkamos kolektyvinės aplinkosauginės deklaracijos galiojimo ribas.</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688D" w14:textId="77777777" w:rsidR="00A14E50" w:rsidRDefault="00A14E50" w:rsidP="00F76954">
      <w:pPr>
        <w:spacing w:after="0" w:line="240" w:lineRule="auto"/>
      </w:pPr>
      <w:r>
        <w:separator/>
      </w:r>
    </w:p>
  </w:endnote>
  <w:endnote w:type="continuationSeparator" w:id="0">
    <w:p w14:paraId="72829111" w14:textId="77777777" w:rsidR="00A14E50" w:rsidRDefault="00A14E50"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p.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iš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7B14" w14:textId="77777777" w:rsidR="00A14E50" w:rsidRDefault="00A14E50" w:rsidP="00F76954">
      <w:pPr>
        <w:spacing w:after="0" w:line="240" w:lineRule="auto"/>
      </w:pPr>
      <w:r>
        <w:separator/>
      </w:r>
    </w:p>
  </w:footnote>
  <w:footnote w:type="continuationSeparator" w:id="0">
    <w:p w14:paraId="6731CF32" w14:textId="77777777" w:rsidR="00A14E50" w:rsidRDefault="00A14E50"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9"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0" w15:restartNumberingAfterBreak="0">
    <w:nsid w:val="5F517F6C"/>
    <w:multiLevelType w:val="hybridMultilevel"/>
    <w:tmpl w:val="8202F2E2"/>
    <w:lvl w:ilvl="0" w:tplc="62387C3C">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1"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5"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1"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2"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5"/>
  </w:num>
  <w:num w:numId="6">
    <w:abstractNumId w:val="57"/>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6"/>
  </w:num>
  <w:num w:numId="14">
    <w:abstractNumId w:val="17"/>
  </w:num>
  <w:num w:numId="15">
    <w:abstractNumId w:val="67"/>
  </w:num>
  <w:num w:numId="16">
    <w:abstractNumId w:val="26"/>
  </w:num>
  <w:num w:numId="17">
    <w:abstractNumId w:val="47"/>
  </w:num>
  <w:num w:numId="18">
    <w:abstractNumId w:val="29"/>
  </w:num>
  <w:num w:numId="19">
    <w:abstractNumId w:val="30"/>
  </w:num>
  <w:num w:numId="20">
    <w:abstractNumId w:val="37"/>
  </w:num>
  <w:num w:numId="21">
    <w:abstractNumId w:val="12"/>
  </w:num>
  <w:num w:numId="22">
    <w:abstractNumId w:val="43"/>
  </w:num>
  <w:num w:numId="23">
    <w:abstractNumId w:val="23"/>
  </w:num>
  <w:num w:numId="24">
    <w:abstractNumId w:val="39"/>
  </w:num>
  <w:num w:numId="25">
    <w:abstractNumId w:val="64"/>
  </w:num>
  <w:num w:numId="26">
    <w:abstractNumId w:val="66"/>
  </w:num>
  <w:num w:numId="27">
    <w:abstractNumId w:val="51"/>
  </w:num>
  <w:num w:numId="28">
    <w:abstractNumId w:val="58"/>
  </w:num>
  <w:num w:numId="29">
    <w:abstractNumId w:val="9"/>
  </w:num>
  <w:num w:numId="30">
    <w:abstractNumId w:val="45"/>
  </w:num>
  <w:num w:numId="31">
    <w:abstractNumId w:val="42"/>
  </w:num>
  <w:num w:numId="32">
    <w:abstractNumId w:val="60"/>
  </w:num>
  <w:num w:numId="33">
    <w:abstractNumId w:val="53"/>
  </w:num>
  <w:num w:numId="34">
    <w:abstractNumId w:val="56"/>
  </w:num>
  <w:num w:numId="35">
    <w:abstractNumId w:val="31"/>
  </w:num>
  <w:num w:numId="36">
    <w:abstractNumId w:val="13"/>
  </w:num>
  <w:num w:numId="37">
    <w:abstractNumId w:val="48"/>
  </w:num>
  <w:num w:numId="38">
    <w:abstractNumId w:val="11"/>
  </w:num>
  <w:num w:numId="39">
    <w:abstractNumId w:val="61"/>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1"/>
  </w:num>
  <w:num w:numId="51">
    <w:abstractNumId w:val="6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49"/>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2"/>
  </w:num>
  <w:num w:numId="6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9"/>
  </w:num>
  <w:num w:numId="6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2"/>
  </w:num>
  <w:num w:numId="72">
    <w:abstractNumId w:val="65"/>
  </w:num>
  <w:num w:numId="73">
    <w:abstractNumId w:val="54"/>
  </w:num>
  <w:num w:numId="74">
    <w:abstractNumId w:val="21"/>
  </w:num>
  <w:num w:numId="75">
    <w:abstractNumId w:val="40"/>
  </w:num>
  <w:num w:numId="7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63D3"/>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2825"/>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14E50"/>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73D71"/>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lt-LT"/>
    </w:rPr>
  </w:style>
  <w:style w:type="character" w:styleId="FootnoteReference">
    <w:name w:val="footnote reference"/>
    <w:uiPriority w:val="99"/>
    <w:semiHidden/>
    <w:rsid w:val="003D011E"/>
    <w:rPr>
      <w:noProof/>
      <w:position w:val="6"/>
      <w:sz w:val="18"/>
      <w:vertAlign w:val="baseline"/>
      <w:lang w:val="lt-LT"/>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lt-LT"/>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lt-LT"/>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lt-LT"/>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lt-LT"/>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lt-LT"/>
    </w:rPr>
  </w:style>
  <w:style w:type="character" w:styleId="PageNumber">
    <w:name w:val="page number"/>
    <w:uiPriority w:val="99"/>
    <w:rsid w:val="003D011E"/>
    <w:rPr>
      <w:noProof/>
      <w:lang w:val="lt-LT"/>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lt-LT"/>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7333</Words>
  <Characters>41799</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17</cp:revision>
  <dcterms:created xsi:type="dcterms:W3CDTF">2021-04-28T07:24:00Z</dcterms:created>
  <dcterms:modified xsi:type="dcterms:W3CDTF">2021-05-12T14:47:00Z</dcterms:modified>
</cp:coreProperties>
</file>