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0B9B3" w14:textId="77777777" w:rsidR="00B77F10" w:rsidRPr="00B77F10" w:rsidRDefault="00B77F10" w:rsidP="00B77F1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Odluka od 14. prosinca 2021. o izjavi o okolišu za proizvode namijenjene za uporabi u građevinskim radovima i izjavi o okolišu za proizvode korištene za procjenu ekološke učinkovitosti zgrada</w:t>
      </w:r>
    </w:p>
    <w:p w14:paraId="5710CDE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t>Oznaka NOR: LOGL2113185A</w:t>
      </w:r>
      <w:r>
        <w:rPr>
          <w:rFonts w:ascii="Times New Roman" w:hAnsi="Times New Roman"/>
          <w:sz w:val="24"/>
        </w:rPr>
        <w:br/>
        <w:t>ELI: https://www.legifrance.gouv.fr/eli/arrete/2021/12/14/LOGL2113185A/jo/texte</w:t>
      </w:r>
      <w:r>
        <w:rPr>
          <w:rFonts w:ascii="Times New Roman" w:hAnsi="Times New Roman"/>
          <w:sz w:val="24"/>
        </w:rPr>
        <w:br/>
        <w:t>JORF br. 0296 od 21. prosinca 2021.</w:t>
      </w:r>
      <w:r>
        <w:rPr>
          <w:rFonts w:ascii="Times New Roman" w:hAnsi="Times New Roman"/>
          <w:sz w:val="24"/>
        </w:rPr>
        <w:br/>
        <w:t>Tekst br. 23</w:t>
      </w:r>
    </w:p>
    <w:p w14:paraId="3AB935B9"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Prilog</w:t>
      </w:r>
    </w:p>
    <w:p w14:paraId="6E4EC342"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Prilog</w:t>
      </w:r>
    </w:p>
    <w:p w14:paraId="5EA5BF00"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Prilog</w:t>
      </w:r>
    </w:p>
    <w:p w14:paraId="179D3EF1" w14:textId="77777777" w:rsidR="00B77F10" w:rsidRPr="00B77F10" w:rsidRDefault="00B77F10" w:rsidP="00B77F10">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Prilog</w:t>
      </w:r>
    </w:p>
    <w:p w14:paraId="06845229" w14:textId="6ABFF336"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Zainteresirane strane: podnositelji registracije na koje se odnose građevinski proizvodi i dekorativni proizvodi kao i električna i elektronička oprema i oprema za ekološki inženjering namijenjena za uporabu u građevinskim radovima za procjenu ekološke učinkovitosti zgrada. </w:t>
      </w:r>
      <w:r>
        <w:rPr>
          <w:rFonts w:ascii="Times New Roman" w:hAnsi="Times New Roman"/>
          <w:sz w:val="24"/>
        </w:rPr>
        <w:br/>
        <w:t xml:space="preserve">Svrha: utvrditi primjenu članaka R. 171.-14. do R. 171.-22. i članaka R. 171.-23. do R. 171.-31. Građevinskog i stambenog zakonika. </w:t>
      </w:r>
      <w:r>
        <w:rPr>
          <w:rFonts w:ascii="Times New Roman" w:hAnsi="Times New Roman"/>
          <w:sz w:val="24"/>
        </w:rPr>
        <w:br/>
        <w:t xml:space="preserve">Stupanje na snagu: tekst stupa na snagu 1. siječnja 2022. </w:t>
      </w:r>
      <w:r>
        <w:rPr>
          <w:rFonts w:ascii="Times New Roman" w:hAnsi="Times New Roman"/>
          <w:sz w:val="24"/>
        </w:rPr>
        <w:br/>
        <w:t xml:space="preserve">Sažetak: svrha je odluke pojasniti metode primjene odjeljaka R. 171.-14. do R. 171.-22. i članaka R. 171.-23. do R. 171-31. Građevinskog i stambenog zakonika. </w:t>
      </w:r>
      <w:r>
        <w:rPr>
          <w:rFonts w:ascii="Times New Roman" w:hAnsi="Times New Roman"/>
          <w:sz w:val="24"/>
        </w:rPr>
        <w:br/>
        <w:t xml:space="preserve">Odlukom se utvrđuje sljedeće: </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pojedinosti o informacijama iz članka R. 171.-17. Građevinskog i stambenog zakonika, </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metode izračuna indikatora iz članka R. 171.-17. Građevinskog i stambenog zakonika, </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elementi iz članka R. 171.-21. Građevinskog i stambenog zakonika koji opravdavaju informacije sadržane u izjavi o okolišu, </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gdje se ispunjava adresa baze podataka (baza podataka) u kojoj su javno dostupne izjave o okolišu iz članka R. 171.-17. Građevinskog i stambenog zakonika, koje sadržavaju potvrdu o provjeri iz članka R. 171.-18. Građevinskog i stambenog zakonika, </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uvjeti za sastavljanje zajedničkih izjava o okolišu koje se odnose na građevinske ili dekorativne proizvode ili opremu više podnositelja registracije; </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uvjeti za sastavljanje prilagodljivih izjava o građevinskim i dekorativnim proizvodima ili opremi. </w:t>
      </w:r>
      <w:r>
        <w:rPr>
          <w:rFonts w:ascii="Times New Roman" w:hAnsi="Times New Roman"/>
          <w:sz w:val="24"/>
        </w:rPr>
        <w:br/>
        <w:t xml:space="preserve">Upućivanja: tekstovi nastali ili izmijenjeni ovom Odlukom dostupni su, u inačici koja proizlazi iz ove izmjene, na internetskoj stranici </w:t>
      </w:r>
      <w:proofErr w:type="spellStart"/>
      <w:r>
        <w:rPr>
          <w:rFonts w:ascii="Times New Roman" w:hAnsi="Times New Roman"/>
          <w:sz w:val="24"/>
        </w:rPr>
        <w:t>Légifrance</w:t>
      </w:r>
      <w:proofErr w:type="spellEnd"/>
      <w:r>
        <w:rPr>
          <w:rFonts w:ascii="Times New Roman" w:hAnsi="Times New Roman"/>
          <w:sz w:val="24"/>
        </w:rPr>
        <w:t xml:space="preserve"> (https://www.legifrance.gouv.fr). </w:t>
      </w:r>
    </w:p>
    <w:p w14:paraId="1D50A1A0"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Ministrica ekološke tranzicije i ministar kojeg je ovlastila ministrica ekološke tranzicije nadležan za stanovanje,</w:t>
      </w:r>
      <w:r>
        <w:rPr>
          <w:rFonts w:ascii="Times New Roman" w:hAnsi="Times New Roman"/>
          <w:sz w:val="24"/>
        </w:rPr>
        <w:br/>
        <w:t>uzimajući u obzir Direktivu (EU) 2015/1535 Europskog parlamenta i Vijeća od 9. rujna 2015. o utvrđivanju postupka pružanja informacija u području tehničkih propisa i pravila o uslugama informacijskog društva i obavijest br. 2021/257/F upućena Europskoj komisiji 28. travnja 2021. te odgovor na nju od 29. srpnja 2021.,</w:t>
      </w:r>
      <w:r>
        <w:rPr>
          <w:rFonts w:ascii="Times New Roman" w:hAnsi="Times New Roman"/>
          <w:sz w:val="24"/>
        </w:rPr>
        <w:br/>
        <w:t>uzimajući u obzir Zakonik o zaštiti potrošača, a posebno točku 10. njegova članka L. 412.-1.,</w:t>
      </w:r>
      <w:r>
        <w:rPr>
          <w:rFonts w:ascii="Times New Roman" w:hAnsi="Times New Roman"/>
          <w:sz w:val="24"/>
        </w:rPr>
        <w:br/>
        <w:t xml:space="preserve">uzimajući u obzir Građevinski i stambeni zakonik, a posebno njegove članke R. 171.-14. do </w:t>
      </w:r>
      <w:r>
        <w:rPr>
          <w:rFonts w:ascii="Times New Roman" w:hAnsi="Times New Roman"/>
          <w:sz w:val="24"/>
        </w:rPr>
        <w:lastRenderedPageBreak/>
        <w:t>R. 171.-31.,</w:t>
      </w:r>
      <w:r>
        <w:rPr>
          <w:rFonts w:ascii="Times New Roman" w:hAnsi="Times New Roman"/>
          <w:sz w:val="24"/>
        </w:rPr>
        <w:br/>
        <w:t>uzimajući u obzir mišljenje Vrhovnog vijeća za građevinarstvo i energetsku učinkovitost od 13. travnja 2021.,</w:t>
      </w:r>
      <w:r>
        <w:rPr>
          <w:rFonts w:ascii="Times New Roman" w:hAnsi="Times New Roman"/>
          <w:sz w:val="24"/>
        </w:rPr>
        <w:br/>
        <w:t>uzimajući u obzir primjedbe iznesene tijekom javnog savjetovanja provedenog u razdoblju od 18. svibnja do 8. lipnja 2021. u skladu s člankom L. 123.-19.-1. Zakonika o zaštiti okoliša,</w:t>
      </w:r>
      <w:r>
        <w:rPr>
          <w:rFonts w:ascii="Times New Roman" w:hAnsi="Times New Roman"/>
          <w:sz w:val="24"/>
        </w:rPr>
        <w:br/>
        <w:t>Odlučuju sljedeće:</w:t>
      </w:r>
    </w:p>
    <w:p w14:paraId="3955297A"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1.</w:t>
      </w:r>
    </w:p>
    <w:p w14:paraId="132509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Odredbe ove Odluke primjenjuju se na građevinske proizvode, dekorativne proizvode kao i električnu i elektroničku opremu i opremu za ekološki inženjering iz članka R. 171.-14. Građevinskog i stambenog zakonika i članka R. 171.-23. Građevinskog i stambenog zakonika.</w:t>
      </w:r>
    </w:p>
    <w:p w14:paraId="0EEC7D6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2</w:t>
      </w:r>
    </w:p>
    <w:p w14:paraId="2194AD9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potrebe ove Odluke primjenjuju se sljedeće definicije:</w:t>
      </w:r>
      <w:r>
        <w:rPr>
          <w:rFonts w:ascii="Times New Roman" w:hAnsi="Times New Roman"/>
          <w:sz w:val="24"/>
        </w:rPr>
        <w:br/>
        <w:t>„prilagodljiva izjava”: izjava o okolišu s pravilima koja omogućuju prilagodbu informacija sadržanih u njoj kako bi odgovarale određenom proizvodu i računalnom alatu koji omogućuje primjenu tih pravila.</w:t>
      </w:r>
      <w:r>
        <w:rPr>
          <w:rFonts w:ascii="Times New Roman" w:hAnsi="Times New Roman"/>
          <w:sz w:val="24"/>
        </w:rPr>
        <w:br/>
        <w:t>U sljedećim člancima pojam „</w:t>
      </w:r>
      <w:proofErr w:type="spellStart"/>
      <w:r>
        <w:rPr>
          <w:rFonts w:ascii="Times New Roman" w:hAnsi="Times New Roman"/>
          <w:sz w:val="24"/>
        </w:rPr>
        <w:t>deklarant</w:t>
      </w:r>
      <w:proofErr w:type="spellEnd"/>
      <w:r>
        <w:rPr>
          <w:rFonts w:ascii="Times New Roman" w:hAnsi="Times New Roman"/>
          <w:sz w:val="24"/>
        </w:rPr>
        <w:t>” znači „</w:t>
      </w:r>
      <w:proofErr w:type="spellStart"/>
      <w:r>
        <w:rPr>
          <w:rFonts w:ascii="Times New Roman" w:hAnsi="Times New Roman"/>
          <w:sz w:val="24"/>
        </w:rPr>
        <w:t>deklarant</w:t>
      </w:r>
      <w:proofErr w:type="spellEnd"/>
      <w:r>
        <w:rPr>
          <w:rFonts w:ascii="Times New Roman" w:hAnsi="Times New Roman"/>
          <w:sz w:val="24"/>
        </w:rPr>
        <w:t>” kako je definirano člankom R. 171.-15. Građevinskog i stambenog zakonika ili znači „odgovoran za stavljanje na tržište” kako je definirano člankom R. 171.-24. Građevinskog i stambenog zakonika.</w:t>
      </w:r>
      <w:r>
        <w:rPr>
          <w:rFonts w:ascii="Times New Roman" w:hAnsi="Times New Roman"/>
          <w:sz w:val="24"/>
        </w:rPr>
        <w:br/>
        <w:t>U sljedećim člancima pojam „proizvod” znači „građevinski proizvodi”, „dekorativni proizvodi” i „električna i elektronička oprema te oprema za ekološki inženjering” kako je definirano člankom R. 171.-15. Građevinskog i stambenog zakonika.</w:t>
      </w:r>
    </w:p>
    <w:p w14:paraId="5FD36DE3"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3</w:t>
      </w:r>
    </w:p>
    <w:p w14:paraId="4D2B91F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Izjava o okolišu mora sadržavati informacije iz članka R. 171.-17. Građevinskog i stambenog zakonika.</w:t>
      </w:r>
      <w:r>
        <w:rPr>
          <w:rFonts w:ascii="Times New Roman" w:hAnsi="Times New Roman"/>
          <w:sz w:val="24"/>
        </w:rPr>
        <w:br/>
        <w:t>U skladu s točkom 1. članka R. 171.-17. Građevinskog i stambenog zakonika, izjava o okolišu mora sadržavati, za fazu proizvodnje, fazu postupka gradnje, fazu uporabe, fazu kraja životnog vijeka i zbroj ovih faza, vrijednosti sljedećih indikatora kojima se:</w:t>
      </w:r>
    </w:p>
    <w:p w14:paraId="1B8C0EF8" w14:textId="5A3D644E"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opisuje učinak na okoliš:</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globalno zatopljenje (emisije stakleničkih plinova)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oštećenje ozonskog omotača</w:t>
      </w:r>
      <w:r>
        <w:rPr>
          <w:rFonts w:ascii="Times New Roman" w:hAnsi="Times New Roman"/>
          <w:sz w:val="24"/>
        </w:rPr>
        <w:br/>
      </w:r>
      <w:r w:rsidR="000B158E">
        <w:rPr>
          <w:rFonts w:ascii="Times New Roman" w:hAnsi="Times New Roman"/>
          <w:sz w:val="24"/>
        </w:rPr>
        <w:t xml:space="preserve">- </w:t>
      </w:r>
      <w:proofErr w:type="spellStart"/>
      <w:r>
        <w:rPr>
          <w:rFonts w:ascii="Times New Roman" w:hAnsi="Times New Roman"/>
          <w:sz w:val="24"/>
        </w:rPr>
        <w:t>zakiseljavanje</w:t>
      </w:r>
      <w:proofErr w:type="spellEnd"/>
      <w:r>
        <w:rPr>
          <w:rFonts w:ascii="Times New Roman" w:hAnsi="Times New Roman"/>
          <w:sz w:val="24"/>
        </w:rPr>
        <w:t xml:space="preserve"> tla i vode</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eutrofikacija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stvaranje fotokemijskog ozona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potrošnja abiotičkih resursa – elementi</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iscrpljivanje abiotičkih resursa – fosilnih goriva.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opisuje upotreba resursa: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 xml:space="preserve">uporaba obnovljive primarne energije, osim obnovljivih izvora primarne energije koji </w:t>
      </w:r>
      <w:r>
        <w:rPr>
          <w:rFonts w:ascii="Times New Roman" w:hAnsi="Times New Roman"/>
          <w:sz w:val="24"/>
        </w:rPr>
        <w:lastRenderedPageBreak/>
        <w:t>se upotrebljavaju kao sirovine</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uporaba obnovljivih izvora primarne energije koji se upotrebljavaju kao sirovine</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ukupna uporaba obnovljivih izvora primarne energije (primarna energija i primarna energetska sredstva koja se upotrebljavaju kao sirovine)</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uporaba primarne energije iz neobnovljivih izvora, isključujući neobnovljive izvore primarne energije koji se upotrebljavaju kao sirovine</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uporaba neobnovljivih izvora primarne energije koji se upotrebljavaju kao sirovine</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ukupna uporaba neobnovljivih izvora primarne energije (primarne energije i primarnih izvora energije koji se upotrebljavaju kao sirovine)</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uporaba sekundarnih materijala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uporaba obnovljivih sekundarnih goriva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uporaba neobnovljivih sekundarnih goriva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neto uporaba slatke vode</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opisuju kategorije otpada: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zbrinuti opasni otpad</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zbrinuti neopasni otpad</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radioaktivni otpad koji se zbrinjava.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opisuju tokovi otpada: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komponente namijenjene ponovnoj uporabi</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materijali namijenjene recikliranju</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materijali namijenjene oporabi energije</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izvezena energija.</w:t>
      </w:r>
    </w:p>
    <w:p w14:paraId="67271031"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U skladu s točkom 4. članka R. 171.-17. Građevinskog i stambenog zakonika, u slučaju izjave o okolišu na koju utječu zahtjevi iz članka 8. ove Odluke, izjava o okolišu treba sadržavati raspone razlika (najviših i najmanjih vrijednosti) kontrolnih indikatora definiranih u članku 8. ove Odluke.</w:t>
      </w:r>
    </w:p>
    <w:p w14:paraId="60A5084F"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4.</w:t>
      </w:r>
    </w:p>
    <w:p w14:paraId="363C96B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Podnositelj registracije stavlja na raspolaganje inspekcijskim tijelima i pravnom subjektu zaduženima za provedbu programa izjave o okolišu, kako je definirano u članku R. 171.-21. Građevinskog i stambenog zakonika i u članku R. 171.-26. Građevinskog i stambenog zakonika, sve stavke ili podatke za kontakt fizičkih ili pravnih osoba koje imaju te stavke, a čime tako dokazuju informacije sadržane u izjavi o okolišu.</w:t>
      </w:r>
      <w:r>
        <w:rPr>
          <w:rFonts w:ascii="Times New Roman" w:hAnsi="Times New Roman"/>
          <w:sz w:val="24"/>
        </w:rPr>
        <w:br/>
        <w:t>Gore navedeni elementi su sljedeći:</w:t>
      </w:r>
    </w:p>
    <w:p w14:paraId="4D6FBAE8" w14:textId="1BE56DB2"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podrijetlo sirovina, materijala i komponenata proizvoda;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utvrđivanje ulaznih elemenata koji nisu uključeni u inventar životnog vijeka u skladu s pravilom rezanja;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ukupna masa ulaznih elemenata koji nisu uključeni u inventar životnog ciklusa zbog pravila rezanja;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rezultate izračuna inventara;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dokazi o referentnom životnom vijeku proizvoda;</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dokumentacija koja se odnosi na tehnološku, geografsku i vremensku zastupljenost upotrijebljenih generičkih podataka, upućivanja na baze podataka iz kojih potječu i upućivanja na korištene module podataka ako se upotrebljavaju generički podaci koji </w:t>
      </w:r>
      <w:r>
        <w:rPr>
          <w:rFonts w:ascii="Times New Roman" w:hAnsi="Times New Roman"/>
          <w:sz w:val="24"/>
        </w:rPr>
        <w:lastRenderedPageBreak/>
        <w:t>potječu iz javnih ili privatnih baza podataka,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scenarije na kojima se temelji inventar životnog ciklusa;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proizvodne lokacije obuhvaćene izjavom o okolišu;</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proizvodnju svake lokacije izraženu u jedinici količine koja je definirana u funkcionalnoj jedinici;</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dokaz da je korišteni uzorak reprezentativan primjer proizvodnje proizvoda, osobito sa zemljopisnog, vremenskog i tehnološkog stajališta ako se koristi metoda uzorkovanja,</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sastavne elemente okvira valjanosti za izjava o okolišu na koje se odnose zahtjevi iz članka 8. ove Odluke,</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sastavne elemente prilagodljive izjave o okolišu iz članka 10. ove Odluke.</w:t>
      </w:r>
    </w:p>
    <w:p w14:paraId="526245D9"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5.</w:t>
      </w:r>
    </w:p>
    <w:p w14:paraId="1F1E816E"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Formati funkcionalnih jedinica, kako su definirani u članku R. 171.-15. Građevinskog i stambenog zakonika, za svaku kategoriju građevinskih i dekorativnih proizvoda definirani su u Prilogu I. ovoj Odluci.</w:t>
      </w:r>
      <w:r>
        <w:rPr>
          <w:rFonts w:ascii="Times New Roman" w:hAnsi="Times New Roman"/>
          <w:sz w:val="24"/>
        </w:rPr>
        <w:br/>
        <w:t>Formati funkcionalnih jedinica ili prijavljenih jedinica, kako su definirani u članku R. 171.-15. Građevinskog i stambenog zakonika, za električnu i elektroničku opremu i opremu za ekološki inženjering definirani su u Prilogu II. ovoj Odluci.</w:t>
      </w:r>
    </w:p>
    <w:p w14:paraId="70582C8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6</w:t>
      </w:r>
    </w:p>
    <w:p w14:paraId="01B03F0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Smatra se da metode za procjenu, izračun informacija i određivanje indikatora iz točaka 1., 2., 3., 14. i 15. članka R. 171.-17. Građevinskog i stambenog zakonika te navedene u članku 3. ove Odluke zadovoljavaju zahtjeve ove Odluke ako su sukladne sa svim sljedećim uvjetima:</w:t>
      </w:r>
    </w:p>
    <w:p w14:paraId="616E0A2A" w14:textId="215F7373"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ne dovode do izostavljanja postupaka koji predstavljaju ukupno više od 5 % vrijednosti svake od navedenih informacija;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ne dovode do toga da se u izračunu navedenih informacija proizvodu koji je predmet izjave o okolišu dodijele koristi koje su dodijeljene drugim proizvodima, osim indikatora koji se odnose na koristi i troškove povezane s oporabom na kraju životnog vijeka;</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u skladu su s normom NF EN 15804 + A1: 2014-04 ili s normom XP C08-100-1: 2016-12 ili s normama XP C08-100-1: 2016-12 i normama EN 50693: 2019-08 ili s bilo kojom drugom jednakovrijednom normom,</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u skladu su s metodom izračuna procjene dobiti i troškova povezanih s oporabom na kraju životnog vijeka definiranom u Prilogu III. ovoj Odluci.</w:t>
      </w:r>
    </w:p>
    <w:p w14:paraId="5588D050"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Osim toga, za izjave o okolišu koje posjeduju potvrdu o sukladnosti nakon 1. listopada 2022., kada izjava o okolišu obuhvaća različite načine postavljanja proizvoda koji je predmet te izjave, metode procjene i izračuna navedenih informacija moraju biti u skladu sa sljedećim pravilima:</w:t>
      </w:r>
    </w:p>
    <w:p w14:paraId="7CAC82D9" w14:textId="4FB6E664"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za svaki od tih načina ugradnje procjenjuju se sljedeći kontrolni indikatori: klimatsko zagrijavanje, neobnovljiva potrošnja primarne energije koja se ne odnosi na neobnovljive </w:t>
      </w:r>
      <w:r>
        <w:rPr>
          <w:rFonts w:ascii="Times New Roman" w:hAnsi="Times New Roman"/>
          <w:sz w:val="24"/>
        </w:rPr>
        <w:lastRenderedPageBreak/>
        <w:t>izvore primarne energije koji se upotrebljavaju kao sirovine, zbrinuti neopasni otpad,</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za svaki od tih kontrolnih indikatora najveća vrijednost dobivena za zbroj faza iz članka 3. ove Odluke uspoređuje se s prosjekom dobivenih vrijednosti (tj. prosječni učinak različitih oblika postavljanja). Ako je najveća vrijednost za jedan od tih indikatora za 1,1 puta veća od srednje vrijednosti, tada za svaki od indikatora navedenih u izjavi o okolišu treba prijaviti najgoru vrijednost (to jest, najgore vrijednosti među različitim načinima postavljanja). U protivnom se za svaki indikator može navesti prosječna vrijednost.</w:t>
      </w:r>
    </w:p>
    <w:p w14:paraId="0124AD5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7.</w:t>
      </w:r>
    </w:p>
    <w:p w14:paraId="771B2C8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Adresa baze podataka (adrese baza podataka) iz članka R. 171.-20. Građevinskog i stambenog zakonika, gdje su dostupni podaci o okolišu usluga i standardni podaci o okolišu, kako je definirano u članku R.171.-16. Građevinskog i stambenog zakonika, kao i izjave o okolišu, dostupna je na internetskim stranicama ministarstva nadležnog za graditeljstvo.</w:t>
      </w:r>
    </w:p>
    <w:p w14:paraId="6888719D"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8.</w:t>
      </w:r>
    </w:p>
    <w:p w14:paraId="557B845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Izjava o okolišu može se temeljiti na skupnoj izjavi o okolišu sličnih proizvoda više podnositelja.</w:t>
      </w:r>
      <w:r>
        <w:rPr>
          <w:rFonts w:ascii="Times New Roman" w:hAnsi="Times New Roman"/>
          <w:sz w:val="24"/>
        </w:rPr>
        <w:br/>
        <w:t>1. Ova skupna izjava o okolišu ispunjava sljedeće uvjete:</w:t>
      </w:r>
    </w:p>
    <w:p w14:paraId="7E91553F" w14:textId="7CB1BFB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odnosi se na „vrstu proizvoda“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sastavlja se pod uvjetima iz prethodnih članaka</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potrebno je osigurati ujednačenost parametara koji znatno utječu na vrijednost svakog indikatora, u tu svrhu, skupna izjava o okolišu sadrži okvir valjanosti definiran u Prilogu IV. ovoj Odluci, u kojem su navedene sljedeće informacije:</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utvrđivanje utjecajnih parametara, uz navođenje jesu li ti parametri ispunjeni generičkim ili posebnim podacima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razdoblja valjanosti tih parametara.</w:t>
      </w:r>
    </w:p>
    <w:p w14:paraId="288048F3"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2. Podnositelj registracija koji je podnio skupnu izjavu o okolišu odgovoran je za informacije koje ona sadržava, uključujući popis predmetnih proizvoda i uvjete pod kojima se proizvodi mogu s njim povezati, ako je to potrebno;</w:t>
      </w:r>
      <w:r>
        <w:rPr>
          <w:rFonts w:ascii="Times New Roman" w:hAnsi="Times New Roman"/>
          <w:sz w:val="24"/>
        </w:rPr>
        <w:br/>
        <w:t>3. Podnositelji registracije proizvoda obuhvaćenih ovom skupnom izjavom o okolišu moraju ispunjavati sljedeće uvjete:</w:t>
      </w:r>
    </w:p>
    <w:p w14:paraId="5C7B5DE1" w14:textId="458340A8"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odgovorni su za informacije koje šalju prethodno navedenom podnositelju registracije</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poštuju okvir valjanosti skupne izjave o okolišu</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dostavljaju potvrdu u kojoj se navodi sukladnost s okvirom valjanosti skupne izjave o okolišu</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nadzornim tijelima i pravnom subjektu zaduženima za provedbu programa izjave o okolišu stavljaju na raspolaganje dokaze o sukladnosti s okvirom valjanosti.</w:t>
      </w:r>
    </w:p>
    <w:p w14:paraId="03CD6525"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4. Ukupna izjava o okolišu sukladna je sa zahtjevima za provjeru nezavisne provjere trećih strana, kako je definirano u članku R. 171.-18. Građevinskog i stambenog zakonika i navedeno u članku R. 171.-29. Građevinskog i stambenog zakonika.</w:t>
      </w:r>
      <w:r>
        <w:rPr>
          <w:rFonts w:ascii="Times New Roman" w:hAnsi="Times New Roman"/>
          <w:sz w:val="24"/>
        </w:rPr>
        <w:br/>
        <w:t>5. Kontrolni indikatori koje treba uzeti u obzir moraju biti najmanje sljedeći: klimatsko zagrijavanje, uporaba neobnovljive primarne energije osim neobnovljivih izvora primarne energije koji se upotrebljavaju kao sirovine, zbrinuti neopasni otpad;</w:t>
      </w:r>
      <w:r>
        <w:rPr>
          <w:rFonts w:ascii="Times New Roman" w:hAnsi="Times New Roman"/>
          <w:sz w:val="24"/>
        </w:rPr>
        <w:br/>
        <w:t>6. Skupne izjave o okolišu moraju ispunjavati sljedeće zahtjeve:</w:t>
      </w:r>
      <w:r>
        <w:rPr>
          <w:rFonts w:ascii="Times New Roman" w:hAnsi="Times New Roman"/>
          <w:sz w:val="24"/>
        </w:rPr>
        <w:br/>
        <w:t>ako je najveća vrijednost svakog kontrolnog indikatora, dobivena za zbroj faza navedenih u članku 3. ove Odluke i izračunom promjenjivosti iz Priloga IV. ovoj Odluci, manja od ili jednaka prosječnoj vrijednosti indikatora pomnoženog s graničnom vrijednošću, tada se vrijednosti indikatora mogu izračunati uz srednje vrijednosti osjetljivih parametara. U suprotnom se mora navesti najnepovoljniji prag (najveća vrijednost koju indikator može postići ako odražava trošak i najmanja vrijednost ako odražava korist).</w:t>
      </w:r>
      <w:r>
        <w:rPr>
          <w:rFonts w:ascii="Times New Roman" w:hAnsi="Times New Roman"/>
          <w:sz w:val="24"/>
        </w:rPr>
        <w:br/>
        <w:t>Za skupne izjave o okolišu s potvrdom o sukladnosti prije 1. listopada 2022. navedena granična vrijednost je „1,4”, a izračun navedene promjenjivosti obuhvaća barem osjetljive parametre koji se odnose na:</w:t>
      </w:r>
    </w:p>
    <w:p w14:paraId="79ADFF33" w14:textId="48265538"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sastav proizvoda: masa i vrsta materijala,</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mase pakiranja,</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proizvodne procese osim ekstrakcije i prerade sirovina (faze A2 i A3).</w:t>
      </w:r>
    </w:p>
    <w:p w14:paraId="232441AA"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Za skupne izjave o okolišu s potvrdom o sukladnosti nakon 1. listopada 2022. navedena granična vrijednost je „1,35”, a izračun navedene promjenjivosti obuhvaća barem osjetljive parametre koji se odnose na:</w:t>
      </w:r>
    </w:p>
    <w:p w14:paraId="40F7CD3B" w14:textId="2BF11ED1"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sastav proizvoda: masa i vrsta materijala,</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mase pakiranja,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proizvodne procese osim ekstrakcije i prerade sirovina (faze A2 i A3)</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prijevoz do lokacije (faza A4).</w:t>
      </w:r>
    </w:p>
    <w:p w14:paraId="7D892C4B"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9.</w:t>
      </w:r>
    </w:p>
    <w:p w14:paraId="12752D9D"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Izjava o okolišu može se temeljiti na sličnim proizvodima istog podnositelja registracije. Te izjave o okolišu moraju ispunjavati zahtjeve za skupne izjave o okolišu definirane u članku 8. ove Odluke.</w:t>
      </w:r>
    </w:p>
    <w:p w14:paraId="346396F5"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10.</w:t>
      </w:r>
    </w:p>
    <w:p w14:paraId="6BA3144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Izjava o okolišu može se temeljiti na prilagodljivoj izjavi.</w:t>
      </w:r>
      <w:r>
        <w:rPr>
          <w:rFonts w:ascii="Times New Roman" w:hAnsi="Times New Roman"/>
          <w:sz w:val="24"/>
        </w:rPr>
        <w:br/>
        <w:t>Ova prilagodljiva izjava ispunjava sljedeće uvjete:</w:t>
      </w:r>
    </w:p>
    <w:p w14:paraId="6A4F1CB3" w14:textId="19A72A2E"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odnosi se na „vrstu proizvoda“</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sastavlja se pod uvjetima iz prethodnih članaka</w:t>
      </w:r>
      <w:r>
        <w:rPr>
          <w:rFonts w:ascii="Times New Roman" w:hAnsi="Times New Roman"/>
          <w:sz w:val="24"/>
        </w:rPr>
        <w:br/>
      </w:r>
      <w:r w:rsidR="000B158E">
        <w:rPr>
          <w:rFonts w:ascii="Times New Roman" w:hAnsi="Times New Roman"/>
          <w:sz w:val="24"/>
        </w:rPr>
        <w:lastRenderedPageBreak/>
        <w:t xml:space="preserve">- </w:t>
      </w:r>
      <w:r>
        <w:rPr>
          <w:rFonts w:ascii="Times New Roman" w:hAnsi="Times New Roman"/>
          <w:sz w:val="24"/>
        </w:rPr>
        <w:t>sadrži niz pravila izračuna koja omogućuju da se na temelju promjenjivih parametara prilagode informacije navedene u njoj kako bi odgovarale sličnom proizvodu ili vrsti proizvoda, ali čije se dimenzije, sastav ili određeni procesi u životnom ciklusu razlikuju</w:t>
      </w:r>
      <w:r>
        <w:rPr>
          <w:rFonts w:ascii="Times New Roman" w:hAnsi="Times New Roman"/>
          <w:sz w:val="24"/>
        </w:rPr>
        <w:br/>
        <w:t>vrijednost prethodno navedenih promjenjivih parametara mora se moći provjeriti po isporuci zgrade</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sadržava okvir sukladnosti kojim se definiraju vrijednosti koje mogu poprimiti prethodno navedeni promjenjivi parametri i značajke koje mora imati prethodno navedeni sličan proizvod.</w:t>
      </w:r>
    </w:p>
    <w:p w14:paraId="780CDE8F"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Svakoj prilagodljivoj izjavi s potvrdom o sukladnosti nakon 1. listopada 2022. prilaže se računalni alat za izračun za primjenu navedenih pravila izračuna i za izvoz podataka koji se zahtijevaju u članku R. 171.-17. Građevinskog i stambenog zakonika i u članku 3. ove Odluke, kao i popis prethodno navedenih promjenjivih parametara i njihovih povezanih vrijednosti. Sve te informacije izvoze se u obliku računalne datoteke koja je u skladu formatom utvrđenim na internetskoj stranici ministarstva nadležnog za graditeljstvo.</w:t>
      </w:r>
      <w:r>
        <w:rPr>
          <w:rFonts w:ascii="Times New Roman" w:hAnsi="Times New Roman"/>
          <w:sz w:val="24"/>
        </w:rPr>
        <w:br/>
        <w:t>Neovisna potvrda trećih strana definirana u članku R. 171.-18. Građevinskog i stambenog zakonika i navedena u članku R. 171.-29. Građevinskog i stambenog zakonika, također, u slučaju prilagodljive izjave, obuhvaća pravila izračuna navedena u ovom članku i računalni alat za izračun iz prethodnog stavka.</w:t>
      </w:r>
    </w:p>
    <w:p w14:paraId="20C3047E"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11.</w:t>
      </w:r>
    </w:p>
    <w:p w14:paraId="74902904"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Smatra se da je certifikacija okolišnih značajki iz članka R. 171.-27. Građevinskog i stambenog zakonika sukladna ako uzima u obzir sve zahtjeve norme NF EN ISO 14024: 2018-03. Tu certifikaciju građevinskih ili dekorativnih proizvoda ili opreme provodi organizacija koju u tu svrhu akreditira Francuski akreditacijski odbor (COFRAC) ili neko drugo akreditacijsko tijelo koje je potpisnik multilateralnih sporazuma o uzajamnom priznavanju.</w:t>
      </w:r>
      <w:r>
        <w:rPr>
          <w:rFonts w:ascii="Times New Roman" w:hAnsi="Times New Roman"/>
          <w:sz w:val="24"/>
        </w:rPr>
        <w:br/>
        <w:t>Ovaj se članak ne primjenjuje na izjave o okolišu korištene za izračun ekološke učinkovitosti zgrada.</w:t>
      </w:r>
    </w:p>
    <w:p w14:paraId="59827716"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12.</w:t>
      </w:r>
    </w:p>
    <w:p w14:paraId="7D1F71E9"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Odluka od 23. prosinca 2013. o izjavi o okolišu za građevinske i dekorativne proizvode za uporabu u zgradama stavlja se izvan snage.</w:t>
      </w:r>
      <w:r>
        <w:rPr>
          <w:rFonts w:ascii="Times New Roman" w:hAnsi="Times New Roman"/>
          <w:sz w:val="24"/>
        </w:rPr>
        <w:br/>
        <w:t>Odluka od 31. kolovoza 2015. o izjavi o okolišu za električnu i elektroničku opremi i opremu za ekološki inženjering za uporabu u zgradama stavlja se izvan snage.</w:t>
      </w:r>
    </w:p>
    <w:p w14:paraId="3A61FF91"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Članak 13.</w:t>
      </w:r>
    </w:p>
    <w:p w14:paraId="5C962455" w14:textId="3D09E9FF" w:rsidR="00B77F10" w:rsidRDefault="00B77F10" w:rsidP="00B77F10">
      <w:pPr>
        <w:spacing w:before="100" w:beforeAutospacing="1" w:after="100" w:afterAutospacing="1" w:line="240" w:lineRule="auto"/>
        <w:ind w:left="450"/>
        <w:rPr>
          <w:rFonts w:ascii="Times New Roman" w:hAnsi="Times New Roman"/>
          <w:sz w:val="24"/>
        </w:rPr>
      </w:pPr>
      <w:r>
        <w:rPr>
          <w:rFonts w:ascii="Times New Roman" w:hAnsi="Times New Roman"/>
          <w:sz w:val="24"/>
        </w:rPr>
        <w:br/>
        <w:t>Odredbe ove Odluke stupaju na snagu 1. siječnja 2022.</w:t>
      </w:r>
    </w:p>
    <w:p w14:paraId="4062B9D2" w14:textId="267F937E" w:rsidR="000B158E" w:rsidRDefault="000B158E" w:rsidP="00B77F10">
      <w:pPr>
        <w:spacing w:before="100" w:beforeAutospacing="1" w:after="100" w:afterAutospacing="1" w:line="240" w:lineRule="auto"/>
        <w:ind w:left="450"/>
        <w:rPr>
          <w:rFonts w:ascii="Times New Roman" w:hAnsi="Times New Roman"/>
          <w:sz w:val="24"/>
        </w:rPr>
      </w:pPr>
    </w:p>
    <w:p w14:paraId="074A1953" w14:textId="77777777" w:rsidR="000B158E" w:rsidRPr="00B77F10" w:rsidRDefault="000B158E" w:rsidP="00B77F10">
      <w:pPr>
        <w:spacing w:before="100" w:beforeAutospacing="1" w:after="100" w:afterAutospacing="1" w:line="240" w:lineRule="auto"/>
        <w:ind w:left="450"/>
        <w:rPr>
          <w:rFonts w:ascii="Times New Roman" w:eastAsia="Times New Roman" w:hAnsi="Times New Roman" w:cs="Times New Roman"/>
          <w:sz w:val="24"/>
          <w:szCs w:val="24"/>
        </w:rPr>
      </w:pPr>
    </w:p>
    <w:p w14:paraId="06FCB5BC" w14:textId="77777777" w:rsidR="00B77F10" w:rsidRPr="00B77F10" w:rsidRDefault="00B77F10" w:rsidP="00B77F10">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lastRenderedPageBreak/>
        <w:t>Članak 14.</w:t>
      </w:r>
    </w:p>
    <w:p w14:paraId="27D4B382" w14:textId="77777777" w:rsidR="00B77F10" w:rsidRPr="00B77F10" w:rsidRDefault="00B77F10" w:rsidP="00B77F10">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Ravnatelj Uprave za stanovanje, prostorno uređenje i planiranje odgovoran je za provedbu ove odluke, koja se objavljuje u  Službenom listu  Francuske Republike.</w:t>
      </w:r>
    </w:p>
    <w:p w14:paraId="25F73D46"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Prilog</w:t>
      </w:r>
    </w:p>
    <w:p w14:paraId="18F65F01"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Članak</w:t>
      </w:r>
    </w:p>
    <w:p w14:paraId="3EA7622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PRILOZI</w:t>
      </w:r>
      <w:r>
        <w:rPr>
          <w:rFonts w:ascii="Times New Roman" w:hAnsi="Times New Roman"/>
          <w:sz w:val="24"/>
        </w:rPr>
        <w:br/>
        <w:t>PRILOG I.</w:t>
      </w:r>
      <w:r>
        <w:rPr>
          <w:rFonts w:ascii="Times New Roman" w:hAnsi="Times New Roman"/>
          <w:sz w:val="24"/>
        </w:rPr>
        <w:br/>
        <w:t>FORMATI FUNKCIONALNIH JEDINICA ZA SVAKU KATEGORIJU GRAĐEVINSKIH ILI DEKORATIVNIH PROIZVODA</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
        <w:gridCol w:w="1778"/>
        <w:gridCol w:w="3199"/>
        <w:gridCol w:w="3536"/>
        <w:gridCol w:w="111"/>
      </w:tblGrid>
      <w:tr w:rsidR="00B77F10" w:rsidRPr="00B77F10" w14:paraId="0BF95A69" w14:textId="77777777" w:rsidTr="00B77F10">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66D8C99"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Br.</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8AEC"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3594232"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4D566D" w14:textId="77777777" w:rsidR="00B77F10" w:rsidRPr="00B77F10" w:rsidRDefault="00B77F10" w:rsidP="00D64750">
            <w:pPr>
              <w:keepNext/>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FORMAT FUNKCIONALNE JEDINICE</w:t>
            </w:r>
            <w:r>
              <w:rPr>
                <w:rFonts w:ascii="Times New Roman" w:hAnsi="Times New Roman"/>
                <w:b/>
                <w:sz w:val="24"/>
              </w:rPr>
              <w:br/>
              <w:t>izražen u jedinicama</w:t>
            </w:r>
            <w:r>
              <w:rPr>
                <w:rFonts w:ascii="Times New Roman" w:hAnsi="Times New Roman"/>
                <w:b/>
                <w:sz w:val="24"/>
              </w:rPr>
              <w:br/>
              <w:t>međunarodnog sustava</w:t>
            </w:r>
          </w:p>
        </w:tc>
      </w:tr>
      <w:tr w:rsidR="00B77F10" w:rsidRPr="00B77F10" w14:paraId="0A948D5A"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80E1434"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19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Ceste, razne mreže (uključujući unutarnje mreže)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44B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Spremnici i posude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E74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Jedinica zadanog volumena</w:t>
            </w:r>
          </w:p>
        </w:tc>
      </w:tr>
      <w:tr w:rsidR="00B77F10" w:rsidRPr="00B77F10" w14:paraId="67B65C0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FF612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FC8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695A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Kanalizacijske i sanitarne mreže (kišnica i otpadne vode)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EB60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prosječni m</w:t>
            </w:r>
          </w:p>
        </w:tc>
      </w:tr>
      <w:tr w:rsidR="00B77F10" w:rsidRPr="00B77F10" w14:paraId="26FE417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9F5744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7990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B58C6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Mreže za opskrbu vodom (unutarnje i vanjske)</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8032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prosječni m</w:t>
            </w:r>
          </w:p>
        </w:tc>
      </w:tr>
      <w:tr w:rsidR="00B77F10" w:rsidRPr="00B77F10" w14:paraId="3D121D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23537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4F9A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297EB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Mreže za opskrbu plinom</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17C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prosječni m</w:t>
            </w:r>
          </w:p>
        </w:tc>
      </w:tr>
      <w:tr w:rsidR="00B77F10" w:rsidRPr="00B77F10" w14:paraId="5735E41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05A8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0FF36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5F867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Sustav odvodnje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D8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prosječni m</w:t>
            </w:r>
          </w:p>
        </w:tc>
      </w:tr>
      <w:tr w:rsidR="00B77F10" w:rsidRPr="00B77F10" w14:paraId="3733C5A4"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7CB9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D6C7E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BEF8F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Ceste i vanjske površine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625A6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površinskog sloja za određenu uporabu (vanjska terase, ceste s niskom gustoćom prometa, parkiralište itd.)</w:t>
            </w:r>
          </w:p>
        </w:tc>
      </w:tr>
      <w:tr w:rsidR="00B77F10" w:rsidRPr="00B77F10" w14:paraId="4FDEF36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31E7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84C86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E79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Ograde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B4D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ograde</w:t>
            </w:r>
          </w:p>
        </w:tc>
      </w:tr>
      <w:tr w:rsidR="00B77F10" w:rsidRPr="00B77F10" w14:paraId="5AFE147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2C92E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A11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3104D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Kanali i obloge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93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w:t>
            </w:r>
          </w:p>
        </w:tc>
      </w:tr>
      <w:tr w:rsidR="00B77F10" w:rsidRPr="00B77F10" w14:paraId="11EAE9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651F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3041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41052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E98D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072B3ACF"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E471E"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ACB50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Struktura, zidarski dijelovi, grubi radovi, konstrukcija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EF0D4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Blokovi dimnjaka i dimovodne cijevi dimnjaka</w:t>
            </w:r>
          </w:p>
        </w:tc>
        <w:tc>
          <w:tcPr>
            <w:tcW w:w="0" w:type="auto"/>
            <w:tcBorders>
              <w:top w:val="outset" w:sz="6" w:space="0" w:color="auto"/>
              <w:left w:val="outset" w:sz="6" w:space="0" w:color="auto"/>
              <w:bottom w:val="outset" w:sz="6" w:space="0" w:color="auto"/>
              <w:right w:val="outset" w:sz="6" w:space="0" w:color="auto"/>
            </w:tcBorders>
            <w:vAlign w:val="center"/>
            <w:hideMark/>
          </w:tcPr>
          <w:p w14:paraId="11DDDB1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zadanog unutarnjeg presjeka cijevi</w:t>
            </w:r>
          </w:p>
        </w:tc>
      </w:tr>
      <w:tr w:rsidR="00B77F10" w:rsidRPr="00B77F10" w14:paraId="04B316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7BB9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945D9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85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Podovi/podovi s cementni košuljicama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73DB5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za zadanu debljinu</w:t>
            </w:r>
          </w:p>
        </w:tc>
      </w:tr>
      <w:tr w:rsidR="00B77F10" w:rsidRPr="00B77F10" w14:paraId="5028FA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82D5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4040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E908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Konstrukcije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EDB1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pokrivene površine ili m</w:t>
            </w:r>
            <w:r>
              <w:rPr>
                <w:rFonts w:ascii="Times New Roman" w:hAnsi="Times New Roman"/>
                <w:sz w:val="24"/>
                <w:vertAlign w:val="superscript"/>
              </w:rPr>
              <w:t>3</w:t>
            </w:r>
            <w:r>
              <w:rPr>
                <w:rFonts w:ascii="Times New Roman" w:hAnsi="Times New Roman"/>
                <w:sz w:val="24"/>
              </w:rPr>
              <w:t xml:space="preserve"> ili kg</w:t>
            </w:r>
          </w:p>
        </w:tc>
      </w:tr>
      <w:tr w:rsidR="00B77F10" w:rsidRPr="00B77F10" w14:paraId="032233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2EEE3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5ED4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1C9E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Poprečne grede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EDE9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poprečne grede ili kg</w:t>
            </w:r>
          </w:p>
        </w:tc>
      </w:tr>
      <w:tr w:rsidR="00B77F10" w:rsidRPr="00B77F10" w14:paraId="3664BC5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20C613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6F3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6DD8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Ploče i </w:t>
            </w:r>
            <w:proofErr w:type="spellStart"/>
            <w:r>
              <w:rPr>
                <w:rFonts w:ascii="Times New Roman" w:hAnsi="Times New Roman"/>
                <w:sz w:val="24"/>
              </w:rPr>
              <w:t>predgotovljene</w:t>
            </w:r>
            <w:proofErr w:type="spellEnd"/>
            <w:r>
              <w:rPr>
                <w:rFonts w:ascii="Times New Roman" w:hAnsi="Times New Roman"/>
                <w:sz w:val="24"/>
              </w:rPr>
              <w:t xml:space="preserve"> ploče</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A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w:t>
            </w:r>
          </w:p>
        </w:tc>
      </w:tr>
      <w:tr w:rsidR="00B77F10" w:rsidRPr="00B77F10" w14:paraId="008CE7E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B082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94041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D33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Vodoravni nosivi elementi (grede, gredice, ploče sa šupljinama, zidovi od grubog kamena, </w:t>
            </w:r>
            <w:proofErr w:type="spellStart"/>
            <w:r>
              <w:rPr>
                <w:rFonts w:ascii="Times New Roman" w:hAnsi="Times New Roman"/>
                <w:sz w:val="24"/>
              </w:rPr>
              <w:t>nadvojne</w:t>
            </w:r>
            <w:proofErr w:type="spellEnd"/>
            <w:r>
              <w:rPr>
                <w:rFonts w:ascii="Times New Roman" w:hAnsi="Times New Roman"/>
                <w:sz w:val="24"/>
              </w:rPr>
              <w:t xml:space="preserve"> grede)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143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nosivog elementa (navesti doseg i presjek) ili m² (za površinski sloj) ili kg</w:t>
            </w:r>
          </w:p>
        </w:tc>
      </w:tr>
      <w:tr w:rsidR="00B77F10" w:rsidRPr="00B77F10" w14:paraId="1318678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A96EF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13091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4FC8D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Vertikalni nosivi elementi (piloni/stupovi/stubovi)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896A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elementa (navesti dio) ili kg</w:t>
            </w:r>
          </w:p>
        </w:tc>
      </w:tr>
      <w:tr w:rsidR="00B77F10" w:rsidRPr="00B77F10" w14:paraId="1E9E482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47636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C5DD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683C7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Stubišta (unutarnja i vanjska)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4B9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Jedna jedinica za zadanu visinu povišenja</w:t>
            </w:r>
          </w:p>
        </w:tc>
      </w:tr>
      <w:tr w:rsidR="00B77F10" w:rsidRPr="00B77F10" w14:paraId="3E992CE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41F5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731AD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99B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Temelji</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F83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m³</w:t>
            </w:r>
          </w:p>
        </w:tc>
      </w:tr>
      <w:tr w:rsidR="00B77F10" w:rsidRPr="00B77F10" w14:paraId="6E17D5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C203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4C9B5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0761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Sitni zidarski elementi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FBC4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(navesti toplinsku otpornost)</w:t>
            </w:r>
          </w:p>
        </w:tc>
      </w:tr>
      <w:tr w:rsidR="00B77F10" w:rsidRPr="00B77F10" w14:paraId="52CCC48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6C2EE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510A0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FB40E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Podovi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6CA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podne obloge (navesti nosivost)</w:t>
            </w:r>
          </w:p>
        </w:tc>
      </w:tr>
      <w:tr w:rsidR="00B77F10" w:rsidRPr="00B77F10" w14:paraId="0064510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9C18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752A8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EDE6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Zidovi (arhitektonski elementi)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8B63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(navesti debljinu)</w:t>
            </w:r>
          </w:p>
        </w:tc>
      </w:tr>
      <w:tr w:rsidR="00B77F10" w:rsidRPr="00B77F10" w14:paraId="2C5DED1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862D9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F2FA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24EED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AA2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B7C955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5DBF1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7965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Pročelja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D47E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Vanjske zidne obloge (obloge, ukrasi)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D38E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pročelja</w:t>
            </w:r>
          </w:p>
        </w:tc>
      </w:tr>
      <w:tr w:rsidR="00B77F10" w:rsidRPr="00B77F10" w14:paraId="48C2E89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78FC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69437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4E7C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Pregradni zidovi i svjetlarnici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5000C64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pročelja (navesti postotak neprozirne površine)</w:t>
            </w:r>
          </w:p>
        </w:tc>
      </w:tr>
      <w:tr w:rsidR="00B77F10" w:rsidRPr="00B77F10" w14:paraId="64C6769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86179B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7364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3AF32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Vanjske obloge pročelja (uključujući kompozitne sustave za vanjsku toplinsku izolaciju)</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DF39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pročelja fasade (ako je primjenjivo, navedite toplinsku otpornost)</w:t>
            </w:r>
          </w:p>
        </w:tc>
      </w:tr>
      <w:tr w:rsidR="00B77F10" w:rsidRPr="00B77F10" w14:paraId="18561E8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C15C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16953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6628E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3C174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CBA52B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DE77DD"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92A1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Obloge, nepropusnost</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F53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Veliki pokrovni elementi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604443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pokrova</w:t>
            </w:r>
          </w:p>
        </w:tc>
      </w:tr>
      <w:tr w:rsidR="00B77F10" w:rsidRPr="00B77F10" w14:paraId="2440C65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303202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F629F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B433A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Mali pokrovni elementi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32F9A5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pokrova</w:t>
            </w:r>
          </w:p>
        </w:tc>
      </w:tr>
      <w:tr w:rsidR="00B77F10" w:rsidRPr="00B77F10" w14:paraId="6EEC7C7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04A23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FBF7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F12DD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Vodonepropusni proizvodi za ukopane zidove</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97E3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pokrova</w:t>
            </w:r>
          </w:p>
        </w:tc>
      </w:tr>
      <w:tr w:rsidR="00B77F10" w:rsidRPr="00B77F10" w14:paraId="16075DB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6EE12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C16B5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0BDD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Proizvodi za nepropusnost krovova</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F5AB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pokrova</w:t>
            </w:r>
          </w:p>
        </w:tc>
      </w:tr>
      <w:tr w:rsidR="00B77F10" w:rsidRPr="00B77F10" w14:paraId="46BFE4E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41E4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29BAD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0D2E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Biljni pokrovni elementi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7756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pokrova (navesti vrstu prihvatljive vegetacije te, prema potrebi, toplinska svojstva)</w:t>
            </w:r>
          </w:p>
        </w:tc>
      </w:tr>
      <w:tr w:rsidR="00B77F10" w:rsidRPr="00B77F10" w14:paraId="1E83B6E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ABE699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655C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75471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347BF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7F47EF12"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B7F8C"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2905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Unutarnja i vanjska stolarija, sustavi za zatvaranje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BE882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Prozori, francuski prozori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127A778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stolarije (otvorena površina prije ugradnje) (navesti U-vrijednost, solarni faktor, faktor propusnosti zraka, vode, vjetra i prijenos svjetlosti)</w:t>
            </w:r>
          </w:p>
        </w:tc>
      </w:tr>
      <w:tr w:rsidR="00B77F10" w:rsidRPr="00B77F10" w14:paraId="1E12D68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AB89D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D4B4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2654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Zaštitne ograde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F57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zaštitne ograde</w:t>
            </w:r>
          </w:p>
        </w:tc>
      </w:tr>
      <w:tr w:rsidR="00B77F10" w:rsidRPr="00B77F10" w14:paraId="0AE70C1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BC5C7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5461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CF6F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Vrata (unutarnja, vanjska, ulazna, itd.)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AE4E9B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(otvorena površina prije ugradnje)</w:t>
            </w:r>
          </w:p>
        </w:tc>
      </w:tr>
      <w:tr w:rsidR="00B77F10" w:rsidRPr="00B77F10" w14:paraId="64403E0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C6A1F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F9C7A"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2CCCF" w14:textId="77777777" w:rsidR="00B77F10" w:rsidRPr="0065767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Kapci, rolete, žaluzine, zaštite od sunca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580E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neprozirne/zaštićene površine</w:t>
            </w:r>
          </w:p>
        </w:tc>
      </w:tr>
      <w:tr w:rsidR="00B77F10" w:rsidRPr="00B77F10" w14:paraId="480F953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98A6C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41F88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E838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Svjetlarnici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1F7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stolarije (otvorena površina prije ugradnje) (navesti U-vrijednost, solarni faktor, faktor propusnosti zraka, vode, vjetra i prijenos svjetlosti)</w:t>
            </w:r>
          </w:p>
        </w:tc>
      </w:tr>
      <w:tr w:rsidR="00B77F10" w:rsidRPr="00B77F10" w14:paraId="75D8E9D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CBBB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1A600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E2D2B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BB9F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7DC0911"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903CD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AECA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4C53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Krovne kutije, krovne ploče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F8C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toplinsku otpornost)</w:t>
            </w:r>
          </w:p>
        </w:tc>
      </w:tr>
      <w:tr w:rsidR="00B77F10" w:rsidRPr="00B77F10" w14:paraId="42662DA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54C3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E05FB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C4734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Sustavi obloge</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8350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toplinsku otpornost)</w:t>
            </w:r>
          </w:p>
        </w:tc>
      </w:tr>
      <w:tr w:rsidR="00B77F10" w:rsidRPr="00B77F10" w14:paraId="22FE4B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F1FB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432D3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2B5CB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Dodatna izolacija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FE2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toplinsku otpornost)</w:t>
            </w:r>
          </w:p>
        </w:tc>
      </w:tr>
      <w:tr w:rsidR="00B77F10" w:rsidRPr="00B77F10" w14:paraId="13FEA69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A5BE0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7745B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BB5CE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Ploče sa šupljinama, izolacijske ploče</w:t>
            </w:r>
          </w:p>
        </w:tc>
        <w:tc>
          <w:tcPr>
            <w:tcW w:w="0" w:type="auto"/>
            <w:tcBorders>
              <w:top w:val="outset" w:sz="6" w:space="0" w:color="auto"/>
              <w:left w:val="outset" w:sz="6" w:space="0" w:color="auto"/>
              <w:bottom w:val="outset" w:sz="6" w:space="0" w:color="auto"/>
              <w:right w:val="outset" w:sz="6" w:space="0" w:color="auto"/>
            </w:tcBorders>
            <w:vAlign w:val="center"/>
            <w:hideMark/>
          </w:tcPr>
          <w:p w14:paraId="09E792F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toplinsku otpornost)</w:t>
            </w:r>
          </w:p>
        </w:tc>
      </w:tr>
      <w:tr w:rsidR="00B77F10" w:rsidRPr="00B77F10" w14:paraId="2EEEBFB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48B4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3083C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3D664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Toplinski i akustični zidni izolatori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A8A7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toplinsku otpornost ili zvučnu učinkovitost)</w:t>
            </w:r>
          </w:p>
        </w:tc>
      </w:tr>
      <w:tr w:rsidR="00B77F10" w:rsidRPr="00B77F10" w14:paraId="418C186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3C8F3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F075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DAB1E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Toplinski i akustični izolatori za tavane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80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toplinsku otpornost)</w:t>
            </w:r>
          </w:p>
        </w:tc>
      </w:tr>
      <w:tr w:rsidR="00B77F10" w:rsidRPr="00B77F10" w14:paraId="3D532F4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8FFAA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EF7E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CA78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Toplinska i zvučna izolacija, u rasutom stanju</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DBB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toplinsku otpornost)</w:t>
            </w:r>
          </w:p>
        </w:tc>
      </w:tr>
      <w:tr w:rsidR="00B77F10" w:rsidRPr="00B77F10" w14:paraId="28A6939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88C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30EA5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9A165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Izolatori zvučne i zvučne izolatore za krovne terase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7FD8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toplinsku otpornost)</w:t>
            </w:r>
          </w:p>
        </w:tc>
      </w:tr>
      <w:tr w:rsidR="00B77F10" w:rsidRPr="00B77F10" w14:paraId="6BD4FDA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78D6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C80EB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EA200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Toplinska i zvučna izolacija ispod poda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DBB5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toplinsku otpornost ili zvučnu učinkovitost)</w:t>
            </w:r>
          </w:p>
        </w:tc>
      </w:tr>
      <w:tr w:rsidR="00B77F10" w:rsidRPr="00B77F10" w14:paraId="7B82694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5146AD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531B7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514C8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Nenosiva</w:t>
            </w:r>
            <w:proofErr w:type="spellEnd"/>
            <w:r>
              <w:rPr>
                <w:rFonts w:ascii="Times New Roman" w:hAnsi="Times New Roman"/>
                <w:sz w:val="24"/>
              </w:rPr>
              <w:t xml:space="preserve"> izolacijska izolacija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F23F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toplinsku otpornost)</w:t>
            </w:r>
          </w:p>
        </w:tc>
      </w:tr>
      <w:tr w:rsidR="00B77F10" w:rsidRPr="00B77F10" w14:paraId="1B59E4E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0DAB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9629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97026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Toplinski i zvučni izolatori za zidove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33BC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toplinsku otpornost)</w:t>
            </w:r>
          </w:p>
        </w:tc>
      </w:tr>
      <w:tr w:rsidR="00B77F10" w:rsidRPr="00B77F10" w14:paraId="4DA0DE8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2AFBC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E8E0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B055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Izolatori zvuka za pregrade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37B82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zvučnu učinkovitost)</w:t>
            </w:r>
          </w:p>
        </w:tc>
      </w:tr>
      <w:tr w:rsidR="00B77F10" w:rsidRPr="00B77F10" w14:paraId="7247FF5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85AE8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84F71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08E25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Toplinska i zvučna izolacija ispod ploča</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0C08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toplinsku otpornost ili zvučnu učinkovitost)</w:t>
            </w:r>
          </w:p>
        </w:tc>
      </w:tr>
      <w:tr w:rsidR="00B77F10" w:rsidRPr="00B77F10" w14:paraId="33384AC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1AD0A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C40E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7CAB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Izolacija ispod podnih obloga i temelja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CC49C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izolacije (navesti toplinsku otpornost)</w:t>
            </w:r>
          </w:p>
        </w:tc>
      </w:tr>
      <w:tr w:rsidR="00B77F10" w:rsidRPr="00B77F10" w14:paraId="6C35D6F0"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99F0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B159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376B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227D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E76CC16"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83B8E9"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59A91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Pregrade, viseći stropovi</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7FCF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Pregrade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173D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pregrade (navesti akustičku učinkovitost ako je bitno)</w:t>
            </w:r>
          </w:p>
        </w:tc>
      </w:tr>
      <w:tr w:rsidR="00B77F10" w:rsidRPr="00B77F10" w14:paraId="4DD3AC6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049E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A0CC2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C50A2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Viseći stropovi, lažni stropovi</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42CB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visećeg krova (navedite akustičku učinkovitost)</w:t>
            </w:r>
          </w:p>
        </w:tc>
      </w:tr>
      <w:tr w:rsidR="00B77F10" w:rsidRPr="00B77F10" w14:paraId="573E49D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8938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4539C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C6853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BF2A8B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28540F80"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A4B313"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8</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76A92F"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Podne i zidne obloge, boje, dekorativni proizvodi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53C4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Boje, </w:t>
            </w:r>
            <w:proofErr w:type="spellStart"/>
            <w:r>
              <w:rPr>
                <w:rFonts w:ascii="Times New Roman" w:hAnsi="Times New Roman"/>
                <w:sz w:val="24"/>
              </w:rPr>
              <w:t>lazure</w:t>
            </w:r>
            <w:proofErr w:type="spellEnd"/>
            <w:r>
              <w:rPr>
                <w:rFonts w:ascii="Times New Roman" w:hAnsi="Times New Roman"/>
                <w:sz w:val="24"/>
              </w:rPr>
              <w:t xml:space="preserve"> i lakovi, premazi boja (bez </w:t>
            </w:r>
            <w:proofErr w:type="spellStart"/>
            <w:r>
              <w:rPr>
                <w:rFonts w:ascii="Times New Roman" w:hAnsi="Times New Roman"/>
                <w:sz w:val="24"/>
              </w:rPr>
              <w:t>saturatora</w:t>
            </w:r>
            <w:proofErr w:type="spellEnd"/>
            <w:r>
              <w:rPr>
                <w:rFonts w:ascii="Times New Roman" w:hAnsi="Times New Roman"/>
                <w:sz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A263F3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prekrivene površine</w:t>
            </w:r>
          </w:p>
        </w:tc>
      </w:tr>
      <w:tr w:rsidR="00B77F10" w:rsidRPr="00B77F10" w14:paraId="40EA5AF7"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E3785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8C8F7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68138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Pregradne ploče</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3143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pregrade</w:t>
            </w:r>
          </w:p>
        </w:tc>
      </w:tr>
      <w:tr w:rsidR="00B77F10" w:rsidRPr="00B77F10" w14:paraId="733FEE4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B0945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389D7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FC89A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Zidne i stropne obloge</w:t>
            </w:r>
          </w:p>
        </w:tc>
        <w:tc>
          <w:tcPr>
            <w:tcW w:w="0" w:type="auto"/>
            <w:tcBorders>
              <w:top w:val="outset" w:sz="6" w:space="0" w:color="auto"/>
              <w:left w:val="outset" w:sz="6" w:space="0" w:color="auto"/>
              <w:bottom w:val="outset" w:sz="6" w:space="0" w:color="auto"/>
              <w:right w:val="outset" w:sz="6" w:space="0" w:color="auto"/>
            </w:tcBorders>
            <w:vAlign w:val="center"/>
            <w:hideMark/>
          </w:tcPr>
          <w:p w14:paraId="2739E62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obloge</w:t>
            </w:r>
          </w:p>
        </w:tc>
      </w:tr>
      <w:tr w:rsidR="00B77F10" w:rsidRPr="00B77F10" w14:paraId="44B2012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6A5719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366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71C35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Tvrde podne obloge</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0127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obloge (navesti razred uporabe ili klasifikaciju otpornosti na habanje i probijanja, ponašanje u odnosu na vodu i otpornost na kemijska sredstva ili jednakovrijedno)</w:t>
            </w:r>
          </w:p>
        </w:tc>
      </w:tr>
      <w:tr w:rsidR="00B77F10" w:rsidRPr="00B77F10" w14:paraId="00673CC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E21FE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F0E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FBE66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Mekane podne obloge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3F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obloge (navesti razred uporabe ili klasifikaciju otpornosti na habanje i probijanja, ponašanje u odnosu na vodu i otpornost na kemijska sredstva ili jednakovrijedno)</w:t>
            </w:r>
          </w:p>
        </w:tc>
      </w:tr>
      <w:tr w:rsidR="00B77F10" w:rsidRPr="00B77F10" w14:paraId="47A9247D"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92A7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37A9C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7A4C1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Akustični proizvodi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C6BF6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obloge (navesti razred uporabe ili klasifikaciju otpornosti na habanje i probijanja, ponašanje u odnosu na vodu i otpornost na kemijska sredstva ili jednakovrijedno)</w:t>
            </w:r>
          </w:p>
        </w:tc>
      </w:tr>
      <w:tr w:rsidR="00B77F10" w:rsidRPr="00B77F10" w14:paraId="32FB53A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E99BF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1204D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4F797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Saturatori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4F415F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prekrivene površine</w:t>
            </w:r>
          </w:p>
        </w:tc>
      </w:tr>
      <w:tr w:rsidR="00B77F10" w:rsidRPr="00B77F10" w14:paraId="4D7E78A6"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C462D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0FB42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87F404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153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40C5525B"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E755E5"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9</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D6E0A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Proizvodi za pripremu i provedbu</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50B7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Ljepila za konstrukciju</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5687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(navesti gustoću)</w:t>
            </w:r>
          </w:p>
        </w:tc>
      </w:tr>
      <w:tr w:rsidR="00B77F10" w:rsidRPr="00B77F10" w14:paraId="3262C268"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F53E9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A59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31B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Popravci i montaža</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9677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(navesti gustoću)</w:t>
            </w:r>
          </w:p>
        </w:tc>
      </w:tr>
      <w:tr w:rsidR="00B77F10" w:rsidRPr="00B77F10" w14:paraId="311E872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C8CD86"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15AEE"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8A40B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Podovi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2E187AB"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ljepila na tlo</w:t>
            </w:r>
          </w:p>
        </w:tc>
      </w:tr>
      <w:tr w:rsidR="00B77F10" w:rsidRPr="00B77F10" w14:paraId="2D754A41"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330A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305B1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2263A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Zidarski mort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50A3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(navesti gustoću)</w:t>
            </w:r>
          </w:p>
        </w:tc>
      </w:tr>
      <w:tr w:rsidR="00B77F10" w:rsidRPr="00B77F10" w14:paraId="6BC00CB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AE5F8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3958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DD6EC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Pločice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60EFD4B5"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popločane površine</w:t>
            </w:r>
          </w:p>
        </w:tc>
      </w:tr>
      <w:tr w:rsidR="00B77F10" w:rsidRPr="00B77F10" w14:paraId="325625D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B527C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36F21"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B388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Ukrašavanje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04705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(navesti gustoću)</w:t>
            </w:r>
          </w:p>
        </w:tc>
      </w:tr>
      <w:tr w:rsidR="00B77F10" w:rsidRPr="00B77F10" w14:paraId="74DDD16B"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F5EB4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50555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E6D42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Mase za brtvljenje i poliuretanske pjene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6BFE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 (navesti linearnu masu)</w:t>
            </w:r>
          </w:p>
        </w:tc>
      </w:tr>
      <w:tr w:rsidR="00B77F10" w:rsidRPr="00B77F10" w14:paraId="28385D0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B7EC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5396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A82CB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Građevinski kemijski proizvodi</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82B7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(navesti gustoću)</w:t>
            </w:r>
          </w:p>
        </w:tc>
      </w:tr>
      <w:tr w:rsidR="00B77F10" w:rsidRPr="00B77F10" w14:paraId="24F1B8F5"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56C0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1DDD2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B97A8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Proizvodi za beton</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D8B31"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kg (navesti gustoću)</w:t>
            </w:r>
          </w:p>
        </w:tc>
      </w:tr>
      <w:tr w:rsidR="00B77F10" w:rsidRPr="00B77F10" w14:paraId="26A3EF73"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5166E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E53B8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289550"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Sintetske smole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DF4E28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m² (navesti gustoću)</w:t>
            </w:r>
          </w:p>
        </w:tc>
      </w:tr>
      <w:tr w:rsidR="00B77F10" w:rsidRPr="00B77F10" w14:paraId="795A6BD2"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25D96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24153"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60DF32"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7D65"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6B382845" w14:textId="77777777" w:rsidTr="00B77F10">
        <w:trPr>
          <w:gridAfter w:val="1"/>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75938"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10</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566B9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 xml:space="preserve">Sanitarna oprema </w:t>
            </w:r>
            <w:r>
              <w:rPr>
                <w:rFonts w:ascii="Times New Roman" w:hAnsi="Times New Roman"/>
                <w:sz w:val="24"/>
              </w:rPr>
              <w:lastRenderedPageBreak/>
              <w:t>i oprema za kupaonice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B880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Slavine i stupovi za tuširanje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E69A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Mjerna jedinica (navesti vrstu)</w:t>
            </w:r>
          </w:p>
        </w:tc>
      </w:tr>
      <w:tr w:rsidR="00B77F10" w:rsidRPr="00B77F10" w14:paraId="44926B5A"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46DE1E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7FC75C"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004F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Kada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B4AD4"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Mjerna jedinica (navesti volumen kapaciteta u litrama i oblik)</w:t>
            </w:r>
          </w:p>
        </w:tc>
      </w:tr>
      <w:tr w:rsidR="00B77F10" w:rsidRPr="00B77F10" w14:paraId="74D31199"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2D2859"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1B13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A7EDAE"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Tuš kada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0562B97"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Jedinica (navesti dimenzije: širina i duljina)</w:t>
            </w:r>
          </w:p>
        </w:tc>
      </w:tr>
      <w:tr w:rsidR="00B77F10" w:rsidRPr="00B77F10" w14:paraId="3019DD4E"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57214D"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A5779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E9B5EC"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Sudoper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4DEF3"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Jedinica (navesti dimenzije: širina, duljina i broj korita)</w:t>
            </w:r>
          </w:p>
        </w:tc>
      </w:tr>
      <w:tr w:rsidR="00B77F10" w:rsidRPr="00B77F10" w14:paraId="2BE9DD8F" w14:textId="77777777" w:rsidTr="00B77F10">
        <w:trPr>
          <w:gridAfter w:val="1"/>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4BC8A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5EC92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56ABA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Umivaonik</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66D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Jedinica (navesti dimenzije: širina, duljina i broj korita)</w:t>
            </w:r>
          </w:p>
        </w:tc>
      </w:tr>
      <w:tr w:rsidR="00B77F10" w:rsidRPr="00B77F10" w14:paraId="0B21B0F1" w14:textId="77777777" w:rsidTr="00B77F10">
        <w:trPr>
          <w:gridAfter w:val="1"/>
          <w:trHeight w:val="450"/>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5E58B2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8D0C2"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0D57AD"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WC – Toalet – Školjka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E96056"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Jedinica (navesti dimenzije: širina i duljina)</w:t>
            </w:r>
          </w:p>
        </w:tc>
      </w:tr>
      <w:tr w:rsidR="00B77F10" w:rsidRPr="00B77F10" w14:paraId="5220583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8DBE08"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C0006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DBBAB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97F0A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70FA7"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r>
      <w:tr w:rsidR="00B77F10" w:rsidRPr="00B77F10" w14:paraId="397FD96A" w14:textId="77777777" w:rsidTr="00B77F1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58BC0"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F270F"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FA29E9"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6CA14"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3823339D"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r w:rsidR="00B77F10" w:rsidRPr="00B77F10" w14:paraId="6271CF62" w14:textId="77777777" w:rsidTr="00B77F1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8C48701" w14:textId="77777777" w:rsidR="00B77F10" w:rsidRPr="00B77F10" w:rsidRDefault="00B77F10" w:rsidP="00D64750">
            <w:pPr>
              <w:keepNext/>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7C26DA"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Ostalo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B4BD8" w14:textId="77777777" w:rsidR="00B77F10" w:rsidRPr="00B77F10" w:rsidRDefault="00B77F10" w:rsidP="00D64750">
            <w:pPr>
              <w:keepNext/>
              <w:spacing w:after="0" w:line="240" w:lineRule="auto"/>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95E5B" w14:textId="77777777" w:rsidR="00B77F10" w:rsidRPr="00B77F10" w:rsidRDefault="00B77F10" w:rsidP="00D64750">
            <w:pPr>
              <w:keepNext/>
              <w:spacing w:after="0" w:line="240" w:lineRule="auto"/>
              <w:rPr>
                <w:rFonts w:ascii="Times New Roman" w:eastAsia="Times New Roman" w:hAnsi="Times New Roman" w:cs="Times New Roman"/>
                <w:sz w:val="24"/>
                <w:szCs w:val="24"/>
                <w:lang w:eastAsia="fr-FR"/>
              </w:rPr>
            </w:pPr>
          </w:p>
        </w:tc>
        <w:tc>
          <w:tcPr>
            <w:tcW w:w="0" w:type="auto"/>
            <w:vAlign w:val="center"/>
            <w:hideMark/>
          </w:tcPr>
          <w:p w14:paraId="6C35AE6F" w14:textId="77777777" w:rsidR="00B77F10" w:rsidRPr="00B77F10" w:rsidRDefault="00B77F10" w:rsidP="00D64750">
            <w:pPr>
              <w:keepNext/>
              <w:spacing w:after="0" w:line="240" w:lineRule="auto"/>
              <w:rPr>
                <w:rFonts w:ascii="Times New Roman" w:eastAsia="Times New Roman" w:hAnsi="Times New Roman" w:cs="Times New Roman"/>
                <w:sz w:val="20"/>
                <w:szCs w:val="20"/>
                <w:lang w:eastAsia="fr-FR"/>
              </w:rPr>
            </w:pPr>
          </w:p>
        </w:tc>
      </w:tr>
    </w:tbl>
    <w:p w14:paraId="432DD491"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Prilog</w:t>
      </w:r>
    </w:p>
    <w:p w14:paraId="5040A314"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Članak</w:t>
      </w:r>
    </w:p>
    <w:p w14:paraId="5ABD1F6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Prilog II.</w:t>
      </w:r>
      <w:r>
        <w:rPr>
          <w:rFonts w:ascii="Times New Roman" w:hAnsi="Times New Roman"/>
          <w:sz w:val="24"/>
        </w:rPr>
        <w:br/>
        <w:t>Formati funkcionalnih jedinica ili jedinica prijavljenih za objekte.</w:t>
      </w:r>
    </w:p>
    <w:tbl>
      <w:tblPr>
        <w:tblW w:w="9208"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32"/>
        <w:gridCol w:w="1610"/>
        <w:gridCol w:w="1570"/>
        <w:gridCol w:w="1504"/>
        <w:gridCol w:w="1237"/>
        <w:gridCol w:w="1704"/>
        <w:gridCol w:w="2385"/>
      </w:tblGrid>
      <w:tr w:rsidR="00B77F10" w:rsidRPr="00B77F10" w14:paraId="503F1C5D"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46A131A"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Br.</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B82C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48D7D"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Kategorija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734F105"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Funkcionalna jedinica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F02FE"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Prijavljena jedinica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F28A44"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Skupina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F0AD3" w14:textId="77777777" w:rsidR="00B77F10" w:rsidRPr="00B77F10" w:rsidRDefault="00B77F10" w:rsidP="00B77F10">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Rješenje</w:t>
            </w:r>
          </w:p>
        </w:tc>
      </w:tr>
      <w:tr w:rsidR="00B77F10" w:rsidRPr="00B77F10" w14:paraId="039605F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30023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CD1B71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Postrojenje za instalaciju električne i komunikacijske mreže</w:t>
            </w:r>
            <w:r>
              <w:rPr>
                <w:rFonts w:ascii="Times New Roman" w:hAnsi="Times New Roman"/>
                <w:sz w:val="24"/>
              </w:rPr>
              <w:br/>
              <w:t>≤ 63 </w:t>
            </w:r>
            <w:proofErr w:type="spellStart"/>
            <w:r>
              <w:rPr>
                <w:rFonts w:ascii="Times New Roman" w:hAnsi="Times New Roman"/>
                <w:sz w:val="24"/>
              </w:rPr>
              <w:t>Amp</w:t>
            </w:r>
            <w:proofErr w:type="spellEnd"/>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6905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Zidna oprema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BF6A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DF6C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462C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Automatizirani sustavi</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E6F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Senzori kretanja</w:t>
            </w:r>
          </w:p>
        </w:tc>
      </w:tr>
      <w:tr w:rsidR="00B77F10" w:rsidRPr="00B77F10" w14:paraId="7811C1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704E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9333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37FF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4E76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27C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6D58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F6BF3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Termostati</w:t>
            </w:r>
          </w:p>
        </w:tc>
      </w:tr>
      <w:tr w:rsidR="00B77F10" w:rsidRPr="00B77F10" w14:paraId="0E80301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29B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5057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45DC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3718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BC6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218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8D9AF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Naprave za regulaciju osvjetljenja</w:t>
            </w:r>
          </w:p>
        </w:tc>
      </w:tr>
      <w:tr w:rsidR="00B77F10" w:rsidRPr="00B77F10" w14:paraId="260BEE0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C265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278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B563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B5C2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E101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1584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Kutije za opremu</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E659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 gips-kartonske ploče</w:t>
            </w:r>
          </w:p>
        </w:tc>
      </w:tr>
      <w:tr w:rsidR="00B77F10" w:rsidRPr="00B77F10" w14:paraId="0CCBABC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B767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4D9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ED4F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0438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F2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82D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06C54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Za zidanje</w:t>
            </w:r>
          </w:p>
        </w:tc>
      </w:tr>
      <w:tr w:rsidR="00B77F10" w:rsidRPr="00B77F10" w14:paraId="242C8C2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88FF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B808C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360E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C85B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6A5B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47BA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Kontrole</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589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Sklopke</w:t>
            </w:r>
          </w:p>
        </w:tc>
      </w:tr>
      <w:tr w:rsidR="00B77F10" w:rsidRPr="00B77F10" w14:paraId="6C0F1CB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0A1B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BB81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50FC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FA2F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F358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1C2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BD09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Gumbi</w:t>
            </w:r>
          </w:p>
        </w:tc>
      </w:tr>
      <w:tr w:rsidR="00B77F10" w:rsidRPr="00B77F10" w14:paraId="1D20722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CE73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DE9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72C7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6A42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9274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83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E60A2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Ostalo: Ventilacija s cijevima, rolo sjenilo, itd.</w:t>
            </w:r>
          </w:p>
        </w:tc>
      </w:tr>
      <w:tr w:rsidR="00B77F10" w:rsidRPr="00B77F10" w14:paraId="3795B3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C72E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4C44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EC6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357F0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A6EF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384DB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Ploče i nosači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0979E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Zidna oprema i </w:t>
            </w:r>
            <w:proofErr w:type="spellStart"/>
            <w:r>
              <w:rPr>
                <w:rFonts w:ascii="Times New Roman" w:hAnsi="Times New Roman"/>
                <w:sz w:val="24"/>
              </w:rPr>
              <w:t>podsklopovi</w:t>
            </w:r>
            <w:proofErr w:type="spellEnd"/>
          </w:p>
        </w:tc>
      </w:tr>
      <w:tr w:rsidR="00B77F10" w:rsidRPr="00B77F10" w14:paraId="7A5C47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09E0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101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E33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221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A00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DF8C8C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Utičnice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A79B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Niskonaponske utičnice</w:t>
            </w:r>
          </w:p>
        </w:tc>
      </w:tr>
      <w:tr w:rsidR="00B77F10" w:rsidRPr="00B77F10" w14:paraId="1060CB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1CF6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2131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6F13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4ECB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F47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883A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93EF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Visokonaponske utičnice</w:t>
            </w:r>
          </w:p>
        </w:tc>
      </w:tr>
      <w:tr w:rsidR="00B77F10" w:rsidRPr="00B77F10" w14:paraId="35853E2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75EF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D5D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7EC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88A35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3B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49AB3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3A74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Razne utičnice (TV, zvučnik, IT itd.)</w:t>
            </w:r>
          </w:p>
        </w:tc>
      </w:tr>
      <w:tr w:rsidR="00B77F10" w:rsidRPr="00B77F10" w14:paraId="0891FD7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AEFC5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12A3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19B9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0B6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7E0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FE6F9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Signaliziranje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D055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Zvučna oprema: zvučnik</w:t>
            </w:r>
          </w:p>
        </w:tc>
      </w:tr>
      <w:tr w:rsidR="00B77F10" w:rsidRPr="00B77F10" w14:paraId="3E0878D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B5C6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9C4B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04C2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AD12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B281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C4E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20A28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Zvučna oprema: zvona</w:t>
            </w:r>
          </w:p>
        </w:tc>
      </w:tr>
      <w:tr w:rsidR="00B77F10" w:rsidRPr="00B77F10" w14:paraId="413942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61017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977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83B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DD811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253A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4D8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09136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Svjetlosni indikatori</w:t>
            </w:r>
          </w:p>
        </w:tc>
      </w:tr>
      <w:tr w:rsidR="00B77F10" w:rsidRPr="00B77F10" w14:paraId="74E87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B3AE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3FC7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DC27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ED54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0D5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5862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Dodatna oprema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0F7A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Daljinski upravljači, ventili, kopče</w:t>
            </w:r>
          </w:p>
        </w:tc>
      </w:tr>
      <w:tr w:rsidR="00B77F10" w:rsidRPr="00B77F10" w14:paraId="691E7C6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2C7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434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E8ED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Modularna oprema za ograđene prostore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1F0728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66A4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CA147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Opća zaštitna oprema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FE9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Spojevi</w:t>
            </w:r>
          </w:p>
        </w:tc>
      </w:tr>
      <w:tr w:rsidR="00B77F10" w:rsidRPr="00B77F10" w14:paraId="530F26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97A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C63F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C84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BB8C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0367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31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AD2FC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Prekidači strujnih krugova</w:t>
            </w:r>
          </w:p>
        </w:tc>
      </w:tr>
      <w:tr w:rsidR="00B77F10" w:rsidRPr="00B77F10" w14:paraId="1FBAD29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73A9B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BE2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FE9E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40AA3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237E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227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2CF6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Prekidači strujnih krugova električne mreže</w:t>
            </w:r>
          </w:p>
        </w:tc>
      </w:tr>
      <w:tr w:rsidR="00B77F10" w:rsidRPr="00B77F10" w14:paraId="4F2D53A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2EE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4B5E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AE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32A3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AAC1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E6D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0872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Sklopke/izolatori</w:t>
            </w:r>
          </w:p>
        </w:tc>
      </w:tr>
      <w:tr w:rsidR="00B77F10" w:rsidRPr="00B77F10" w14:paraId="1653AF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EEDC9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90C2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6F68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70C6C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BCAF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A19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620B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Invertori</w:t>
            </w:r>
            <w:proofErr w:type="spellEnd"/>
            <w:r>
              <w:rPr>
                <w:rFonts w:ascii="Times New Roman" w:hAnsi="Times New Roman"/>
                <w:sz w:val="24"/>
              </w:rPr>
              <w:t xml:space="preserve"> izvora</w:t>
            </w:r>
          </w:p>
        </w:tc>
      </w:tr>
      <w:tr w:rsidR="00B77F10" w:rsidRPr="00B77F10" w14:paraId="54DF4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9073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A931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DC12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5BCAC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E2B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1052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40ED6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Releji diferencijala</w:t>
            </w:r>
          </w:p>
        </w:tc>
      </w:tr>
      <w:tr w:rsidR="00B77F10" w:rsidRPr="00B77F10" w14:paraId="333082B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E5C1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4919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71E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247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64A8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A0ED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Gromobranska zaštita</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CA7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Gromobrani</w:t>
            </w:r>
          </w:p>
        </w:tc>
      </w:tr>
      <w:tr w:rsidR="00B77F10" w:rsidRPr="00B77F10" w14:paraId="38BFC67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712C7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0FA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D3A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9489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674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B7BC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CEB34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Telekomunikacijski gromobrani</w:t>
            </w:r>
          </w:p>
        </w:tc>
      </w:tr>
      <w:tr w:rsidR="00B77F10" w:rsidRPr="00B77F10" w14:paraId="1202F0C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D94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B35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C7A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D2E6A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E73D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F4096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Zaštita vodova</w:t>
            </w:r>
          </w:p>
        </w:tc>
        <w:tc>
          <w:tcPr>
            <w:tcW w:w="0" w:type="auto"/>
            <w:tcBorders>
              <w:top w:val="outset" w:sz="6" w:space="0" w:color="auto"/>
              <w:left w:val="outset" w:sz="6" w:space="0" w:color="auto"/>
              <w:bottom w:val="outset" w:sz="6" w:space="0" w:color="auto"/>
              <w:right w:val="outset" w:sz="6" w:space="0" w:color="auto"/>
            </w:tcBorders>
            <w:vAlign w:val="center"/>
            <w:hideMark/>
          </w:tcPr>
          <w:p w14:paraId="5BE241C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Prekidači strujnih krugova</w:t>
            </w:r>
          </w:p>
        </w:tc>
      </w:tr>
      <w:tr w:rsidR="00B77F10" w:rsidRPr="00B77F10" w14:paraId="580793B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DAAD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475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A0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58A5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E152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E22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E436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Razdjelni prekidači</w:t>
            </w:r>
          </w:p>
        </w:tc>
      </w:tr>
      <w:tr w:rsidR="00B77F10" w:rsidRPr="00B77F10" w14:paraId="3D7804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BA90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53A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04FDC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9A12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81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6751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AD5A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Automatske sklopke</w:t>
            </w:r>
          </w:p>
        </w:tc>
      </w:tr>
      <w:tr w:rsidR="00B77F10" w:rsidRPr="00B77F10" w14:paraId="09A5DDF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4BD9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021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3119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99E2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7D6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DE62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F3F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Osigurači</w:t>
            </w:r>
          </w:p>
        </w:tc>
      </w:tr>
      <w:tr w:rsidR="00B77F10" w:rsidRPr="00B77F10" w14:paraId="43734CD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40DB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2B8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5916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D78F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9BC5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0F8772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Prekidač </w:t>
            </w:r>
            <w:proofErr w:type="spellStart"/>
            <w:r>
              <w:rPr>
                <w:rFonts w:ascii="Times New Roman" w:hAnsi="Times New Roman"/>
                <w:sz w:val="24"/>
              </w:rPr>
              <w:t>dozemnog</w:t>
            </w:r>
            <w:proofErr w:type="spellEnd"/>
            <w:r>
              <w:rPr>
                <w:rFonts w:ascii="Times New Roman" w:hAnsi="Times New Roman"/>
                <w:sz w:val="24"/>
              </w:rPr>
              <w:t xml:space="preserve"> spoja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F83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Različiti blokovi</w:t>
            </w:r>
          </w:p>
        </w:tc>
      </w:tr>
      <w:tr w:rsidR="00B77F10" w:rsidRPr="00B77F10" w14:paraId="6C7E03D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7C8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3C0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AB2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E8F7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76B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D63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EC2CC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Sklopke za RCD</w:t>
            </w:r>
          </w:p>
        </w:tc>
      </w:tr>
      <w:tr w:rsidR="00B77F10" w:rsidRPr="00B77F10" w14:paraId="60A967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652D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948F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4EE7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12BA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7BBE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55D8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5464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RCD prekidač</w:t>
            </w:r>
          </w:p>
        </w:tc>
      </w:tr>
      <w:tr w:rsidR="00B77F10" w:rsidRPr="00B77F10" w14:paraId="6427271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EDA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DDF6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79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4F0B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6E31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7ED9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Upravljanje rasvjetom</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D3E2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Sklopke za fotoćelije</w:t>
            </w:r>
          </w:p>
        </w:tc>
      </w:tr>
      <w:tr w:rsidR="00B77F10" w:rsidRPr="00B77F10" w14:paraId="0DFC128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D13F9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5FE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8F9A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2D60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E741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C14D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BFD9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Upravljanje solarnim pogonom</w:t>
            </w:r>
          </w:p>
        </w:tc>
      </w:tr>
      <w:tr w:rsidR="00B77F10" w:rsidRPr="00B77F10" w14:paraId="2BDC0B6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609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B49C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DB4D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6277A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A18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C46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65BB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Naprave za regulaciju osvjetljenja</w:t>
            </w:r>
          </w:p>
        </w:tc>
      </w:tr>
      <w:tr w:rsidR="00B77F10" w:rsidRPr="00B77F10" w14:paraId="2BED940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3AEF2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9B7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2DCA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CB601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6740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331D9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Upravljanje energijom</w:t>
            </w:r>
          </w:p>
        </w:tc>
        <w:tc>
          <w:tcPr>
            <w:tcW w:w="0" w:type="auto"/>
            <w:tcBorders>
              <w:top w:val="outset" w:sz="6" w:space="0" w:color="auto"/>
              <w:left w:val="outset" w:sz="6" w:space="0" w:color="auto"/>
              <w:bottom w:val="outset" w:sz="6" w:space="0" w:color="auto"/>
              <w:right w:val="outset" w:sz="6" w:space="0" w:color="auto"/>
            </w:tcBorders>
            <w:vAlign w:val="center"/>
            <w:hideMark/>
          </w:tcPr>
          <w:p w14:paraId="4D03F5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Mehanizmi za prijenos tereta</w:t>
            </w:r>
          </w:p>
        </w:tc>
      </w:tr>
      <w:tr w:rsidR="00B77F10" w:rsidRPr="00B77F10" w14:paraId="269954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53AAC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CC5C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01C4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E67B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B3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EC2F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F4FCF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Upravitelji energije</w:t>
            </w:r>
          </w:p>
        </w:tc>
      </w:tr>
      <w:tr w:rsidR="00B77F10" w:rsidRPr="00B77F10" w14:paraId="127CAD5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54BB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B03C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D43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A35C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194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E64C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Upravljanje kapcima i roletama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41BD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Upravljanje kapcima i roletama</w:t>
            </w:r>
          </w:p>
        </w:tc>
      </w:tr>
      <w:tr w:rsidR="00B77F10" w:rsidRPr="00B77F10" w14:paraId="5C7BF1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11EE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ED63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6CD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25AD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6BDA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AA75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Upravljanje vremenom</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8E73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Programirajući prekidač</w:t>
            </w:r>
          </w:p>
        </w:tc>
      </w:tr>
      <w:tr w:rsidR="00B77F10" w:rsidRPr="00B77F10" w14:paraId="78BF2A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C87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DEB6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1A10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100A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B7C3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21B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4AAC4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Programatori</w:t>
            </w:r>
            <w:proofErr w:type="spellEnd"/>
          </w:p>
        </w:tc>
      </w:tr>
      <w:tr w:rsidR="00B77F10" w:rsidRPr="00B77F10" w14:paraId="5BF984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DC62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B7B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6374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762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294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5401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D98CC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Vremenski releji</w:t>
            </w:r>
          </w:p>
        </w:tc>
      </w:tr>
      <w:tr w:rsidR="00B77F10" w:rsidRPr="00B77F10" w14:paraId="60C6A08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5A52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12E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3C95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C3F3B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B1A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9E67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Upravljanje </w:t>
            </w:r>
            <w:r>
              <w:rPr>
                <w:rFonts w:ascii="Times New Roman" w:hAnsi="Times New Roman"/>
                <w:sz w:val="24"/>
              </w:rPr>
              <w:lastRenderedPageBreak/>
              <w:t>toplinom (grijanje, ventilacija)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DDAF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Termostati</w:t>
            </w:r>
          </w:p>
        </w:tc>
      </w:tr>
      <w:tr w:rsidR="00B77F10" w:rsidRPr="00B77F10" w14:paraId="3BCC0BE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0A4B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03B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AA5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DF464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98F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501E3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Mjerenje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310E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Energetski mjerači</w:t>
            </w:r>
          </w:p>
        </w:tc>
      </w:tr>
      <w:tr w:rsidR="00B77F10" w:rsidRPr="00B77F10" w14:paraId="3AD6C6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F0F6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2C9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1E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39C2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E09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19EE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D18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Kiša, senzori sunca itd.</w:t>
            </w:r>
          </w:p>
        </w:tc>
      </w:tr>
      <w:tr w:rsidR="00B77F10" w:rsidRPr="00B77F10" w14:paraId="0D7FD6A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97AE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1ACA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E098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B4E84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4130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E9F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736F4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Voltmetri, ampermetri</w:t>
            </w:r>
          </w:p>
        </w:tc>
      </w:tr>
      <w:tr w:rsidR="00B77F10" w:rsidRPr="00B77F10" w14:paraId="103C5FA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5B5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A12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C0BA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BC2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E9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FF9550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Kontrolni uređaji</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EB8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Gumbi</w:t>
            </w:r>
          </w:p>
        </w:tc>
      </w:tr>
      <w:tr w:rsidR="00B77F10" w:rsidRPr="00B77F10" w14:paraId="150B06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2E9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A273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3E1C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D0BA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934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04D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B3AD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Kontaktori</w:t>
            </w:r>
            <w:proofErr w:type="spellEnd"/>
          </w:p>
        </w:tc>
      </w:tr>
      <w:tr w:rsidR="00B77F10" w:rsidRPr="00B77F10" w14:paraId="333E4B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31200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A66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ADA8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29D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6B78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F53F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8D63E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Sklopke, </w:t>
            </w:r>
            <w:proofErr w:type="spellStart"/>
            <w:r>
              <w:rPr>
                <w:rFonts w:ascii="Times New Roman" w:hAnsi="Times New Roman"/>
                <w:sz w:val="24"/>
              </w:rPr>
              <w:t>invertori</w:t>
            </w:r>
            <w:proofErr w:type="spellEnd"/>
            <w:r>
              <w:rPr>
                <w:rFonts w:ascii="Times New Roman" w:hAnsi="Times New Roman"/>
                <w:sz w:val="24"/>
              </w:rPr>
              <w:t>, komutatori itd.</w:t>
            </w:r>
          </w:p>
        </w:tc>
      </w:tr>
      <w:tr w:rsidR="00B77F10" w:rsidRPr="00B77F10" w14:paraId="19AE77E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E1F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E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B6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64A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C2B1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2450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347D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Sklopke s daljinskim impulsom</w:t>
            </w:r>
          </w:p>
        </w:tc>
      </w:tr>
      <w:tr w:rsidR="00B77F10" w:rsidRPr="00B77F10" w14:paraId="5A025F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3994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03FC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EE0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2382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5E97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E78C0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Uređaji za signalizaciju</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2CF2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Zvona i melodije zvona</w:t>
            </w:r>
          </w:p>
        </w:tc>
      </w:tr>
      <w:tr w:rsidR="00B77F10" w:rsidRPr="00B77F10" w14:paraId="054F7F1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05DC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1A5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609E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DBE8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5E2E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28C1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82F07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Svjetlosni indikatori</w:t>
            </w:r>
          </w:p>
        </w:tc>
      </w:tr>
      <w:tr w:rsidR="00B77F10" w:rsidRPr="00B77F10" w14:paraId="028633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5CB4C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511E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FB53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Sustavi za automatizaciju doma i komunikacijski sustavi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9B3FAC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A8C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A955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Multimedijske mreže i VDI (Glas Podaci Slika)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00D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Modularna oprema za automatizaciju doma</w:t>
            </w:r>
          </w:p>
        </w:tc>
      </w:tr>
      <w:tr w:rsidR="00B77F10" w:rsidRPr="00B77F10" w14:paraId="39DA30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6306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F83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82E3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5CDE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E4D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D4B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D47D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terminala za automatizaciju doma</w:t>
            </w:r>
          </w:p>
        </w:tc>
      </w:tr>
      <w:tr w:rsidR="00B77F10" w:rsidRPr="00B77F10" w14:paraId="30BE1D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8031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FB5A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DD08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8CA6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DD52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B1C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9744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Distributeri za signalizaciju/otkrivanje</w:t>
            </w:r>
          </w:p>
        </w:tc>
      </w:tr>
      <w:tr w:rsidR="00B77F10" w:rsidRPr="00B77F10" w14:paraId="0E3B73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882B9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0F3B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72EE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53419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CE0E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1BE0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903B3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Bežične pristupne točke</w:t>
            </w:r>
          </w:p>
        </w:tc>
      </w:tr>
      <w:tr w:rsidR="00B77F10" w:rsidRPr="00B77F10" w14:paraId="1BA4C94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CC13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05BF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88EE4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Prilozi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CE9FC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86C72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931B4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Ormarići</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A532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Poliesterski ormarići</w:t>
            </w:r>
          </w:p>
        </w:tc>
      </w:tr>
      <w:tr w:rsidR="00B77F10" w:rsidRPr="00B77F10" w14:paraId="665E1A2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CA4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376C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41A7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9D4EC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048E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A87B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A67E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Metalni ormarići</w:t>
            </w:r>
          </w:p>
        </w:tc>
      </w:tr>
      <w:tr w:rsidR="00B77F10" w:rsidRPr="00B77F10" w14:paraId="3E28A6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1D8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06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FBAB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E47F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0D69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9E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7E23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Spojevi</w:t>
            </w:r>
          </w:p>
        </w:tc>
      </w:tr>
      <w:tr w:rsidR="00B77F10" w:rsidRPr="00B77F10" w14:paraId="23DC5F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8002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E07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9D29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4CD9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3C30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20B5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EDFBA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ormarića</w:t>
            </w:r>
          </w:p>
        </w:tc>
      </w:tr>
      <w:tr w:rsidR="00B77F10" w:rsidRPr="00B77F10" w14:paraId="279CFC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49B5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D25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621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CC914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5BF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6C13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Kutije</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39A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Poklopci terminala</w:t>
            </w:r>
          </w:p>
        </w:tc>
      </w:tr>
      <w:tr w:rsidR="00B77F10" w:rsidRPr="00B77F10" w14:paraId="061BB3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C7F5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8203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CF71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513C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7A95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C9C9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3A7E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Podžbukne instalacijske kutije</w:t>
            </w:r>
          </w:p>
        </w:tc>
      </w:tr>
      <w:tr w:rsidR="00B77F10" w:rsidRPr="00B77F10" w14:paraId="1D6E2D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FB4D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D089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32B7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9C91A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6FC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03F4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062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Vodonepropusne kutije</w:t>
            </w:r>
          </w:p>
        </w:tc>
      </w:tr>
      <w:tr w:rsidR="00B77F10" w:rsidRPr="00B77F10" w14:paraId="4042A32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CF9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6F5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833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29F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8942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D38D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E4A2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Kutije koje strše</w:t>
            </w:r>
          </w:p>
        </w:tc>
      </w:tr>
      <w:tr w:rsidR="00B77F10" w:rsidRPr="00B77F10" w14:paraId="02F253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779E3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AEC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CC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D7B79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FDED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8BEF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74E7E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VDI kućišta</w:t>
            </w:r>
          </w:p>
        </w:tc>
      </w:tr>
      <w:tr w:rsidR="00B77F10" w:rsidRPr="00B77F10" w14:paraId="161B3FB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719F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EE16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D77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A0FB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EAC8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2EB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A7B6C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Razvodne kutije</w:t>
            </w:r>
          </w:p>
        </w:tc>
      </w:tr>
      <w:tr w:rsidR="00B77F10" w:rsidRPr="00B77F10" w14:paraId="65A59F3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691A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395F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1217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E2627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656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B9084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Ostalo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FA3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Stolovi, upravljanje toplinom u ograđenim prostorima</w:t>
            </w:r>
          </w:p>
        </w:tc>
      </w:tr>
      <w:tr w:rsidR="00B77F10" w:rsidRPr="00B77F10" w14:paraId="4BB012F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DA0C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12C6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5EFB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Rješenja za usmjeravanje kabela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EEB07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Metar</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984DA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B7FC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Sustavi usmjeravanja kabela i okviri za kabele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8AC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Trase žičanih kabela</w:t>
            </w:r>
          </w:p>
        </w:tc>
      </w:tr>
      <w:tr w:rsidR="00B77F10" w:rsidRPr="00B77F10" w14:paraId="674B90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D41F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C31A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D7E9E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354D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FD9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1D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6E30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Pločaste vodilice za kabele</w:t>
            </w:r>
          </w:p>
        </w:tc>
      </w:tr>
      <w:tr w:rsidR="00B77F10" w:rsidRPr="00B77F10" w14:paraId="26E0BE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F3D0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9383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59C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DCD72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AFD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61D7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9450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Okviri za kablove</w:t>
            </w:r>
          </w:p>
        </w:tc>
      </w:tr>
      <w:tr w:rsidR="00B77F10" w:rsidRPr="00B77F10" w14:paraId="50D79C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ED8E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E49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AEC9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701D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34F9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451EE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Sustavi za nošenje kabela i kabeli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06B0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Kabeli</w:t>
            </w:r>
          </w:p>
        </w:tc>
      </w:tr>
      <w:tr w:rsidR="00B77F10" w:rsidRPr="00B77F10" w14:paraId="6930BA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98DF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B403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E4CC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873E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7928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A3A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1E8E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Profilirani kabeli</w:t>
            </w:r>
          </w:p>
        </w:tc>
      </w:tr>
      <w:tr w:rsidR="00B77F10" w:rsidRPr="00B77F10" w14:paraId="435D71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D61B0D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CA50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B0B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668D1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3939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5F80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D16D5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Krute cijevi i kabeli</w:t>
            </w:r>
          </w:p>
        </w:tc>
      </w:tr>
      <w:tr w:rsidR="00B77F10" w:rsidRPr="00B77F10" w14:paraId="3932E3A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E4EB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32D4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D95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E695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E353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0D2F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E1F2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Kabeli napajanja</w:t>
            </w:r>
          </w:p>
        </w:tc>
      </w:tr>
      <w:tr w:rsidR="00B77F10" w:rsidRPr="00B77F10" w14:paraId="7F3415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54ED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D25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34AD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07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F5F11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2E9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A6E8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Podni kabeli</w:t>
            </w:r>
          </w:p>
        </w:tc>
      </w:tr>
      <w:tr w:rsidR="00B77F10" w:rsidRPr="00B77F10" w14:paraId="4D2766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26FD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CE1D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3F1F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4A090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E4F0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FE4E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07828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Instalacijski kabeli</w:t>
            </w:r>
          </w:p>
        </w:tc>
      </w:tr>
      <w:tr w:rsidR="00B77F10" w:rsidRPr="00B77F10" w14:paraId="24B9244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993CC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BD75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57A6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09912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77A1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75ED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2C334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Oblikovane letvice i pregradne ploče</w:t>
            </w:r>
          </w:p>
        </w:tc>
      </w:tr>
      <w:tr w:rsidR="00B77F10" w:rsidRPr="00B77F10" w14:paraId="04064FD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B1BC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D7C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DD71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4956A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F0F5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BD3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Ostali proizvodi za upravljanje kablovima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3E78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Kućna oprema za električnu energiju i komunikaciju</w:t>
            </w:r>
          </w:p>
        </w:tc>
      </w:tr>
      <w:tr w:rsidR="00B77F10" w:rsidRPr="00B77F10" w14:paraId="5A9BE3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3168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DA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8C13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CFD6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607A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CD3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694E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Podni kabeli</w:t>
            </w:r>
          </w:p>
        </w:tc>
      </w:tr>
      <w:tr w:rsidR="00B77F10" w:rsidRPr="00B77F10" w14:paraId="2D465B3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6BB2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9A75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9DE5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F809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A1F9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F81A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1EF26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Kućišta za raspršivanje i okomiti ugradbeni stupovi</w:t>
            </w:r>
          </w:p>
        </w:tc>
      </w:tr>
      <w:tr w:rsidR="00B77F10" w:rsidRPr="00B77F10" w14:paraId="3C99A8F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F2557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A2FD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E0C8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B69DC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5002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6A5C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68769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Nošenje kabela za ormariće</w:t>
            </w:r>
          </w:p>
        </w:tc>
      </w:tr>
      <w:tr w:rsidR="00B77F10" w:rsidRPr="00B77F10" w14:paraId="7EDFC08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F4C5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4DA1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275B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F185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A3EA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5C27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C61615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Ostalo i pribor</w:t>
            </w:r>
          </w:p>
        </w:tc>
      </w:tr>
      <w:tr w:rsidR="00B77F10" w:rsidRPr="00B77F10" w14:paraId="5B608A6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EA2C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BEBC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51AA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Ostalo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1F4A56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798E7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F5AA73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Spajanje/spojevi (izvan ograđenih prostora)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05B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Spojni blokovi</w:t>
            </w:r>
          </w:p>
        </w:tc>
      </w:tr>
      <w:tr w:rsidR="00B77F10" w:rsidRPr="00B77F10" w14:paraId="30FBE9E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1A98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155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2772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6BE19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B9368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E35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FB190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Konektori</w:t>
            </w:r>
          </w:p>
        </w:tc>
      </w:tr>
      <w:tr w:rsidR="00B77F10" w:rsidRPr="00B77F10" w14:paraId="0BE3976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B49EE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1A60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5B89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BA593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0D5024"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C840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6077E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Industrijske utičnice</w:t>
            </w:r>
          </w:p>
        </w:tc>
      </w:tr>
      <w:tr w:rsidR="00B77F10" w:rsidRPr="00B77F10" w14:paraId="1A06494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3337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DBC2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C96A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7088F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77A8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8A434E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Izvori napajanja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E74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Transformatori</w:t>
            </w:r>
          </w:p>
        </w:tc>
      </w:tr>
      <w:tr w:rsidR="00B77F10" w:rsidRPr="00B77F10" w14:paraId="37211C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34D6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01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48D9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20D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54D03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C56D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2FF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Središnji izvori</w:t>
            </w:r>
          </w:p>
        </w:tc>
      </w:tr>
      <w:tr w:rsidR="00B77F10" w:rsidRPr="00B77F10" w14:paraId="5EDD812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4F99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B7B1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110A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DC3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BA40D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95638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Mobilna električna oprema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E4E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Inspekcijsko svjetlo</w:t>
            </w:r>
          </w:p>
        </w:tc>
      </w:tr>
      <w:tr w:rsidR="00B77F10" w:rsidRPr="00B77F10" w14:paraId="1FEA93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2B110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C6B2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B86B1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F173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A114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7504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C58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Blok adaptera s više utičnica, utičnice za telefonske razdjelnike, ostalo</w:t>
            </w:r>
          </w:p>
        </w:tc>
      </w:tr>
      <w:tr w:rsidR="00B77F10" w:rsidRPr="00B77F10" w14:paraId="176BC77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357B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E0F2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A8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28D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5220A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4BBCE4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Motor s otvaranjem preklopnika</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58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Motorizacija vrata, ulaznih vrata itd.</w:t>
            </w:r>
          </w:p>
        </w:tc>
      </w:tr>
      <w:tr w:rsidR="00B77F10" w:rsidRPr="00B77F10" w14:paraId="62761E5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CF80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85C7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0AE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3955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88FC4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420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4C195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Motorizacija roleta</w:t>
            </w:r>
          </w:p>
        </w:tc>
      </w:tr>
      <w:tr w:rsidR="00B77F10" w:rsidRPr="00B77F10" w14:paraId="7815C73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75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E80F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A9E1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52C86F9"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42B59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3DC92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5AF92A"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2055D86D"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87F4F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8CDE1A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Žice i kabeli</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55A9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Električne mreže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0A673A3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530E14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3FAC2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Srednjonaponski</w:t>
            </w:r>
            <w:proofErr w:type="spellEnd"/>
            <w:r>
              <w:rPr>
                <w:rFonts w:ascii="Times New Roman" w:hAnsi="Times New Roman"/>
                <w:sz w:val="24"/>
              </w:rPr>
              <w:t xml:space="preserve"> kabeli</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C069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D49D9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5C9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A4E6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3E28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A9A8C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FC55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5D440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Niskonaponski dalekovodi &lt; 1 kV</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73A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3574E17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D2E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5AEA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ECE2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B37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A49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13CA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Pribor za </w:t>
            </w:r>
            <w:r>
              <w:rPr>
                <w:rFonts w:ascii="Times New Roman" w:hAnsi="Times New Roman"/>
                <w:sz w:val="24"/>
              </w:rPr>
              <w:lastRenderedPageBreak/>
              <w:t>električnu mrežu</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BAE9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1A4C2F9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F994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195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BB02E3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Prijenos električne energije i prijenos podataka unutar zgrade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EA2F6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km</w:t>
            </w:r>
          </w:p>
        </w:tc>
        <w:tc>
          <w:tcPr>
            <w:tcW w:w="0" w:type="auto"/>
            <w:tcBorders>
              <w:top w:val="outset" w:sz="6" w:space="0" w:color="auto"/>
              <w:left w:val="outset" w:sz="6" w:space="0" w:color="auto"/>
              <w:bottom w:val="outset" w:sz="6" w:space="0" w:color="auto"/>
              <w:right w:val="outset" w:sz="6" w:space="0" w:color="auto"/>
            </w:tcBorders>
            <w:vAlign w:val="center"/>
            <w:hideMark/>
          </w:tcPr>
          <w:p w14:paraId="53285A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7BE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Energetske žice i kabeli</w:t>
            </w:r>
          </w:p>
        </w:tc>
        <w:tc>
          <w:tcPr>
            <w:tcW w:w="0" w:type="auto"/>
            <w:tcBorders>
              <w:top w:val="outset" w:sz="6" w:space="0" w:color="auto"/>
              <w:left w:val="outset" w:sz="6" w:space="0" w:color="auto"/>
              <w:bottom w:val="outset" w:sz="6" w:space="0" w:color="auto"/>
              <w:right w:val="outset" w:sz="6" w:space="0" w:color="auto"/>
            </w:tcBorders>
            <w:vAlign w:val="center"/>
            <w:hideMark/>
          </w:tcPr>
          <w:p w14:paraId="65C038B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B307A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CA00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860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B57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B3C022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AE11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0A188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Komunikacijski kabeli od bakra i optičkih vlakana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5CDA5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4C52B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E0C0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08D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58E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4965DCB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D202D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C3FD8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Pribor u zgradi</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2BEF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50ACB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22AD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691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752802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Ostale žice i kabeli</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30C591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20B1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312FE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Neizoliran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6843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C202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A2658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16BAE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0C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661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1118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D74A8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Kablovi za grijanje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230A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593E7CE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10C3A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2DB3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5D8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932C6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FD22C2"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2B37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01FC73"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16E9DFDC"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D4A7B7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3</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6E69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Sigurnost pojedinaca i kontrola pristupa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D250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Otkrivanje i kontrola pristupa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26097E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AF8C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9F64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Sustav za otkrivanje neovlaštenih osoba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F235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otkrivanje neovlaštenih osoba</w:t>
            </w:r>
          </w:p>
        </w:tc>
      </w:tr>
      <w:tr w:rsidR="00B77F10" w:rsidRPr="00B77F10" w14:paraId="3772E83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3DADF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4711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74D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E972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5AD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77BF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0D6F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Upravljačka oprema (tipkovnica, daljinski upravljač itd.)</w:t>
            </w:r>
          </w:p>
        </w:tc>
      </w:tr>
      <w:tr w:rsidR="00B77F10" w:rsidRPr="00B77F10" w14:paraId="6408C67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441F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8A015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63626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C37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1015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0BFE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308FC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Alarmne konzole</w:t>
            </w:r>
          </w:p>
        </w:tc>
      </w:tr>
      <w:tr w:rsidR="00B77F10" w:rsidRPr="00B77F10" w14:paraId="06CA08D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B2C9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DAC1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3161B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E94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07755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2E4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E6655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signalizaciju (sirena, odašiljač itd.)</w:t>
            </w:r>
          </w:p>
        </w:tc>
      </w:tr>
      <w:tr w:rsidR="00B77F10" w:rsidRPr="00B77F10" w14:paraId="3C0ACE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C10C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F9752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0F5F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1A1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07623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4F06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Sustav kontrole pristupa</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4BED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Audio </w:t>
            </w:r>
            <w:proofErr w:type="spellStart"/>
            <w:r>
              <w:rPr>
                <w:rFonts w:ascii="Times New Roman" w:hAnsi="Times New Roman"/>
                <w:sz w:val="24"/>
              </w:rPr>
              <w:t>portafoni</w:t>
            </w:r>
            <w:proofErr w:type="spellEnd"/>
          </w:p>
        </w:tc>
      </w:tr>
      <w:tr w:rsidR="00B77F10" w:rsidRPr="00B77F10" w14:paraId="4C7010E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B0F4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B1C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7FD27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BAA4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45D1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7EABB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8E62C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Video </w:t>
            </w:r>
            <w:proofErr w:type="spellStart"/>
            <w:r>
              <w:rPr>
                <w:rFonts w:ascii="Times New Roman" w:hAnsi="Times New Roman"/>
                <w:sz w:val="24"/>
              </w:rPr>
              <w:t>portafoni</w:t>
            </w:r>
            <w:proofErr w:type="spellEnd"/>
          </w:p>
        </w:tc>
      </w:tr>
      <w:tr w:rsidR="00B77F10" w:rsidRPr="00B77F10" w14:paraId="1CE281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4673D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D709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88BA4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Video nadzor</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60057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BEC33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653905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Sustav </w:t>
            </w:r>
            <w:proofErr w:type="spellStart"/>
            <w:r>
              <w:rPr>
                <w:rFonts w:ascii="Times New Roman" w:hAnsi="Times New Roman"/>
                <w:sz w:val="24"/>
              </w:rPr>
              <w:t>videonazora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ED5030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hvatanje slike (kamere)</w:t>
            </w:r>
          </w:p>
        </w:tc>
      </w:tr>
      <w:tr w:rsidR="00B77F10" w:rsidRPr="00B77F10" w14:paraId="338428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93E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CEBE9D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76B4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1F377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44ECA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BF37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BE6D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upravljanje slikom</w:t>
            </w:r>
          </w:p>
        </w:tc>
      </w:tr>
      <w:tr w:rsidR="00B77F10" w:rsidRPr="00B77F10" w14:paraId="2A62D0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0AE0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534F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7CD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90DE7F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89C4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647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3CDFC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Međusobna povezanost</w:t>
            </w:r>
          </w:p>
        </w:tc>
      </w:tr>
      <w:tr w:rsidR="00B77F10" w:rsidRPr="00B77F10" w14:paraId="5AC984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E009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E5C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9785F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DFA53C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6CE258"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3416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5A646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E6B3BA7"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FEA23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4</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45B717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Sigurnost zgrade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1DA5F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Sustav sigurnosnog osvjetljenja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375FC7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62DF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2B10F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Okruženje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795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Samostalne jedinice za osvjetljavanje u nuždi (B.A.E.S)</w:t>
            </w:r>
          </w:p>
        </w:tc>
      </w:tr>
      <w:tr w:rsidR="00B77F10" w:rsidRPr="00B77F10" w14:paraId="0E7BF1B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2DC4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C66C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4500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3B55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3B3C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8528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741CA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Ugradnja svjetala za središnji izvor (L.S.C)</w:t>
            </w:r>
          </w:p>
        </w:tc>
      </w:tr>
      <w:tr w:rsidR="00B77F10" w:rsidRPr="00B77F10" w14:paraId="0B957AD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3F397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F23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134B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C41F5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6128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4BD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6E8FF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Jedinice reflektora</w:t>
            </w:r>
          </w:p>
        </w:tc>
      </w:tr>
      <w:tr w:rsidR="00B77F10" w:rsidRPr="00B77F10" w14:paraId="32107BC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096D6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8C6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A260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5841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D2EA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85E1F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Evakuacija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393B46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Samostalne jedinice za osvjetljavanje u nuždi (B.A.E.S)</w:t>
            </w:r>
          </w:p>
        </w:tc>
      </w:tr>
      <w:tr w:rsidR="00B77F10" w:rsidRPr="00B77F10" w14:paraId="1A9A618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69687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9A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28D5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88457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1823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08D0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A402A0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Jedinice za neovisnu rasvjetu (B.A.E.H)</w:t>
            </w:r>
          </w:p>
        </w:tc>
      </w:tr>
      <w:tr w:rsidR="00B77F10" w:rsidRPr="00B77F10" w14:paraId="5B5B786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F9B98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2DFD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541E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0155E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E139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5C5B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F4168B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Jedinica s dvostrukom funkcijom (B.A.E.S + B.E.E.)</w:t>
            </w:r>
          </w:p>
        </w:tc>
      </w:tr>
      <w:tr w:rsidR="00B77F10" w:rsidRPr="00B77F10" w14:paraId="60BD07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F277A5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8D0A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D63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55540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8A82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BAE8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B88233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Ugradnja svjetala za središnji izvor (L.S.C)</w:t>
            </w:r>
          </w:p>
        </w:tc>
      </w:tr>
      <w:tr w:rsidR="00B77F10" w:rsidRPr="00B77F10" w14:paraId="461F4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EDE03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4B31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A50E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0242B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9CE6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33A2A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481A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D.L (svjetlosni uređaj)</w:t>
            </w:r>
          </w:p>
        </w:tc>
      </w:tr>
      <w:tr w:rsidR="00B77F10" w:rsidRPr="00B77F10" w14:paraId="585B07A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F9685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242B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9603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F15C4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26F9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3E05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6F92A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B.A.E.S + D.B.R (jači identifikacijski uređaj)</w:t>
            </w:r>
          </w:p>
        </w:tc>
      </w:tr>
      <w:tr w:rsidR="00B77F10" w:rsidRPr="00B77F10" w14:paraId="56CA42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42A2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67F2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DAC3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B98FF3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843D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2F5A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EBB697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L.S.C + D.B.R</w:t>
            </w:r>
          </w:p>
        </w:tc>
      </w:tr>
      <w:tr w:rsidR="00B77F10" w:rsidRPr="00B77F10" w14:paraId="1C0B32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69697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F75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548B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B669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64E0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E06EBB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Rasvjeta u slučaju opasnosti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DC6A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Jedinice za neovisnu rasvjetu (B.A.E.H)</w:t>
            </w:r>
          </w:p>
        </w:tc>
      </w:tr>
      <w:tr w:rsidR="00B77F10" w:rsidRPr="00B77F10" w14:paraId="06EF702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4ACF5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56F0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52A3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676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ED3B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1EF2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3B386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Jedinica s dvostrukom funkcijom (B.A.E.S + B.E.E.)</w:t>
            </w:r>
          </w:p>
        </w:tc>
      </w:tr>
      <w:tr w:rsidR="00B77F10" w:rsidRPr="00B77F10" w14:paraId="3310E95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AF67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1CF5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FBBD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9178E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78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1C28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Intervencije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0553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Prijenosne samostalne interventne jedinice (B.A.P.I)</w:t>
            </w:r>
          </w:p>
        </w:tc>
      </w:tr>
      <w:tr w:rsidR="00B77F10" w:rsidRPr="00B77F10" w14:paraId="6C04FF8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D522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8668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51A6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751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A2DB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DD4BA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Napajanje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3FAD077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Središnji izvor za opremu svjetlo u nuždi</w:t>
            </w:r>
          </w:p>
        </w:tc>
      </w:tr>
      <w:tr w:rsidR="00B77F10" w:rsidRPr="00B77F10" w14:paraId="0476AE1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CAE17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375CF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F6D41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Protupožarna sigurnost</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634289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A05F8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223E9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Protupožarna sigurnost i tehnički alarm</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3112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Neovisni detektori dima/alarmi</w:t>
            </w:r>
          </w:p>
        </w:tc>
      </w:tr>
      <w:tr w:rsidR="00B77F10" w:rsidRPr="00B77F10" w14:paraId="0108CDE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8023B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26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4C17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1E7D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B743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9C1A5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AC1E0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Tehnički alarmi i detektori (poplave, plin itd.)</w:t>
            </w:r>
          </w:p>
        </w:tc>
      </w:tr>
      <w:tr w:rsidR="00B77F10" w:rsidRPr="00B77F10" w14:paraId="07BE589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CF1A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FA5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21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7384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47A7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E390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1849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Ugrađeni detektori ugljikovog monoksida</w:t>
            </w:r>
          </w:p>
        </w:tc>
      </w:tr>
      <w:tr w:rsidR="00B77F10" w:rsidRPr="00B77F10" w14:paraId="2E560DD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C5971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7249C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8477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1F616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DD0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89DB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A6068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Tehnički alarmi i detektori</w:t>
            </w:r>
          </w:p>
        </w:tc>
      </w:tr>
      <w:tr w:rsidR="00B77F10" w:rsidRPr="00B77F10" w14:paraId="6FB63ED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65EAB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E374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8EACF4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631FE1D0"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26D9C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7D92B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7348A1"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8644C95"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D96F0E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5</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2A51D3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HVAC oprema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5FC45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Grijanje i/ili hlađenje i/ili kućna proizvodnja tople vode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BFD12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6C5506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AA548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Bojler (sam grije)</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9F2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Plinski bojler</w:t>
            </w:r>
          </w:p>
        </w:tc>
      </w:tr>
      <w:tr w:rsidR="00B77F10" w:rsidRPr="00B77F10" w14:paraId="7D6145E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DACD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FBBB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4E9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2A15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994F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97C96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169BB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Bojler na loživo ulje</w:t>
            </w:r>
          </w:p>
        </w:tc>
      </w:tr>
      <w:tr w:rsidR="00B77F10" w:rsidRPr="00B77F10" w14:paraId="67AC5E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7C46BA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6244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EF83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0A7874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FCBC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C40A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AA19C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Hibridni kotao</w:t>
            </w:r>
          </w:p>
        </w:tc>
      </w:tr>
      <w:tr w:rsidR="00B77F10" w:rsidRPr="00B77F10" w14:paraId="599CC5D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B737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CCC0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0B1B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02A0B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816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9049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565F8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Bojler na biomasu</w:t>
            </w:r>
          </w:p>
        </w:tc>
      </w:tr>
      <w:tr w:rsidR="00B77F10" w:rsidRPr="00B77F10" w14:paraId="0B6DC1C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EC1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59A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54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B87D2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A534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CBBB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Kombinirani bojler (grijanje i topla voda u kućanstvu)</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7686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Plinski bojler</w:t>
            </w:r>
          </w:p>
        </w:tc>
      </w:tr>
      <w:tr w:rsidR="00B77F10" w:rsidRPr="00B77F10" w14:paraId="0972193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B031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7971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45B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07734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826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9B9C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ED80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Bojler na loživo ulje</w:t>
            </w:r>
          </w:p>
        </w:tc>
      </w:tr>
      <w:tr w:rsidR="00B77F10" w:rsidRPr="00B77F10" w14:paraId="4D2C85B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3E7E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D38B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C6788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220A08F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7605C6B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61B8C"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7BB07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Neovisni uređaji na biomasu</w:t>
            </w:r>
          </w:p>
        </w:tc>
      </w:tr>
      <w:tr w:rsidR="00B77F10" w:rsidRPr="00B77F10" w14:paraId="169653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28C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B188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D0FD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F9C63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AE0E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81AD0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Dizalica topline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D759A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Električna tlačna toplinska crpka</w:t>
            </w:r>
          </w:p>
        </w:tc>
      </w:tr>
      <w:tr w:rsidR="00B77F10" w:rsidRPr="00B77F10" w14:paraId="03D84A0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D73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DD15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8184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3C92FC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3B07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8AD0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BCF9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Hibridna toplinska crpka</w:t>
            </w:r>
          </w:p>
        </w:tc>
      </w:tr>
      <w:tr w:rsidR="00B77F10" w:rsidRPr="00B77F10" w14:paraId="4917C6A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9B89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F92F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A23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C26A6B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D7A9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9360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Pumpa za cirkulaciju vode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6689B"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Radijator</w:t>
            </w:r>
          </w:p>
        </w:tc>
      </w:tr>
      <w:tr w:rsidR="00B77F10" w:rsidRPr="00B77F10" w14:paraId="5ADCA8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2C74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1BE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64E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D0E0D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4DAA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FBA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4219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Grijani ručnik za ručnike</w:t>
            </w:r>
          </w:p>
        </w:tc>
      </w:tr>
      <w:tr w:rsidR="00B77F10" w:rsidRPr="00B77F10" w14:paraId="0831CE6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326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63DF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882C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02B057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7E90F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B8BED3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Izravno </w:t>
            </w:r>
            <w:r>
              <w:rPr>
                <w:rFonts w:ascii="Times New Roman" w:hAnsi="Times New Roman"/>
                <w:sz w:val="24"/>
              </w:rPr>
              <w:lastRenderedPageBreak/>
              <w:t>električno zagrijavanje putem vidljive stalne jedinice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7DAC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Konvektor</w:t>
            </w:r>
          </w:p>
        </w:tc>
      </w:tr>
      <w:tr w:rsidR="00B77F10" w:rsidRPr="00B77F10" w14:paraId="5BC7E9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C911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A896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B2DC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C356D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E6BB6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B188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EDE289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Izvor zračenja</w:t>
            </w:r>
          </w:p>
        </w:tc>
      </w:tr>
      <w:tr w:rsidR="00B77F10" w:rsidRPr="00B77F10" w14:paraId="6AD73E2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5384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FE6F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FD98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3D13D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20C7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817D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B4316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Radijator</w:t>
            </w:r>
          </w:p>
        </w:tc>
      </w:tr>
      <w:tr w:rsidR="00B77F10" w:rsidRPr="00B77F10" w14:paraId="2D47234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78A89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E9D4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67D7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585982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2BE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C9C5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BCCE6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sa sekundarnom funkcijom za grijani ručnik za ručnike</w:t>
            </w:r>
          </w:p>
        </w:tc>
      </w:tr>
      <w:tr w:rsidR="00B77F10" w:rsidRPr="00B77F10" w14:paraId="34BF430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D2231B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B0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4C1BCB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Proizvodnja tople vode za kućanstvo</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57721FB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Litra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037516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B80E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Pojedinačni grijač vode za pohranjivanje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E55D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Grijač vode za električne vode</w:t>
            </w:r>
          </w:p>
        </w:tc>
      </w:tr>
      <w:tr w:rsidR="00B77F10" w:rsidRPr="00B77F10" w14:paraId="5FD5115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AAF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A1BF9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06E3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7D1AD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07EE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5DF73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E1C1D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Termodinamički grijač vode</w:t>
            </w:r>
          </w:p>
        </w:tc>
      </w:tr>
      <w:tr w:rsidR="00B77F10" w:rsidRPr="00B77F10" w14:paraId="477AF58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0638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B54B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724F1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F4D05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DEDBC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1D0F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A30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Grijač vode</w:t>
            </w:r>
          </w:p>
        </w:tc>
      </w:tr>
      <w:tr w:rsidR="00B77F10" w:rsidRPr="00B77F10" w14:paraId="5447281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32903F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78929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0D55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E84D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BA5D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94AD4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C8969F"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Pojedinačni grijač vode iz solarnog izvora</w:t>
            </w:r>
          </w:p>
        </w:tc>
      </w:tr>
      <w:tr w:rsidR="00B77F10" w:rsidRPr="00B77F10" w14:paraId="5112EFC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D96AB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DF09E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28CAC1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Krajnje jedinice za udobnost doma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09B253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A21F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230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Kaloriferi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5A87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Kaloriferi</w:t>
            </w:r>
          </w:p>
        </w:tc>
      </w:tr>
      <w:tr w:rsidR="00B77F10" w:rsidRPr="00B77F10" w14:paraId="384F2C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8592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1EAE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7CAB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1D3FCC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 x l x h (m) ili m³</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95E0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E09EC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Rashladne grede</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83B7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Pasivne rashladne grede</w:t>
            </w:r>
          </w:p>
        </w:tc>
      </w:tr>
      <w:tr w:rsidR="00B77F10" w:rsidRPr="00B77F10" w14:paraId="2936C72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070375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08D5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0401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CA9B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5B551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04D5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7896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Aktivne rashladne grede</w:t>
            </w:r>
          </w:p>
        </w:tc>
      </w:tr>
      <w:tr w:rsidR="00B77F10" w:rsidRPr="00B77F10" w14:paraId="04B7CB4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81D20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063CB6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7F45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70A1B39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3F10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2DB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Dinamički radijatori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07D1550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Dinamički radijatori</w:t>
            </w:r>
          </w:p>
        </w:tc>
      </w:tr>
      <w:tr w:rsidR="00B77F10" w:rsidRPr="00B77F10" w14:paraId="17CA868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9FE45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EF52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ACEFB1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Kablovi i dodatni pribor za mrežu</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8242E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4D19D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628D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5B9E67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Cijevni lukovi i pribor</w:t>
            </w:r>
          </w:p>
        </w:tc>
      </w:tr>
      <w:tr w:rsidR="00B77F10" w:rsidRPr="00B77F10" w14:paraId="75AAB13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98684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E42C5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864F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B92098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C840E9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13026C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4B453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Savitljivi kabeli</w:t>
            </w:r>
          </w:p>
        </w:tc>
      </w:tr>
      <w:tr w:rsidR="00B77F10" w:rsidRPr="00B77F10" w14:paraId="146D6AC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5E2BD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C5B6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F502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063BB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1523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F123810"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FD9C9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Kruti kabeli</w:t>
            </w:r>
          </w:p>
        </w:tc>
      </w:tr>
      <w:tr w:rsidR="00B77F10" w:rsidRPr="00B77F10" w14:paraId="63144C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4A736C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ED57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38D56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Difuzija zraka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205F3E7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B11C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4BC0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E4B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Dovod zraka</w:t>
            </w:r>
          </w:p>
        </w:tc>
      </w:tr>
      <w:tr w:rsidR="00B77F10" w:rsidRPr="00B77F10" w14:paraId="23380AA2"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CB6C1F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3B73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D26D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4BF885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DD437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724DB3"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1BB69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Pasivni terminali</w:t>
            </w:r>
          </w:p>
        </w:tc>
      </w:tr>
      <w:tr w:rsidR="00B77F10" w:rsidRPr="00B77F10" w14:paraId="47C6081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FCAB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4D99E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746A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FD82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8083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3583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0D641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Difuzori</w:t>
            </w:r>
          </w:p>
        </w:tc>
      </w:tr>
      <w:tr w:rsidR="00B77F10" w:rsidRPr="00B77F10" w14:paraId="7D78275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3325C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11F4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DCF5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CF12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FE7A8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AF637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8683BA"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Zračni filtar</w:t>
            </w:r>
          </w:p>
        </w:tc>
      </w:tr>
      <w:tr w:rsidR="00B77F10" w:rsidRPr="00B77F10" w14:paraId="7776850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58A64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459F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FD7EB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DF293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E12C8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FDB6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DFEC3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Otvori za propuhivanje i ekstraktori</w:t>
            </w:r>
          </w:p>
        </w:tc>
      </w:tr>
      <w:tr w:rsidR="00B77F10" w:rsidRPr="00B77F10" w14:paraId="0DB009C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8DA1F1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826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103E1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Obrada zraka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4D2BC8B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BFC7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F4FD4B7"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A01E1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Uređaj za pročišćavanje zraka</w:t>
            </w:r>
          </w:p>
        </w:tc>
      </w:tr>
      <w:tr w:rsidR="00B77F10" w:rsidRPr="00B77F10" w14:paraId="28F80E4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57365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13E79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A79D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62C8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A40F2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EE50B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F715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Jedinica s dvostrukim protokom</w:t>
            </w:r>
          </w:p>
        </w:tc>
      </w:tr>
      <w:tr w:rsidR="00B77F10" w:rsidRPr="00B77F10" w14:paraId="1125088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495AB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2A07E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7E189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Ventilacijska kutija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8118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E964F6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70046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656D7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Mehanički upravljano prozračivanje s jednim protokom (VMC)</w:t>
            </w:r>
          </w:p>
        </w:tc>
      </w:tr>
      <w:tr w:rsidR="00B77F10" w:rsidRPr="00B77F10" w14:paraId="33D5133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C519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7EA9B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42080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639FA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4B450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A32F0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4FD61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Mehanički upravljano prozračivanje s dvostrukim protokom (VMC)</w:t>
            </w:r>
          </w:p>
        </w:tc>
      </w:tr>
      <w:tr w:rsidR="00B77F10" w:rsidRPr="00B77F10" w14:paraId="4C8E159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4DE2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01B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4916E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00B3C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FE7A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9DB9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E8804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Ventilacijska kutija</w:t>
            </w:r>
          </w:p>
        </w:tc>
      </w:tr>
      <w:tr w:rsidR="00B77F10" w:rsidRPr="00B77F10" w14:paraId="40A02F5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DFD82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3A8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70400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Hlađenje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3F99DB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747A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86CDB2"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8E214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Jedinica za proizvodnju leda</w:t>
            </w:r>
          </w:p>
        </w:tc>
      </w:tr>
      <w:tr w:rsidR="00B77F10" w:rsidRPr="00B77F10" w14:paraId="70B8C49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C45B2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1205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2D9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8BC8F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A9D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B8F6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D4E74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Rashladni toranj</w:t>
            </w:r>
          </w:p>
        </w:tc>
      </w:tr>
      <w:tr w:rsidR="00B77F10" w:rsidRPr="00B77F10" w14:paraId="32625D6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5B9B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DDB7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89EA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7039FF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11D6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99F58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6D3A4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Rashladne vitrine za hlađenje zraka</w:t>
            </w:r>
          </w:p>
        </w:tc>
      </w:tr>
      <w:tr w:rsidR="00B77F10" w:rsidRPr="00B77F10" w14:paraId="4344006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A568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A2C4D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565E69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Mehanički ekstraktor dima</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14B023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m³/h</w:t>
            </w:r>
          </w:p>
        </w:tc>
        <w:tc>
          <w:tcPr>
            <w:tcW w:w="0" w:type="auto"/>
            <w:tcBorders>
              <w:top w:val="outset" w:sz="6" w:space="0" w:color="auto"/>
              <w:left w:val="outset" w:sz="6" w:space="0" w:color="auto"/>
              <w:bottom w:val="outset" w:sz="6" w:space="0" w:color="auto"/>
              <w:right w:val="outset" w:sz="6" w:space="0" w:color="auto"/>
            </w:tcBorders>
            <w:vAlign w:val="center"/>
            <w:hideMark/>
          </w:tcPr>
          <w:p w14:paraId="05A10B5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DD3A4"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ED00C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Kupola, ventilator</w:t>
            </w:r>
          </w:p>
        </w:tc>
      </w:tr>
      <w:tr w:rsidR="00B77F10" w:rsidRPr="00B77F10" w14:paraId="5AE6905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2D1348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9249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5C9C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2AE7F69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dm2</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EB4E3B"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4E55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7EB4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Protupožarna zaklopka ili </w:t>
            </w:r>
            <w:proofErr w:type="spellStart"/>
            <w:r>
              <w:rPr>
                <w:rFonts w:ascii="Times New Roman" w:hAnsi="Times New Roman"/>
                <w:sz w:val="24"/>
              </w:rPr>
              <w:t>vatrozid</w:t>
            </w:r>
            <w:proofErr w:type="spellEnd"/>
            <w:r>
              <w:rPr>
                <w:rFonts w:ascii="Times New Roman" w:hAnsi="Times New Roman"/>
                <w:sz w:val="24"/>
              </w:rPr>
              <w:t>, zaklopka, zatvarač</w:t>
            </w:r>
          </w:p>
        </w:tc>
      </w:tr>
      <w:tr w:rsidR="00B77F10" w:rsidRPr="00B77F10" w14:paraId="1F0F102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3D24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9F4E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9AB43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FF98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E41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B12E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61EEB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Kutija za relej</w:t>
            </w:r>
          </w:p>
        </w:tc>
      </w:tr>
      <w:tr w:rsidR="00B77F10" w:rsidRPr="00B77F10" w14:paraId="7270989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EAD0A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536A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2A073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464C5B1"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00ED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B4294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A1ACD7"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0941B0EA"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A7C3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6</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59C665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Lokalna proizvodnja </w:t>
            </w:r>
            <w:r>
              <w:rPr>
                <w:rFonts w:ascii="Times New Roman" w:hAnsi="Times New Roman"/>
                <w:sz w:val="24"/>
              </w:rPr>
              <w:lastRenderedPageBreak/>
              <w:t>električne energije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C0F8E1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Generator električne energije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BCC05A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D0232C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8621AD0"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Fotonaponski moduli</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B6B5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Kristalni silicij (</w:t>
            </w:r>
            <w:proofErr w:type="spellStart"/>
            <w:r>
              <w:rPr>
                <w:rFonts w:ascii="Times New Roman" w:hAnsi="Times New Roman"/>
                <w:sz w:val="24"/>
              </w:rPr>
              <w:t>monokristalni</w:t>
            </w:r>
            <w:proofErr w:type="spellEnd"/>
            <w:r>
              <w:rPr>
                <w:rFonts w:ascii="Times New Roman" w:hAnsi="Times New Roman"/>
                <w:sz w:val="24"/>
              </w:rPr>
              <w:t xml:space="preserve"> ili </w:t>
            </w:r>
            <w:proofErr w:type="spellStart"/>
            <w:r>
              <w:rPr>
                <w:rFonts w:ascii="Times New Roman" w:hAnsi="Times New Roman"/>
                <w:sz w:val="24"/>
              </w:rPr>
              <w:t>polikristalni</w:t>
            </w:r>
            <w:proofErr w:type="spellEnd"/>
            <w:r>
              <w:rPr>
                <w:rFonts w:ascii="Times New Roman" w:hAnsi="Times New Roman"/>
                <w:sz w:val="24"/>
              </w:rPr>
              <w:t>)</w:t>
            </w:r>
          </w:p>
        </w:tc>
      </w:tr>
      <w:tr w:rsidR="00B77F10" w:rsidRPr="00B77F10" w14:paraId="627A81A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2CBF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B597F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93C8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C7B0F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B88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80E1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448A8A5"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Tanki slojevi</w:t>
            </w:r>
          </w:p>
        </w:tc>
      </w:tr>
      <w:tr w:rsidR="00B77F10" w:rsidRPr="00B77F10" w14:paraId="5DA7E0E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0CBE6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5529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152F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D5594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CEB6B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A4332E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Vjetroturbine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4FE9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Vodoravno</w:t>
            </w:r>
          </w:p>
        </w:tc>
      </w:tr>
      <w:tr w:rsidR="00B77F10" w:rsidRPr="00B77F10" w14:paraId="5A5971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6C46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E21F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3C64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639FEA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EC73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D1BE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C4C8D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Okomito</w:t>
            </w:r>
          </w:p>
        </w:tc>
      </w:tr>
      <w:tr w:rsidR="00B77F10" w:rsidRPr="00B77F10" w14:paraId="1250AAB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6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B00D6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FE99A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Pretvaranje i regulacija</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6859A42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1FC9D5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2C7BD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Pretvorba</w:t>
            </w:r>
          </w:p>
        </w:tc>
        <w:tc>
          <w:tcPr>
            <w:tcW w:w="0" w:type="auto"/>
            <w:tcBorders>
              <w:top w:val="outset" w:sz="6" w:space="0" w:color="auto"/>
              <w:left w:val="outset" w:sz="6" w:space="0" w:color="auto"/>
              <w:bottom w:val="outset" w:sz="6" w:space="0" w:color="auto"/>
              <w:right w:val="outset" w:sz="6" w:space="0" w:color="auto"/>
            </w:tcBorders>
            <w:vAlign w:val="center"/>
            <w:hideMark/>
          </w:tcPr>
          <w:p w14:paraId="3C97457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Sinkroni inverteri</w:t>
            </w:r>
          </w:p>
        </w:tc>
      </w:tr>
      <w:tr w:rsidR="00B77F10" w:rsidRPr="00B77F10" w14:paraId="57FF554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B2091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2C2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AFC2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BB897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8E81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047E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064D9A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Samostalni inverteri</w:t>
            </w:r>
          </w:p>
        </w:tc>
      </w:tr>
      <w:tr w:rsidR="00B77F10" w:rsidRPr="00B77F10" w14:paraId="34A2A70F"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9767A2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39E8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A647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7124A6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D14C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7D2FB7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05267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Pretvarač istosmjerne/istosmjerne struje</w:t>
            </w:r>
          </w:p>
        </w:tc>
      </w:tr>
      <w:tr w:rsidR="00B77F10" w:rsidRPr="00B77F10" w14:paraId="6D974E8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EFCAE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047112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6AB35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56F72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975D9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EE054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4D613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Izmjenični/istosmjerni pretvarač</w:t>
            </w:r>
          </w:p>
        </w:tc>
      </w:tr>
      <w:tr w:rsidR="00B77F10" w:rsidRPr="00B77F10" w14:paraId="0B461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AC58D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D888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E6FAD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F31C7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BE3DB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53016E"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Regulacija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0F6AB24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Regulator opterećenja</w:t>
            </w:r>
          </w:p>
        </w:tc>
      </w:tr>
      <w:tr w:rsidR="00B77F10" w:rsidRPr="00B77F10" w14:paraId="053A13A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AA263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B02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1ADF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Skladištenje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7FC347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kWh</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174CD4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F340A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Elektrokemijska baterija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0350A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Olovo – kiselina</w:t>
            </w:r>
          </w:p>
        </w:tc>
      </w:tr>
      <w:tr w:rsidR="00B77F10" w:rsidRPr="00B77F10" w14:paraId="17CBB55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10A0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E05BA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296D3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A5086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53A87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732D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A0D30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Litij – ion</w:t>
            </w:r>
          </w:p>
        </w:tc>
      </w:tr>
      <w:tr w:rsidR="00B77F10" w:rsidRPr="00B77F10" w14:paraId="34A8F9B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CF98F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466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FB561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3227C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429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7F19E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1249E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Ostalo</w:t>
            </w:r>
          </w:p>
        </w:tc>
      </w:tr>
      <w:tr w:rsidR="00B77F10" w:rsidRPr="00B77F10" w14:paraId="592D3F5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814F3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94B2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5AE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B1164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547ED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5D813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3A42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r>
      <w:tr w:rsidR="00B77F10" w:rsidRPr="00B77F10" w14:paraId="691AF18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7E3B8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8EDE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56C1B5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Praćenje</w:t>
            </w:r>
          </w:p>
        </w:tc>
        <w:tc>
          <w:tcPr>
            <w:tcW w:w="1464" w:type="dxa"/>
            <w:tcBorders>
              <w:top w:val="outset" w:sz="6" w:space="0" w:color="auto"/>
              <w:left w:val="outset" w:sz="6" w:space="0" w:color="auto"/>
              <w:bottom w:val="outset" w:sz="6" w:space="0" w:color="auto"/>
              <w:right w:val="outset" w:sz="6" w:space="0" w:color="auto"/>
            </w:tcBorders>
            <w:vAlign w:val="center"/>
            <w:hideMark/>
          </w:tcPr>
          <w:p w14:paraId="4F6304E5"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BFA8EC"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C0368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Praćenje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7EB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Oprema za nadzor</w:t>
            </w:r>
          </w:p>
        </w:tc>
      </w:tr>
      <w:tr w:rsidR="00B77F10" w:rsidRPr="00B77F10" w14:paraId="221F3F4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9B068F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B68F1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9B24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7FD0DAE8"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6B05C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C92A69"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6CE1C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33CF0D01" w14:textId="77777777" w:rsidTr="00D64750">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3CB5D6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7</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BCB5E1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Rasvjetna oprema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E53CC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Oprema za unutarnju rasvjetu i napajanje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C59360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57B341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8A260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Udubljena rasvjeta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D16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Linearna rasvjeta u unutrašnjosti uređaja za opremanje vodovima za uredsku rasvjetu</w:t>
            </w:r>
          </w:p>
        </w:tc>
      </w:tr>
      <w:tr w:rsidR="00B77F10" w:rsidRPr="00B77F10" w14:paraId="36EC666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32B7F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C977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004B3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351B99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49676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102E2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C6C124"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Nelinearna udubljena unutrašnja rasvjeta za rasvjetu ureda</w:t>
            </w:r>
          </w:p>
        </w:tc>
      </w:tr>
      <w:tr w:rsidR="00B77F10" w:rsidRPr="00B77F10" w14:paraId="74700B3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621860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1EFF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4DE57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E68FE7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7EF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B3B49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24DE4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Svjetla za naglasak zatvorenih prostora (točke) u zatvorenom prostoru</w:t>
            </w:r>
          </w:p>
        </w:tc>
      </w:tr>
      <w:tr w:rsidR="00B77F10" w:rsidRPr="00B77F10" w14:paraId="07CBA84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96AB9C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6528A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D5A5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4380B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27DE0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57E8AF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Svjetla koja se postavljaju na površinu</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6E5D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Stropne svjetiljke, linearni unutarnji viseći pribor za uredsku ili industrijsku rasvjetu</w:t>
            </w:r>
          </w:p>
        </w:tc>
      </w:tr>
      <w:tr w:rsidR="00B77F10" w:rsidRPr="00B77F10" w14:paraId="2031FCE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041A9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7CE8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D61B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6CA3A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410F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D35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0CE82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Funkcionalna unutarnja linearna rasvjeta na površini, ugrađena na zidne obloge</w:t>
            </w:r>
          </w:p>
        </w:tc>
      </w:tr>
      <w:tr w:rsidR="00B77F10" w:rsidRPr="00B77F10" w14:paraId="6339BED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8BFE5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CB0F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2960B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76F5B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240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F2C688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B3F13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Stropne svjetiljke, zidne ugradbeni rasvjetni uređaji, dekorativni unutarnji viseći elementi</w:t>
            </w:r>
          </w:p>
        </w:tc>
      </w:tr>
      <w:tr w:rsidR="00B77F10" w:rsidRPr="00B77F10" w14:paraId="4354D510"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95A511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E587D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983A0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2F8493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1C74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9EF61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53CFB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Unutarnji otvori na vratima</w:t>
            </w:r>
          </w:p>
        </w:tc>
      </w:tr>
      <w:tr w:rsidR="00B77F10" w:rsidRPr="00B77F10" w14:paraId="2E27CB7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87E91A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A712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240D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2F2E4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10663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2F0E5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4549A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Unutarnje svjetiljke za rasvjetu (bez optičkih uređaja, za razliku od linearnih proizvoda)</w:t>
            </w:r>
          </w:p>
        </w:tc>
      </w:tr>
      <w:tr w:rsidR="00B77F10" w:rsidRPr="00B77F10" w14:paraId="4090BDC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B62DE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0B2F2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1C2B1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6AE790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661A0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E0124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D4F3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Unutarnji reflektori, postavljena ili montirani ili na vodilice, za naglašenu rasvjetu</w:t>
            </w:r>
          </w:p>
        </w:tc>
      </w:tr>
      <w:tr w:rsidR="00B77F10" w:rsidRPr="00B77F10" w14:paraId="4B95AF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BCCFC1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F0E4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81187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94446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00B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8640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6D20F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Unutarnja rasvjetna oprema otporna na vodu</w:t>
            </w:r>
          </w:p>
        </w:tc>
      </w:tr>
      <w:tr w:rsidR="00B77F10" w:rsidRPr="00B77F10" w14:paraId="791B7F6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8785F7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F4054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87BE1A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38C30C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38718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69029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9548EE"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LED savitljive šipke i trake (uključujući napajanje)</w:t>
            </w:r>
          </w:p>
        </w:tc>
      </w:tr>
      <w:tr w:rsidR="00B77F10" w:rsidRPr="00B77F10" w14:paraId="254F281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F4051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74E9E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3DF78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64D706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DEC78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99A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Viseće spojne naprave</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9B8B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Industrijska oprema</w:t>
            </w:r>
          </w:p>
        </w:tc>
      </w:tr>
      <w:tr w:rsidR="00B77F10" w:rsidRPr="00B77F10" w14:paraId="0A270755"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8C26A8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7C906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BCD2C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4EFE75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8A47B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EE659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BD16F8"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Trajne internetske strukture za industrijsku ili komercijalnu rasvjetu</w:t>
            </w:r>
          </w:p>
        </w:tc>
      </w:tr>
      <w:tr w:rsidR="00B77F10" w:rsidRPr="00B77F10" w14:paraId="7C7BF219"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650F64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042C8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2CF5C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tcBorders>
              <w:top w:val="outset" w:sz="6" w:space="0" w:color="auto"/>
              <w:left w:val="outset" w:sz="6" w:space="0" w:color="auto"/>
              <w:bottom w:val="outset" w:sz="6" w:space="0" w:color="auto"/>
              <w:right w:val="outset" w:sz="6" w:space="0" w:color="auto"/>
            </w:tcBorders>
            <w:vAlign w:val="center"/>
            <w:hideMark/>
          </w:tcPr>
          <w:p w14:paraId="19DCEE98"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9EBE6"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69BB6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Sklopovi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979A2"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Vodilice rasvjete</w:t>
            </w:r>
          </w:p>
        </w:tc>
      </w:tr>
      <w:tr w:rsidR="00B77F10" w:rsidRPr="00B77F10" w14:paraId="2AA11EE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A03966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ADC7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D8FF9D"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Oprema za vanjsko osvjetljenje i napajanje</w:t>
            </w: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76D308D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Lumen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906318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DA6448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Usmjeravajući reflektori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FFC5C"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Usmjeravajući reflektori za sportska i velika područja</w:t>
            </w:r>
          </w:p>
        </w:tc>
      </w:tr>
      <w:tr w:rsidR="00B77F10" w:rsidRPr="00B77F10" w14:paraId="02FC73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22C4B3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4DF35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7C33B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4D88A0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3448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D1DA7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B5F81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Vanjski reflektori za dekorativnu rasvjetu</w:t>
            </w:r>
          </w:p>
        </w:tc>
      </w:tr>
      <w:tr w:rsidR="00B77F10" w:rsidRPr="00B77F10" w14:paraId="354680A3"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9DF900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A48A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5F3F1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803C70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F7E2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7A85D5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Rasvjetna tijela za vanjsku rasvjetu, osim reflektora</w:t>
            </w:r>
          </w:p>
        </w:tc>
        <w:tc>
          <w:tcPr>
            <w:tcW w:w="0" w:type="auto"/>
            <w:tcBorders>
              <w:top w:val="outset" w:sz="6" w:space="0" w:color="auto"/>
              <w:left w:val="outset" w:sz="6" w:space="0" w:color="auto"/>
              <w:bottom w:val="outset" w:sz="6" w:space="0" w:color="auto"/>
              <w:right w:val="outset" w:sz="6" w:space="0" w:color="auto"/>
            </w:tcBorders>
            <w:vAlign w:val="center"/>
            <w:hideMark/>
          </w:tcPr>
          <w:p w14:paraId="7111070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Rasvjetna tijela za dekorativnu rasvjetu</w:t>
            </w:r>
          </w:p>
        </w:tc>
      </w:tr>
      <w:tr w:rsidR="00B77F10" w:rsidRPr="00B77F10" w14:paraId="61B17E4A"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C1CDF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06A9D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AF3AF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4175A145"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B8ACD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CC30C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779590"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Rasvjetna oprema za funkcionalnu rasvjetu</w:t>
            </w:r>
          </w:p>
        </w:tc>
      </w:tr>
      <w:tr w:rsidR="00B77F10" w:rsidRPr="00B77F10" w14:paraId="4367BB7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146D9E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23AC1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8E01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1FE594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7F522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7FD04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66F8E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Povremena rasvjeta</w:t>
            </w:r>
          </w:p>
        </w:tc>
      </w:tr>
      <w:tr w:rsidR="00B77F10" w:rsidRPr="00B77F10" w14:paraId="09C1E3F8"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D8EABC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5FE37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A5B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2B60E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577A3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F7E2B9"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Udubljeni reflektori</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1B82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Vanjski reflektori koji se nalaze u zatvorenom prostoru za podove i zidove</w:t>
            </w:r>
          </w:p>
        </w:tc>
      </w:tr>
      <w:tr w:rsidR="00B77F10" w:rsidRPr="00B77F10" w14:paraId="410EBC7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35EF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6FC4B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DB3C6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6EA85E8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3E72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AB1C72"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Udubljena rasvjeta za orijentaciju</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EF736"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Vanjska orijentacijska rasvjetna tijela u udubini u podu ili zidovima</w:t>
            </w:r>
          </w:p>
        </w:tc>
      </w:tr>
      <w:tr w:rsidR="00B77F10" w:rsidRPr="00B77F10" w14:paraId="746257F1"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61FA7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D3DA5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6C0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704916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DFE1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DD4A0BF"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Stupovi</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78691"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Dekorativni vanjski terminali</w:t>
            </w:r>
          </w:p>
        </w:tc>
      </w:tr>
      <w:tr w:rsidR="00B77F10" w:rsidRPr="00B77F10" w14:paraId="2408F687"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D4AEA2"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3C87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D423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78333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69A25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85C384"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0AA659D"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Dekorativni vanjski stupovi za svjetlo</w:t>
            </w:r>
          </w:p>
        </w:tc>
      </w:tr>
      <w:tr w:rsidR="00B77F10" w:rsidRPr="00B77F10" w14:paraId="2982017D"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6E65F4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E1072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9DC77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09D2732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98239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C9A26D5"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Svjetla za zaštitu vode otporna na vodu IP &gt; 54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D07E17"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Zidne svjetiljke koje se postavljaju na površinu i vodootporna svjetla na vratima</w:t>
            </w:r>
          </w:p>
        </w:tc>
      </w:tr>
      <w:tr w:rsidR="00B77F10" w:rsidRPr="00B77F10" w14:paraId="08159624"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B7FD6AC"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5B82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AAC98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2016C0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B9AF0D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516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1F769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Udubljena rasvjeta za bazene ili fontane</w:t>
            </w:r>
          </w:p>
        </w:tc>
      </w:tr>
      <w:tr w:rsidR="00B77F10" w:rsidRPr="00B77F10" w14:paraId="73BFCE9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F2D8C4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16BC8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09ED5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2AE3309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CC1913"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EAD04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4546F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Podvodna svjetla za bazene ili fontane</w:t>
            </w:r>
          </w:p>
        </w:tc>
      </w:tr>
      <w:tr w:rsidR="00B77F10" w:rsidRPr="00B77F10" w14:paraId="29AC050E"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065496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BEBB0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19F2F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val="restart"/>
            <w:tcBorders>
              <w:top w:val="outset" w:sz="6" w:space="0" w:color="auto"/>
              <w:left w:val="outset" w:sz="6" w:space="0" w:color="auto"/>
              <w:bottom w:val="outset" w:sz="6" w:space="0" w:color="auto"/>
              <w:right w:val="outset" w:sz="6" w:space="0" w:color="auto"/>
            </w:tcBorders>
            <w:vAlign w:val="center"/>
            <w:hideMark/>
          </w:tcPr>
          <w:p w14:paraId="168B4F3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69D3B4"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jedinica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EB967A"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Tornjevi i postolja</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8AA59"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Tornjevi</w:t>
            </w:r>
          </w:p>
        </w:tc>
      </w:tr>
      <w:tr w:rsidR="00B77F10" w:rsidRPr="00B77F10" w14:paraId="38416726"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4AB311"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C469DF"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1E498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55F8B99B"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F5542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AA9576"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34D7A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Krug</w:t>
            </w:r>
          </w:p>
        </w:tc>
      </w:tr>
      <w:tr w:rsidR="00B77F10" w:rsidRPr="00B77F10" w14:paraId="3B70497B"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01EFBF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B5006D"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DE63A9"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1464" w:type="dxa"/>
            <w:vMerge/>
            <w:tcBorders>
              <w:top w:val="outset" w:sz="6" w:space="0" w:color="auto"/>
              <w:left w:val="outset" w:sz="6" w:space="0" w:color="auto"/>
              <w:bottom w:val="outset" w:sz="6" w:space="0" w:color="auto"/>
              <w:right w:val="outset" w:sz="6" w:space="0" w:color="auto"/>
            </w:tcBorders>
            <w:vAlign w:val="center"/>
            <w:hideMark/>
          </w:tcPr>
          <w:p w14:paraId="37A23338"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93C99A"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AA061E"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B97953" w14:textId="77777777" w:rsidR="00B77F10" w:rsidRPr="00B77F10" w:rsidRDefault="00B77F10" w:rsidP="00B77F10">
            <w:pPr>
              <w:spacing w:after="0" w:line="240" w:lineRule="auto"/>
              <w:rPr>
                <w:rFonts w:ascii="Times New Roman" w:eastAsia="Times New Roman" w:hAnsi="Times New Roman" w:cs="Times New Roman"/>
                <w:sz w:val="24"/>
                <w:szCs w:val="24"/>
              </w:rPr>
            </w:pPr>
            <w:r>
              <w:rPr>
                <w:rFonts w:ascii="Times New Roman" w:hAnsi="Times New Roman"/>
                <w:sz w:val="24"/>
              </w:rPr>
              <w:br/>
              <w:t>Različiti nosači vanjskih svjetala</w:t>
            </w:r>
          </w:p>
        </w:tc>
      </w:tr>
      <w:tr w:rsidR="00B77F10" w:rsidRPr="00B77F10" w14:paraId="7FE45DDC" w14:textId="77777777" w:rsidTr="00D64750">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BFD5D7"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7B7100" w14:textId="77777777" w:rsidR="00B77F10" w:rsidRPr="00B77F10" w:rsidRDefault="00B77F10" w:rsidP="00B77F10">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AAC2F3"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1F05B5BA"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9650E"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46A4AD"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7284B7B"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r w:rsidR="00B77F10" w:rsidRPr="00B77F10" w14:paraId="5B7FBB52" w14:textId="77777777" w:rsidTr="00D64750">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F1B941"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CE807"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Ostalo</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E204C" w14:textId="77777777" w:rsidR="00B77F10" w:rsidRPr="00B77F10" w:rsidRDefault="00B77F10" w:rsidP="00B77F10">
            <w:pPr>
              <w:spacing w:after="0" w:line="240" w:lineRule="auto"/>
              <w:jc w:val="center"/>
              <w:rPr>
                <w:rFonts w:ascii="Times New Roman" w:eastAsia="Times New Roman" w:hAnsi="Times New Roman" w:cs="Times New Roman"/>
                <w:sz w:val="24"/>
                <w:szCs w:val="24"/>
              </w:rPr>
            </w:pPr>
            <w:r>
              <w:rPr>
                <w:rFonts w:ascii="Times New Roman" w:hAnsi="Times New Roman"/>
                <w:sz w:val="24"/>
              </w:rPr>
              <w:br/>
              <w:t>Razno</w:t>
            </w:r>
          </w:p>
        </w:tc>
        <w:tc>
          <w:tcPr>
            <w:tcW w:w="1464" w:type="dxa"/>
            <w:tcBorders>
              <w:top w:val="outset" w:sz="6" w:space="0" w:color="auto"/>
              <w:left w:val="outset" w:sz="6" w:space="0" w:color="auto"/>
              <w:bottom w:val="outset" w:sz="6" w:space="0" w:color="auto"/>
              <w:right w:val="outset" w:sz="6" w:space="0" w:color="auto"/>
            </w:tcBorders>
            <w:vAlign w:val="center"/>
            <w:hideMark/>
          </w:tcPr>
          <w:p w14:paraId="3769CF96" w14:textId="77777777" w:rsidR="00B77F10" w:rsidRPr="00B77F10" w:rsidRDefault="00B77F10" w:rsidP="00B77F10">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4D8E5F"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5BCD65"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37156" w14:textId="77777777" w:rsidR="00B77F10" w:rsidRPr="00B77F10" w:rsidRDefault="00B77F10" w:rsidP="00B77F10">
            <w:pPr>
              <w:spacing w:after="0" w:line="240" w:lineRule="auto"/>
              <w:rPr>
                <w:rFonts w:ascii="Times New Roman" w:eastAsia="Times New Roman" w:hAnsi="Times New Roman" w:cs="Times New Roman"/>
                <w:sz w:val="20"/>
                <w:szCs w:val="20"/>
                <w:lang w:eastAsia="fr-FR"/>
              </w:rPr>
            </w:pPr>
          </w:p>
        </w:tc>
      </w:tr>
    </w:tbl>
    <w:p w14:paraId="4E4212C7"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Prilog</w:t>
      </w:r>
    </w:p>
    <w:p w14:paraId="57D73BE6"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Članak</w:t>
      </w:r>
    </w:p>
    <w:p w14:paraId="7721DE10" w14:textId="77777777" w:rsidR="00B77F10" w:rsidRPr="004C6E58" w:rsidRDefault="00B77F10" w:rsidP="00B77F10">
      <w:pPr>
        <w:spacing w:before="100" w:beforeAutospacing="1" w:after="100" w:afterAutospacing="1" w:line="240" w:lineRule="auto"/>
        <w:ind w:left="750"/>
        <w:rPr>
          <w:rFonts w:ascii="Times New Roman" w:eastAsia="Times New Roman" w:hAnsi="Times New Roman" w:cs="Times New Roman"/>
          <w:caps/>
          <w:sz w:val="24"/>
          <w:szCs w:val="24"/>
        </w:rPr>
      </w:pPr>
      <w:r>
        <w:rPr>
          <w:rFonts w:ascii="Times New Roman" w:hAnsi="Times New Roman"/>
          <w:sz w:val="24"/>
        </w:rPr>
        <w:br/>
      </w:r>
      <w:r>
        <w:rPr>
          <w:rFonts w:ascii="Times New Roman" w:hAnsi="Times New Roman"/>
          <w:caps/>
          <w:sz w:val="24"/>
        </w:rPr>
        <w:t>Prilog III.</w:t>
      </w:r>
      <w:r>
        <w:rPr>
          <w:rFonts w:ascii="Times New Roman" w:hAnsi="Times New Roman"/>
          <w:caps/>
          <w:sz w:val="24"/>
        </w:rPr>
        <w:br/>
        <w:t>Izračun dobiti i troškova povezanih s oporabom na kraju životnog vijeka</w:t>
      </w:r>
    </w:p>
    <w:p w14:paraId="6951012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caps/>
          <w:sz w:val="24"/>
        </w:rPr>
        <w:br/>
      </w:r>
      <w:r>
        <w:rPr>
          <w:rFonts w:ascii="Times New Roman" w:hAnsi="Times New Roman"/>
          <w:sz w:val="24"/>
        </w:rPr>
        <w:t>Pozitivna vrijednost prikazuje neto rashod, a negativna vrijednost prikazuje neto dobit.</w:t>
      </w:r>
    </w:p>
    <w:p w14:paraId="63A5FA0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U slučaju recikliranja, za određeni tok recikliranog otpada (a time i određeni lambda materijal) primjenjuje se sljedeća formula:</w:t>
      </w:r>
    </w:p>
    <w:p w14:paraId="7175B5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proofErr w:type="spellStart"/>
      <w:r>
        <w:rPr>
          <w:rFonts w:ascii="Times New Roman" w:hAnsi="Times New Roman"/>
          <w:sz w:val="24"/>
        </w:rPr>
        <w:t>ChargeNetRecycl</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 – MS (IS – IV),</w:t>
      </w:r>
      <w:r>
        <w:rPr>
          <w:rFonts w:ascii="Times New Roman" w:hAnsi="Times New Roman"/>
          <w:sz w:val="24"/>
        </w:rPr>
        <w:br/>
        <w:t>gdje je</w:t>
      </w:r>
      <w:r>
        <w:rPr>
          <w:rFonts w:ascii="Times New Roman" w:hAnsi="Times New Roman"/>
          <w:sz w:val="24"/>
        </w:rPr>
        <w:br/>
      </w:r>
      <w:proofErr w:type="spellStart"/>
      <w:r>
        <w:rPr>
          <w:rFonts w:ascii="Times New Roman" w:hAnsi="Times New Roman"/>
          <w:sz w:val="24"/>
        </w:rPr>
        <w:t>MSval</w:t>
      </w:r>
      <w:proofErr w:type="spellEnd"/>
      <w:r>
        <w:rPr>
          <w:rFonts w:ascii="Times New Roman" w:hAnsi="Times New Roman"/>
          <w:sz w:val="24"/>
        </w:rPr>
        <w:t xml:space="preserve"> = masa (kg) sekundarnog materijala koji je stvarno </w:t>
      </w:r>
      <w:proofErr w:type="spellStart"/>
      <w:r>
        <w:rPr>
          <w:rFonts w:ascii="Times New Roman" w:hAnsi="Times New Roman"/>
          <w:sz w:val="24"/>
        </w:rPr>
        <w:t>oporabljen</w:t>
      </w:r>
      <w:proofErr w:type="spellEnd"/>
      <w:r>
        <w:rPr>
          <w:rFonts w:ascii="Times New Roman" w:hAnsi="Times New Roman"/>
          <w:sz w:val="24"/>
        </w:rPr>
        <w:t xml:space="preserve"> iz prikupljene mase zaliha (lambda komponenta materijala u toku „materijali namijenjeni za recikliranje“);</w:t>
      </w:r>
      <w:r>
        <w:rPr>
          <w:rFonts w:ascii="Times New Roman" w:hAnsi="Times New Roman"/>
          <w:sz w:val="24"/>
        </w:rPr>
        <w:br/>
      </w:r>
      <w:proofErr w:type="spellStart"/>
      <w:r>
        <w:rPr>
          <w:rFonts w:ascii="Times New Roman" w:hAnsi="Times New Roman"/>
          <w:sz w:val="24"/>
        </w:rPr>
        <w:t>IVval</w:t>
      </w:r>
      <w:proofErr w:type="spellEnd"/>
      <w:r>
        <w:rPr>
          <w:rFonts w:ascii="Times New Roman" w:hAnsi="Times New Roman"/>
          <w:sz w:val="24"/>
        </w:rPr>
        <w:t xml:space="preserve"> = inventar proizvodnje (po kg) materijala (ili smjese) za koji se reciklirani lambda sekundarni materijal zamjenjuje u silaznom sustavu (tj. ne inventar proizvodnje na kraju proizvodnog lanca, nego materijal iz proizvodnog inventara koji čini taj silazni proizvod);</w:t>
      </w:r>
      <w:r>
        <w:rPr>
          <w:rFonts w:ascii="Times New Roman" w:hAnsi="Times New Roman"/>
          <w:sz w:val="24"/>
        </w:rPr>
        <w:br/>
      </w:r>
      <w:proofErr w:type="spellStart"/>
      <w:r>
        <w:rPr>
          <w:rFonts w:ascii="Times New Roman" w:hAnsi="Times New Roman"/>
          <w:sz w:val="24"/>
        </w:rPr>
        <w:t>ISval</w:t>
      </w:r>
      <w:proofErr w:type="spellEnd"/>
      <w:r>
        <w:rPr>
          <w:rFonts w:ascii="Times New Roman" w:hAnsi="Times New Roman"/>
          <w:sz w:val="24"/>
        </w:rPr>
        <w:t xml:space="preserve"> =inventar (po kg) proizvodnje sekundarnih materijala koji su spremni za uporabu u silaznom sustavu iz zaliha;</w:t>
      </w:r>
      <w:r>
        <w:rPr>
          <w:rFonts w:ascii="Times New Roman" w:hAnsi="Times New Roman"/>
          <w:sz w:val="24"/>
        </w:rPr>
        <w:br/>
        <w:t>MS = masa (u kg) sekundarnog materijala ugrađena u proizvod na koji se odnosi izjava pri proizvodnji (lambda komponente materijala u toku „</w:t>
      </w:r>
      <w:proofErr w:type="spellStart"/>
      <w:r>
        <w:rPr>
          <w:rFonts w:ascii="Times New Roman" w:hAnsi="Times New Roman"/>
          <w:sz w:val="24"/>
        </w:rPr>
        <w:t>uporabasekundarnih</w:t>
      </w:r>
      <w:proofErr w:type="spellEnd"/>
      <w:r>
        <w:rPr>
          <w:rFonts w:ascii="Times New Roman" w:hAnsi="Times New Roman"/>
          <w:sz w:val="24"/>
        </w:rPr>
        <w:t xml:space="preserve"> materijala“);</w:t>
      </w:r>
      <w:r>
        <w:rPr>
          <w:rFonts w:ascii="Times New Roman" w:hAnsi="Times New Roman"/>
          <w:sz w:val="24"/>
        </w:rPr>
        <w:br/>
        <w:t>IV = inventar proizvodnje (po kg) nerabljenih materijala koji se upotrebljavaju za proizvodnju proizvoda na koji se izjava odnosi, u nedostatku bilo kakvog recikliranja materijala;</w:t>
      </w:r>
      <w:r>
        <w:rPr>
          <w:rFonts w:ascii="Times New Roman" w:hAnsi="Times New Roman"/>
          <w:sz w:val="24"/>
        </w:rPr>
        <w:br/>
      </w:r>
      <w:proofErr w:type="spellStart"/>
      <w:r>
        <w:rPr>
          <w:rFonts w:ascii="Times New Roman" w:hAnsi="Times New Roman"/>
          <w:sz w:val="24"/>
        </w:rPr>
        <w:t>Is</w:t>
      </w:r>
      <w:proofErr w:type="spellEnd"/>
      <w:r>
        <w:rPr>
          <w:rFonts w:ascii="Times New Roman" w:hAnsi="Times New Roman"/>
          <w:sz w:val="24"/>
        </w:rPr>
        <w:t xml:space="preserve"> = inventar (po kg) proizvodnje pripremljenog materijala koji se koristi za proizvodnju proizvoda na koji se izjava odnosi.</w:t>
      </w:r>
    </w:p>
    <w:p w14:paraId="4BC4FE0F"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2. U slučaju povrata energije za određeni tok recikliranog otpada primjenjuje se sljedeća formula:</w:t>
      </w:r>
    </w:p>
    <w:p w14:paraId="5F535DF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r>
      <w:proofErr w:type="spellStart"/>
      <w:r>
        <w:rPr>
          <w:rFonts w:ascii="Times New Roman" w:hAnsi="Times New Roman"/>
          <w:sz w:val="24"/>
        </w:rPr>
        <w:t>ChargeNetValoNRJ</w:t>
      </w:r>
      <w:proofErr w:type="spellEnd"/>
      <w:r>
        <w:rPr>
          <w:rFonts w:ascii="Times New Roman" w:hAnsi="Times New Roman"/>
          <w:sz w:val="24"/>
        </w:rPr>
        <w:t xml:space="preserve"> = </w:t>
      </w:r>
      <w:proofErr w:type="spellStart"/>
      <w:r>
        <w:rPr>
          <w:rFonts w:ascii="Times New Roman" w:hAnsi="Times New Roman"/>
          <w:sz w:val="24"/>
        </w:rPr>
        <w:t>MSval</w:t>
      </w:r>
      <w:proofErr w:type="spellEnd"/>
      <w:r>
        <w:rPr>
          <w:rFonts w:ascii="Times New Roman" w:hAnsi="Times New Roman"/>
          <w:sz w:val="24"/>
        </w:rPr>
        <w:t xml:space="preserve"> (</w:t>
      </w:r>
      <w:proofErr w:type="spellStart"/>
      <w:r>
        <w:rPr>
          <w:rFonts w:ascii="Times New Roman" w:hAnsi="Times New Roman"/>
          <w:sz w:val="24"/>
        </w:rPr>
        <w:t>ISval</w:t>
      </w:r>
      <w:proofErr w:type="spellEnd"/>
      <w:r>
        <w:rPr>
          <w:rFonts w:ascii="Times New Roman" w:hAnsi="Times New Roman"/>
          <w:sz w:val="24"/>
        </w:rPr>
        <w:t xml:space="preserve"> – </w:t>
      </w:r>
      <w:proofErr w:type="spellStart"/>
      <w:r>
        <w:rPr>
          <w:rFonts w:ascii="Times New Roman" w:hAnsi="Times New Roman"/>
          <w:sz w:val="24"/>
        </w:rPr>
        <w:t>PCISval</w:t>
      </w:r>
      <w:proofErr w:type="spellEnd"/>
      <w:r>
        <w:rPr>
          <w:rFonts w:ascii="Times New Roman" w:hAnsi="Times New Roman"/>
          <w:sz w:val="24"/>
        </w:rPr>
        <w:t xml:space="preserve"> × </w:t>
      </w:r>
      <w:proofErr w:type="spellStart"/>
      <w:r>
        <w:rPr>
          <w:rFonts w:ascii="Times New Roman" w:hAnsi="Times New Roman"/>
          <w:sz w:val="24"/>
        </w:rPr>
        <w:t>REval</w:t>
      </w:r>
      <w:proofErr w:type="spellEnd"/>
      <w:r>
        <w:rPr>
          <w:rFonts w:ascii="Times New Roman" w:hAnsi="Times New Roman"/>
          <w:sz w:val="24"/>
        </w:rPr>
        <w:t xml:space="preserve"> × </w:t>
      </w:r>
      <w:proofErr w:type="spellStart"/>
      <w:r>
        <w:rPr>
          <w:rFonts w:ascii="Times New Roman" w:hAnsi="Times New Roman"/>
          <w:sz w:val="24"/>
        </w:rPr>
        <w:t>IVval</w:t>
      </w:r>
      <w:proofErr w:type="spellEnd"/>
      <w:r>
        <w:rPr>
          <w:rFonts w:ascii="Times New Roman" w:hAnsi="Times New Roman"/>
          <w:sz w:val="24"/>
        </w:rPr>
        <w:t>),</w:t>
      </w:r>
      <w:r>
        <w:rPr>
          <w:rFonts w:ascii="Times New Roman" w:hAnsi="Times New Roman"/>
          <w:sz w:val="24"/>
        </w:rPr>
        <w:br/>
        <w:t>gdje je</w:t>
      </w:r>
      <w:r>
        <w:rPr>
          <w:rFonts w:ascii="Times New Roman" w:hAnsi="Times New Roman"/>
          <w:sz w:val="24"/>
        </w:rPr>
        <w:br/>
      </w:r>
      <w:proofErr w:type="spellStart"/>
      <w:r>
        <w:rPr>
          <w:rFonts w:ascii="Times New Roman" w:hAnsi="Times New Roman"/>
          <w:sz w:val="24"/>
        </w:rPr>
        <w:t>MSval</w:t>
      </w:r>
      <w:proofErr w:type="spellEnd"/>
      <w:r>
        <w:rPr>
          <w:rFonts w:ascii="Times New Roman" w:hAnsi="Times New Roman"/>
          <w:sz w:val="24"/>
        </w:rPr>
        <w:t xml:space="preserve"> = masa (u kg) stvarno </w:t>
      </w:r>
      <w:proofErr w:type="spellStart"/>
      <w:r>
        <w:rPr>
          <w:rFonts w:ascii="Times New Roman" w:hAnsi="Times New Roman"/>
          <w:sz w:val="24"/>
        </w:rPr>
        <w:t>oporabljenog</w:t>
      </w:r>
      <w:proofErr w:type="spellEnd"/>
      <w:r>
        <w:rPr>
          <w:rFonts w:ascii="Times New Roman" w:hAnsi="Times New Roman"/>
          <w:sz w:val="24"/>
        </w:rPr>
        <w:t xml:space="preserve"> sekundarnog materijala od prikupljene mase zaliha (lambda komponenta(e) materijala „materijali za energetsku oporabu”);</w:t>
      </w:r>
      <w:r>
        <w:rPr>
          <w:rFonts w:ascii="Times New Roman" w:hAnsi="Times New Roman"/>
          <w:sz w:val="24"/>
        </w:rPr>
        <w:br/>
      </w:r>
      <w:proofErr w:type="spellStart"/>
      <w:r>
        <w:rPr>
          <w:rFonts w:ascii="Times New Roman" w:hAnsi="Times New Roman"/>
          <w:sz w:val="24"/>
        </w:rPr>
        <w:t>IVval</w:t>
      </w:r>
      <w:proofErr w:type="spellEnd"/>
      <w:r>
        <w:rPr>
          <w:rFonts w:ascii="Times New Roman" w:hAnsi="Times New Roman"/>
          <w:sz w:val="24"/>
        </w:rPr>
        <w:t xml:space="preserve"> = inventar proizvodnje (po kg) energije za koju se u sustavu na kraju proizvodnog lanca nadomjesti energija dobivena recikliranjem sekundarnih materijala (tj. ne u proizvodnom inventaru sustava na kraju proizvodnog lanca kojem će sekundarni materijal doprinijeti, već u proizvodnji energije koju troši sustav na kraju proizvodnog lanca, izraženo u isporučenom MJ);</w:t>
      </w:r>
      <w:r>
        <w:rPr>
          <w:rFonts w:ascii="Times New Roman" w:hAnsi="Times New Roman"/>
          <w:sz w:val="24"/>
        </w:rPr>
        <w:br/>
      </w:r>
      <w:proofErr w:type="spellStart"/>
      <w:r>
        <w:rPr>
          <w:rFonts w:ascii="Times New Roman" w:hAnsi="Times New Roman"/>
          <w:sz w:val="24"/>
        </w:rPr>
        <w:t>ISval</w:t>
      </w:r>
      <w:proofErr w:type="spellEnd"/>
      <w:r>
        <w:rPr>
          <w:rFonts w:ascii="Times New Roman" w:hAnsi="Times New Roman"/>
          <w:sz w:val="24"/>
        </w:rPr>
        <w:t xml:space="preserve"> = popis (po kg) energije od recikliranja sekundarne sirovine iz zaliha za koji je referentni tok masa recikliranog sekundarnog materijala;</w:t>
      </w:r>
      <w:r>
        <w:rPr>
          <w:rFonts w:ascii="Times New Roman" w:hAnsi="Times New Roman"/>
          <w:sz w:val="24"/>
        </w:rPr>
        <w:br/>
      </w:r>
      <w:proofErr w:type="spellStart"/>
      <w:r>
        <w:rPr>
          <w:rFonts w:ascii="Times New Roman" w:hAnsi="Times New Roman"/>
          <w:sz w:val="24"/>
        </w:rPr>
        <w:t>PCISval</w:t>
      </w:r>
      <w:proofErr w:type="spellEnd"/>
      <w:r>
        <w:rPr>
          <w:rFonts w:ascii="Times New Roman" w:hAnsi="Times New Roman"/>
          <w:sz w:val="24"/>
        </w:rPr>
        <w:t xml:space="preserve"> = IBD (MJ/kg) </w:t>
      </w:r>
      <w:proofErr w:type="spellStart"/>
      <w:r>
        <w:rPr>
          <w:rFonts w:ascii="Times New Roman" w:hAnsi="Times New Roman"/>
          <w:sz w:val="24"/>
        </w:rPr>
        <w:t>oporabljenog</w:t>
      </w:r>
      <w:proofErr w:type="spellEnd"/>
      <w:r>
        <w:rPr>
          <w:rFonts w:ascii="Times New Roman" w:hAnsi="Times New Roman"/>
          <w:sz w:val="24"/>
        </w:rPr>
        <w:t xml:space="preserve"> sekundarnog materijala;</w:t>
      </w:r>
      <w:r>
        <w:rPr>
          <w:rFonts w:ascii="Times New Roman" w:hAnsi="Times New Roman"/>
          <w:sz w:val="24"/>
        </w:rPr>
        <w:br/>
      </w:r>
      <w:proofErr w:type="spellStart"/>
      <w:r>
        <w:rPr>
          <w:rFonts w:ascii="Times New Roman" w:hAnsi="Times New Roman"/>
          <w:sz w:val="24"/>
        </w:rPr>
        <w:t>Reval</w:t>
      </w:r>
      <w:proofErr w:type="spellEnd"/>
      <w:r>
        <w:rPr>
          <w:rFonts w:ascii="Times New Roman" w:hAnsi="Times New Roman"/>
          <w:sz w:val="24"/>
        </w:rPr>
        <w:t xml:space="preserve"> = energetska proizvodnja </w:t>
      </w:r>
      <w:proofErr w:type="spellStart"/>
      <w:r>
        <w:rPr>
          <w:rFonts w:ascii="Times New Roman" w:hAnsi="Times New Roman"/>
          <w:sz w:val="24"/>
        </w:rPr>
        <w:t>oporabljenog</w:t>
      </w:r>
      <w:proofErr w:type="spellEnd"/>
      <w:r>
        <w:rPr>
          <w:rFonts w:ascii="Times New Roman" w:hAnsi="Times New Roman"/>
          <w:sz w:val="24"/>
        </w:rPr>
        <w:t xml:space="preserve"> sekundarnog materijala za recikliranje energije.</w:t>
      </w:r>
      <w:r>
        <w:rPr>
          <w:rFonts w:ascii="Times New Roman" w:hAnsi="Times New Roman"/>
          <w:sz w:val="24"/>
        </w:rPr>
        <w:br/>
        <w:t>Ukupna korist za prijavljeni proizvod dobiva se kao zbroj svih zajedničkih koristi izračunanih za svaki od materijala/tokova.</w:t>
      </w:r>
    </w:p>
    <w:p w14:paraId="1C47ADE3" w14:textId="77777777" w:rsidR="00B77F10" w:rsidRPr="00B77F10" w:rsidRDefault="00B77F10" w:rsidP="00B77F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Prilog</w:t>
      </w:r>
    </w:p>
    <w:p w14:paraId="04E68DF3" w14:textId="77777777" w:rsidR="00B77F10" w:rsidRPr="00B77F10" w:rsidRDefault="00B77F10" w:rsidP="00B77F10">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Članak</w:t>
      </w:r>
    </w:p>
    <w:p w14:paraId="1BE04466"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PRILOG IV.</w:t>
      </w:r>
      <w:r>
        <w:rPr>
          <w:rFonts w:ascii="Times New Roman" w:hAnsi="Times New Roman"/>
          <w:sz w:val="24"/>
        </w:rPr>
        <w:br/>
        <w:t>OKVIR ZA VALJANOST SKUPNIH IZJAVA O OKOLIŠU ZA PROIZVODE</w:t>
      </w:r>
    </w:p>
    <w:p w14:paraId="05ACBB79"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1. Ujednačenost</w:t>
      </w:r>
      <w:r>
        <w:rPr>
          <w:rFonts w:ascii="Times New Roman" w:hAnsi="Times New Roman"/>
          <w:sz w:val="24"/>
        </w:rPr>
        <w:br/>
        <w:t>Analiza životnog ciklusa (LCA) sastoji se od velike količine podataka za brojne scenarije. Određeni podaci prikupljaju se na licu mjesta, neki se izračunavaju, a neki su procijenjeni. Stoga su podaci koji se koriste za LCA podaci s određenom razinom nesigurnosti. Prema tome, rezultat analize LCA prilično osjetljiv na razlike u ulaznim podacima.</w:t>
      </w:r>
      <w:r>
        <w:rPr>
          <w:rFonts w:ascii="Times New Roman" w:hAnsi="Times New Roman"/>
          <w:sz w:val="24"/>
        </w:rPr>
        <w:br/>
        <w:t>U skladu s člankom 8. ove Odluke, učinci na okoliš prijavljenih subjekata koji se koriste istom skupnom izjavom o okolišu moraju biti ujednačeni. Tako će skupna izjava o okolišu obuhvatiti ekološki ujednačene proizvode ako je moguće osigurati da svi obuhvaćeni proizvodi prijavljuju učinke na okoliš ispod granične vrijednosti ako su u skladu s okvirom valjanosti koji se povezuje s tom zajedničkom izjavom o okolišu.</w:t>
      </w:r>
      <w:r>
        <w:rPr>
          <w:rFonts w:ascii="Times New Roman" w:hAnsi="Times New Roman"/>
          <w:sz w:val="24"/>
        </w:rPr>
        <w:br/>
        <w:t>Prihvaća se da bi se ta ujednačenost trebala dokazati samo za određene kontrolne indikatore.</w:t>
      </w:r>
      <w:r>
        <w:rPr>
          <w:rFonts w:ascii="Times New Roman" w:hAnsi="Times New Roman"/>
          <w:sz w:val="24"/>
        </w:rPr>
        <w:br/>
        <w:t>Za indikatore LCA, dokazivanje ujednačenosti provodi se analizom osjetljivosti nesigurnih parametara i parametara koji se razlikuju među prijaviteljima registracije. Snažno se preporučuje da se ta analiza provede u ranoj fazi postupka procjene životnog vijeka i da se na temelju te analize izradi skupna izjava o okolišu.</w:t>
      </w:r>
      <w:r>
        <w:rPr>
          <w:rFonts w:ascii="Times New Roman" w:hAnsi="Times New Roman"/>
          <w:sz w:val="24"/>
        </w:rPr>
        <w:br/>
        <w:t>2. Analiza osjetljivosti</w:t>
      </w:r>
      <w:r>
        <w:rPr>
          <w:rFonts w:ascii="Times New Roman" w:hAnsi="Times New Roman"/>
          <w:sz w:val="24"/>
        </w:rPr>
        <w:br/>
        <w:t>Analiza osjetljivosti LCA mora uključivati sljedeće faze:</w:t>
      </w:r>
    </w:p>
    <w:p w14:paraId="4EA0D03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odabir kontrolnih indikatora;</w:t>
      </w:r>
      <w:r>
        <w:rPr>
          <w:rFonts w:ascii="Times New Roman" w:hAnsi="Times New Roman"/>
          <w:sz w:val="24"/>
        </w:rPr>
        <w:br/>
      </w:r>
      <w:r>
        <w:rPr>
          <w:rFonts w:ascii="Times New Roman" w:hAnsi="Times New Roman"/>
          <w:sz w:val="24"/>
        </w:rPr>
        <w:lastRenderedPageBreak/>
        <w:t>(b) identifikacija osjetljivih parametara: ispitivanje doprinosa za utvrđivanje ulaznih parametara koji najviše pridonose objašnjavanju vrijednosti kontrolnih indikatora (rezultati LCA-a);</w:t>
      </w:r>
      <w:r>
        <w:rPr>
          <w:rFonts w:ascii="Times New Roman" w:hAnsi="Times New Roman"/>
          <w:sz w:val="24"/>
        </w:rPr>
        <w:br/>
        <w:t>(c) određivanje raspona varijacija u osjetljivim parametrima (parametri ograničenja i svaka statistička raspodjela);</w:t>
      </w:r>
      <w:r>
        <w:rPr>
          <w:rFonts w:ascii="Times New Roman" w:hAnsi="Times New Roman"/>
          <w:sz w:val="24"/>
        </w:rPr>
        <w:br/>
        <w:t>(d) simulacije s parametrima na temelju faza b i c.</w:t>
      </w:r>
    </w:p>
    <w:p w14:paraId="0A5FF3B2"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Analiza osjetljivosti može se ponavljati. Rezultat analize osjetljivosti mora biti:</w:t>
      </w:r>
    </w:p>
    <w:p w14:paraId="1E14ABDD"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popis čimbenika koji utječu na rezultate LCA (osjetljivi parametri) i njihova odobrena područja promjene (ovaj popis je polje valjanosti);</w:t>
      </w:r>
      <w:r>
        <w:rPr>
          <w:rFonts w:ascii="Times New Roman" w:hAnsi="Times New Roman"/>
          <w:sz w:val="24"/>
        </w:rPr>
        <w:br/>
        <w:t>(b) za svaki kontrolni indikator, vjerojatan interval promjene (95 %-</w:t>
      </w:r>
      <w:proofErr w:type="spellStart"/>
      <w:r>
        <w:rPr>
          <w:rFonts w:ascii="Times New Roman" w:hAnsi="Times New Roman"/>
          <w:sz w:val="24"/>
        </w:rPr>
        <w:t>tni</w:t>
      </w:r>
      <w:proofErr w:type="spellEnd"/>
      <w:r>
        <w:rPr>
          <w:rFonts w:ascii="Times New Roman" w:hAnsi="Times New Roman"/>
          <w:sz w:val="24"/>
        </w:rPr>
        <w:t xml:space="preserve"> interval pouzdanosti) vrijednosti indikatora dobiven simulacijama parametara.</w:t>
      </w:r>
    </w:p>
    <w:p w14:paraId="1A11F99B"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Faza 1.: odabir kontrolnih indikatora</w:t>
      </w:r>
      <w:r>
        <w:rPr>
          <w:rFonts w:ascii="Times New Roman" w:hAnsi="Times New Roman"/>
          <w:sz w:val="24"/>
        </w:rPr>
        <w:br/>
        <w:t>Odabir kontrolnih indikatora mora biti razuman. Oni se biraju od slučaja do slučaja među indikatorima navedenima u članku 3. ove Odluke. Njihov odabir treba biti opravdan. Potrebno je proučiti barem sljedeće indikatore:</w:t>
      </w:r>
    </w:p>
    <w:p w14:paraId="3EA16B40" w14:textId="17B3E66D"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globalno zatopljenje</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uporaba primarne energije iz neobnovljivih izvora, isključujući neobnovljive izvore primarne energije koji se upotrebljavaju kao sirovine</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zbrinuti neopasni otpad.</w:t>
      </w:r>
    </w:p>
    <w:p w14:paraId="519C5C14"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Faza 2.: utvrđivanje osjetljivih parametara</w:t>
      </w:r>
      <w:r>
        <w:rPr>
          <w:rFonts w:ascii="Times New Roman" w:hAnsi="Times New Roman"/>
          <w:sz w:val="24"/>
        </w:rPr>
        <w:br/>
        <w:t>Za svaki kontrolni indikator treba provesti analizu osjetljivih parametara. U tu se svrhu predlaže da se, kao početni pristup, učinci podijele s obzirom na postupke uključene u životni ciklus. Ta bi se analiza trebala temeljiti na referentnom scenariju opisanom u analizi osjetljivosti.</w:t>
      </w:r>
      <w:r>
        <w:rPr>
          <w:rFonts w:ascii="Times New Roman" w:hAnsi="Times New Roman"/>
          <w:sz w:val="24"/>
        </w:rPr>
        <w:br/>
        <w:t>Preporučuje se razmatranje svih postupaka:</w:t>
      </w:r>
    </w:p>
    <w:p w14:paraId="76853F55" w14:textId="04424758"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čiji je doprinos iznad 5 % u referentnom scenariju jednog od kontrolnih indikatora,</w:t>
      </w:r>
      <w:r>
        <w:rPr>
          <w:rFonts w:ascii="Times New Roman" w:hAnsi="Times New Roman"/>
          <w:sz w:val="24"/>
        </w:rPr>
        <w:br/>
      </w:r>
      <w:r w:rsidR="000B158E">
        <w:rPr>
          <w:rFonts w:ascii="Times New Roman" w:hAnsi="Times New Roman"/>
          <w:sz w:val="24"/>
        </w:rPr>
        <w:t>-</w:t>
      </w:r>
      <w:r>
        <w:rPr>
          <w:rFonts w:ascii="Times New Roman" w:hAnsi="Times New Roman"/>
          <w:sz w:val="24"/>
        </w:rPr>
        <w:t xml:space="preserve"> ili kumulativni učinci koji predstavljaju najmanje 80 % učinaka jednog od kontrolnih indikatora.</w:t>
      </w:r>
    </w:p>
    <w:p w14:paraId="70DB9870"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Parametri modela LCA (koji ulaze u postupak ili izlaze iz postupka, unutarnji parametar </w:t>
      </w:r>
      <w:proofErr w:type="spellStart"/>
      <w:r>
        <w:rPr>
          <w:rFonts w:ascii="Times New Roman" w:hAnsi="Times New Roman"/>
          <w:sz w:val="24"/>
        </w:rPr>
        <w:t>modelizacije</w:t>
      </w:r>
      <w:proofErr w:type="spellEnd"/>
      <w:r>
        <w:rPr>
          <w:rFonts w:ascii="Times New Roman" w:hAnsi="Times New Roman"/>
          <w:sz w:val="24"/>
        </w:rPr>
        <w:t xml:space="preserve"> procesa, itd.) koji mijenjaju taj doprinos trebaju se utvrditi. To su parametri koji se smatraju osjetljivima.</w:t>
      </w:r>
      <w:r>
        <w:rPr>
          <w:rFonts w:ascii="Times New Roman" w:hAnsi="Times New Roman"/>
          <w:sz w:val="24"/>
        </w:rPr>
        <w:br/>
        <w:t>Na kraju te analize podnositelj registracije imat će popis postupaka koji najviše pridonose kontrolnim indikatorima tijekom cijelog životnog vijeka i popis osjetljivih parametara.</w:t>
      </w:r>
      <w:r>
        <w:rPr>
          <w:rFonts w:ascii="Times New Roman" w:hAnsi="Times New Roman"/>
          <w:sz w:val="24"/>
        </w:rPr>
        <w:br/>
        <w:t>Faza 3.: definicija raspona promjene osjetljivih parametara</w:t>
      </w:r>
      <w:r>
        <w:rPr>
          <w:rFonts w:ascii="Times New Roman" w:hAnsi="Times New Roman"/>
          <w:sz w:val="24"/>
        </w:rPr>
        <w:br/>
        <w:t xml:space="preserve">Ova faza sastoji se od utvrđivanja raspona odstupanja za svaki osjetljivi parametar. </w:t>
      </w:r>
      <w:r>
        <w:rPr>
          <w:rFonts w:ascii="Times New Roman" w:hAnsi="Times New Roman"/>
          <w:sz w:val="24"/>
        </w:rPr>
        <w:lastRenderedPageBreak/>
        <w:t>Taj bi raspon tada trebalo predložiti najmanje u obliku intervala. Ako je poznato, može se predvidjeti zakon za raspodjelu parametra u gore definiranom intervalu.</w:t>
      </w:r>
      <w:r>
        <w:rPr>
          <w:rFonts w:ascii="Times New Roman" w:hAnsi="Times New Roman"/>
          <w:sz w:val="24"/>
        </w:rPr>
        <w:br/>
        <w:t>Nakon ove faze, svaki osjetljivi parametar povezan je s nizom promjena.</w:t>
      </w:r>
      <w:r>
        <w:rPr>
          <w:rFonts w:ascii="Times New Roman" w:hAnsi="Times New Roman"/>
          <w:sz w:val="24"/>
        </w:rPr>
        <w:br/>
        <w:t>Faza 4.: Izračun promjenjivosti indikatora</w:t>
      </w:r>
      <w:r>
        <w:rPr>
          <w:rFonts w:ascii="Times New Roman" w:hAnsi="Times New Roman"/>
          <w:sz w:val="24"/>
        </w:rPr>
        <w:br/>
        <w:t>Na temelju faza 2. i 3. u ovoj se fazi primjenjuje odgovarajuća matematička metoda za određivanje područja varijacija indikatora (maksimalne vrijednosti, srednje vrijednosti i minimalne vrijednosti) pri podvrgavanju modela LCA promjenama osjetljivih parametara.</w:t>
      </w:r>
      <w:r>
        <w:rPr>
          <w:rFonts w:ascii="Times New Roman" w:hAnsi="Times New Roman"/>
          <w:sz w:val="24"/>
        </w:rPr>
        <w:br/>
        <w:t>Rezultat faze 4. niz je raspona vrijednosti prema svim indikatorima obuhvaćenim analizom osjetljivosti.</w:t>
      </w:r>
      <w:r>
        <w:rPr>
          <w:rFonts w:ascii="Times New Roman" w:hAnsi="Times New Roman"/>
          <w:sz w:val="24"/>
        </w:rPr>
        <w:br/>
        <w:t>Izračun promjenjivosti indikatora obuhvaća barem osjetljive parametre koji se odnose na elemente iz članka 8. ove Odluke.</w:t>
      </w:r>
      <w:r>
        <w:rPr>
          <w:rFonts w:ascii="Times New Roman" w:hAnsi="Times New Roman"/>
          <w:sz w:val="24"/>
        </w:rPr>
        <w:br/>
        <w:t>Faze 3. i 4. mogu se provesti ponavljanjem radi prilagodbe raspona osjetljivih parametara zahtjevima za ujednačenost.</w:t>
      </w:r>
      <w:r>
        <w:rPr>
          <w:rFonts w:ascii="Times New Roman" w:hAnsi="Times New Roman"/>
          <w:sz w:val="24"/>
        </w:rPr>
        <w:br/>
        <w:t>Izvješće o analizi osjetljivosti</w:t>
      </w:r>
      <w:r>
        <w:rPr>
          <w:rFonts w:ascii="Times New Roman" w:hAnsi="Times New Roman"/>
          <w:sz w:val="24"/>
        </w:rPr>
        <w:br/>
        <w:t>Izvješće sadržava stavke koje odgovaraju četirima fazama analize osjetljivosti i konačni ishod analize osjetljivosti, uključujući opseg valjanosti zajedničke izjave o okolišu i raspone različitih kontrolnih indikatora.</w:t>
      </w:r>
      <w:r>
        <w:rPr>
          <w:rFonts w:ascii="Times New Roman" w:hAnsi="Times New Roman"/>
          <w:sz w:val="24"/>
        </w:rPr>
        <w:br/>
        <w:t>3. Analiza osjetljivosti i prijavljene ekološke vrijednosti</w:t>
      </w:r>
      <w:r>
        <w:rPr>
          <w:rFonts w:ascii="Times New Roman" w:hAnsi="Times New Roman"/>
          <w:sz w:val="24"/>
        </w:rPr>
        <w:br/>
        <w:t>Rezultati analize osjetljivosti uvjetuju okolišne vrijednosti prijavljene u zajedničkoj izjavi o okolišu, kako je navedeno u članku 8. ove Odluke.</w:t>
      </w:r>
      <w:r>
        <w:rPr>
          <w:rFonts w:ascii="Times New Roman" w:hAnsi="Times New Roman"/>
          <w:sz w:val="24"/>
        </w:rPr>
        <w:br/>
        <w:t>Kada je najveća vrijednost (ili najveća pri 95 % pouzdanosti, ako se primjenjuje statistički pristup) niza izmjena svakog kontrolnog indikatora učinka na okoliš manja od srednje vrijednosti indikatora pomnožene s graničnom vrijednosti (navedenom u članku 8. ove Odluke) ili jednaka njoj, vrijednosti prijavljenih indikatora učinka na okoliš izračunavaju se s prosječnim vrijednostima osjetljivih parametara. Ako nije, tj. ako barem jedan od indikatora učinka na okoliš ima najveću vrijednost veću od prosječne vrijednosti indikatora pomnožene s graničnom vrijednošću (navedenom u članku 8. ove Odluke), mora se prijaviti najnepovoljnija granica (najveća vrijednost koju indikator može postići ako odražava trošak i najmanja vrijednost ako odražava korist). Ako indikator odražava trošak, ta granica odgovara vrijednosti indikatora dobivenih kad se upotrebljavaju najveće vrijednosti (ili najveća s vjerojatnošću od 95 % ako se primjenjuje statistički pristup) osjetljivih parametara.</w:t>
      </w:r>
      <w:r>
        <w:rPr>
          <w:rFonts w:ascii="Times New Roman" w:hAnsi="Times New Roman"/>
          <w:sz w:val="24"/>
        </w:rPr>
        <w:br/>
        <w:t>4. Precizna identifikacija proizvoda obuhvaćenih izjavom</w:t>
      </w:r>
      <w:r>
        <w:rPr>
          <w:rFonts w:ascii="Times New Roman" w:hAnsi="Times New Roman"/>
          <w:sz w:val="24"/>
        </w:rPr>
        <w:br/>
        <w:t>Kako bi se utvrdilo je li proizvod moguće obuhvatiti skupnom izjavom o okolišu, potrebno je utvrditi je li proizvod sličan obuhvaćenoj vrsti proizvoda i je li prijavitelj registracije tog proizvoda ovlašten upotrebljavati tu skupnu izjavu o okolišu.</w:t>
      </w:r>
      <w:r>
        <w:rPr>
          <w:rFonts w:ascii="Times New Roman" w:hAnsi="Times New Roman"/>
          <w:sz w:val="24"/>
        </w:rPr>
        <w:br/>
        <w:t>Identifikacija vrste proizvoda</w:t>
      </w:r>
      <w:r>
        <w:rPr>
          <w:rFonts w:ascii="Times New Roman" w:hAnsi="Times New Roman"/>
          <w:sz w:val="24"/>
        </w:rPr>
        <w:br/>
        <w:t>Vrsta proizvoda mora se biti pravilno definirati i opisati kako bi se olakšalo usklađivanje opisa proizvoda i opisa vrste proizvoda. Opis standardnog proizvoda mora sadržavati barem sljedeće:</w:t>
      </w:r>
    </w:p>
    <w:p w14:paraId="3373E491"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 popis glavnih ili prevladavajućih materijala;</w:t>
      </w:r>
      <w:r>
        <w:rPr>
          <w:rFonts w:ascii="Times New Roman" w:hAnsi="Times New Roman"/>
          <w:sz w:val="24"/>
        </w:rPr>
        <w:br/>
        <w:t>(b) informacije o funkcionalnosti ili razini učinkovitosti.</w:t>
      </w:r>
    </w:p>
    <w:p w14:paraId="00146D7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Ta identifikacijska oznaka mora biti dovoljna za brzo i nedvojbeno utvrđivanje može li određeni proizvod biti obuhvaćen skupnom izjavom.</w:t>
      </w:r>
      <w:r>
        <w:rPr>
          <w:rFonts w:ascii="Times New Roman" w:hAnsi="Times New Roman"/>
          <w:sz w:val="24"/>
        </w:rPr>
        <w:br/>
        <w:t xml:space="preserve">Identifikacija prijavitelja registracije koji mogu upotrebljavati zajedničku izjavu o </w:t>
      </w:r>
      <w:r>
        <w:rPr>
          <w:rFonts w:ascii="Times New Roman" w:hAnsi="Times New Roman"/>
          <w:sz w:val="24"/>
        </w:rPr>
        <w:lastRenderedPageBreak/>
        <w:t>okolišu</w:t>
      </w:r>
      <w:r>
        <w:rPr>
          <w:rFonts w:ascii="Times New Roman" w:hAnsi="Times New Roman"/>
          <w:sz w:val="24"/>
        </w:rPr>
        <w:br/>
        <w:t>Budući da je zajednička izjava o okolišu vlasništvo i odgovornost određene skupine, ta skupina može odlučiti da samo neki prijavitelji registracije mogu koristiti tu skupnu izjavu o okolišu.</w:t>
      </w:r>
      <w:r>
        <w:rPr>
          <w:rFonts w:ascii="Times New Roman" w:hAnsi="Times New Roman"/>
          <w:sz w:val="24"/>
        </w:rPr>
        <w:br/>
        <w:t>Popis prijavitelja registracije koji imaju odobrenje za upotrebu skupne izjave o okolišu mora biti priložen:</w:t>
      </w:r>
    </w:p>
    <w:p w14:paraId="2AB81917" w14:textId="7587DC5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bilo u obliku konačnog popisa imena, ili</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 obliku uvjeta za članstvo u određenoj zajednici (udruženju, sindikatu, potpisnicima povelje dobre prakse itd.). U tom slučaju, popis članova te zajednice mora biti javno dostupan.</w:t>
      </w:r>
    </w:p>
    <w:p w14:paraId="73A75D4C"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5. Sadržaj okvira valjanosti</w:t>
      </w:r>
      <w:r>
        <w:rPr>
          <w:rFonts w:ascii="Times New Roman" w:hAnsi="Times New Roman"/>
          <w:sz w:val="24"/>
        </w:rPr>
        <w:br/>
        <w:t>Okvir valjanosti sadrži najmanje:</w:t>
      </w:r>
    </w:p>
    <w:p w14:paraId="76B32132" w14:textId="092B3A38"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Utvrđivanje vrste proizvoda (obvezno);</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Proizvode obuhvaćeni zajedničkom izjavom o okolišu</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Identifikaciju prijavitelja registracije koji mogu upotrebljavati skupnu izjavu o okolišu;</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Izvješće o studiji osjetljivosti, uključujući raspon valjanosti i dokaz da su prijavljene vrijednosti identifikatora ujednačene.</w:t>
      </w:r>
    </w:p>
    <w:p w14:paraId="510D6D47" w14:textId="77777777"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6. Primjena okvira valjanosti</w:t>
      </w:r>
      <w:r>
        <w:rPr>
          <w:rFonts w:ascii="Times New Roman" w:hAnsi="Times New Roman"/>
          <w:sz w:val="24"/>
        </w:rPr>
        <w:br/>
        <w:t>Kako bi prijavitelj registracije mogao koristiti skupnu izjavu o okolišu za svoj proizvod, mora dostaviti dokaze:</w:t>
      </w:r>
    </w:p>
    <w:p w14:paraId="0B262F36" w14:textId="59A32BE6" w:rsidR="00B77F10" w:rsidRPr="00B77F10" w:rsidRDefault="00B77F10" w:rsidP="00B77F10">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da je njihov proizvod u skladu s „vrstom proizvoda“ obuhvaćenom skupnom izjavom o okolišu;</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da se nalazi na popisu prijavitelja registracije koji imaju odobrenje za uporabu te skupne izjave o okolišu;</w:t>
      </w:r>
      <w:r>
        <w:rPr>
          <w:rFonts w:ascii="Times New Roman" w:hAnsi="Times New Roman"/>
          <w:sz w:val="24"/>
        </w:rPr>
        <w:br/>
      </w:r>
      <w:r w:rsidR="000B158E">
        <w:rPr>
          <w:rFonts w:ascii="Times New Roman" w:hAnsi="Times New Roman"/>
          <w:sz w:val="24"/>
        </w:rPr>
        <w:t xml:space="preserve">- </w:t>
      </w:r>
      <w:r>
        <w:rPr>
          <w:rFonts w:ascii="Times New Roman" w:hAnsi="Times New Roman"/>
          <w:sz w:val="24"/>
        </w:rPr>
        <w:t>da je u skladu s opsegom valjanosti predmetne skupne izjave o okolišu.</w:t>
      </w:r>
    </w:p>
    <w:p w14:paraId="52EDEC1B"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Sastavljeno 14. prosinca 2021.</w:t>
      </w:r>
    </w:p>
    <w:p w14:paraId="0C879836"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Ministar izaslanik ministra ekološke tranzicije, nadležan za stanovanje,</w:t>
      </w:r>
      <w:r>
        <w:rPr>
          <w:rFonts w:ascii="Times New Roman" w:hAnsi="Times New Roman"/>
          <w:sz w:val="24"/>
        </w:rPr>
        <w:br/>
        <w:t>za ministra i po ovlaštenju:</w:t>
      </w:r>
      <w:r>
        <w:rPr>
          <w:rFonts w:ascii="Times New Roman" w:hAnsi="Times New Roman"/>
          <w:sz w:val="24"/>
        </w:rPr>
        <w:br/>
        <w:t>Ravnatelj Uprave za stanovanje, prostorno uređenje i planiranje,</w:t>
      </w:r>
      <w:r>
        <w:rPr>
          <w:rFonts w:ascii="Times New Roman" w:hAnsi="Times New Roman"/>
          <w:sz w:val="24"/>
        </w:rPr>
        <w:br/>
        <w:t>F. Adam</w:t>
      </w:r>
    </w:p>
    <w:p w14:paraId="48E6FF45" w14:textId="77777777" w:rsidR="00B77F10" w:rsidRPr="00B77F10" w:rsidRDefault="00B77F10" w:rsidP="00B77F10">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Ministar ekološke tranzicije,</w:t>
      </w:r>
      <w:r>
        <w:rPr>
          <w:rFonts w:ascii="Times New Roman" w:hAnsi="Times New Roman"/>
          <w:sz w:val="24"/>
        </w:rPr>
        <w:br/>
        <w:t>za ministra i po ovlaštenju:</w:t>
      </w:r>
      <w:r>
        <w:rPr>
          <w:rFonts w:ascii="Times New Roman" w:hAnsi="Times New Roman"/>
          <w:sz w:val="24"/>
        </w:rPr>
        <w:br/>
      </w:r>
      <w:r>
        <w:rPr>
          <w:rFonts w:ascii="Times New Roman" w:hAnsi="Times New Roman"/>
          <w:sz w:val="24"/>
        </w:rPr>
        <w:lastRenderedPageBreak/>
        <w:t>Ravnatelj Uprave za stanovanje, prostorno uređenje i planiranje,</w:t>
      </w:r>
      <w:r>
        <w:rPr>
          <w:rFonts w:ascii="Times New Roman" w:hAnsi="Times New Roman"/>
          <w:sz w:val="24"/>
        </w:rPr>
        <w:br/>
        <w:t>F. Adam</w:t>
      </w:r>
    </w:p>
    <w:p w14:paraId="60DBE7FC" w14:textId="77777777" w:rsidR="003F2E4D" w:rsidRDefault="003F2E4D"/>
    <w:sectPr w:rsidR="003F2E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3238A"/>
    <w:multiLevelType w:val="multilevel"/>
    <w:tmpl w:val="2E7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9316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10"/>
    <w:rsid w:val="000B158E"/>
    <w:rsid w:val="003541DB"/>
    <w:rsid w:val="003F2E4D"/>
    <w:rsid w:val="004C6E58"/>
    <w:rsid w:val="00657670"/>
    <w:rsid w:val="00B77F10"/>
    <w:rsid w:val="00D647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F10BA"/>
  <w15:chartTrackingRefBased/>
  <w15:docId w15:val="{D03BDE15-C2C6-4E01-BA6D-D82317C6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7F1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Heading3">
    <w:name w:val="heading 3"/>
    <w:basedOn w:val="Normal"/>
    <w:link w:val="Heading3Char"/>
    <w:uiPriority w:val="9"/>
    <w:qFormat/>
    <w:rsid w:val="00B77F1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Heading4">
    <w:name w:val="heading 4"/>
    <w:basedOn w:val="Normal"/>
    <w:link w:val="Heading4Char"/>
    <w:uiPriority w:val="9"/>
    <w:qFormat/>
    <w:rsid w:val="00B77F10"/>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F10"/>
    <w:rPr>
      <w:rFonts w:ascii="Times New Roman" w:eastAsia="Times New Roman" w:hAnsi="Times New Roman" w:cs="Times New Roman"/>
      <w:b/>
      <w:bCs/>
      <w:sz w:val="36"/>
      <w:szCs w:val="36"/>
      <w:lang w:eastAsia="fr-FR"/>
    </w:rPr>
  </w:style>
  <w:style w:type="character" w:customStyle="1" w:styleId="Heading3Char">
    <w:name w:val="Heading 3 Char"/>
    <w:basedOn w:val="DefaultParagraphFont"/>
    <w:link w:val="Heading3"/>
    <w:uiPriority w:val="9"/>
    <w:rsid w:val="00B77F10"/>
    <w:rPr>
      <w:rFonts w:ascii="Times New Roman" w:eastAsia="Times New Roman" w:hAnsi="Times New Roman" w:cs="Times New Roman"/>
      <w:b/>
      <w:bCs/>
      <w:sz w:val="27"/>
      <w:szCs w:val="27"/>
      <w:lang w:eastAsia="fr-FR"/>
    </w:rPr>
  </w:style>
  <w:style w:type="character" w:customStyle="1" w:styleId="Heading4Char">
    <w:name w:val="Heading 4 Char"/>
    <w:basedOn w:val="DefaultParagraphFont"/>
    <w:link w:val="Heading4"/>
    <w:uiPriority w:val="9"/>
    <w:rsid w:val="00B77F10"/>
    <w:rPr>
      <w:rFonts w:ascii="Times New Roman" w:eastAsia="Times New Roman" w:hAnsi="Times New Roman" w:cs="Times New Roman"/>
      <w:b/>
      <w:bCs/>
      <w:sz w:val="24"/>
      <w:szCs w:val="24"/>
      <w:lang w:eastAsia="fr-FR"/>
    </w:rPr>
  </w:style>
  <w:style w:type="numbering" w:customStyle="1" w:styleId="Aucuneliste1">
    <w:name w:val="Aucune liste1"/>
    <w:next w:val="NoList"/>
    <w:uiPriority w:val="99"/>
    <w:semiHidden/>
    <w:unhideWhenUsed/>
    <w:rsid w:val="00B77F10"/>
  </w:style>
  <w:style w:type="character" w:customStyle="1" w:styleId="word-break-all">
    <w:name w:val="word-break-all"/>
    <w:basedOn w:val="DefaultParagraphFont"/>
    <w:rsid w:val="00B77F10"/>
  </w:style>
  <w:style w:type="character" w:customStyle="1" w:styleId="complement-titre-code">
    <w:name w:val="complement-titre-code"/>
    <w:basedOn w:val="DefaultParagraphFont"/>
    <w:rsid w:val="00B77F10"/>
  </w:style>
  <w:style w:type="paragraph" w:customStyle="1" w:styleId="test">
    <w:name w:val="test"/>
    <w:basedOn w:val="Normal"/>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B77F1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418681">
      <w:bodyDiv w:val="1"/>
      <w:marLeft w:val="0"/>
      <w:marRight w:val="0"/>
      <w:marTop w:val="0"/>
      <w:marBottom w:val="0"/>
      <w:divBdr>
        <w:top w:val="none" w:sz="0" w:space="0" w:color="auto"/>
        <w:left w:val="none" w:sz="0" w:space="0" w:color="auto"/>
        <w:bottom w:val="none" w:sz="0" w:space="0" w:color="auto"/>
        <w:right w:val="none" w:sz="0" w:space="0" w:color="auto"/>
      </w:divBdr>
      <w:divsChild>
        <w:div w:id="984552115">
          <w:marLeft w:val="0"/>
          <w:marRight w:val="0"/>
          <w:marTop w:val="0"/>
          <w:marBottom w:val="0"/>
          <w:divBdr>
            <w:top w:val="none" w:sz="0" w:space="0" w:color="auto"/>
            <w:left w:val="none" w:sz="0" w:space="0" w:color="auto"/>
            <w:bottom w:val="none" w:sz="0" w:space="0" w:color="auto"/>
            <w:right w:val="none" w:sz="0" w:space="0" w:color="auto"/>
          </w:divBdr>
          <w:divsChild>
            <w:div w:id="969090434">
              <w:marLeft w:val="0"/>
              <w:marRight w:val="0"/>
              <w:marTop w:val="0"/>
              <w:marBottom w:val="0"/>
              <w:divBdr>
                <w:top w:val="none" w:sz="0" w:space="0" w:color="auto"/>
                <w:left w:val="none" w:sz="0" w:space="0" w:color="auto"/>
                <w:bottom w:val="none" w:sz="0" w:space="0" w:color="auto"/>
                <w:right w:val="none" w:sz="0" w:space="0" w:color="auto"/>
              </w:divBdr>
            </w:div>
            <w:div w:id="1691907017">
              <w:marLeft w:val="0"/>
              <w:marRight w:val="0"/>
              <w:marTop w:val="0"/>
              <w:marBottom w:val="0"/>
              <w:divBdr>
                <w:top w:val="none" w:sz="0" w:space="0" w:color="auto"/>
                <w:left w:val="none" w:sz="0" w:space="0" w:color="auto"/>
                <w:bottom w:val="none" w:sz="0" w:space="0" w:color="auto"/>
                <w:right w:val="none" w:sz="0" w:space="0" w:color="auto"/>
              </w:divBdr>
            </w:div>
            <w:div w:id="119349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6140</Words>
  <Characters>39177</Characters>
  <Application>Microsoft Office Word</Application>
  <DocSecurity>0</DocSecurity>
  <Lines>3917</Lines>
  <Paragraphs>823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2022-05-04T12:22:00Z</dcterms:created>
  <dcterms:modified xsi:type="dcterms:W3CDTF">2022-05-04T12:22:00Z</dcterms:modified>
</cp:coreProperties>
</file>