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Ordinanza del 14 dicembre 2021 relativa alla dichiarazione ambientale dei prodotti destinati a essere utilizzati nelle opere di costruzione e alla dichiarazione ambientale dei prodotti utilizzati per il calcolo delle prestazioni ambientali degli edifici</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N. 0296 del 21 dicembre 2021</w:t>
      </w:r>
      <w:r>
        <w:rPr>
          <w:rFonts w:ascii="Times New Roman" w:hAnsi="Times New Roman"/>
          <w:sz w:val="24"/>
        </w:rPr>
        <w:br/>
        <w:t>Testo n.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Allegato</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Allegato</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Allegato</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Allegato</w:t>
      </w:r>
    </w:p>
    <w:p w14:paraId="06845229"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Destinatari: dichiaranti interessati da prodotti per l'edilizia e la decorazione, nonché apparecchiature elettriche, elettroniche e di ingegneria climatica destinate all'uso in opere edilizie o utilizzate per calcolare le prestazioni ambientali degli edifici. </w:t>
      </w:r>
      <w:r>
        <w:rPr>
          <w:rFonts w:ascii="Times New Roman" w:hAnsi="Times New Roman"/>
          <w:sz w:val="24"/>
        </w:rPr>
        <w:br/>
        <w:t xml:space="preserve">Uso: specificare l'applicazione degli articoli da R. 171-14 a R. 171-22 e degli articoli da R. 171-23 a R. 171-31 del codice delle costruzioni e dell'edilizia abitativa. </w:t>
      </w:r>
      <w:r>
        <w:rPr>
          <w:rFonts w:ascii="Times New Roman" w:hAnsi="Times New Roman"/>
          <w:sz w:val="24"/>
        </w:rPr>
        <w:br/>
        <w:t xml:space="preserve">Entrata in vigore: il testo entra in vigore il </w:t>
      </w:r>
      <w:proofErr w:type="gramStart"/>
      <w:r>
        <w:rPr>
          <w:rFonts w:ascii="Times New Roman" w:hAnsi="Times New Roman"/>
          <w:sz w:val="24"/>
        </w:rPr>
        <w:t>1 gennaio</w:t>
      </w:r>
      <w:proofErr w:type="gramEnd"/>
      <w:r>
        <w:rPr>
          <w:rFonts w:ascii="Times New Roman" w:hAnsi="Times New Roman"/>
          <w:sz w:val="24"/>
        </w:rPr>
        <w:t xml:space="preserve"> 2022. </w:t>
      </w:r>
      <w:r>
        <w:rPr>
          <w:rFonts w:ascii="Times New Roman" w:hAnsi="Times New Roman"/>
          <w:sz w:val="24"/>
        </w:rPr>
        <w:br/>
        <w:t xml:space="preserve">Nota: lo scopo dell'ordinanza è quello di specificare l'applicazione degli articoli da R 171-14 a R. 171-22 e degli articoli da R. 171-23 a R. 171-31 del codice delle costruzioni e dell'edilizia abitativa. </w:t>
      </w:r>
      <w:r>
        <w:rPr>
          <w:rFonts w:ascii="Times New Roman" w:hAnsi="Times New Roman"/>
          <w:sz w:val="24"/>
        </w:rPr>
        <w:br/>
        <w:t xml:space="preserve">L'Ordinanza stabilisce: </w:t>
      </w:r>
      <w:r>
        <w:rPr>
          <w:rFonts w:ascii="Times New Roman" w:hAnsi="Times New Roman"/>
          <w:sz w:val="24"/>
        </w:rPr>
        <w:br/>
        <w:t xml:space="preserve">- informazioni dettagliate di cui all'articolo R. 171-17 del codice delle costruzioni e dell'edilizia abitativa; </w:t>
      </w:r>
      <w:r>
        <w:rPr>
          <w:rFonts w:ascii="Times New Roman" w:hAnsi="Times New Roman"/>
          <w:sz w:val="24"/>
        </w:rPr>
        <w:br/>
        <w:t xml:space="preserve">- metodi di calcolo degli indicatori di cui all'articolo R. 171-17 del codice delle costruzioni e dell'edilizia abitativa; </w:t>
      </w:r>
      <w:r>
        <w:rPr>
          <w:rFonts w:ascii="Times New Roman" w:hAnsi="Times New Roman"/>
          <w:sz w:val="24"/>
        </w:rPr>
        <w:br/>
        <w:t xml:space="preserve">- gli elementi, di cui all'articolo R. 171-21 del codice delle costruzioni e dell'edilizia abitativa, che giustificano le informazioni contenute nella dichiarazione ambientale; </w:t>
      </w:r>
      <w:r>
        <w:rPr>
          <w:rFonts w:ascii="Times New Roman" w:hAnsi="Times New Roman"/>
          <w:sz w:val="24"/>
        </w:rPr>
        <w:br/>
        <w:t xml:space="preserve">- dove si compila l'indirizzo della o delle banche dati dove le dichiarazioni ambientali, di cui all'articolo R. 171-17 del codice delle costruzioni e dell'edilizia abitativa, in possesso di un certificato di verifica, di cui all'articolo R. 171-18 del codice delle costruzioni e dell'edilizia abitativa, sono messe a disposizione del pubblico; </w:t>
      </w:r>
      <w:r>
        <w:rPr>
          <w:rFonts w:ascii="Times New Roman" w:hAnsi="Times New Roman"/>
          <w:sz w:val="24"/>
        </w:rPr>
        <w:br/>
        <w:t xml:space="preserve">- le condizioni per l'elaborazione di dichiarazioni ambientali collettive relative ai prodotti o alle attrezzature per la costruzione o la decorazione da parte di più dichiaranti; </w:t>
      </w:r>
      <w:r>
        <w:rPr>
          <w:rFonts w:ascii="Times New Roman" w:hAnsi="Times New Roman"/>
          <w:sz w:val="24"/>
        </w:rPr>
        <w:br/>
        <w:t xml:space="preserve">- le condizioni per redigere dichiarazioni cedibili relative a prodotti o attrezzature per la costruzione o la decorazione. </w:t>
      </w:r>
      <w:r>
        <w:rPr>
          <w:rFonts w:ascii="Times New Roman" w:hAnsi="Times New Roman"/>
          <w:sz w:val="24"/>
        </w:rPr>
        <w:br/>
        <w:t xml:space="preserve">Riferimenti: i testi creati o modificati dalla presente ordinanza possono essere consultati, nella loro formulazione risultante da questa modifica, sul sito web di </w:t>
      </w:r>
      <w:proofErr w:type="spellStart"/>
      <w:r>
        <w:rPr>
          <w:rFonts w:ascii="Times New Roman" w:hAnsi="Times New Roman"/>
          <w:sz w:val="24"/>
        </w:rPr>
        <w:t>Légifrance</w:t>
      </w:r>
      <w:proofErr w:type="spellEnd"/>
      <w:r>
        <w:rPr>
          <w:rFonts w:ascii="Times New Roman" w:hAnsi="Times New Roman"/>
          <w:sz w:val="24"/>
        </w:rPr>
        <w:t xml:space="preserv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La ministra della Transizione ecologica e la ministra con delega responsabile dell'Edilizia abitativa, collegata alla ministra della Transizione ecologica,</w:t>
      </w:r>
      <w:r>
        <w:rPr>
          <w:rFonts w:ascii="Times New Roman" w:hAnsi="Times New Roman"/>
          <w:sz w:val="24"/>
        </w:rPr>
        <w:br/>
      </w:r>
      <w:r>
        <w:rPr>
          <w:rFonts w:ascii="Times New Roman" w:hAnsi="Times New Roman"/>
          <w:sz w:val="24"/>
        </w:rPr>
        <w:lastRenderedPageBreak/>
        <w:t>vista la direttiva (UE) 2015/1535 del Parlamento europeo e del Consiglio, del 9 settembre 2015, che prevede una procedura d'informazione nel settore delle regolamentazioni tecniche e delle regole relative ai servizi della società dell'informazione e la notifica n. 2021/257/F indirizzata alla Commissione europea il 28 aprile 2021 e la relativa risposta del 29 luglio 2021;</w:t>
      </w:r>
      <w:r>
        <w:rPr>
          <w:rFonts w:ascii="Times New Roman" w:hAnsi="Times New Roman"/>
          <w:sz w:val="24"/>
        </w:rPr>
        <w:br/>
        <w:t>visto il codice dei consumatori, in particolare il punto 10 dell'articolo L. 412-1 dello stesso;</w:t>
      </w:r>
      <w:r>
        <w:rPr>
          <w:rFonts w:ascii="Times New Roman" w:hAnsi="Times New Roman"/>
          <w:sz w:val="24"/>
        </w:rPr>
        <w:br/>
        <w:t>visto il codice delle costruzioni e dell'edilizia abitativa, in particolare gli articoli da R. 171-14 a R. 171-31 dello stesso;</w:t>
      </w:r>
      <w:r>
        <w:rPr>
          <w:rFonts w:ascii="Times New Roman" w:hAnsi="Times New Roman"/>
          <w:sz w:val="24"/>
        </w:rPr>
        <w:br/>
        <w:t>visto il parere del Consiglio superiore per l'edilizia e l'efficienza energetica del 13 aprile 2021;</w:t>
      </w:r>
      <w:r>
        <w:rPr>
          <w:rFonts w:ascii="Times New Roman" w:hAnsi="Times New Roman"/>
          <w:sz w:val="24"/>
        </w:rPr>
        <w:br/>
        <w:t>viste le osservazioni formulate nel corso della consultazione pubblica svoltasi dal 18 maggio all'8 giugno 2021, ai sensi dell'articolo L. 123-19-1 del codice ambientale;</w:t>
      </w:r>
      <w:r>
        <w:rPr>
          <w:rFonts w:ascii="Times New Roman" w:hAnsi="Times New Roman"/>
          <w:sz w:val="24"/>
        </w:rPr>
        <w:br/>
        <w:t>Con la presente ordina quanto segue: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Le disposizioni della presente ordinanza si applicano ai prodotti per l'edilizia, ai prodotti per la decorazione e alle apparecchiature elettriche, elettroniche e di ingegneria climatica, di cui all'articolo R. 171-14 del codice delle costruzioni e dell'edilizia abitativa e all'articolo R. 171-23 del codice delle costruzioni e dell'edilizia abitativa.</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Ai fini della presente Ordinanza si applicano le seguenti definizioni:</w:t>
      </w:r>
      <w:r>
        <w:rPr>
          <w:rFonts w:ascii="Times New Roman" w:hAnsi="Times New Roman"/>
          <w:sz w:val="24"/>
        </w:rPr>
        <w:br/>
        <w:t>"Dichiarazione assegnabile": dichiarazione ambientale con regole per adeguare le informazioni ivi menzionate in modo da corrispondere a un determinato prodotto e a uno strumento informatico per l'applicazione di tali regole.</w:t>
      </w:r>
      <w:r>
        <w:rPr>
          <w:rFonts w:ascii="Times New Roman" w:hAnsi="Times New Roman"/>
          <w:sz w:val="24"/>
        </w:rPr>
        <w:br/>
        <w:t>Negli articoli seguenti, il termine "dichiarante" è inteso come "dichiarante", come definito nell'articolo R. 171-15 del codice delle costruzioni e dell'edilizia abitativa con il significato di "responsabile dell'immissione sul mercato" come definito nell'articolo R. 171-24 del codice delle costruzioni e dell'edilizia abitativa.</w:t>
      </w:r>
      <w:r>
        <w:rPr>
          <w:rFonts w:ascii="Times New Roman" w:hAnsi="Times New Roman"/>
          <w:sz w:val="24"/>
        </w:rPr>
        <w:br/>
        <w:t>Negli articoli seguenti, il termine "prodotto" è inteso come "prodotti per l'edilizia", "prodotti per la decorazione" e "apparecchiature elettriche, elettroniche e di ingegneria climatica" come definito nell'articolo R. 171-15 del codice delle costruzioni e dell'edilizia abitativa.</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dichiarazione ambientale deve contenere le informazioni di cui all'articolo R. 171-17 del codice delle costruzioni e dell'edilizia abitativa.</w:t>
      </w:r>
      <w:r>
        <w:rPr>
          <w:rFonts w:ascii="Times New Roman" w:hAnsi="Times New Roman"/>
          <w:sz w:val="24"/>
        </w:rPr>
        <w:br/>
        <w:t>Ai sensi del punto 1 dell'articolo R. 171-17 del codice delle costruzioni e dell'edilizia abitativa, la dichiarazione ambientale deve contenere, per la fase di produzione, la fase del processo di costruzione, la fase di utilizzo, la fase di fine vita e la somma di queste fasi, i valori dei seguenti indicatori:</w:t>
      </w:r>
    </w:p>
    <w:p w14:paraId="1B8C0EF8" w14:textId="29AF68A6"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descrivono gli impatti ambientali: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riscaldamento globale (emissioni di gas a effetto serra);</w:t>
      </w:r>
      <w:r>
        <w:rPr>
          <w:rFonts w:ascii="Times New Roman" w:hAnsi="Times New Roman"/>
          <w:sz w:val="24"/>
        </w:rPr>
        <w:br/>
      </w:r>
      <w:r w:rsidR="00B123BA">
        <w:rPr>
          <w:rFonts w:ascii="Times New Roman" w:hAnsi="Times New Roman"/>
          <w:sz w:val="24"/>
        </w:rPr>
        <w:lastRenderedPageBreak/>
        <w:t xml:space="preserve">- </w:t>
      </w:r>
      <w:r>
        <w:rPr>
          <w:rFonts w:ascii="Times New Roman" w:hAnsi="Times New Roman"/>
          <w:sz w:val="24"/>
        </w:rPr>
        <w:t>riduzione dello strato di ozono;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acidificazione del suolo e dell'acqua;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eutrofizzazione;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formazione fotochimica di ozono;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esaurimento delle risorse abiotiche – elementi;</w:t>
      </w:r>
      <w:r>
        <w:rPr>
          <w:rFonts w:ascii="Times New Roman" w:hAnsi="Times New Roman"/>
          <w:sz w:val="24"/>
        </w:rPr>
        <w:br/>
        <w:t>- esaurimento delle risorse abiotiche – combustibili fossili.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descrizione dell'uso delle risorse: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utilizzo di energie primarie rinnovabili, escluse le risorse energetiche primarie rinnovabili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utilizzo di fonti energetiche primarie rinnovabili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utilizzo totale delle risorse energetiche primarie rinnovabili (energia primaria e risorse di energia primaria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utilizzo di energia primaria non rinnovabile, escluse le risorse di energia primaria non rinnovabili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utilizzo di risorse di energia primaria non rinnovabili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utilizzo di energia primaria non rinnovabile (energia primaria e risorse di energia primaria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uso di materiale secondario;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uso di combustibili secondari rinnovabili;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uso di combustibili secondari non rinnovabili;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uso netto di acqua dolce.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Descrizione delle categorie di rifiuti: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rifiuti pericolosi smaltiti;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rifiuti non pericolosi smaltiti;</w:t>
      </w:r>
      <w:r>
        <w:rPr>
          <w:rFonts w:ascii="Times New Roman" w:hAnsi="Times New Roman"/>
          <w:sz w:val="24"/>
        </w:rPr>
        <w:br/>
        <w:t>- rifiuti radioattivi smaltiti.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descrizione dei flussi in uscita: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componenti destinati al riutilizzo;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materiali destinati al riciclaggio;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materiali destinati al recupero energetico;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energia fornita all'aperto.</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Ai sensi del punto 4 dell'articolo R. 171-17 del codice delle costruzioni e dell'edilizia abitativa, nel caso di una dichiarazione ambientale interessata dai requisiti dell'articolo 8 del presente decreto, la dichiarazione ambientale deve contenere i campi di variazione (valori massimi e minimi) degli indicatori di controllo definiti all'articolo 8 della presente ordinanza.</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Il dichiarante tiene a disposizione delle autorità di controllo e della persona giuridica incaricata dell'attuazione di un programma di dichiarazione ambientale, come definito all'articolo R. 171-21 del codice delle costruzioni e dell'edilizia abitativa e all'articolo R. 171-26 del codice delle costruzioni e dell'edilizia abitativa, tutti gli elementi, o i dati di contatto delle persone fisiche o giuridiche che li detengono, che giustificano le informazioni contenute nella dichiarazione ambientale.</w:t>
      </w:r>
      <w:r>
        <w:rPr>
          <w:rFonts w:ascii="Times New Roman" w:hAnsi="Times New Roman"/>
          <w:sz w:val="24"/>
        </w:rPr>
        <w:br/>
        <w:t>Gli elementi di cui sopra sono:</w:t>
      </w:r>
    </w:p>
    <w:p w14:paraId="4D6FBAE8" w14:textId="520441DD"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B123BA">
        <w:rPr>
          <w:rFonts w:ascii="Times New Roman" w:hAnsi="Times New Roman"/>
          <w:sz w:val="24"/>
        </w:rPr>
        <w:t xml:space="preserve">- </w:t>
      </w:r>
      <w:r>
        <w:rPr>
          <w:rFonts w:ascii="Times New Roman" w:hAnsi="Times New Roman"/>
          <w:sz w:val="24"/>
        </w:rPr>
        <w:t>l'origine delle materie prime, dei materiali e dei componenti del prodotto;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 xml:space="preserve">identificazione degli input non inclusi nell'inventario del ciclo di vita conformemente alla regola del </w:t>
      </w:r>
      <w:proofErr w:type="spellStart"/>
      <w:r>
        <w:rPr>
          <w:rFonts w:ascii="Times New Roman" w:hAnsi="Times New Roman"/>
          <w:sz w:val="24"/>
        </w:rPr>
        <w:t>cut</w:t>
      </w:r>
      <w:proofErr w:type="spellEnd"/>
      <w:r>
        <w:rPr>
          <w:rFonts w:ascii="Times New Roman" w:hAnsi="Times New Roman"/>
          <w:sz w:val="24"/>
        </w:rPr>
        <w:t>-off;</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 xml:space="preserve">la massa totale degli input non inclusi nell'inventario del ciclo di vita a causa della regola di </w:t>
      </w:r>
      <w:proofErr w:type="spellStart"/>
      <w:r>
        <w:rPr>
          <w:rFonts w:ascii="Times New Roman" w:hAnsi="Times New Roman"/>
          <w:sz w:val="24"/>
        </w:rPr>
        <w:t>cut</w:t>
      </w:r>
      <w:proofErr w:type="spellEnd"/>
      <w:r>
        <w:rPr>
          <w:rFonts w:ascii="Times New Roman" w:hAnsi="Times New Roman"/>
          <w:sz w:val="24"/>
        </w:rPr>
        <w:t>-off;</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 risultati dei calcoli d'inventario;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prove a sostegno della durata di riferimento del prodotto;</w:t>
      </w:r>
      <w:r>
        <w:rPr>
          <w:rFonts w:ascii="Times New Roman" w:hAnsi="Times New Roman"/>
          <w:sz w:val="24"/>
        </w:rPr>
        <w:br/>
        <w:t>- documentazione relativa alla rappresentatività tecnologica, geografica e temporale dei dati generici utilizzati, riferimenti delle banche dati da cui provengono e riferimenti dei moduli di dati utilizzati, nel caso in cui si debbano utilizzare dati generici provenienti da banche dati pubbliche o private;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gli scenari su cui si basa l'inventario del ciclo di vita;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il sito o i siti di produzione oggetto della dichiarazione ambientale;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la produzione di ciascun sito espressa con l'unità di quantità definita nell'unità funzionale;</w:t>
      </w:r>
      <w:r>
        <w:rPr>
          <w:rFonts w:ascii="Times New Roman" w:hAnsi="Times New Roman"/>
          <w:sz w:val="24"/>
        </w:rPr>
        <w:br/>
        <w:t>- se si utilizza un metodo di campionamento, la prova che il campione utilizzato è rappresentativo, in particolare da un punto di vista geografico, temporale e tecnologico, della produzione del prodotto;</w:t>
      </w:r>
      <w:r>
        <w:rPr>
          <w:rFonts w:ascii="Times New Roman" w:hAnsi="Times New Roman"/>
          <w:sz w:val="24"/>
        </w:rPr>
        <w:br/>
        <w:t>- gli elementi costitutivi del quadro di validità delle dichiarazioni ambientali interessate dai requisiti dell'articolo 8 della presente ordinanza;</w:t>
      </w:r>
      <w:r>
        <w:rPr>
          <w:rFonts w:ascii="Times New Roman" w:hAnsi="Times New Roman"/>
          <w:sz w:val="24"/>
        </w:rPr>
        <w:br/>
        <w:t>- gli elementi costitutivi della dichiarazione assegnabile di cui all'articolo 10 della presente ordinanza.</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formati delle unità funzionali, come definiti nell'articolo R. 171-15 del codice delle costruzioni e dell'edilizia abitativa, per ciascuna categoria di prodotti da costruzione o da decorazione sono definiti nell'allegato I della presente ordinanza.</w:t>
      </w:r>
      <w:r>
        <w:rPr>
          <w:rFonts w:ascii="Times New Roman" w:hAnsi="Times New Roman"/>
          <w:sz w:val="24"/>
        </w:rPr>
        <w:br/>
        <w:t>I formati delle unità funzionali o delle unità dichiarati, come definiti nell'articolo R. 171-15 del codice delle costruzioni e dell'edilizia abitativa, per le apparecchiature elettriche, elettroniche e di ingegneria climatica sono definiti nell'allegato II della presente ordinanza.</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metodi di valutazione, di calcolo delle informazioni e di determinazione degli indicatori di cui ai punti 1, 2, 3, 14 e 15 dell'articolo R. 171-17 del codice delle costruzioni e dell'edilizia abitativa e specificati nell'articolo 3 della presente ordinanza, si presume che soddisfino i requisiti della presente ordinanza se soddisfano tutte le seguenti condizioni:</w:t>
      </w:r>
    </w:p>
    <w:p w14:paraId="616E0A2A" w14:textId="44E3F8A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non comportano l’omissione di processi che rappresentino complessivamente più del 5 % del valore di ciascuno degli elementi di informazione indicati;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non danno luogo alla concessione di un prodotto soggetto alla dichiarazione ambientale dei benefici attribuiti ad altri prodotti nel calcolo degli elementi di informazione di cui sopra, ad eccezione degli indicatori relativi agli utili e alle spese associati alla valutazione di fine vita;</w:t>
      </w:r>
      <w:r>
        <w:rPr>
          <w:rFonts w:ascii="Times New Roman" w:hAnsi="Times New Roman"/>
          <w:sz w:val="24"/>
        </w:rPr>
        <w:br/>
      </w:r>
      <w:r>
        <w:rPr>
          <w:rFonts w:ascii="Times New Roman" w:hAnsi="Times New Roman"/>
          <w:sz w:val="24"/>
        </w:rPr>
        <w:lastRenderedPageBreak/>
        <w:t>- sono conformi alla norma NF EN 15804 + A1: 2014-04 o alla norma XP C08-100-1: 2016-12 o alle norme XP C08-100-1: 2016-12 e EN 50693: norme 2019-08, o a qualsiasi norma equivalente;</w:t>
      </w:r>
      <w:r>
        <w:rPr>
          <w:rFonts w:ascii="Times New Roman" w:hAnsi="Times New Roman"/>
          <w:sz w:val="24"/>
        </w:rPr>
        <w:br/>
        <w:t>- rispettano il metodo di calcolo della valutazione dei profitti e delle spese relativi alla valutazione di fine vita, come definito nell'allegato III della presente ordinanza.</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Inoltre, per le dichiarazioni ambientali dotate di un certificato di conformità dopo il 1° ottobre 2022, se la dichiarazione ambientale riguarda diversi modi di posa del prodotto che ne è oggetto, i metodi di valutazione e di calcolo delle informazioni di cui sopra sono conformi alle seguenti regole:</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 seguenti indicatori di controllo sono valutati per ciascuna di queste modalità di installazione: riscaldamento climatico, utilizzo di energia primaria non rinnovabile diversa dalle risorse energetiche primarie non rinnovabili utilizzate come materie prime, rifiuti non pericolosi smaltiti;</w:t>
      </w:r>
      <w:r>
        <w:rPr>
          <w:rFonts w:ascii="Times New Roman" w:hAnsi="Times New Roman"/>
          <w:sz w:val="24"/>
        </w:rPr>
        <w:br/>
        <w:t>- per ciascuno di questi indicatori di controllo, il valore massimo ottenuto per la somma delle fasi di cui all'articolo 3 della presente ordinanza è confrontato con la media dei valori ottenuti (ossia l'impatto medio delle diverse modalità di installazione). Se il valore massimo di uno di questi indicatori è superiore a 1,1 volte il valore medio, è quindi il valore peggiore che deve essere riportato per ciascuno degli indicatori elencati nella dichiarazione ambientale (cioè i valori peggiori delle diverse modalità di posa). In caso contrario, il valore medio può essere riportato per ciascun indicatore.</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Gli indirizzi della o delle banche dati, di cui all'articolo R. 171-20 del codice delle costruzioni e dell'edilizia abitativa, dove sono disponibili i dati ambientali del servizio e i dati ambientali di default, come definiti all'articolo R. 171-16 del codice delle costruzioni e dell'edilizia abitativa, così come le dichiarazioni ambientali, sono forniti sul sito del ministero dell'Edilizia.</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dichiarazione ambientale può essere basata su una dichiarazione ambientale collettiva di prodotti simili provenienti da più registranti.</w:t>
      </w:r>
      <w:r>
        <w:rPr>
          <w:rFonts w:ascii="Times New Roman" w:hAnsi="Times New Roman"/>
          <w:sz w:val="24"/>
        </w:rPr>
        <w:br/>
        <w:t>1. La presente dichiarazione ambientale collettiva soddisfa le seguenti condizioni:</w:t>
      </w:r>
    </w:p>
    <w:p w14:paraId="7E91553F" w14:textId="77683EC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riguardare un "prodotto standard";</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deve essere stabilito alle condizioni di cui agli articoli precedenti;</w:t>
      </w:r>
      <w:r>
        <w:rPr>
          <w:rFonts w:ascii="Times New Roman" w:hAnsi="Times New Roman"/>
          <w:sz w:val="24"/>
        </w:rPr>
        <w:br/>
        <w:t>- deve essere garantita l'omogeneità dei parametri che influenzano in modo significativo il valore di ciascun indicatore; a tal fine, la dichiarazione ambientale collettiva deve contenere un quadro di validità, come definito nell'allegato IV della presente ordinanza, che raccoglie le seguenti informazioni: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 xml:space="preserve">l'identificazione dei parametri influenti, specificando se sono completati con dati </w:t>
      </w:r>
      <w:r>
        <w:rPr>
          <w:rFonts w:ascii="Times New Roman" w:hAnsi="Times New Roman"/>
          <w:sz w:val="24"/>
        </w:rPr>
        <w:lastRenderedPageBreak/>
        <w:t>generici o specifici;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 periodi di validità di questi parametri.</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Il registrante che ha presentato la dichiarazione ambientale collettiva è responsabile delle informazioni in essa contenute, compreso un elenco dei prodotti interessati e le condizioni alle quali i prodotti possono esservi collegati, se necessario;</w:t>
      </w:r>
      <w:r>
        <w:rPr>
          <w:rFonts w:ascii="Times New Roman" w:hAnsi="Times New Roman"/>
          <w:sz w:val="24"/>
        </w:rPr>
        <w:br/>
        <w:t>3. I registranti dei prodotti oggetto della presente dichiarazione ambientale collettiva devono soddisfare le seguenti condizioni:</w:t>
      </w:r>
    </w:p>
    <w:p w14:paraId="5C7B5DE1" w14:textId="40A48A2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sono responsabili delle informazioni che trasmettono al suddetto registrante;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devono rispettare il quadro di validità della dichiarazione ambientale collettiva;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devono fornire un certificato che attesti la conformità al quadro di validità della dichiarazione ambientale collettiva;</w:t>
      </w:r>
      <w:r>
        <w:rPr>
          <w:rFonts w:ascii="Times New Roman" w:hAnsi="Times New Roman"/>
          <w:sz w:val="24"/>
        </w:rPr>
        <w:br/>
        <w:t>- tengono a disposizione delle autorità di controllo e della persona giuridica responsabile dell'attuazione di un programma di dichiarazioni ambientali le prove di conformità al quadro di validità.</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La dichiarazione ambientale collettiva è conforme ai requisiti di verifica da parte di terzi indipendenti definiti all'articolo R. 171-18 del codice delle costruzioni e dell'edilizia abitativa e di cui all'articolo R. 171-29 del codice delle costruzioni e dell'edilizia abitativa.</w:t>
      </w:r>
      <w:r>
        <w:rPr>
          <w:rFonts w:ascii="Times New Roman" w:hAnsi="Times New Roman"/>
          <w:sz w:val="24"/>
        </w:rPr>
        <w:br/>
        <w:t>5. Gli indicatori di controllo da considerare sono, come minimo: riscaldamento climatico, utilizzo di energia primaria non rinnovabile diversa dalle risorse energetiche primarie non rinnovabili utilizzate come materie prime, rifiuti non pericolosi smaltiti;</w:t>
      </w:r>
      <w:r>
        <w:rPr>
          <w:rFonts w:ascii="Times New Roman" w:hAnsi="Times New Roman"/>
          <w:sz w:val="24"/>
        </w:rPr>
        <w:br/>
        <w:t>6. Le dichiarazioni ambientali collettive devono soddisfare i seguenti requisiti: se il valore massimo di ogni indicatore di controllo, ottenuto per la somma delle fasi di cui all'articolo 3 della presente ordinanza e attraverso il calcolo della variabilità descritta nell'allegato IV della presente ordinanza, è inferiore o uguale al valore medio dell'indicatore moltiplicato per un valore limite, allora i valori degli indicatori possono essere calcolati con i valori medi dei parametri sensibili. In caso contrario, deve essere dichiarata la soglia meno favorevole (il valore massimo che l'indicatore può raggiungere se riflette una spesa e il valore minimo se riflette un profitto).</w:t>
      </w:r>
      <w:r>
        <w:rPr>
          <w:rFonts w:ascii="Times New Roman" w:hAnsi="Times New Roman"/>
          <w:sz w:val="24"/>
        </w:rPr>
        <w:br/>
        <w:t>Per le dichiarazioni ambientali collettive con certificato di conformità prima del 1° ottobre 2022, il suddetto valore limite è "1,4" e il calcolo della variabilità di cui sopra deve coprire almeno i parametri sensibili relativi a:</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la composizione del prodotto: massa e tipo di materiali;</w:t>
      </w:r>
      <w:r>
        <w:rPr>
          <w:rFonts w:ascii="Times New Roman" w:hAnsi="Times New Roman"/>
          <w:sz w:val="24"/>
        </w:rPr>
        <w:br/>
        <w:t>- le masse di imballaggio;</w:t>
      </w:r>
      <w:r>
        <w:rPr>
          <w:rFonts w:ascii="Times New Roman" w:hAnsi="Times New Roman"/>
          <w:sz w:val="24"/>
        </w:rPr>
        <w:br/>
        <w:t>- i processi di fabbricazione diversi dall'estrazione e dalla trasformazione delle materie prime (stadi A2 e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Per le dichiarazioni ambientali collettive con certificato di conformità dopo il 1° ottobre 2022, il suddetto valore limite è "1,35" e il calcolo della variabilità di cui sopra deve coprire almeno i parametri sensibili relativi a:</w:t>
      </w:r>
    </w:p>
    <w:p w14:paraId="40F7CD3B" w14:textId="0F79801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la composizione del prodotto: massa e tipo di materiali;</w:t>
      </w:r>
      <w:r>
        <w:rPr>
          <w:rFonts w:ascii="Times New Roman" w:hAnsi="Times New Roman"/>
          <w:sz w:val="24"/>
        </w:rPr>
        <w:br/>
        <w:t>- le masse di imballaggio;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processi di fabbricazione diversi dall'estrazione e dalla trasformazione delle materie prime (stadi A2 e A3);</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trasporto al sito (fase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dichiarazione ambientale può essere basata su prodotti simili provenienti dallo stesso registrante. Tali dichiarazioni ambientali devono soddisfare i requisiti per le dichiarazioni ambientali collettive definiti all'articolo 8 della presente ordinanza.</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dichiarazione ambientale può essere basata su una dichiarazione assegnabile.</w:t>
      </w:r>
      <w:r>
        <w:rPr>
          <w:rFonts w:ascii="Times New Roman" w:hAnsi="Times New Roman"/>
          <w:sz w:val="24"/>
        </w:rPr>
        <w:br/>
        <w:t>Questa dichiarazione assegnabile soddisfa le seguenti condizioni:</w:t>
      </w:r>
    </w:p>
    <w:p w14:paraId="6A4F1CB3" w14:textId="44A2E43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riguardare un "prodotto standard";</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deve essere stabilito alle condizioni di cui agli articoli precedenti;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deve contenere una serie di regole di calcolo per adattare, sulla base di parametri variabili, le informazioni ivi menzionate per corrispondere a un prodotto simile al prodotto standard, ma le cui dimensioni, la composizione o alcuni processi del ciclo di vita sono diversi;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il valore dei parametri modificabili di cui sopra deve poter essere verificabile al momento della consegna di un edificio;</w:t>
      </w:r>
      <w:r>
        <w:rPr>
          <w:rFonts w:ascii="Times New Roman" w:hAnsi="Times New Roman"/>
          <w:sz w:val="24"/>
        </w:rPr>
        <w:br/>
        <w:t>- deve contenere un quadro di validità che definisce i valori che possono essere assunti dai parametri modificabili di cui sopra e le caratteristiche che il prodotto analogo di cui sopra deve soddisfare.</w:t>
      </w:r>
    </w:p>
    <w:p w14:paraId="780CDE8F" w14:textId="3819FB68"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 xml:space="preserve">Ogni dichiarazione cedibile con certificato di conformità dopo il 1° ottobre 2022 dovrà essere accompagnata da uno strumento di calcolo informatico per l'applicazione delle regole di calcolo </w:t>
      </w:r>
      <w:proofErr w:type="gramStart"/>
      <w:r>
        <w:rPr>
          <w:rFonts w:ascii="Times New Roman" w:hAnsi="Times New Roman"/>
          <w:sz w:val="24"/>
        </w:rPr>
        <w:t>summenzionate</w:t>
      </w:r>
      <w:proofErr w:type="gramEnd"/>
      <w:r>
        <w:rPr>
          <w:rFonts w:ascii="Times New Roman" w:hAnsi="Times New Roman"/>
          <w:sz w:val="24"/>
        </w:rPr>
        <w:t xml:space="preserve"> e per l'esportazione delle informazioni richieste all'articolo R. 171-17 del codice delle costruzioni e dell'edilizia abitativa e all'articolo 3 della presente ordinanza, insieme all'elenco dei parametri variabili summenzionati e dei loro valori associati. Tutte queste informazioni vengono esportate come file elettronici secondo il formato definito sul sito web del Ministero incaricato della costruzione.</w:t>
      </w:r>
      <w:r>
        <w:rPr>
          <w:rFonts w:ascii="Times New Roman" w:hAnsi="Times New Roman"/>
          <w:sz w:val="24"/>
        </w:rPr>
        <w:br/>
        <w:t>La verifica da parte di terzi indipendenti, definita all'articolo R. 171-18 del codice delle costruzioni e dell'edilizia abitativa e di cui all'articolo R. 171-29 del codice delle costruzioni e dell'edilizia abitativa, riguarda anche, nel caso di una dichiarazione cedibile, le regole di calcolo di cui al presente articolo e lo strumento di calcolo informatico di cui al paragrafo precedente.</w:t>
      </w:r>
    </w:p>
    <w:p w14:paraId="57CE8E0F" w14:textId="2A2CC804" w:rsidR="00B123BA" w:rsidRDefault="00B123BA" w:rsidP="00B77F10">
      <w:pPr>
        <w:spacing w:before="100" w:beforeAutospacing="1" w:after="100" w:afterAutospacing="1" w:line="240" w:lineRule="auto"/>
        <w:ind w:left="450"/>
        <w:rPr>
          <w:rFonts w:ascii="Times New Roman" w:hAnsi="Times New Roman"/>
          <w:sz w:val="24"/>
        </w:rPr>
      </w:pPr>
    </w:p>
    <w:p w14:paraId="130210E1" w14:textId="77777777" w:rsidR="00B123BA" w:rsidRPr="00B77F10" w:rsidRDefault="00B123BA" w:rsidP="00B77F10">
      <w:pPr>
        <w:spacing w:before="100" w:beforeAutospacing="1" w:after="100" w:afterAutospacing="1" w:line="240" w:lineRule="auto"/>
        <w:ind w:left="450"/>
        <w:rPr>
          <w:rFonts w:ascii="Times New Roman" w:eastAsia="Times New Roman" w:hAnsi="Times New Roman" w:cs="Times New Roman"/>
          <w:sz w:val="24"/>
          <w:szCs w:val="24"/>
        </w:rPr>
      </w:pP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Articolo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certificazione delle caratteristiche ambientali di cui all'articolo R. 171-27 del codice delle costruzioni e dell'edilizia abitativa si presume conforme se tiene conto di tutti i requisiti della norma NF EN ISO 14024: 2018-03. La certificazione di prodotti o attrezzature per la costruzione o la decorazione è rilasciata da un organismo accreditato a tal fine dal Comitato di accreditamento francese (COFRAC) o da un altro organismo di accreditamento firmatario di accordi multilaterali di mutuo riconoscimento.</w:t>
      </w:r>
      <w:r>
        <w:rPr>
          <w:rFonts w:ascii="Times New Roman" w:hAnsi="Times New Roman"/>
          <w:sz w:val="24"/>
        </w:rPr>
        <w:br/>
        <w:t>La presente sezione non si applica alle dichiarazioni ambientali utilizzate nel calcolo delle prestazioni ambientali degli edifici.</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L'Ordinanza del 23 dicembre 2013 relativa alla dichiarazione ambientale dei prodotti per la costruzione e la decorazione da utilizzare nei lavori di costruzione è abrogata.</w:t>
      </w:r>
      <w:r>
        <w:rPr>
          <w:rFonts w:ascii="Times New Roman" w:hAnsi="Times New Roman"/>
          <w:sz w:val="24"/>
        </w:rPr>
        <w:br/>
        <w:t>L'Ordinanza del 31 agosto 2015 sulla dichiarazione ambientale delle apparecchiature elettriche, elettroniche e di progettazione ambientale da utilizzare nelle opere edilizie è abrogata.</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Le disposizioni della presente ordinanza entrano in vigore il </w:t>
      </w:r>
      <w:proofErr w:type="gramStart"/>
      <w:r>
        <w:rPr>
          <w:rFonts w:ascii="Times New Roman" w:hAnsi="Times New Roman"/>
          <w:sz w:val="24"/>
        </w:rPr>
        <w:t>1 gennaio</w:t>
      </w:r>
      <w:proofErr w:type="gramEnd"/>
      <w:r>
        <w:rPr>
          <w:rFonts w:ascii="Times New Roman" w:hAnsi="Times New Roman"/>
          <w:sz w:val="24"/>
        </w:rPr>
        <w:t xml:space="preserve">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Il Direttore dell'edilizia abitativa, lo sviluppo urbano e i paesaggi è responsabile dell'esecuzione della presente Ordinanza che sarà pubblicata nella Gazzetta ufficiale della Repubblica Francese.</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Allegato</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Articolo</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ALLEGATI</w:t>
      </w:r>
      <w:r>
        <w:rPr>
          <w:rFonts w:ascii="Times New Roman" w:hAnsi="Times New Roman"/>
          <w:sz w:val="24"/>
        </w:rPr>
        <w:br/>
        <w:t>ALLEGATO I</w:t>
      </w:r>
      <w:r>
        <w:rPr>
          <w:rFonts w:ascii="Times New Roman" w:hAnsi="Times New Roman"/>
          <w:sz w:val="24"/>
        </w:rPr>
        <w:br/>
        <w:t>FORMATI DELLE UNITÀ FUNZIONALI PER OGNI CATEGORIA DI PRODOTTI PER L'EDILIZIA O LA DECORAZIONE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2500"/>
        <w:gridCol w:w="2802"/>
        <w:gridCol w:w="3298"/>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FORMATO UNITÀ</w:t>
            </w:r>
            <w:r>
              <w:rPr>
                <w:rFonts w:ascii="Times New Roman" w:hAnsi="Times New Roman"/>
                <w:b/>
                <w:sz w:val="24"/>
              </w:rPr>
              <w:br/>
              <w:t>funzionale in unità</w:t>
            </w:r>
            <w:r>
              <w:rPr>
                <w:rFonts w:ascii="Times New Roman" w:hAnsi="Times New Roman"/>
                <w:b/>
                <w:sz w:val="24"/>
              </w:rPr>
              <w:br/>
              <w:t>del sistema internazionale</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Strade, reti varie (comprese le reti interne)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Cisterne e serbatoi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Un’unità di un determinato volume</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Reti fognarie e igienico-sanitarie (acqua piovana e acque reflue)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Reti di approvvigionamento idrico (interni ed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Reti di approvvigionamento di 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Sistema di drenaggio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Strade e superfici esterne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superficie per un determinato uso (terrazzo esterno, strade a basso traffico, parcheggio, ecc.)</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Recinzione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di recinzione</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Guaine/condotti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Struttura, muratura, opera principale, telaio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Blocchi di canna fumaria e canne fumarie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di sezione interna di un determinato condotto</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Massetti/massetti galleggianti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per un dato spessore</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Telai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superficie coperta o m</w:t>
            </w:r>
            <w:r>
              <w:rPr>
                <w:rFonts w:ascii="Times New Roman" w:hAnsi="Times New Roman"/>
                <w:sz w:val="24"/>
                <w:vertAlign w:val="superscript"/>
              </w:rPr>
              <w:t>3</w:t>
            </w:r>
            <w:r>
              <w:rPr>
                <w:rFonts w:ascii="Times New Roman" w:hAnsi="Times New Roman"/>
                <w:sz w:val="24"/>
              </w:rPr>
              <w:t xml:space="preserve"> o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Bretelle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controventatura o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Lastre e lastre prefabbricate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Elementi portanti orizzontali (travi, travette, isolante, lastre alveolari, lastre cave, architravi)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di elemento portante (specificare la portata e la sezione) o m² (per l'elemento di rivestimento) o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Elementi portanti verticali (pali/colonne/pilastri)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dell'elemento (specificare la sezione) o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Scale (interne ed esterne)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Un’unità per una data altezza di elevazione</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Fondamenta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Piccoli componenti in muratura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(specificare la resistenza termica)</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Pavimenti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pavimentazione (specificare il carico supportato)</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Pareti (elementi architettonici)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(specificare lo spessore)</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Facciate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Rivestimenti (raddrizzatura, pannellatura, rivestitura)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facciata</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Facciate continue e lucernari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facciata (specificare la percentuale di superficie opaca)</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Superficie esterna di facciate (compresi i sistemi di isolamento termico esterno composito)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facciata (specificare la resistenza termica se pertinente)</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Coperture/sigillatura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Grandi elementi per coperture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copertura</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Piccoli elementi per coperture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copertura</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Prodotti impermeabilizzanti e sigillanti per muri interrati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copertura</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Prodotti per la sigillatura di coperture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copertura</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Elementi per coperture verdi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copertura (specificare il tipo di vegetazione supportata e le caratteristiche termiche se rilevanti)</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Carpenteria interna ed esterna, chiusure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Finestre, porte finestre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falegnameria (superficie aperta prima del montaggio) (specificare il valore U, il fattore solare, il coefficiente di vento aria acqua e la trasmissione della luce)</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Parapetti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di parapetti</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Porte (interne, esterne, a portale, ecc.)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(superficie aperta prima dell'installazione)</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Persiane, tende imposte, tapparelle, frangisole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superficie opaca/protetta</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Lucernari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falegnameria (superficie aperta prima del montaggio) (specificare il valore U, il fattore solare, il coefficiente di vento aria acqua e la trasmissione della luce)</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Rivestimenti gallonati, pannelli del tetto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termica)</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Sistemi di rivestimento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termica)</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supplementare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termica)</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Lastre cave, pannelli isolanti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termica)</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Isolanti termici e acustici da parete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 o le prestazioni dell'acustica)</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Isolanti termici e acustici per soffitte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termico e acustico, alla rinfusa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Isolanti termici e acustici per la copertura di terrazze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termico e acustico del sottopavimento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 o le prestazioni dell'acustica)</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distribuito non portante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Isolanti termici e acustici per pareti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Isolanti acustici per pareti divisorie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le prestazioni dell'acustica)</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termico e acustico sotto lastre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 o le prestazioni dell'acustica)</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Isolamento sotto pavimentazione e solette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isolamento (specificare la resistenza al calore)</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Tramezzi, controsoffitti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Partizionamento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partizionamento (specificare una prestazione acustica se pertinente)</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Controsoffitti, soffitti tesi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controsoffitto sospeso (specificare le prestazioni acustiche)</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Pavimenti e rivestimenti murali, vernici, prodotti per la decorazione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Pitture, mordenti e vernici, intonaci per pittura (senza saturanti)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superficie coperta</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Battiscopa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di battiscopa</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Rivestimenti per pareti e soffitti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rivestimento</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Rivestimenti per pavimenti duri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rivestimento (specificare la classe di uso o la classificazione di resistenza all'usura e alla perforazione, il comportamento dell'acqua e la resistenza agli agenti chimici, o equivalente)</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Rivestimenti morbidi per pavimenti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rivestimento (specificare la classe di uso o la classificazione di resistenza all'usura e alla perforazione, il comportamento dell'acqua e la resistenza agli agenti chimici, o equivalente)</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Prodotti acustici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rivestimento (specificare la classe di uso o la classificazione di resistenza all'usura e alla perforazione, il comportamento dell'acqua e la resistenza agli agenti chimici, o equivalente)</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superficie coperta</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Prodotti di preparazione e implementazione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Adesivi per falegnameria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(specificare la densità)</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Riparazioni e montaggio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(specificare la densità)</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 adesivo al suolo</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Malta per muratura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(specificare la densità)</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Piastrellatura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piastrellato</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Decorazione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(specificare la densità)</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Mastici e schiume di poliuretano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(specificare la massa lineare)</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Chimica delle costruzioni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(specificare la densità)</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Prodotti per calcestruzzo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(specificare la densità)</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Resine sintetiche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(specificare la densità)</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Attrezzature sanitarie e da bagno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Rubinetti e colonne doccia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Unità (specificare il tipo)</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Vasca da bagno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Unità (specificare il volume di capacità in litri e forma)</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Piatto doccia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Unità (specificare le dimensioni: larghezza e lunghezza)</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Lavandino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Unità (specificare le dimensioni: larghezza, lunghezza e numero di vasche)</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Unità (specificare le dimensioni: larghezza, lunghezza e numero di vasche)</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Toilette – Tazza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Unità (specificare le dimensioni: larghezza e lunghezza)</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Altro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Allegato</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Articolo</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Allegato II</w:t>
      </w:r>
      <w:r>
        <w:rPr>
          <w:rFonts w:ascii="Times New Roman" w:hAnsi="Times New Roman"/>
          <w:sz w:val="24"/>
        </w:rPr>
        <w:br/>
        <w:t>Formati di unità funzionali o unità dichiarate per gli impianti.</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1676"/>
        <w:gridCol w:w="1890"/>
        <w:gridCol w:w="1157"/>
        <w:gridCol w:w="1144"/>
        <w:gridCol w:w="2450"/>
        <w:gridCol w:w="2558"/>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Unità 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Unità dichiarata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Soluzione</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Impianto di installazione delle reti elettriche e di comunicazione</w:t>
            </w:r>
            <w:r>
              <w:rPr>
                <w:rFonts w:ascii="Times New Roman" w:hAnsi="Times New Roman"/>
                <w:sz w:val="24"/>
              </w:rPr>
              <w:br/>
              <w:t xml:space="preserve">≤ 63 </w:t>
            </w:r>
            <w:proofErr w:type="spellStart"/>
            <w:r>
              <w:rPr>
                <w:rFonts w:ascii="Times New Roman" w:hAnsi="Times New Roman"/>
                <w:sz w:val="24"/>
              </w:rPr>
              <w:t>Amp</w:t>
            </w:r>
            <w:proofErr w:type="spellEnd"/>
            <w:r>
              <w:rPr>
                <w:rFonts w:ascii="Times New Roman" w:hAnsi="Times New Roman"/>
                <w:sz w:val="24"/>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Raccordi a parete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Sistemi automatizzati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Sensori di movimento</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Termostati</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Scatole per attrezzature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 cartongesso</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 la muratura</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Controlli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Pulsanti</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Altri: ventilazione canalizzata, avvolgibile, ecc. </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Piastre e supporti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Sottogruppo dell’attrezzatura da parete</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Prese a bassa tensione</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Prese ad alta tensione</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Prese diverse (TV, altoparlanti, IT, ecc.)</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di segnalazione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Uscita audio: altoparlanti</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Uscita audio: campanelli e suonerie</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Spie luminose</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Telecomandi, persiane, morsetti</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Equipaggiamento </w:t>
            </w:r>
            <w:r>
              <w:rPr>
                <w:rFonts w:ascii="Times New Roman" w:hAnsi="Times New Roman"/>
                <w:sz w:val="24"/>
              </w:rPr>
              <w:lastRenderedPageBreak/>
              <w:t>modulare per recinzioni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Equipaggiamento di protezione generale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Connessioni</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Salvavita</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automatici di collegamento di rete</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Interruttori/isolatori</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Inverter sorgente</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Relè differenziali</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Protezione contro i fulmini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Parafulmini</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Parafulmini per telecomunicazioni</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Protezione della linea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Salvavita</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divisionali</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del motore</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Fusibili</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Protezione dalla dispersione a terra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Blocchi differenziali</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automatici RCD</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RCD</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Gestione dell'illuminazione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fotocellule</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Gestione solare</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Gestione dell'energia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Distributori di carico</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Gestione dell'energia</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Gestione di persiane e tapparelle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Gestione di persiane e tapparelle</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Gestione del tempo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Intersecazione dei programmi</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Relè timer</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Gestione termica (riscaldamento, ventilazione)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Termostati</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Misurazione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Contatori di energia</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Sensori pioggia, solari, ecc.</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Voltmetri, amperometri</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Dispositivi di controllo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Pulsanti</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Contattori</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inverter, commutatori, ecc.</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Interruttori a impulsi remoti</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Dispositivi di segnalazione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Campanelli e suonerie</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Spie luminose</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Sistemi domotici e di comunicazione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Reti multimediali e VDI (Voice Data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modulari per domotica</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per terminali domotici</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Distributori di segnalazione/rilevamento</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Punti di accesso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Recinzioni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Armadi</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Armadi in poliestere</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Armadi in metallo</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Connessioni</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Attrezzatura per armadi</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Scatole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Coperture terminali</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Scatole di montaggio a filo</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Scatole a tenuta stagna</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Scatole sporgenti</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Scatole VDI</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Cassette di derivazione</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Banconi, gestione del calore degli armadi</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Soluzioni di instradamento dei cavi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Sistemi di instradamento dei cavi e dei portacavi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Percorsi dei cavi</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Passacavi piastrellati</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Portacavi</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Sistemi di canalizzazione e condotti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profilati</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Tubi e condotti rigidi</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di alimentazione</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per pavimenti</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di installazione</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Modanature e battiscopa</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Altri prodotti di punta per la gestione dei cavi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Alloggiamento per installazione tecnica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per pavimenti</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Scatole divisorie e colonne di installazione verticali</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Canalina portacavi per armadi</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Altro e accessori</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Altro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Collegamento/giunzione (esterno armadio)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Blocchi di giunzione</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Connettori</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Prese industriali</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Alimentatori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Trasformatori</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Fonti centrali</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Attrezzature elettriche mobili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Luce di ispezione</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Blocchi adattatori </w:t>
            </w:r>
            <w:proofErr w:type="spellStart"/>
            <w:r>
              <w:rPr>
                <w:rFonts w:ascii="Times New Roman" w:hAnsi="Times New Roman"/>
                <w:sz w:val="24"/>
              </w:rPr>
              <w:t>multipresa</w:t>
            </w:r>
            <w:proofErr w:type="spellEnd"/>
            <w:r>
              <w:rPr>
                <w:rFonts w:ascii="Times New Roman" w:hAnsi="Times New Roman"/>
                <w:sz w:val="24"/>
              </w:rPr>
              <w:t>, prese di telefoniche multiple, altro</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Motore di apertura flap</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Motorizzazione di porte, cancelli, ecc.</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Motorizzazione di tapparelle</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Fili e cavi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Reti elettriche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Cavi di media tensione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Cavi a bassa tensione &lt;1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Accessori rete elettrica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Energia elettrica e trasferimento dati all'interno dell'edificio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Fili e cavi energia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Cavi di comunicazione in rame e fibra ottica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Accessori all'interno dell'edificio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Altri fili e cavi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Non isolati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Cavi riscaldamento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Sicurezza delle persone e controllo degli accessi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Rilevamento e controllo dell'accesso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di rilevamento degli intrusi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per il rilevamento degli intrusi</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di controllo (tastiera, telecomando, ecc.)</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Console di allarme</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di segnalazione (sirena, trasmettitore, ecc.)</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di controllo accessi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Ingresso audio per </w:t>
            </w:r>
            <w:proofErr w:type="spellStart"/>
            <w:r>
              <w:rPr>
                <w:rFonts w:ascii="Times New Roman" w:hAnsi="Times New Roman"/>
                <w:sz w:val="24"/>
              </w:rPr>
              <w:t>videocitofonia</w:t>
            </w:r>
            <w:proofErr w:type="spellEnd"/>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Ingresso video per </w:t>
            </w:r>
            <w:proofErr w:type="spellStart"/>
            <w:r>
              <w:rPr>
                <w:rFonts w:ascii="Times New Roman" w:hAnsi="Times New Roman"/>
                <w:sz w:val="24"/>
              </w:rPr>
              <w:t>videocitofonia</w:t>
            </w:r>
            <w:proofErr w:type="spellEnd"/>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Videosorveglianza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di videosorveglianza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per l'acquisizione di immagini (telecamere)</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per la gestione delle immagini</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Interconnessioni</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Sicurezza dell'edificio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di illuminazione di sicurezza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Circondario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autonome per illuminazione di emergenza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Corpo illuminante per sorgente centrale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fari</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Evacuazione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autonome per illuminazione di emergenza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indipendenti di illuminazione residenziale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a doppia funzione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Corpo illuminante per sorgente centrale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(dispositivo di illuminazione)</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(dispositivo di identificazione avanzata)</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w:t>
            </w:r>
            <w:proofErr w:type="gramStart"/>
            <w:r>
              <w:rPr>
                <w:rFonts w:ascii="Times New Roman" w:hAnsi="Times New Roman"/>
                <w:sz w:val="24"/>
              </w:rPr>
              <w:t>B.R</w:t>
            </w:r>
            <w:proofErr w:type="gramEnd"/>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Illuminazione di emergenza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indipendenti di illuminazione residenziale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a doppia funzione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d'intervento autonome portatili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Alimentazione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Sorgente centrale per il montaggio della luce di emergenza</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Sicurezza antincendio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Sicurezza antincendio e allarme tecnico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Rilevatori/allarmi di fumo indipendenti</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Allarmi tecnici e rilevatori (allagamento, gas, ecc.)</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Rilevatori autonomi di monossido di carbonio</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Allarmi tecnici e rilevatori</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Apparecchiature HVAC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Riscaldamento e/o raffreddamento e/o produzione di acqua calda per uso domestico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Caldaia (solo riscaldamento)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Caldaia a gas</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Caldaia a olio combustibile</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Caldaia ibrida</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Caldaia a biomassa</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Caldaia mista (riscaldamento e acqua calda per uso domestico)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Caldaia a gas</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Caldaia a olio combustibile</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 a biomassa indipendenti</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Pompe di calore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Pompa di calore a compressione elettrica</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Pompa di calore ibrida</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Pompa di circolazione dell'acqua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Radiatore</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Scalda asciugamani</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Riscaldamento elettrico diretto tramite unità fissa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Convettore</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Radiante</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Radiatore</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con funzione secondaria come scalda asciugamani</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Produzione di acqua calda per uso domestico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Scaldabagno individuale ad accumulo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Scaldabagno elettrico</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Scaldabagno termodinamico</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Scaldabagno a gas</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Scaldacqua solare individuale</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 di comfort finali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Termoventilatori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Termoventilatori</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o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Travi di climatizzazione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Travi di climatizzazione passive</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Travi di climatizzazione attive</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Radiatori dinamici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Radiatori dinamici</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Condotti e accessori di rete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Curve e accessori</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flessibili</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Condotti rigidi</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Diffusione dell'aria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Prese d'aria</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Terminali passivi</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Diffusori</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Filtro dell'aria</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Aperture per estrattori e soffiatori</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Trattamento dell'aria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Impianto di trattamento dell'aria</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a doppio flusso</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Scatola di ventilazione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Ventilazione a flusso singolo flusso a controllo meccanico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Ventilazione a doppio flusso controllata meccanicamente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Scatola di ventilazione</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Refrigerazione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Unità di produzione di acqua ghiacciata</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Torre di raffreddamento</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Refrigeratori d’aria</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Estrattore meccanico di fumo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Torretta, ventola</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Serranda antincendio o firewall, serranda, otturatore</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Scatola di relè</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Produzione locale di elettricità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Generatore di energia elettrica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Moduli fotovoltaici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Silicio cristallino (monocristallino o policristallino)</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Strati sottili</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Turbine eoliche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Orizzontali</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Verticali</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Conversione e regolamentazione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Inverter sincroni</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Inverter autonomi</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Convertitore CC/CC</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Convertitore AC/DC</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Regolamentazione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Regolatore di carico</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Conservazione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Batteria elettrochimica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Piombo - acido</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Ioni di litio</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Altro</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Monitoraggio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Monitoraggio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Apparecchiature di monitoraggio</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Attrezzatura per l'illuminazione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Apparecchiatura per l'illuminazione interna e alimentatori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Illuminazione da incasso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lineare da incasso per interni per l'illuminazione di uffici</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da incasso non lineare per interni per l'illuminazione di uffici</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d'accento da incasso per interni (faretti)</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Illuminazione con montaggio a superficie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Plafoniere, apparecchi lineari interni a sospensione per ufficio o illuminazione industriale</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funzionale interna lineare a parete</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Plafoniere, illuminazione a parete con montaggio a superficie, apparecchi decorativi interni a sospensione</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Oblò interni</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Nastri per illuminazione per interni (senza dispositivi ottici, a differenza dei prodotti lineari)</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Faretti da interni, a parete, su binario o sospesi, per illuminazione d'accento</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Elementi per illuminazione interna resistenti all'acqua</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Barre e nastri flessibili a LED (alimentazione inclusa)</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Elementi a sospensione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Accessori per l’industria</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Strutture in linea continua per illuminazione industriale o commerciale</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Montaggi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Rotaie di alimentazione per faretti</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Apparecchiature per illuminazione esterna e alimentatori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Faretti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Faretti per sport e grandi aree</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Faretti da esterno per illuminazione decorativa</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Apparecchi di illuminazione per esterni, diversi dai proiettori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 per illuminazione decorativa</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Apparecchi per illuminazione funzionale</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d'epoca</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Faretti da incasso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Faretti da esterno da incasso per pavimenti o pareti</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Illuminazione da incasso per orientamento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per orientamento esterno da incasso per pavimenti o pareti</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Pali e colonne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Terminali esterni decorativi</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Colonne luminose esterne decorative</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Apparecchi per illuminazione resistenti all'acqua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Luci da parete montate in superficie e oblò impermeabili</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Illuminazione ad incasso immergibile per piscine o fontane</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Faretti immergibili per piscine o fontane</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unità</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Montanti e montaggi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Montanti</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Cerniere</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 supporti per apparecchi per illuminazione esterna</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Allegato</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Articolo</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Allegato III</w:t>
      </w:r>
      <w:r>
        <w:rPr>
          <w:rFonts w:ascii="Times New Roman" w:hAnsi="Times New Roman"/>
          <w:caps/>
          <w:sz w:val="24"/>
        </w:rPr>
        <w:br/>
        <w:t>Calcolo dei ricavi e delle spese relative alla valutazione di fine vita.</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La visualizzazione di un valore positivo comporta un onere netto e un valore negativo si traduce in un utile netto.</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In caso di riciclaggio, per un dato flusso di rifiuti riciclati (e quindi di un dato materiale lambda), si applica la seguente formula:</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 SM (IS – IV),</w:t>
      </w:r>
      <w:r>
        <w:rPr>
          <w:rFonts w:ascii="Times New Roman" w:hAnsi="Times New Roman"/>
          <w:sz w:val="24"/>
        </w:rPr>
        <w:br/>
        <w:t>dove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massa (kg) di materiale secondario effettivamente recuperato dalla massa dello stock raccolto (componente lambda del materiale nel flusso "materiali destinati al riciclaggio");</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inventario di produzione (per kg) del materiale (o miscela) per il quale il materiale secondario riciclato lambda viene sostituito nel sistema a valle che lo utilizza (ossia non l'inventario di produzione del prodotto a valle, ma l’inventario di produzione del materiale che compone questo prodotto a valle);</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inventario (per kg) della produzione di materiale secondario pronto all'uso nel sistema a valle a partire dallo stock;</w:t>
      </w:r>
      <w:r>
        <w:rPr>
          <w:rFonts w:ascii="Times New Roman" w:hAnsi="Times New Roman"/>
          <w:sz w:val="24"/>
        </w:rPr>
        <w:br/>
        <w:t>MS = massa (kg) di materiale secondario incorporato nel prodotto al quale si applica la dichiarazione al momento della fabbricazione (componente lambda del materiale nel flusso "uso di materiali secondari");</w:t>
      </w:r>
      <w:r>
        <w:rPr>
          <w:rFonts w:ascii="Times New Roman" w:hAnsi="Times New Roman"/>
          <w:sz w:val="24"/>
        </w:rPr>
        <w:br/>
        <w:t>IV = inventario di produzione (per kg) di materiale vergine utilizzato per produrre il prodotto a cui si applica la dichiarazione, in assenza di riciclaggio del materiale;</w:t>
      </w:r>
      <w:r>
        <w:rPr>
          <w:rFonts w:ascii="Times New Roman" w:hAnsi="Times New Roman"/>
          <w:sz w:val="24"/>
        </w:rPr>
        <w:br/>
      </w:r>
      <w:proofErr w:type="spellStart"/>
      <w:r>
        <w:rPr>
          <w:rFonts w:ascii="Times New Roman" w:hAnsi="Times New Roman"/>
          <w:sz w:val="24"/>
        </w:rPr>
        <w:t>Is</w:t>
      </w:r>
      <w:proofErr w:type="spellEnd"/>
      <w:r>
        <w:rPr>
          <w:rFonts w:ascii="Times New Roman" w:hAnsi="Times New Roman"/>
          <w:sz w:val="24"/>
        </w:rPr>
        <w:t xml:space="preserve"> = inventario (per kg) della produzione della materia prima secondaria pronta all'uso utilizzata per produrre il prodotto a cui si applica la dichiarazione.</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Nel caso del recupero energetico, per un dato flusso di rifiuti riciclati, si applica la seguente formula:</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 </w:t>
      </w:r>
      <w:proofErr w:type="spellStart"/>
      <w:r>
        <w:rPr>
          <w:rFonts w:ascii="Times New Roman" w:hAnsi="Times New Roman"/>
          <w:sz w:val="24"/>
        </w:rPr>
        <w:t>REval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w:t>
      </w:r>
      <w:r>
        <w:rPr>
          <w:rFonts w:ascii="Times New Roman" w:hAnsi="Times New Roman"/>
          <w:sz w:val="24"/>
        </w:rPr>
        <w:br/>
        <w:t>dove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massa (in kg) di materiale secondario effettivamente recuperato dalla massa raccolta dello stock (componente(i) lambda del flusso di materiale "materiali di recupero energetico");</w:t>
      </w:r>
      <w:r>
        <w:rPr>
          <w:rFonts w:ascii="Times New Roman" w:hAnsi="Times New Roman"/>
          <w:sz w:val="24"/>
        </w:rPr>
        <w:br/>
      </w:r>
      <w:proofErr w:type="spellStart"/>
      <w:r>
        <w:rPr>
          <w:rFonts w:ascii="Times New Roman" w:hAnsi="Times New Roman"/>
          <w:sz w:val="24"/>
        </w:rPr>
        <w:lastRenderedPageBreak/>
        <w:t>IVval</w:t>
      </w:r>
      <w:proofErr w:type="spellEnd"/>
      <w:r>
        <w:rPr>
          <w:rFonts w:ascii="Times New Roman" w:hAnsi="Times New Roman"/>
          <w:sz w:val="24"/>
        </w:rPr>
        <w:t xml:space="preserve"> = inventario di produzione (per kg) dell'energia per la quale l'energia recuperata dal riciclaggio energetico dei materiali secondari è sostituita nel sistema a valle (ossia non l'inventario di produzione del sistema a valle al quale il materiale secondario contribuirà, ma l'inventario di produzione di energia consumata dal sistema a valle, espresso in MJ erogati);</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inventario (per kg) del riciclaggio energetico del materiale secondario da stock, per il quale il flusso di riferimento è la massa di materiale secondario riciclato;</w:t>
      </w:r>
      <w:r>
        <w:rPr>
          <w:rFonts w:ascii="Times New Roman" w:hAnsi="Times New Roman"/>
          <w:sz w:val="24"/>
        </w:rPr>
        <w:br/>
      </w:r>
      <w:proofErr w:type="spellStart"/>
      <w:r>
        <w:rPr>
          <w:rFonts w:ascii="Times New Roman" w:hAnsi="Times New Roman"/>
          <w:sz w:val="24"/>
        </w:rPr>
        <w:t>PCISval</w:t>
      </w:r>
      <w:proofErr w:type="spellEnd"/>
      <w:r>
        <w:rPr>
          <w:rFonts w:ascii="Times New Roman" w:hAnsi="Times New Roman"/>
          <w:sz w:val="24"/>
        </w:rPr>
        <w:t xml:space="preserve"> = IBD (MJ/kg) di materiale secondario recuperato;</w:t>
      </w:r>
      <w:r>
        <w:rPr>
          <w:rFonts w:ascii="Times New Roman" w:hAnsi="Times New Roman"/>
          <w:sz w:val="24"/>
        </w:rPr>
        <w:br/>
        <w:t>Reval = produzione energetica dell'impianto di riciclaggio dell'energia del materiale secondario recuperato.</w:t>
      </w:r>
      <w:r>
        <w:rPr>
          <w:rFonts w:ascii="Times New Roman" w:hAnsi="Times New Roman"/>
          <w:sz w:val="24"/>
        </w:rPr>
        <w:br/>
        <w:t>Il beneficio complessivo per il prodotto dichiarato viene quindi ottenuto come somma di tutti i benefici collettivi calcolati per ciascuno dei materiali/flussi.</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Allegato</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Articolo</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ALLEGATO IV</w:t>
      </w:r>
      <w:r>
        <w:rPr>
          <w:rFonts w:ascii="Times New Roman" w:hAnsi="Times New Roman"/>
          <w:sz w:val="24"/>
        </w:rPr>
        <w:br/>
        <w:t>QUADRO DI RIFERIMENTO PER LA VALIDITÀ DELLE DICHIARAZIONI AMBIENTALI COLLETTIVE PER I PRODOTTI</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Omogeneità</w:t>
      </w:r>
      <w:r>
        <w:rPr>
          <w:rFonts w:ascii="Times New Roman" w:hAnsi="Times New Roman"/>
          <w:sz w:val="24"/>
        </w:rPr>
        <w:br/>
        <w:t xml:space="preserve">Un'analisi del ciclo di vita (LCA) comporta una grande quantità di dati per numerosi scenari. Alcuni dati sono raccolti in loco, alcuni sono calcolati e alcuni sono stimati. I dati che forniscono una LCA sono quindi dati con un certo livello di incertezza. </w:t>
      </w:r>
      <w:proofErr w:type="gramStart"/>
      <w:r>
        <w:rPr>
          <w:rFonts w:ascii="Times New Roman" w:hAnsi="Times New Roman"/>
          <w:sz w:val="24"/>
        </w:rPr>
        <w:t>Pertanto</w:t>
      </w:r>
      <w:proofErr w:type="gramEnd"/>
      <w:r>
        <w:rPr>
          <w:rFonts w:ascii="Times New Roman" w:hAnsi="Times New Roman"/>
          <w:sz w:val="24"/>
        </w:rPr>
        <w:t xml:space="preserve"> il risultato di una LCA è abbastanza sensibile alle variazioni dei dati di input.</w:t>
      </w:r>
      <w:r>
        <w:rPr>
          <w:rFonts w:ascii="Times New Roman" w:hAnsi="Times New Roman"/>
          <w:sz w:val="24"/>
        </w:rPr>
        <w:br/>
        <w:t>L'articolo 8 della presente ordinanza richiede che gli impatti ambientali dei registranti che utilizzano la stessa dichiarazione ambientale collettiva siano omogenei. Pertanto, una dichiarazione ambientale collettiva coprirà prodotti omogenei dal punto di vista ambientale se è possibile garantire che tutti i prodotti contemplati dichiarino impatti ambientali al di sotto di un valore limite se sono conformi al quadro di validità associato alla presente dichiarazione ambientale collettiva.</w:t>
      </w:r>
      <w:r>
        <w:rPr>
          <w:rFonts w:ascii="Times New Roman" w:hAnsi="Times New Roman"/>
          <w:sz w:val="24"/>
        </w:rPr>
        <w:br/>
        <w:t>Si ammette che tale omogeneità debba essere dimostrata solo per certi indicatori di controllo.</w:t>
      </w:r>
      <w:r>
        <w:rPr>
          <w:rFonts w:ascii="Times New Roman" w:hAnsi="Times New Roman"/>
          <w:sz w:val="24"/>
        </w:rPr>
        <w:br/>
        <w:t>Per gli indicatori LCA, la dimostrazione di omogeneità viene effettuata attraverso un'analisi di sensibilità dei parametri incerti e dei parametri che variano da un registrante all'altro. Si raccomanda vivamente che tale analisi sia effettuata all'inizio del processo LCA e che la dichiarazione ambientale collettiva sia elaborata sulla base di tale analisi.</w:t>
      </w:r>
      <w:r>
        <w:rPr>
          <w:rFonts w:ascii="Times New Roman" w:hAnsi="Times New Roman"/>
          <w:sz w:val="24"/>
        </w:rPr>
        <w:br/>
        <w:t>2. Analisi di sensibilità</w:t>
      </w:r>
      <w:r>
        <w:rPr>
          <w:rFonts w:ascii="Times New Roman" w:hAnsi="Times New Roman"/>
          <w:sz w:val="24"/>
        </w:rPr>
        <w:br/>
        <w:t>Un'analisi di sensibilità LCA deve comprendere le seguenti fasi:</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Selezione degli indicatori di controllo;</w:t>
      </w:r>
      <w:r>
        <w:rPr>
          <w:rFonts w:ascii="Times New Roman" w:hAnsi="Times New Roman"/>
          <w:sz w:val="24"/>
        </w:rPr>
        <w:br/>
        <w:t>b) Identificazione dei parametri sensibili: studio del contributo per identificare i parametri di input che contribuiscono maggiormente a spiegare il valore degli indicatori di controllo (risultati della LCA);</w:t>
      </w:r>
      <w:r>
        <w:rPr>
          <w:rFonts w:ascii="Times New Roman" w:hAnsi="Times New Roman"/>
          <w:sz w:val="24"/>
        </w:rPr>
        <w:br/>
        <w:t xml:space="preserve">c) Determinazione dei campi di variazione dei parametri sensibili (parametri limite ed </w:t>
      </w:r>
      <w:r>
        <w:rPr>
          <w:rFonts w:ascii="Times New Roman" w:hAnsi="Times New Roman"/>
          <w:sz w:val="24"/>
        </w:rPr>
        <w:lastRenderedPageBreak/>
        <w:t>eventuale distribuzione statistica);</w:t>
      </w:r>
      <w:r>
        <w:rPr>
          <w:rFonts w:ascii="Times New Roman" w:hAnsi="Times New Roman"/>
          <w:sz w:val="24"/>
        </w:rPr>
        <w:br/>
        <w:t>d) Simulazioni programmate basate sulle fasi b e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L'analisi di sensibilità può essere iterativa. Il risultato dell'analisi di sensibilità deve essere:</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Un elenco di fattori che influenzano i risultati della LCA (parametri sensibili) e i loro campi di variazione autorizzati (questa lista è il campo di validità);</w:t>
      </w:r>
      <w:r>
        <w:rPr>
          <w:rFonts w:ascii="Times New Roman" w:hAnsi="Times New Roman"/>
          <w:sz w:val="24"/>
        </w:rPr>
        <w:br/>
        <w:t>b) per ciascun indicatore di controllo, un probabile intervallo di variazione (intervallo di confidenza del 95%) dei valori dell'indicatore ottenuti dalle simulazioni dei parametri.</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Fase 1: selezione degli indicatori di controllo</w:t>
      </w:r>
      <w:r>
        <w:rPr>
          <w:rFonts w:ascii="Times New Roman" w:hAnsi="Times New Roman"/>
          <w:sz w:val="24"/>
        </w:rPr>
        <w:br/>
        <w:t>La selezione degli indicatori di controllo deve essere ragionevole. Essi possono essere scelti di volta in volta tra quelli di cui all'articolo 3 della presente ordinanza. La loro selezione deve essere giustificata. Dovrebbero essere studiati almeno i seguenti indicatori:</w:t>
      </w:r>
    </w:p>
    <w:p w14:paraId="3EA16B40" w14:textId="5AE74D2D"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riscaldamento globale;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uso di energia primaria non rinnovabile, escluse le risorse energetiche primarie non rinnovabili utilizzate come materie prime;</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rifiuti non pericolosi smaltiti.</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Fase 2: identificazione dei parametri sensibili</w:t>
      </w:r>
      <w:r>
        <w:rPr>
          <w:rFonts w:ascii="Times New Roman" w:hAnsi="Times New Roman"/>
          <w:sz w:val="24"/>
        </w:rPr>
        <w:br/>
        <w:t>Per ciascun indicatore di controllo occorre effettuare un'analisi dei parametri sensibili. A tal fine, si propone che, come approccio iniziale, gli impatti siano divisi secondo i processi inclusi nel ciclo di vita. Tale analisi dovrebbe basarsi sullo scenario di riferimento descritto nell'analisi di sensibilità.</w:t>
      </w:r>
      <w:r>
        <w:rPr>
          <w:rFonts w:ascii="Times New Roman" w:hAnsi="Times New Roman"/>
          <w:sz w:val="24"/>
        </w:rPr>
        <w:br/>
        <w:t>Si raccomanda di prendere in considerazione tutti i processi con:</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un contributo di oltre il 5% in uno degli indicatori di controllo nello scenario di riferimento;</w:t>
      </w:r>
      <w:r>
        <w:rPr>
          <w:rFonts w:ascii="Times New Roman" w:hAnsi="Times New Roman"/>
          <w:sz w:val="24"/>
        </w:rPr>
        <w:br/>
        <w:t>- o impatti cumulativi che rappresentano almeno l'80 % degli impatti di uno degli indicatori di controllo.</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parametri del modello LCA (entrare o uscire dal processo, parametro interno di modellazione dei processi, ecc.) che modificano questo contributo dovrebbero essere identificati. Questi sono i parametri considerati sensibili.</w:t>
      </w:r>
      <w:r>
        <w:rPr>
          <w:rFonts w:ascii="Times New Roman" w:hAnsi="Times New Roman"/>
          <w:sz w:val="24"/>
        </w:rPr>
        <w:br/>
        <w:t>Al termine di questa analisi, il registrante avrà un elenco dei processi che contribuiscono maggiormente agli indicatori di controllo durante l'intero ciclo di vita e un elenco di parametri sensibili.</w:t>
      </w:r>
      <w:r>
        <w:rPr>
          <w:rFonts w:ascii="Times New Roman" w:hAnsi="Times New Roman"/>
          <w:sz w:val="24"/>
        </w:rPr>
        <w:br/>
        <w:t>Fase 3: definizione degli intervalli di variazione dei parametri sensibili</w:t>
      </w:r>
      <w:r>
        <w:rPr>
          <w:rFonts w:ascii="Times New Roman" w:hAnsi="Times New Roman"/>
          <w:sz w:val="24"/>
        </w:rPr>
        <w:br/>
        <w:t xml:space="preserve">Questa fase consiste nel definire l'intervallo di variazione di ogni parametro sensibile. </w:t>
      </w:r>
      <w:r>
        <w:rPr>
          <w:rFonts w:ascii="Times New Roman" w:hAnsi="Times New Roman"/>
          <w:sz w:val="24"/>
        </w:rPr>
        <w:lastRenderedPageBreak/>
        <w:t>Tale intervallo dovrebbe quindi essere proposto come minimo sotto forma di intervalli. Se nota, può essere prevista una legge per la distribuzione del parametro nell'intervallo sopra definito.</w:t>
      </w:r>
      <w:r>
        <w:rPr>
          <w:rFonts w:ascii="Times New Roman" w:hAnsi="Times New Roman"/>
          <w:sz w:val="24"/>
        </w:rPr>
        <w:br/>
        <w:t>Dopo questa fase, ogni parametro sensibile è associato a una serie di variazioni.</w:t>
      </w:r>
      <w:r>
        <w:rPr>
          <w:rFonts w:ascii="Times New Roman" w:hAnsi="Times New Roman"/>
          <w:sz w:val="24"/>
        </w:rPr>
        <w:br/>
        <w:t>Fase 4: Calcolo della variabilità degli indicatori</w:t>
      </w:r>
      <w:r>
        <w:rPr>
          <w:rFonts w:ascii="Times New Roman" w:hAnsi="Times New Roman"/>
          <w:sz w:val="24"/>
        </w:rPr>
        <w:br/>
        <w:t>Sulla base delle fasi 2 e 3, questa fase comporta l'utilizzo di un metodo matematico appropriato per determinare gli intervalli di variazione degli indicatori (valori massimi, valori medi e valori minimi) quando si sottopone il modello LCA a variazioni dei parametri sensibili.</w:t>
      </w:r>
      <w:r>
        <w:rPr>
          <w:rFonts w:ascii="Times New Roman" w:hAnsi="Times New Roman"/>
          <w:sz w:val="24"/>
        </w:rPr>
        <w:br/>
        <w:t>Il risultato della fase 4 è una serie di gamme di valori prese da ciascuno degli indicatori contemplati dall'analisi di sensibilità.</w:t>
      </w:r>
      <w:r>
        <w:rPr>
          <w:rFonts w:ascii="Times New Roman" w:hAnsi="Times New Roman"/>
          <w:sz w:val="24"/>
        </w:rPr>
        <w:br/>
        <w:t>Il calcolo della variabilità degli indicatori riguarda almeno i parametri sensibili relativi agli elementi di cui all'articolo 8 della presente ordinanza.</w:t>
      </w:r>
      <w:r>
        <w:rPr>
          <w:rFonts w:ascii="Times New Roman" w:hAnsi="Times New Roman"/>
          <w:sz w:val="24"/>
        </w:rPr>
        <w:br/>
        <w:t>Le fasi 3 e 4 possono essere eseguite mediante iterazione per adattare la gamma di parametri sensibili alle condizioni di omogeneità richieste.</w:t>
      </w:r>
      <w:r>
        <w:rPr>
          <w:rFonts w:ascii="Times New Roman" w:hAnsi="Times New Roman"/>
          <w:sz w:val="24"/>
        </w:rPr>
        <w:br/>
        <w:t>Rapporto di analisi di sensibilità</w:t>
      </w:r>
      <w:r>
        <w:rPr>
          <w:rFonts w:ascii="Times New Roman" w:hAnsi="Times New Roman"/>
          <w:sz w:val="24"/>
        </w:rPr>
        <w:br/>
        <w:t>La relazione contiene gli elementi corrispondenti alle quattro fasi dell'analisi di sensibilità e l'esito finale dell'analisi di sensibilità, compresi l'ambito di validità della dichiarazione ambientale collettiva e i campi di variazione degli indicatori di controllo.</w:t>
      </w:r>
      <w:r>
        <w:rPr>
          <w:rFonts w:ascii="Times New Roman" w:hAnsi="Times New Roman"/>
          <w:sz w:val="24"/>
        </w:rPr>
        <w:br/>
        <w:t>3. Analisi di sensibilità e valori ambientali dichiarati</w:t>
      </w:r>
      <w:r>
        <w:rPr>
          <w:rFonts w:ascii="Times New Roman" w:hAnsi="Times New Roman"/>
          <w:sz w:val="24"/>
        </w:rPr>
        <w:br/>
        <w:t>I risultati dell'analisi di sensibilità condizionano i valori ambientali riportati nella dichiarazione ambientale collettiva come specificato nell'articolo 8 della presente ordinanza.</w:t>
      </w:r>
      <w:r>
        <w:rPr>
          <w:rFonts w:ascii="Times New Roman" w:hAnsi="Times New Roman"/>
          <w:sz w:val="24"/>
        </w:rPr>
        <w:br/>
        <w:t>Quando il valore massimo (o massimo al 95% di fiducia, se si utilizza un approccio statistico) della gamma di variazione di ciascun indicatore di controllo dell'impatto ambientale è inferiore o uguale al valore medio dell'indicatore moltiplicato per un valore limite (specificato all'articolo 8 della presente ordinanza), i valori degli indicatori di impatto ambientale dichiarati sono calcolati con i valori medi dei parametri sensibili. In caso contrario, cioè se almeno uno degli indicatori di controllo dell'impatto ambientale ha un valore massimo superiore al valore medio dell'indicatore moltiplicato per un valore limite (specificato nell'articolo 8 della presente ordinanza), si dovrà dichiarare il limite meno favorevole (il valore massimo che l'indicatore può raggiungere se riflette una spesa e il valore minimo se riflette un profitto). Se gli indicatori riflettono una spesa, questo limite corrisponde al valore degli indicatori ottenuti quando si utilizzano i valori massimi (o massimi con una probabilità del 95%, se si utilizza un approccio statistico) dei parametri sensibili.</w:t>
      </w:r>
      <w:r>
        <w:rPr>
          <w:rFonts w:ascii="Times New Roman" w:hAnsi="Times New Roman"/>
          <w:sz w:val="24"/>
        </w:rPr>
        <w:br/>
        <w:t>4. Identificazione precisa dei prodotti oggetto di una dichiarazione</w:t>
      </w:r>
      <w:r>
        <w:rPr>
          <w:rFonts w:ascii="Times New Roman" w:hAnsi="Times New Roman"/>
          <w:sz w:val="24"/>
        </w:rPr>
        <w:br/>
        <w:t>Per determinare se un prodotto può essere coperto da una dichiarazione ambientale collettiva, occorre stabilire se il prodotto è simile al prodotto coperto standard e se il registrante di tale prodotto è autorizzato ad utilizzare la presente dichiarazione ambientale collettiva.</w:t>
      </w:r>
      <w:r>
        <w:rPr>
          <w:rFonts w:ascii="Times New Roman" w:hAnsi="Times New Roman"/>
          <w:sz w:val="24"/>
        </w:rPr>
        <w:br/>
        <w:t>Identificazione del prodotto standard</w:t>
      </w:r>
      <w:r>
        <w:rPr>
          <w:rFonts w:ascii="Times New Roman" w:hAnsi="Times New Roman"/>
          <w:sz w:val="24"/>
        </w:rPr>
        <w:br/>
        <w:t>Il prodotto standard deve essere correttamente definito e descritto correttamente in modo da facilitare la riconciliazione tra la descrizione di un prodotto e quella del prodotto standard. La descrizione del prodotto standard deve contenere almeno quanto segue: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a) Un elenco dei principali componenti o materiali predominanti;</w:t>
      </w:r>
      <w:r>
        <w:rPr>
          <w:rFonts w:ascii="Times New Roman" w:hAnsi="Times New Roman"/>
          <w:sz w:val="24"/>
        </w:rPr>
        <w:br/>
        <w:t>b) Informazioni sulla funzionalità o sul livello di prestazioni.</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Tale identificazione deve essere sufficiente per accertare in modo rapido e inequivocabile se un determinato prodotto può essere coperto dalla dichiarazione collettiva.</w:t>
      </w:r>
      <w:r>
        <w:rPr>
          <w:rFonts w:ascii="Times New Roman" w:hAnsi="Times New Roman"/>
          <w:sz w:val="24"/>
        </w:rPr>
        <w:br/>
        <w:t>Identificazione dei registranti che possono utilizzare la dichiarazione ambientale collettiva</w:t>
      </w:r>
      <w:r>
        <w:rPr>
          <w:rFonts w:ascii="Times New Roman" w:hAnsi="Times New Roman"/>
          <w:sz w:val="24"/>
        </w:rPr>
        <w:br/>
        <w:t>Poiché la dichiarazione ambientale collettiva è proprietà e responsabilità di una comunità, tale comunità può decidere che solo alcuni registranti possono utilizzare questa dichiarazione ambientale collettiva.</w:t>
      </w:r>
      <w:r>
        <w:rPr>
          <w:rFonts w:ascii="Times New Roman" w:hAnsi="Times New Roman"/>
          <w:sz w:val="24"/>
        </w:rPr>
        <w:br/>
        <w:t>Un elenco dei registranti autorizzati ad utilizzare una dichiarazione ambientale collettiva deve essere fornito:</w:t>
      </w:r>
    </w:p>
    <w:p w14:paraId="2AB81917" w14:textId="37B3110F"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sotto forma di un elenco esaustivo di nomi;</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o sotto forma di condizione di appartenenza a un ente collettivo (associazione, sindacati, firmatari di una carta di buona prassi, ecc.). In questo caso, l'elenco dei membri di tale comunità deve essere accessibile al pubblico.</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Contenuto del quadro di validità</w:t>
      </w:r>
      <w:r>
        <w:rPr>
          <w:rFonts w:ascii="Times New Roman" w:hAnsi="Times New Roman"/>
          <w:sz w:val="24"/>
        </w:rPr>
        <w:br/>
        <w:t>Il quadro di validità contiene almeno:</w:t>
      </w:r>
    </w:p>
    <w:p w14:paraId="76B32132" w14:textId="776DB9EA"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identificazione del prodotto standard (obbligatorio);</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 prodotti oggetto della dichiarazione ambientale collettiva;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identificazione dei registranti che possono utilizzare la dichiarazione ambientale collettiva;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la relazione sullo studio di sensibilità comprendente l'intervallo di validità e dimostrando che i valori dichiarati degli indicatori sono omogenei.</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Uso del quadro di validità</w:t>
      </w:r>
      <w:r>
        <w:rPr>
          <w:rFonts w:ascii="Times New Roman" w:hAnsi="Times New Roman"/>
          <w:sz w:val="24"/>
        </w:rPr>
        <w:br/>
        <w:t>Affinché un registrante utilizzi una dichiarazione ambientale collettiva per il suo prodotto, deve fornire prove:</w:t>
      </w:r>
    </w:p>
    <w:p w14:paraId="0B262F36" w14:textId="33706D39"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che il loro prodotto sia conforme al "prodotto standard" di cui alla dichiarazione ambientale collettiva;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della presenza nell'elenco dei registranti autorizzati per la presente dichiarazione ambientale collettiva;</w:t>
      </w:r>
      <w:r>
        <w:rPr>
          <w:rFonts w:ascii="Times New Roman" w:hAnsi="Times New Roman"/>
          <w:sz w:val="24"/>
        </w:rPr>
        <w:br/>
      </w:r>
      <w:r w:rsidR="00B123BA">
        <w:rPr>
          <w:rFonts w:ascii="Times New Roman" w:hAnsi="Times New Roman"/>
          <w:sz w:val="24"/>
        </w:rPr>
        <w:t xml:space="preserve">- </w:t>
      </w:r>
      <w:r>
        <w:rPr>
          <w:rFonts w:ascii="Times New Roman" w:hAnsi="Times New Roman"/>
          <w:sz w:val="24"/>
        </w:rPr>
        <w:t>di essere conforme alla portata della dichiarazione ambientale collettiva in questione.</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Redatto il 14 dicembre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La ministra con delegata della ministra della Transizione ecologica, incaricata dell'Edilizia abitativa,</w:t>
      </w:r>
      <w:r>
        <w:rPr>
          <w:rFonts w:ascii="Times New Roman" w:hAnsi="Times New Roman"/>
          <w:sz w:val="24"/>
        </w:rPr>
        <w:br/>
        <w:t>Per la ministra e su delega:</w:t>
      </w:r>
      <w:r>
        <w:rPr>
          <w:rFonts w:ascii="Times New Roman" w:hAnsi="Times New Roman"/>
          <w:sz w:val="24"/>
        </w:rPr>
        <w:br/>
        <w:t>Direttore dell'edilizia abitativa, dello sviluppo urbano e dei paesaggi,</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La ministra della Transizione ecologica,</w:t>
      </w:r>
      <w:r>
        <w:rPr>
          <w:rFonts w:ascii="Times New Roman" w:hAnsi="Times New Roman"/>
          <w:sz w:val="24"/>
        </w:rPr>
        <w:br/>
        <w:t>per la ministra e su delega:</w:t>
      </w:r>
      <w:r>
        <w:rPr>
          <w:rFonts w:ascii="Times New Roman" w:hAnsi="Times New Roman"/>
          <w:sz w:val="24"/>
        </w:rPr>
        <w:br/>
        <w:t>Direttore dell'edilizia abitativa, dello sviluppo urbano e dei paesaggi,</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1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B123BA"/>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7043</Words>
  <Characters>43880</Characters>
  <Application>Microsoft Office Word</Application>
  <DocSecurity>0</DocSecurity>
  <Lines>3989</Lines>
  <Paragraphs>821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2022-05-04T12:33:00Z</dcterms:created>
  <dcterms:modified xsi:type="dcterms:W3CDTF">2022-05-04T12:33:00Z</dcterms:modified>
</cp:coreProperties>
</file>