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E6811" w14:textId="77777777" w:rsidR="00A167A6" w:rsidRDefault="00160D9A">
      <w:pPr>
        <w:pStyle w:val="center"/>
        <w:spacing w:after="210"/>
        <w:rPr>
          <w:rFonts w:ascii="Arial" w:eastAsia="Arial" w:hAnsi="Arial" w:cs="Arial"/>
          <w:b/>
          <w:bCs/>
          <w:caps/>
          <w:sz w:val="21"/>
          <w:szCs w:val="21"/>
        </w:rPr>
      </w:pPr>
      <w:r>
        <w:rPr>
          <w:rFonts w:ascii="Arial" w:hAnsi="Arial"/>
          <w:b/>
          <w:caps/>
          <w:sz w:val="21"/>
        </w:rPr>
        <w:t>З А К О Н</w:t>
      </w:r>
    </w:p>
    <w:p w14:paraId="13EB0E8C" w14:textId="77777777" w:rsidR="00A167A6" w:rsidRDefault="00160D9A">
      <w:pPr>
        <w:pStyle w:val="center"/>
        <w:spacing w:before="210" w:after="210"/>
        <w:rPr>
          <w:rFonts w:ascii="Arial" w:eastAsia="Arial" w:hAnsi="Arial" w:cs="Arial"/>
          <w:b/>
          <w:bCs/>
          <w:caps/>
          <w:sz w:val="21"/>
          <w:szCs w:val="21"/>
        </w:rPr>
      </w:pPr>
      <w:r>
        <w:rPr>
          <w:rFonts w:ascii="Arial" w:hAnsi="Arial"/>
          <w:b/>
          <w:caps/>
          <w:sz w:val="21"/>
        </w:rPr>
        <w:t>ЗА ИЗМЕНЕНИЕ НА ЗАКОНА ЗА ОГРАНИЧАВАНЕ НА УПОТРЕБАТА НА ТЮТЮНЕВИ ИЗДЕЛИЯ И СВЪРЗАНИТЕ С ТЯХ ПРОДУКТИ</w:t>
      </w:r>
    </w:p>
    <w:p w14:paraId="3B99D771"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Член 1</w:t>
      </w:r>
    </w:p>
    <w:p w14:paraId="17EAE7F0"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В член 1 от Закона за ограничаване на употребата на тютюневи изделия и свързаните с тях продукти (Официален вестник на Република Словения, № 9/17 и 29/17) думите „</w:t>
      </w:r>
      <w:hyperlink r:id="rId4" w:tgtFrame="_blank" w:tooltip="to EUR-Lex" w:history="1">
        <w:r>
          <w:rPr>
            <w:rFonts w:ascii="Arial" w:hAnsi="Arial"/>
            <w:color w:val="0000EE"/>
            <w:sz w:val="21"/>
            <w:u w:val="single" w:color="0000EE"/>
          </w:rPr>
          <w:t>Делегирана директива 2014/109/ЕС на Комисията</w:t>
        </w:r>
      </w:hyperlink>
      <w:r>
        <w:rPr>
          <w:rFonts w:ascii="Arial" w:hAnsi="Arial"/>
          <w:sz w:val="21"/>
        </w:rPr>
        <w:t xml:space="preserve"> от 10 октомври 2014 г. за изменение на </w:t>
      </w:r>
      <w:hyperlink r:id="rId5" w:tgtFrame="_blank" w:tooltip="to EUR-Lex" w:history="1">
        <w:r>
          <w:rPr>
            <w:rFonts w:ascii="Arial" w:hAnsi="Arial"/>
            <w:color w:val="0000EE"/>
            <w:sz w:val="21"/>
            <w:u w:val="single" w:color="0000EE"/>
          </w:rPr>
          <w:t>приложение II към Директива 2014/40/ЕС</w:t>
        </w:r>
      </w:hyperlink>
      <w:r>
        <w:rPr>
          <w:rFonts w:ascii="Arial" w:hAnsi="Arial"/>
          <w:sz w:val="21"/>
        </w:rPr>
        <w:t xml:space="preserve"> на Европейския парламент и на Съвета чрез установяване на галерия от предупреждения под формата на изображения, които да се използват за тютюневите изделия (ОВ L 360, 17. 12. 2014 г., стр. 22)“ се заменят с думите: „</w:t>
      </w:r>
      <w:hyperlink r:id="rId6" w:tgtFrame="_blank" w:tooltip="to EUR-Lex" w:history="1">
        <w:r>
          <w:rPr>
            <w:rFonts w:ascii="Arial" w:hAnsi="Arial"/>
            <w:color w:val="0000EE"/>
            <w:sz w:val="21"/>
            <w:u w:val="single" w:color="0000EE"/>
          </w:rPr>
          <w:t>Делегирана директива (ЕС) 2022/2100 на Комисията</w:t>
        </w:r>
      </w:hyperlink>
      <w:r>
        <w:rPr>
          <w:rFonts w:ascii="Arial" w:hAnsi="Arial"/>
          <w:sz w:val="21"/>
        </w:rPr>
        <w:t xml:space="preserve"> от 29 юни 2022 г. за изменение на </w:t>
      </w:r>
      <w:hyperlink r:id="rId7" w:tgtFrame="_blank" w:tooltip="to EUR-Lex" w:history="1">
        <w:r>
          <w:rPr>
            <w:rFonts w:ascii="Arial" w:hAnsi="Arial"/>
            <w:color w:val="0000EE"/>
            <w:sz w:val="21"/>
            <w:u w:val="single" w:color="0000EE"/>
          </w:rPr>
          <w:t>Директива 2014/40/ЕС</w:t>
        </w:r>
      </w:hyperlink>
      <w:r>
        <w:rPr>
          <w:rFonts w:ascii="Arial" w:hAnsi="Arial"/>
          <w:sz w:val="21"/>
        </w:rPr>
        <w:t xml:space="preserve"> на Европейския парламент и на Съвета с оглед на оттеглянето на определени освобождавания по отношение на нагреваемите тютюневи изделия (ОВ L 283, 3. 11. 2022 г., стр. 4)“.</w:t>
      </w:r>
    </w:p>
    <w:p w14:paraId="29D0AC85"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Член 2</w:t>
      </w:r>
    </w:p>
    <w:p w14:paraId="457724FC"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В член 3 точка 12 се изменя, както следва:</w:t>
      </w:r>
    </w:p>
    <w:p w14:paraId="06D2BA02"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„12. Електронната цигара е продукт, който може да се използва за вдишване на пари, съдържащи никотин, през мундщук или всеки компонент на това изделие, включително патрон, резервоар и устройство без патрон или резервоар. Електронните цигари могат да бъдат за еднократна употреба или за многократно пълнене, като се използват контейнер и резервоар за многократно пълнене, или могат да се пълнят отново с патрон за еднократна употреба.“. Електронна цигара също така се счита за електронна цигара, ако тя се пълни многократно без никотин чрез използване на контейнер и резервоар за многократно пълнене или се пълни многократно без никотин за еднократна употреба за вдишване на безникотинови пари.“.</w:t>
      </w:r>
    </w:p>
    <w:p w14:paraId="5D3685C3"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След точка 12 се добавя нова точка 12.а, която гласи следното:</w:t>
      </w:r>
    </w:p>
    <w:p w14:paraId="0FB67C09"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„12.a Безникотинова електронна цигара е изделие за еднократна употреба, което съдържа резервоар с безникотинова течност и се използва за вдишване на пари, които не съдържат никотин през мундщука или всеки компонент на това изделие.“.</w:t>
      </w:r>
    </w:p>
    <w:p w14:paraId="66C111DA"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Точка 17 се заличава.</w:t>
      </w:r>
    </w:p>
    <w:p w14:paraId="17D6B4F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След точка 19 се добавя нова точка 19.а, която гласи следното:</w:t>
      </w:r>
    </w:p>
    <w:p w14:paraId="22E8EFE6"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„19.a. Новото никотиново изделие е изделие, което не принадлежи към нито една от следните категории изделия, които съдържат никотин, но не съдържат тютюн: електронни цигари, контейнери за многократно пълнене и регистрирани продукти за никотинова заместителна терапия.“.</w:t>
      </w:r>
    </w:p>
    <w:p w14:paraId="5D481CAD"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lastRenderedPageBreak/>
        <w:t>След точка 22 се добавя нова точка 22.а, която гласи следното:</w:t>
      </w:r>
    </w:p>
    <w:p w14:paraId="3280F5AF"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„22.a. Нагреваемовото тютюнево изделие е ново тютюнево изделие, което се нагрява, за да произведе емисии, съдържащи никотин и други химикали, което след това се вдишва от потребителя(ите) и което, в зависимост от характеристиките му, е бездимно тютюнево изделие или тютюнево изделие за пушене.“.</w:t>
      </w:r>
    </w:p>
    <w:p w14:paraId="185E1670"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След точка 23 се добавя нова точка 23.а, която гласи следното:</w:t>
      </w:r>
    </w:p>
    <w:p w14:paraId="6C8F94AF"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„23.а Контейнер без никотин за многократно пълнене е съд, който съдържа течност без никотин, който може да се използва за многократно пълнене на електронна цигара.“.</w:t>
      </w:r>
    </w:p>
    <w:p w14:paraId="5B48012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Точка 25 се изменя, както следва:</w:t>
      </w:r>
    </w:p>
    <w:p w14:paraId="7460E72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 xml:space="preserve">„25. Свързаните с тях продукти съгласно </w:t>
      </w:r>
      <w:hyperlink r:id="rId8" w:tgtFrame="_blank" w:tooltip="to EUR-Lex" w:history="1">
        <w:r>
          <w:rPr>
            <w:rFonts w:ascii="Arial" w:hAnsi="Arial"/>
            <w:color w:val="0000EE"/>
            <w:sz w:val="21"/>
            <w:u w:val="single" w:color="0000EE"/>
          </w:rPr>
          <w:t>Директива 2014/40/ЕС</w:t>
        </w:r>
      </w:hyperlink>
      <w:r>
        <w:rPr>
          <w:rFonts w:ascii="Arial" w:hAnsi="Arial"/>
          <w:sz w:val="21"/>
        </w:rPr>
        <w:t xml:space="preserve"> са електронни цигари и контейнери за многократно пълнене, както и растителни изделия за пушене. В съответствие с настоящия закон, свързаните с тях изделия също така включват безникотинови електронни цигари, контейнери без никотин за многократно пълнене, нагреваеми растителни изделия, нови тютюневи изделия, нови никотинови изделия. В съответствие с настоящия закон, свързаните с тях изделия са също така принадлежности или устройства за употреба на свързаните с тях изделия, посочени в първото изречение и предходното изречение на настоящия раздел, без които свързаните изделия не могат да бъдат използвани.“.</w:t>
      </w:r>
    </w:p>
    <w:p w14:paraId="44905633"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Точка 40 се изменя, както следва:</w:t>
      </w:r>
    </w:p>
    <w:p w14:paraId="7047C1C2"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„40. Тютюнът за ръчно свиване на цигари е тютюн, който може да се използва за направата на цигари от потребители или търговски обекти за продажба на дребно.“.</w:t>
      </w:r>
    </w:p>
    <w:p w14:paraId="0BE12A83"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След точка 50 се добавя нова точка 50.а, която гласи следното:</w:t>
      </w:r>
    </w:p>
    <w:p w14:paraId="5828A0F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„50.a Нагреваемо растително изделие е изделие на основата на растения, билки или плодове, което не съдържа тютюн, по време на чиято употреба протича процесът на нагряване.“.</w:t>
      </w:r>
    </w:p>
    <w:p w14:paraId="29B3A7C7"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Член 3</w:t>
      </w:r>
    </w:p>
    <w:p w14:paraId="6C384FC9"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В член 11 параграф 1 се изменя, както следва:</w:t>
      </w:r>
    </w:p>
    <w:p w14:paraId="4759D1B2"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„(1) Забранява се пускането на пазара на цигари, тютюн за ръчно свиване на цигари и тютюневи изделия с характерен аромат.“. </w:t>
      </w:r>
    </w:p>
    <w:p w14:paraId="5BCE8748"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Член 4</w:t>
      </w:r>
    </w:p>
    <w:p w14:paraId="1D28CB65"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В член 12 параграф 2 се изменя, както следва:</w:t>
      </w:r>
    </w:p>
    <w:p w14:paraId="410FAD4B"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lastRenderedPageBreak/>
        <w:t>„(2) Забранява се пускането на пазара на цигари, тютюн за ръчно свиване на цигари и нагреваеми тютюневи изделия, съдържащи ароматични вещества, в който и да е от компонентите, като филтри, хартия, опаковки и капсули, или притежаващи технически характеристики, които позволяват да се промени миризмата или вкусът на тютюневото изделие или интензивността на дима.  Филтрите, хартиите и капсулите не трябва да съдържат тютюн или никотин.“.</w:t>
      </w:r>
    </w:p>
    <w:p w14:paraId="1177FAA7"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Член 5</w:t>
      </w:r>
    </w:p>
    <w:p w14:paraId="42D79B6E"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В член 13 след параграф 6 се добавя нов параграф 7, който гласи:</w:t>
      </w:r>
    </w:p>
    <w:p w14:paraId="64729EBB"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„(7) Изображенията на потребителските опаковки и на всякакви външни опаковки на тютюневите изделия, насочени към потребителите, отговарят на разпоредбите на глава II, раздел 2 (Етикетиране и опаковане) от настоящия закон.“.</w:t>
      </w:r>
    </w:p>
    <w:p w14:paraId="1C40489F"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Член 6</w:t>
      </w:r>
    </w:p>
    <w:p w14:paraId="692EC9A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В член 14, параграф 1 уводното изречение се изменя, както следва: „На всяка потребителска опаковка и външна опаковка на тютюневите изделия за пушене, включително нагреваемите тютюневи изделия в случай на тютюневи изделия за пушене, се поставя следното общо предупреждение:“.</w:t>
      </w:r>
    </w:p>
    <w:p w14:paraId="42FC3B2E"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В параграф 2 уводното изречение се изменя, както следва: „Върху всяка потребителска опаковка и външна опаковка на тютюневи изделия за пушене, включително нагреваеми тютюневи изделия в случай на тютюневи изделия за пушене, се поставя следното информационно съобщение:“.</w:t>
      </w:r>
    </w:p>
    <w:p w14:paraId="6177302C"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В параграф 3 първото изречение се изменя, както следва: „В случай на потребителски опаковки, съдържащи цигари, потребителски опаковки с нагреваеми тютюневи изделия в случай на тютюневи изделия за пушене и квадратни потребителски опаковки с тютюн за ръчно свиване на цигари, общото предупреждение се поставя в долната част на едната странична повърхност на потребителската опаковка, а информационното съобщение се поставя в долната част на другата странична повърхност.“.</w:t>
      </w:r>
    </w:p>
    <w:p w14:paraId="347FE75E"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Член 7</w:t>
      </w:r>
    </w:p>
    <w:p w14:paraId="29DBE3C1"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В член 15, параграф 1 първото изречение се изменя, както следва: „Всяка потребителска опаковка и външна опаковка на тютюневите изделия за пушене, включително нагреваемо тютюнево изделие в случай на тютюневи изделия за пушене, носят комбинирани предупреждения за здравето.“.</w:t>
      </w:r>
    </w:p>
    <w:p w14:paraId="73BD3E73"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Член 8</w:t>
      </w:r>
    </w:p>
    <w:p w14:paraId="3E11ABBA"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lastRenderedPageBreak/>
        <w:t>В член 22 параграф 9 се изменя и гласи следното:</w:t>
      </w:r>
    </w:p>
    <w:p w14:paraId="46F5D26A"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„(9) Стопанският субект, участващ в търговията с тютюневи изделия, не променя или не заличава записаните данни.“. </w:t>
      </w:r>
    </w:p>
    <w:p w14:paraId="5FA79EC6" w14:textId="77777777" w:rsidR="00EE59E8" w:rsidRDefault="00EE59E8">
      <w:pPr>
        <w:pStyle w:val="center"/>
        <w:pBdr>
          <w:top w:val="none" w:sz="0" w:space="24" w:color="auto"/>
        </w:pBdr>
        <w:spacing w:before="210" w:after="210"/>
        <w:rPr>
          <w:rFonts w:ascii="Arial" w:hAnsi="Arial"/>
          <w:b/>
          <w:sz w:val="21"/>
        </w:rPr>
      </w:pPr>
    </w:p>
    <w:p w14:paraId="0916CE27" w14:textId="77777777" w:rsidR="00EE59E8" w:rsidRDefault="00EE59E8">
      <w:pPr>
        <w:pStyle w:val="center"/>
        <w:pBdr>
          <w:top w:val="none" w:sz="0" w:space="24" w:color="auto"/>
        </w:pBdr>
        <w:spacing w:before="210" w:after="210"/>
        <w:rPr>
          <w:rFonts w:ascii="Arial" w:hAnsi="Arial"/>
          <w:b/>
          <w:sz w:val="21"/>
        </w:rPr>
      </w:pPr>
    </w:p>
    <w:p w14:paraId="5F961029" w14:textId="3C8302FF"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Член 9</w:t>
      </w:r>
    </w:p>
    <w:p w14:paraId="1AF6E511"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В член 25, параграф 2, в първото изречение, след думата „параграф“ се заличават запетаята и думите „когато NLZOH счете това за необходимо поради променени условия“ се заличават.</w:t>
      </w:r>
    </w:p>
    <w:p w14:paraId="0CBE6D6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След параграф 2 се добавя нов параграф 3, който гласи следното:</w:t>
      </w:r>
    </w:p>
    <w:p w14:paraId="0078EDE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„(3) NLZOH начислява такси на производителите и вносителите за получаването, съхраняването, обработката и анализа на данните, предоставени съгласно настоящия член.“.</w:t>
      </w:r>
    </w:p>
    <w:p w14:paraId="3A4B81B2"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Съществуващият параграф 3, който става параграф 4, се изменя, както следва:</w:t>
      </w:r>
    </w:p>
    <w:p w14:paraId="7DBB6E24"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„(4) Министърът определя формата и начина на уведомяване и размера на таксите, посочени в настоящия член.“. </w:t>
      </w:r>
    </w:p>
    <w:p w14:paraId="1A7D56A3"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Член 10</w:t>
      </w:r>
    </w:p>
    <w:p w14:paraId="557172EC"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В член 26, параграф 3 уводното изречение в третото изречение се изменя, както следва: „Електронните цигари, безникотиновите електронни цигари, контейнерите за многократно пълнене и контейнерите без никотин за многократно пълнене отговарят на следните условия:“.</w:t>
      </w:r>
    </w:p>
    <w:p w14:paraId="7C529B0D"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точка 1 се изменя, както следва:</w:t>
      </w:r>
    </w:p>
    <w:p w14:paraId="0813415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 на пазара се пуска течност с никотин или без никотин в специални контейнери за многократно пълнене с обем, ненадвишаващ 10 ml, в електронни цигари за еднократна употреба, електронни цигари без никотин или в патрони с или без никотин за еднократна употреба, при които обемът на даден патрон или резервоар не надвишава 2 ml;“.</w:t>
      </w:r>
    </w:p>
    <w:p w14:paraId="65BDF3E1"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точка 3 се изменя, както следва:</w:t>
      </w:r>
    </w:p>
    <w:p w14:paraId="4341D9B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„3. течност с никотин или без никотин не трябва да съдържа добавките, посочени в член 12, параграф 1 от настоящия закон;“.</w:t>
      </w:r>
    </w:p>
    <w:p w14:paraId="5049957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точка 4 се изменя, както следва:</w:t>
      </w:r>
    </w:p>
    <w:p w14:paraId="31F91170"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lastRenderedPageBreak/>
        <w:t>„4. в производството на течност с никотин или без никотин се използват само чисти съставки. В течността веществата, с изключение на съставките, посочени в параграф 2, точка 2 от настоящия член, се съдържат само в много малки количества, когато тези малки количества са неизбежни от техническа гледна точка по време на производството;“.</w:t>
      </w:r>
    </w:p>
    <w:p w14:paraId="3B1EC98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точка 7 се изменя, както следва:</w:t>
      </w:r>
    </w:p>
    <w:p w14:paraId="27264A10"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„7. те не следва да се използват от деца, следва да не могат да се фалшифицират, защитени са от счупване и течове и имат механизъм, който осигурява пълнене без течове;“.</w:t>
      </w:r>
    </w:p>
    <w:p w14:paraId="02F4119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нова точка 8 се добавя след точка 7, която гласи следното:</w:t>
      </w:r>
    </w:p>
    <w:p w14:paraId="6854B103"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„8. течност с никотин или без никотин не трябва да съдържа други ароматизанти освен вкуса или миризмата на тютюн.“.</w:t>
      </w:r>
    </w:p>
    <w:p w14:paraId="1417BF6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В параграф 5 уводното изречение се изменя, както следва: „Опаковки и външни опаковки на електронни цигари, безникотинови електронни цигари, контейнери за многократно пълнене и контейнери без никотин за многократно пълнене:“.</w:t>
      </w:r>
    </w:p>
    <w:p w14:paraId="6E16677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точка 2 се изменя, както следва:</w:t>
      </w:r>
    </w:p>
    <w:p w14:paraId="6C8C685E"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 независимо от предходната точка, те не съдържат елементите или характеристиките, посочени в член 17 от настоящия закон, с изключение на параграф 1, първо тире по отношение на информацията за никотиновото съдържание и информацията, свързана с вкуса или миризмата на тютюн, и с изключение на безникотиновите електронни цигари и контейнерите без никотин за многократно пълнене, се посочва следното предупреждение за здравето, което отговаря на изискванията на член 16, параграфи 2 и 3 от настоящия закон: „Този продукт съдържа никотин, който е силно пристрастяващо вещество. Не се препоръчва за употреба от непушачи.“.“.</w:t>
      </w:r>
    </w:p>
    <w:p w14:paraId="618CCF10"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В параграф 8 се добавят следните думи в края: „NLZOH и Здравната инспекция на Република Словения предоставят при поискване цялата информация, получена в съответствие с настоящия член, на Европейската комисия и на другите държави — членки на ЕС, като гарантират, че търговските тайни и друга поверителна информация се третират поверително.“.</w:t>
      </w:r>
    </w:p>
    <w:p w14:paraId="71F08ED2"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Нов параграф 15 се добавя след параграф 14, който гласи:</w:t>
      </w:r>
    </w:p>
    <w:p w14:paraId="34A411B7"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„(15) Разпоредби относно подаването на официалното уведомление, посочено в параграф 1, неговото съдържание, посочено в параграф 2, включването на инструкции за употреба заедно с данните, посочени в параграф 4, представянето на данните, посочени в параграф 6, наблюдението на развитието на пазара, посочено в параграф 7, публикуването в интернет, предоставянето на данни на обществеността и предоставянето на информацията, посочена в параграф 8, създаването и поддръжката на системата за събиране на данни и предаването на събраните данни, посочени в параграф 9, приемането на мерки и уведомяването на органите, посочени в параграф 10, предаването на допълнителните данни, посочени в параграф 11, съобщаването, посочено в параграф 12, правото на начисляване на таксите, посочени в параграф 13, и определянето на по-подробните условия, посочени в параграф 14 от настоящия член, се прилагат също така за безникотиновите електронни цигари и контейнерите без никотин за многократно пълнене.“.</w:t>
      </w:r>
    </w:p>
    <w:p w14:paraId="15486409"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lastRenderedPageBreak/>
        <w:t>Член 11</w:t>
      </w:r>
    </w:p>
    <w:p w14:paraId="15327CD9"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В член 28 заглавието на члена се променя, както следва: „(докладване на съставките на растителни изделия за пушене и нагреваеми растителни изделия)“.</w:t>
      </w:r>
    </w:p>
    <w:p w14:paraId="4CEC4090"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параграф 1 се изменя, както следва:</w:t>
      </w:r>
    </w:p>
    <w:p w14:paraId="1E75A2D7"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 Производителите и вносителите на растителни изделия за пушене и нагреваеми растителни изделия представят на NLZOH списък на всички съставки и техните количества, използвани при производството на тези изделия, поотделно за всяка марка и за всеки вид. Официалното уведомление се подава по електронен път шест месеца преди предвиденото пускане на пазара на ново или модифицирано растително изделие за пушене или нагреваемо растително изделие. Производителите или вносителите на растителни изделия за пушене и нагреваеми растителни изделия уведомяват NLZOH, ако съставът на изделието е променен по такъв начин, че да повлияе на данните, представени съгласно настоящия член.“.</w:t>
      </w:r>
    </w:p>
    <w:p w14:paraId="21F4D35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След параграф 2 се вмъква нов параграф 3, който гласи следното:</w:t>
      </w:r>
    </w:p>
    <w:p w14:paraId="485D9F01"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„(3) NLZOH начислява такси на производителите и вносителите за получаването, съхраняването, обработката, анализа и публикуването на данните, предоставени съгласно настоящия член.“.</w:t>
      </w:r>
    </w:p>
    <w:p w14:paraId="4AA9CBBE"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Съществуващият параграф 3, който става параграф 4, се изменя, както следва:</w:t>
      </w:r>
    </w:p>
    <w:p w14:paraId="6EFA24D1"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„(4) „Министърът определя по-подробни условия за отчитане на съставките на растителните изделия за пушене и нагреваемите растителни изделия, както и размера на таксите, посочени в настоящия член.“.</w:t>
      </w:r>
    </w:p>
    <w:p w14:paraId="0D635C3E"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Член 12</w:t>
      </w:r>
    </w:p>
    <w:p w14:paraId="37D662C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Заглавието на глава V се изменя, както следва: „V. РЕКЛАМА, ПРОМОЦИЯ, СПОНСОРСТВО, ПРОДАЖБА И ВНОС“.</w:t>
      </w:r>
    </w:p>
    <w:p w14:paraId="36996017"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Член 13</w:t>
      </w:r>
    </w:p>
    <w:p w14:paraId="3508115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В член 30 заглавието на члена се променя, както следва: „(забрана за продажба и придобиване)“.</w:t>
      </w:r>
    </w:p>
    <w:p w14:paraId="118F3A23"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След параграф 6 се добавят нови параграфи 7 и 8, които гласят следното:</w:t>
      </w:r>
    </w:p>
    <w:p w14:paraId="3EB6154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„(7) Физическо лице не може да продава или пуска на пазара тютюн, тютюневи изделия или свързани с тях изделия. </w:t>
      </w:r>
    </w:p>
    <w:p w14:paraId="6A5AFFFC"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(8) Физическо лице не може да придобива тютюн, тютюневи изделия или свързани с тях изделия в нарушение на настоящия член.“.</w:t>
      </w:r>
    </w:p>
    <w:p w14:paraId="401B536B"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lastRenderedPageBreak/>
        <w:t>Член 14</w:t>
      </w:r>
    </w:p>
    <w:p w14:paraId="735C06C9"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След член 30 се вмъква нов член 30.а, който гласи следното:</w:t>
      </w:r>
    </w:p>
    <w:p w14:paraId="2C7D41D6"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„Член 30.a</w:t>
      </w:r>
    </w:p>
    <w:p w14:paraId="5C53691C"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(Забрана за внос)</w:t>
      </w:r>
    </w:p>
    <w:p w14:paraId="06F4441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 Забранява се вносът на продуктите по член 11, параграф 1, член 12, параграфи 1, 2 и 3 и член 24 от настоящия закон.</w:t>
      </w:r>
    </w:p>
    <w:p w14:paraId="63E610C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(2) Физическо лице не може да внася тютюн, тютюневи изделия или свързани с тях изделия, с изключение на изделия, които са освободени от заплащане на вносни мита в пратки или личен багаж на пътника в съответствие с регламента, уреждащ режима на освобождаване от мита в ЕС.“. </w:t>
      </w:r>
    </w:p>
    <w:p w14:paraId="0C1EB95A"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Член 15</w:t>
      </w:r>
    </w:p>
    <w:p w14:paraId="11B96C5E"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Заглавието на глава VII се изменя, както следва: „VII. ЗАБРАНА ЗА ПУШЕНЕ“.</w:t>
      </w:r>
    </w:p>
    <w:p w14:paraId="117F0E3E"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Член 16</w:t>
      </w:r>
    </w:p>
    <w:p w14:paraId="52522DEC"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В член 39, параграф 3, в края на третото тире точката и запетаята се заменя с точка, а четвъртото тире се заличава.</w:t>
      </w:r>
    </w:p>
    <w:p w14:paraId="35B8A8ED"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Параграф 4 се заличава.</w:t>
      </w:r>
    </w:p>
    <w:p w14:paraId="08355F0C"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Параграф 5 става параграф 4.</w:t>
      </w:r>
    </w:p>
    <w:p w14:paraId="028C05C3"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Член 17</w:t>
      </w:r>
    </w:p>
    <w:p w14:paraId="50C5B85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Член 40 се заличава.</w:t>
      </w:r>
    </w:p>
    <w:p w14:paraId="4C3EE6A3"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Член 18</w:t>
      </w:r>
    </w:p>
    <w:p w14:paraId="2422C8B1"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Текстът на член 41 се изменя, както следва:</w:t>
      </w:r>
    </w:p>
    <w:p w14:paraId="657A011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lastRenderedPageBreak/>
        <w:t xml:space="preserve">„(1) Надзорът върху прилагането на настоящия закон се осъществява от Здравната инспекция на Република Словения, Инспекцията по труда на Република Словения, Инспектората по пазарите на Република Словения, Финансовата администрация на Република Словения и полицейските и градските служби. </w:t>
      </w:r>
    </w:p>
    <w:p w14:paraId="1488EAE9"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(2) Здравната инспекция на Република Словения упражнява надзор върху: </w:t>
      </w:r>
    </w:p>
    <w:p w14:paraId="63A8A36A"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 емисиите на катран, никотин и въглероден оксид от цигарите, посочени в член 7 от настоящия закон;</w:t>
      </w:r>
    </w:p>
    <w:p w14:paraId="5792113E"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 забраната за пускане на пазара на тютюневи изделия с характерен аромат, посочен в член 11 от настоящия закон;</w:t>
      </w:r>
    </w:p>
    <w:p w14:paraId="19AC5B68"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3. забраната за пускане на пазара на тютюневи изделия, съдържащи добавките, посочени в член 12 от настоящия закон;</w:t>
      </w:r>
    </w:p>
    <w:p w14:paraId="043B5D22"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4. докладването и информирането на производителите и вносителите за съставките и емисиите на тютюневи изделия и свързани с тях изделия в съответствие с член 9, член 10, член 25, член 26, параграфи 1, 2 и 6 и член 28 от настоящия закон;</w:t>
      </w:r>
    </w:p>
    <w:p w14:paraId="7470853D"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5. задълженията, които се изпълняват от производителите, вносителите и дистрибуторите на електронни цигари, електронни цигари, без никотин, контейнери за многократно пълнене и контейнери без никотин за многократно пълнене, посочени в член 26, параграфи 9, 10 и 11 от настоящия закон, и условията, на които трябва да отговарят електронните цигари, електронните цигари без никотин, контейнерите за многократно пълнене и контейнерите без никотин за многократно пълнене, посочени в член 26, параграф 3 от настоящия закон;</w:t>
      </w:r>
    </w:p>
    <w:p w14:paraId="1BB47597"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6. забраната за пушене или употребата на тютюн, тютюневи изделия и свързани с тях изделия, различни от тютюна за дъвчене и тютюна за смъркане, на обществените места, посочени в член 39 от настоящия закон;</w:t>
      </w:r>
    </w:p>
    <w:p w14:paraId="750FE237"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7. физическите лица, които не спазват забраната за пушене или употребата на тютюн, тютюневи изделия и свързани с тях изделия, различни от тютюна за дъвчене и тютюна за смъркане, на обществените места, посочени в член 39 от настоящия закон.</w:t>
      </w:r>
    </w:p>
    <w:p w14:paraId="7D66594E"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(3) Здравната инспекция на Република Словения, въз основа на собствените си констатации или констатациите на NLZOH, че тютюнът, тютюневите изделия и свързаните с тях изделия се произвеждат, продават или пускат на пазара в нарушение на членове 7, 8, 11, 12 и 26 от настоящия закон, с решение забранява производството и продажбата на тези изделия и разпорежда отстраняването им от производство и продажба. </w:t>
      </w:r>
    </w:p>
    <w:p w14:paraId="5A7CF2F4"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(4) Здравната инспекция на Република Словения, въз основа на констатациите на NLZOH, че за определена марка и вид тютюн, тютюневи изделия и свързани с тях изделия, техните производители и вносители не изпълняват задължението да докладват или информират за изделията, посочени в членове 9, 10, 25, 26 и 28 от настоящия закон, с решение забранява продажбата на тези изделия и разпорежда отстраняването им от продажба. </w:t>
      </w:r>
    </w:p>
    <w:p w14:paraId="068170F5"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(5) По искане на Здравната инспекция на Република Словения или на Финансовата администрация на Република Словения NLZOH може да извършва лабораторни изпитвания на тютюн, тютюневи изделия и свързани с тях изделия.  Юридическите и физическите лица, които пускат на пазара тютюн, тютюневи изделия и свързани с тях изделия, трябва да предоставят безплатно проба от такова изделие на компетентния инспектор (наричан по-долу „инспектор“). Ако чрез лабораторно изследване се установи, че взетата проба по време на контролната </w:t>
      </w:r>
      <w:r>
        <w:rPr>
          <w:rFonts w:ascii="Arial" w:hAnsi="Arial"/>
          <w:sz w:val="21"/>
        </w:rPr>
        <w:lastRenderedPageBreak/>
        <w:t>процедура не съответства на разпоредбите на настоящия закон, разходите за лабораторното изследване се поемат от юридическото или физическото лице, от което е взета пробата.</w:t>
      </w:r>
    </w:p>
    <w:p w14:paraId="2ED71337"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(6) Инспекцията по труда на Република Словения упражнява надзор върху: </w:t>
      </w:r>
    </w:p>
    <w:p w14:paraId="0C08DEE7"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 забраната за пушене или употребата на тютюн, тютюневи изделия и свързани с тях изделия, различни от тютюна за дъвчене и тютюна за смъркане, на работните места, посочени в член 39 от настоящия закон;</w:t>
      </w:r>
    </w:p>
    <w:p w14:paraId="4B5C070E"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 физическите лица, които не спазват забраната за пушене или употреба на тютюн, тютюневи изделия и свързани с тях изделия, различни от тютюна за дъвчене и тютюна за смъркане, на работните места, посочени в член 39 от настоящия закон.</w:t>
      </w:r>
    </w:p>
    <w:p w14:paraId="2487745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(7) Инспекторатът по пазарите на Република Словения упражнява надзор върху стопанските субекти, а именно: </w:t>
      </w:r>
    </w:p>
    <w:p w14:paraId="7B86CF52"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 условията, на които трябва да отговарят тютюнът и тютюневите изделия, посочени в членове 13—20 от настоящия закон;</w:t>
      </w:r>
    </w:p>
    <w:p w14:paraId="7DCC72F3"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 забраната за пускане на пазара на тютюн за дъвчене, посочен в член 24 от настоящия закон;</w:t>
      </w:r>
    </w:p>
    <w:p w14:paraId="2762BF5A"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3. условията, на които трябва да отговарят електронните цигари, електронните цигари без никотин, контейнерите за многократно пълнене и контейнерите без никотин за многократно пълнене, посочени в член 26, параграфи 4 и 5 от настоящия закон;</w:t>
      </w:r>
    </w:p>
    <w:p w14:paraId="1253A8E7"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4. условията, на които трябва да отговарят растителните продукти за пушене, посочени в член 27 от настоящия закон;</w:t>
      </w:r>
    </w:p>
    <w:p w14:paraId="2E836B27"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5. забраната за спонсорство и реклама на тютюн, тютюневи изделия и свързани с тях изделия, посочени в член 29 от настоящия закон;</w:t>
      </w:r>
    </w:p>
    <w:p w14:paraId="02B28AB8"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6. забраната за продажба, посочена в членове 30 и 31 от настоящия закон;</w:t>
      </w:r>
    </w:p>
    <w:p w14:paraId="1680564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7. продажбата на тютюн, тютюневи изделия и свързани с тях изделия без разрешението, посочено в член 32 от настоящия закон, и видимостта на разрешението в търговските помещения съгласно член 34, параграф 3 от настоящия закон.</w:t>
      </w:r>
    </w:p>
    <w:p w14:paraId="547A22A1"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(8) Финансовата администрация на Република Словения упражнява надзор върху: </w:t>
      </w:r>
    </w:p>
    <w:p w14:paraId="6C8F669B"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 условията, предвидени в членове 22 и 23 от настоящия закон, на които трябва да отговарят тютюнът и тютюневите изделия;</w:t>
      </w:r>
    </w:p>
    <w:p w14:paraId="54604CA2"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 условията, на които трябва да отговарят електронните цигари, електронните цигари без никотин, контейнерите за многократно пълнене и контейнерите без никотин за многократно пълнене, посочени в член 26, параграф 3 от настоящия закон, когато се внасят от трети държави, с подкрепата на Здравната инспекция на Република Словения;</w:t>
      </w:r>
    </w:p>
    <w:p w14:paraId="0D68B44D"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физическите лица, които продават, пускат на пазара или придобиват тютюн, тютюневи или свързани с тях изделия в нарушение на член 30, параграфи 7 и 8 от настоящия закон;</w:t>
      </w:r>
    </w:p>
    <w:p w14:paraId="04D9B276"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забраната за внос, посочена в член 30.а от настоящия закон;</w:t>
      </w:r>
    </w:p>
    <w:p w14:paraId="2EA00D18"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lastRenderedPageBreak/>
        <w:t>продажба на тютюн, тютюневи изделия и свързани с тях изделия без разрешението, посочено в член 32 от настоящия закон.</w:t>
      </w:r>
    </w:p>
    <w:p w14:paraId="4D231C59"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(9) Ако Инспекторатът по пазарите на Република Словения определи, че тютюнът и тютюневите изделия се произвеждат, продават или пускат на пазара в нарушение на членове 13—20 от настоящия закон или се продават без разрешението, посочено в член 32 от настоящия закон, той издава решение, с което забранява тяхното производство, продажба или пускане на пазара и разпорежда отстраняването им от производство или продажба. </w:t>
      </w:r>
    </w:p>
    <w:p w14:paraId="570358E0"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(10) Ако Финансовата администрация на Република Словения реши, че тютюнът, тютюневите изделия и свързаните с тях изделия се продават без разрешението, посочено в член 32 от настоящия закон, тя издава решение, с което забранява продажбата им и разпорежда отстраняването им от производство или продажба. </w:t>
      </w:r>
    </w:p>
    <w:p w14:paraId="36755B59"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(11) Въз основа на уведомлението, посочено в член 26, параграф 12 от настоящия закон, Здравната инспекция на Република Словения приема подходящи временни мерки за опазване на човешкото здраве, които включват забрана за продажба на определен продукт или изтегляне на определен продукт от пазара.</w:t>
      </w:r>
    </w:p>
    <w:p w14:paraId="4F3E343B"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(12) Ако компетентният контролен орган установи, че тютюнът или свързаните с него изделия се произвеждат, продават или пускат на пазара в нарушение на членове 26 и 27 от настоящия закон или без разрешението, посочено в член 32 от настоящия закон, той издава решение за забрана на продажбата, пускането на пазара или производството на тези изделия и разпорежда отстраняването им от производство или продажба. </w:t>
      </w:r>
    </w:p>
    <w:p w14:paraId="20669F8A"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(13) Ако Инспекторатът по пазарите на Република Словения определи, че тютюнът, тютюневите изделия или свързаните с тях изделия се спонсорират или рекламират в нарушение на член 29 от настоящия закон, такова спонсорство или реклама се забранява с решение.  За да се изпълни решението, той разпорежда незабавното премахване на рекламни материали за сметка на стопанския субект.</w:t>
      </w:r>
    </w:p>
    <w:p w14:paraId="1C033E63"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(14) Компетентният инспектор може да си сътрудничи с лице под 18-годишна възраст при упражняване на надзор върху забраната за продажба на тютюн, тютюневи изделия и свързани с тях изделия на лица под 18-годишна възраст съгласно член 30, параграф 1 от настоящия закон. За участието на ненавършили пълнолетие лица се получава предварителното писмено съгласие на техните родители или настойници. </w:t>
      </w:r>
    </w:p>
    <w:p w14:paraId="437D19DB"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(15) Полицията и градските надзорни служби контролират забраната за пушене във всички превозни средства в присъствието на лица под 18-годишна възраст, както е посочено в член 39, параграф 1 от настоящия закон.“.</w:t>
      </w:r>
    </w:p>
    <w:p w14:paraId="3155C1BF"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Член 19</w:t>
      </w:r>
    </w:p>
    <w:p w14:paraId="41F6986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В член 42 параграф 1 се изменя, както следва:</w:t>
      </w:r>
    </w:p>
    <w:p w14:paraId="2C415CFE"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„(1) На юридическо лице се налага глоба между 4 000 EUR и 33 000 EUR за престъпление: </w:t>
      </w:r>
    </w:p>
    <w:p w14:paraId="6299513E"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 ако произвежда, продава или пуска на пазара цигари, съдържащи по-високо съдържание на катран, никотин и въглероден оксид, както е посочено в член 7 от настоящия закон;</w:t>
      </w:r>
    </w:p>
    <w:p w14:paraId="2ECE909D"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lastRenderedPageBreak/>
        <w:t>2. ако продава или пуска на пазара тютюневи изделия, за които не е изпълнено задължението за докладване относно съставките и емисиите на тези изделия (членове 9 и 10);</w:t>
      </w:r>
    </w:p>
    <w:p w14:paraId="458EAFC0"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3. ако произвежда, пуска на пазара или продава тютюневи изделия с характерен вкус (член 11) или с добавките, посочени в член 12, параграфи 1 и 3 от настоящия закон, или ако произвежда, продава или пуска на пазара тютюневи изделия, които съдържат ароматични вещества в някоя от техните компоненти (член 12, параграф 2);</w:t>
      </w:r>
    </w:p>
    <w:p w14:paraId="0DF934FD"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4. ако пуска на пазара или продава тютюневи изделия и бездимни тютюневи изделия, които не отговарят на условията за етикетиране, опаковане, общи предупреждения, информационни съобщения и комбинирани предупреждения за здравето (членове 13, 14, 15 и 16);</w:t>
      </w:r>
    </w:p>
    <w:p w14:paraId="2C72986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5. ако пуска на пазара или продава тютюневи изделия, чието етикетиране или външна опаковка нарушава разпоредбите на член 17 от настоящия закон;</w:t>
      </w:r>
    </w:p>
    <w:p w14:paraId="434CFCEF"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6. ако пуска на пазара или продава пакети цигари и външна опаковка на цигари, чийто външен вид и съдържание противоречат на разпоредбите на член 18 от настоящия закон;</w:t>
      </w:r>
    </w:p>
    <w:p w14:paraId="7B903709"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7. ако пуска на пазара или продава потребителски опаковки на тютюн за ръчно свиване на цигари и външна опаковка на тютюн за ръчно свиване на цигари, чийто външен вид и съдържание противоречат на разпоредбите на член 19 от настоящия закон;</w:t>
      </w:r>
    </w:p>
    <w:p w14:paraId="669C48C8"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8. ако пуска на пазара или продава цигари, чийто външен вид противоречи на разпоредбите на член 20 от настоящия закон;</w:t>
      </w:r>
    </w:p>
    <w:p w14:paraId="14A10BE2"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9. ако не предоставя на разположение уникалния идентификатор (член 22, параграф 4);</w:t>
      </w:r>
    </w:p>
    <w:p w14:paraId="01518DCF"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10. ако не регистрира вписването на всички потребителски опаковки и междинните движения, и крайното количество потребителски опаковки, което притежава, по такъв начин, че да се даде възможност за ясно и недвусмислено идентифициране и проследяване на всички потребителски опаковки (член 22, параграф 5);</w:t>
      </w:r>
    </w:p>
    <w:p w14:paraId="30B9F439"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11. ако не води документация за всички извършени сделки (член 22, параграф 6);</w:t>
      </w:r>
    </w:p>
    <w:p w14:paraId="68DB071F"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12. ако не предоставя на стопанските субекти, участващи в търговията с тютюневи изделия, от производителя до последния стопански субект, преди първата продажба на мястото на продажба, включително вносителите, складовете и транспортните дружества, оборудването за регистриране на тютюневи изделия или ако предоставеното оборудване не позволява електронно четене и недвусмислено идентифициране и проследяване на всички потребителски опаковки (член 22, параграф 7);</w:t>
      </w:r>
    </w:p>
    <w:p w14:paraId="35AD227E"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13. ако променя или заличава записаните данни (член 22, параграф 9);</w:t>
      </w:r>
    </w:p>
    <w:p w14:paraId="4E10FF0F"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14. ако пуска на пазара или продава тютюневи изделия без идентификационна маркировка или защитен елемент, ако идентификационният знак е непълен или ако защитният елемент не отговаря на изискваните технически стандарти (член 22, параграфи 1, 2 и 3 и член 23);</w:t>
      </w:r>
    </w:p>
    <w:p w14:paraId="7D15C0A1"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15. ако пуска на пазара или продава тютюн за дъвчене (член 24);</w:t>
      </w:r>
    </w:p>
    <w:p w14:paraId="468BED0E"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16. ако продава или пуска на пазара нови тютюневи изделия в нарушение на член 25 от настоящия закон;</w:t>
      </w:r>
    </w:p>
    <w:p w14:paraId="011202A3"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lastRenderedPageBreak/>
        <w:t>17. ако произвежда, продава или пуска на пазара електронни цигари, електронни цигари без никотин, контейнери за многократно пълнене и контейнери без никотин за многократно пълнене в нарушение на член 26, параграфи 3, 4, 5 и 10 от настоящия закон;</w:t>
      </w:r>
    </w:p>
    <w:p w14:paraId="2AFBE4CF"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18. ако произвежда, продава или пуска на пазара електронни цигари, електронни цигари без никотин, контейнери за многократно пълнене и контейнери без никотин за многократно пълнене в нарушение на член 26, параграфи 1, 2, 6 и 11 от настоящия закон;</w:t>
      </w:r>
    </w:p>
    <w:p w14:paraId="1C85988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19. ако пуска на пазара или продава растителен продукт за пушене в нарушение на член 27 от настоящия закон;</w:t>
      </w:r>
    </w:p>
    <w:p w14:paraId="4C38D196"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20. ако не докладва съставките на растителните изделия за пушене и нагреваемите растителни изделия в съответствие с член 28 от настоящия закон;</w:t>
      </w:r>
    </w:p>
    <w:p w14:paraId="3ACD509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21. ако извършва дарение или спонсорира събитие, дейност или индивидуално и пряко или косвено рекламира и популяризира тютюневи изделия и свързани с тях изделия (член 29);</w:t>
      </w:r>
    </w:p>
    <w:p w14:paraId="71992145"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22. ако показва или използва тютюн, тютюневи изделия и свързани с тютюна изделия по телевизията и в контекста на публични изяви (член 29, параграф 7);</w:t>
      </w:r>
    </w:p>
    <w:p w14:paraId="1A9E364D"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23. ако продава тютюн, тютюневи изделия или свързани с тях изделия на лица под 18-годишна възраст или ако не публикува забраната за продажба на видимо място, или ако продава тютюн, тютюневи изделия или свързани с тях изделия на лице под 18-годишна възраст (член 30, параграфи 1 и 2);</w:t>
      </w:r>
    </w:p>
    <w:p w14:paraId="4295E08B"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24. ако продава или пуска на пазара тютюн, тютюневи изделия или свързани с тях изделия в нарушение на член 30, параграф 3 от настоящия закон;</w:t>
      </w:r>
    </w:p>
    <w:p w14:paraId="0AD413A9"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25. ако продава или пуска на пазара тютюн, тютюневи изделия или свързани с тях изделия извън оригиналната опаковка на производителя (член 30, параграф 4);</w:t>
      </w:r>
    </w:p>
    <w:p w14:paraId="0502E1BC"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26. ако пуска на пазара или извършва трансгранични продажби от разстояние на тютюн, тютюневи изделия или свързани с тях изделия чрез интернет, телекомуникации или друга развиваща се технология (член 30, параграф 5);</w:t>
      </w:r>
    </w:p>
    <w:p w14:paraId="5A9AAAA2"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27. ако произвежда, пуска на пазара или извършва трансгранични продажби от разстояние на сладкиши, закуски, играчки или други артикули под формата на тютюневи изделия или свързани с тютюн изделия, предназначени за лица на възраст под 18 години (член 30, параграф 6);</w:t>
      </w:r>
    </w:p>
    <w:p w14:paraId="7A90F1AC"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28. ако внася продукти, посочени в член 11, параграф 1, член 12, параграфи 1, 2 и 3 и член 24 от настоящия закон;</w:t>
      </w:r>
    </w:p>
    <w:p w14:paraId="2594581C"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29. ако не излага на видно място разрешението за продажба на тютюн, тютюневи изделия и свързани с тях изделия в търговския обект (член 34, параграф 3);</w:t>
      </w:r>
    </w:p>
    <w:p w14:paraId="4704F121"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30. ако не осигурява спазване на забраната за пушене или употреба на тютюн, тютюневи изделия и свързани с тях изделия, с изключение на тютюна за дъвчене и тютюна за смъркане, в затворени обществени и работни помещения и в помещения, които не се считат за затворени пространства по настоящия закон, ако те са част от функционалната земя, принадлежаща към съоръженията, в които се извършват възпитателни или образователни дейности (член 39).“.</w:t>
      </w:r>
    </w:p>
    <w:p w14:paraId="23A3595B"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Параграфи 4, 5 и 6 се изменят, както следва:</w:t>
      </w:r>
    </w:p>
    <w:p w14:paraId="4CA7ADC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lastRenderedPageBreak/>
        <w:t>„(4) За престъпленията, посочени в параграф 1, точки 1, 3</w:t>
      </w:r>
      <w:hyperlink r:id="rId9" w:tgtFrame="_blank" w:tooltip="to EUR-Lex" w:history="1">
        <w:r>
          <w:rPr>
            <w:rFonts w:ascii="Arial" w:hAnsi="Arial"/>
            <w:color w:val="0000EE"/>
            <w:sz w:val="21"/>
            <w:u w:val="single" w:color="0000EE"/>
          </w:rPr>
          <w:t>—15, 17, 19,</w:t>
        </w:r>
      </w:hyperlink>
      <w:r>
        <w:rPr>
          <w:rFonts w:ascii="Arial" w:hAnsi="Arial"/>
          <w:sz w:val="21"/>
        </w:rPr>
        <w:t>25 и 28 от настоящия член, в допълнение към основната санкция се налагат конфискация на тютюн, тютюневи изделия или свързани с тях изделия, които са предмет на престъплението, и конфискация на вещи, с които е извършено престъплението. Допълнителна санкция се налага и ако тютюнът, тютюневите изделия или свързаните с тях изделия не са собственост на нарушителя или не са притежание на юридическото лице. Конфискацията на артикула може да бъде отменена, ако извършителят докаже законния произход на тютюна, тютюневите изделия или свързаните с тях изделия, или ако налагането на допълнителна санкция под формата на конфискация на вещите от престъплението би било явно непропорционално на тежестта на деянието и последиците от престъплението.</w:t>
      </w:r>
    </w:p>
    <w:p w14:paraId="57C2B48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(5) Глоба в размер на 50 000 EUR се налага на юридическо лице, едноличен търговец или физическо лице, което извършва самостоятелно дейност за продажба на тютюн, тютюневи изделия или свързани с тях изделия без разрешение (член 32). </w:t>
      </w:r>
    </w:p>
    <w:p w14:paraId="6395C929"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(6) Глоба в размер на 5 000 EUR се налага на отговорно лице на юридическо лице, отговорно лице на едноличен търговец или физическо лице, което извършва самостоятелно дейност, като продава тютюн, тютюневи изделия или свързани с тях изделия без разрешение (член 32). </w:t>
      </w:r>
    </w:p>
    <w:p w14:paraId="0453035D"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Член 20</w:t>
      </w:r>
    </w:p>
    <w:p w14:paraId="7FB4B59D"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В член 43 параграф 1 се изменя, както следва:</w:t>
      </w:r>
    </w:p>
    <w:p w14:paraId="52A83607"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„(1) На физическо лице се налага глоба от 125 EUR до 5 000 EUR за престъпление: </w:t>
      </w:r>
    </w:p>
    <w:p w14:paraId="1A2D9D43"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 ако придобива тютюн, тютюневи изделия или свързани с тях изделия в нарушение на член 30 от настоящия закон;</w:t>
      </w:r>
    </w:p>
    <w:p w14:paraId="62F6CA56"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 ако внася продукти в нарушение на член 30.а, параграф 1 или 2 от настоящия закон;</w:t>
      </w:r>
    </w:p>
    <w:p w14:paraId="30BD2B85"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 ако пуши или използва тютюн, тютюневи изделия или свързани с тях изделия на обществени или работни места, където това е забранено (член 39).</w:t>
      </w:r>
    </w:p>
    <w:p w14:paraId="643B64D5"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След параграф 2 се добавят нови параграфи 3 и 4, които гласят:</w:t>
      </w:r>
    </w:p>
    <w:p w14:paraId="55981F3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„(3) На физическо лице се налага глоба от 3000 EUR до 5 000 EUR за престъпление: </w:t>
      </w:r>
    </w:p>
    <w:p w14:paraId="47F240AB"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 ако за целите на рекламата предлага безплатно тютюн, тютюневи изделия и свързани с тях тютюневи изделия на обществено място или в обществени помещения в нарушение на член 29, параграф 3 от настоящия закон;</w:t>
      </w:r>
    </w:p>
    <w:p w14:paraId="33A7C919"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 ако продава или пуска на пазара тютюн, тютюневи изделия или свързани с тях изделия в нарушение на член 30, параграф 7 от настоящия закон.</w:t>
      </w:r>
    </w:p>
    <w:p w14:paraId="46DA89EA"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(4) За престъпленията, посочени в първи параграф, първо и второ тире от настоящия член, и за престъпленията, посочени в първото и второто тире на предходния параграф, в допълнение към основната санкция се налагат конфискация на тютюн, тютюневи изделия или свързани с тютюн изделия, които са предмет на престъплението, и конфискация на вещи, с които е извършено престъплението.  Допълнителна санкция се налага и ако тютюнът, </w:t>
      </w:r>
      <w:r>
        <w:rPr>
          <w:rFonts w:ascii="Arial" w:hAnsi="Arial"/>
          <w:sz w:val="21"/>
        </w:rPr>
        <w:lastRenderedPageBreak/>
        <w:t>тютюневите изделия или свързаните с тях изделия не са собственост на нарушителя или не са негово притежание. Конфискацията на артикула може да бъде отменена, ако извършителят докаже законния произход на тютюна, тютюневите изделия или свързаните с него изделия, или ако налагането на допълнителна санкция под формата на конфискация на вещите от престъплението би било явно непропорционално на тежестта на деянието и на последиците от престъплението.“.</w:t>
      </w:r>
    </w:p>
    <w:p w14:paraId="48E9BAF0"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Член 21</w:t>
      </w:r>
    </w:p>
    <w:p w14:paraId="49B5565D"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След член 43 се добавя нов член 43.а, който гласи следното:</w:t>
      </w:r>
    </w:p>
    <w:p w14:paraId="4CBF0B12"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„Член 43.a</w:t>
      </w:r>
    </w:p>
    <w:p w14:paraId="581890D9"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(Налагане на глоба по бързото производство за простъпка)</w:t>
      </w:r>
    </w:p>
    <w:p w14:paraId="4179B07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За престъпленията, посочени в настоящия закон, може да бъде наложена глоба по реда на бързото производство в размер, по-висок от определения с настоящия закон минимален размер на глобата.</w:t>
      </w:r>
    </w:p>
    <w:p w14:paraId="7473CB0D" w14:textId="77777777" w:rsidR="00A167A6" w:rsidRDefault="00160D9A">
      <w:pPr>
        <w:pStyle w:val="center"/>
        <w:pBdr>
          <w:top w:val="none" w:sz="0" w:space="24" w:color="auto"/>
        </w:pBdr>
        <w:spacing w:before="210" w:after="210"/>
        <w:rPr>
          <w:rFonts w:ascii="Arial" w:eastAsia="Arial" w:hAnsi="Arial" w:cs="Arial"/>
          <w:caps/>
          <w:sz w:val="21"/>
          <w:szCs w:val="21"/>
        </w:rPr>
      </w:pPr>
      <w:r>
        <w:rPr>
          <w:rFonts w:ascii="Arial" w:hAnsi="Arial"/>
          <w:caps/>
          <w:sz w:val="21"/>
        </w:rPr>
        <w:t>ПРЕХОДНИ И ЗАКЛЮЧИТЕЛНИ РАЗПОРЕДБИ</w:t>
      </w:r>
    </w:p>
    <w:p w14:paraId="19419B4D"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Член 22</w:t>
      </w:r>
    </w:p>
    <w:p w14:paraId="04EF89E8"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(Хармонизиране на действията)</w:t>
      </w:r>
    </w:p>
    <w:p w14:paraId="748A2DD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Електронните цигари, електронните цигари без никотин, контейнерите за многократно пълнене и контейнерите без никотин за многократно пълнене с ароматизанти могат да бъдат пускани на пазара за максимален срок от 12 месеца след влизането в сила на настоящия закон.</w:t>
      </w:r>
    </w:p>
    <w:p w14:paraId="740DA9E2"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Член 23</w:t>
      </w:r>
    </w:p>
    <w:p w14:paraId="4B3B2B07"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(Приключване на процедурите)</w:t>
      </w:r>
    </w:p>
    <w:p w14:paraId="37EE82FC"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Процедурите по проверка и наличие на простъпка, започнати преди влизането в сила на настоящия закон, се приключват съгласно действащите към момента разпоредби.</w:t>
      </w:r>
    </w:p>
    <w:p w14:paraId="5423D669"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Член 24</w:t>
      </w:r>
    </w:p>
    <w:p w14:paraId="7DE56451"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(Вътрешни правила)</w:t>
      </w:r>
    </w:p>
    <w:p w14:paraId="6446600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lastRenderedPageBreak/>
        <w:t xml:space="preserve">(1) Министърът в тримесечен срок от влизането в сила на настоящия закон издава наредбите, посочени в изменения член 25, параграф 4 от закона и в изменения член 28, параграф 4 от закона. </w:t>
      </w:r>
    </w:p>
    <w:p w14:paraId="7ADEB5E5"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(2) Министърът привежда разпоредбите, посочени в член 26, параграф 14 от закона, в съответствие с новата точка 8 от параграф 3 и новия параграф 15 от член 26 от закона в тримесечен срок от влизането в сила на настоящия закон.</w:t>
      </w:r>
    </w:p>
    <w:p w14:paraId="4CF50BBA"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Член 25</w:t>
      </w:r>
    </w:p>
    <w:p w14:paraId="6FCFAA05"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(Прекратяване на валидността и удължаване на срока на прилагане на съществуващите разпоредби)</w:t>
      </w:r>
    </w:p>
    <w:p w14:paraId="0CBA7EA7"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 Разпоредбите на точка 17 от член 3, четвърто тире от параграф 3 и параграф 4 от член 39, член 40, точки 8 и 9 от параграф 2, и точки 3 и 4 от параграф 6, и параграф 14 от член 41, точка 30 от параграф 1 от член 42, и трето тире от параграф 1 от член 43 от Закона за ограничаване на употребата на тютюневи изделия и свързаните с тях продукти (Официален вестник на Република Словения, № 9/17 и 29/17) се прилагат за помещенията за пушене до 31 декември 2025 г.</w:t>
      </w:r>
    </w:p>
    <w:p w14:paraId="69997175"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(2) Считано от датата на влизане в сила на настоящия закон, правилата относно условията, на които следва да отговаря помещение за пушене (Официален вестник на Република Словения, № 52/17), които могат да се използват до 31 декември 2025 г., престават да се прилагат.</w:t>
      </w:r>
    </w:p>
    <w:p w14:paraId="3EA27676"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Член 26</w:t>
      </w:r>
    </w:p>
    <w:p w14:paraId="79A7685A"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(Влизане в сила и прилагане)</w:t>
      </w:r>
    </w:p>
    <w:p w14:paraId="265B3C95"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(1) Настоящият закон влиза в сила на петнадесетия ден след публикуването му в Официален вестник на Република Словения и се прилага от тридесетия ден след влизането му в сила. </w:t>
      </w:r>
    </w:p>
    <w:p w14:paraId="152FEB9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(2) Законът за ограничаване на употребата на тютюневи и свързани с тях изделия (Официален вестник на Република Словения, № 9/17 и № 29/17) се прилага до влизането в сила на настоящия закон.</w:t>
      </w:r>
    </w:p>
    <w:p w14:paraId="6A6D8998" w14:textId="77777777" w:rsidR="00A167A6" w:rsidRDefault="00160D9A">
      <w:pPr>
        <w:pStyle w:val="evidencnastevilka"/>
        <w:spacing w:before="210" w:after="210"/>
        <w:rPr>
          <w:rFonts w:ascii="Arial" w:eastAsia="Arial" w:hAnsi="Arial" w:cs="Arial"/>
          <w:sz w:val="21"/>
          <w:szCs w:val="21"/>
        </w:rPr>
      </w:pPr>
      <w:r>
        <w:rPr>
          <w:rFonts w:ascii="Arial" w:hAnsi="Arial"/>
          <w:sz w:val="21"/>
        </w:rPr>
        <w:t>№ 543-03/23-3/29</w:t>
      </w:r>
    </w:p>
    <w:p w14:paraId="07447D97" w14:textId="77777777" w:rsidR="00A167A6" w:rsidRDefault="00160D9A">
      <w:pPr>
        <w:pStyle w:val="krajdatumsprejetja"/>
        <w:spacing w:before="210" w:after="210"/>
        <w:rPr>
          <w:rFonts w:ascii="Arial" w:eastAsia="Arial" w:hAnsi="Arial" w:cs="Arial"/>
          <w:sz w:val="21"/>
          <w:szCs w:val="21"/>
        </w:rPr>
      </w:pPr>
      <w:r>
        <w:rPr>
          <w:rFonts w:ascii="Arial" w:hAnsi="Arial"/>
          <w:sz w:val="21"/>
        </w:rPr>
        <w:t>Любляна, 28 март 2024 г.</w:t>
      </w:r>
    </w:p>
    <w:p w14:paraId="6992B683" w14:textId="77777777" w:rsidR="00A167A6" w:rsidRDefault="00160D9A">
      <w:pPr>
        <w:pStyle w:val="evidencnastevilka"/>
        <w:spacing w:before="210" w:after="210"/>
        <w:rPr>
          <w:rFonts w:ascii="Arial" w:eastAsia="Arial" w:hAnsi="Arial" w:cs="Arial"/>
          <w:sz w:val="21"/>
          <w:szCs w:val="21"/>
        </w:rPr>
      </w:pPr>
      <w:r>
        <w:rPr>
          <w:rFonts w:ascii="Arial" w:hAnsi="Arial"/>
          <w:sz w:val="21"/>
        </w:rPr>
        <w:t>EPA 1145-IX</w:t>
      </w:r>
    </w:p>
    <w:p w14:paraId="3C70A352" w14:textId="77777777" w:rsidR="00A167A6" w:rsidRDefault="00160D9A">
      <w:pPr>
        <w:pStyle w:val="podpisnik"/>
        <w:spacing w:before="210" w:after="210"/>
        <w:ind w:left="5669"/>
        <w:rPr>
          <w:rFonts w:ascii="Arial" w:eastAsia="Arial" w:hAnsi="Arial" w:cs="Arial"/>
          <w:sz w:val="21"/>
          <w:szCs w:val="21"/>
        </w:rPr>
      </w:pPr>
      <w:r>
        <w:rPr>
          <w:rFonts w:ascii="Arial" w:hAnsi="Arial"/>
          <w:sz w:val="21"/>
        </w:rPr>
        <w:lastRenderedPageBreak/>
        <w:t>Национално събрание</w:t>
      </w:r>
      <w:r>
        <w:rPr>
          <w:rFonts w:ascii="Arial" w:hAnsi="Arial"/>
          <w:sz w:val="21"/>
        </w:rPr>
        <w:br/>
        <w:t>на Република Словения</w:t>
      </w:r>
      <w:r>
        <w:rPr>
          <w:rFonts w:ascii="Arial" w:hAnsi="Arial"/>
          <w:sz w:val="21"/>
        </w:rPr>
        <w:br/>
        <w:t>Danijel Krivec</w:t>
      </w:r>
      <w:r>
        <w:rPr>
          <w:rFonts w:ascii="Arial" w:hAnsi="Arial"/>
          <w:sz w:val="21"/>
        </w:rPr>
        <w:br/>
        <w:t>Заместник-председател</w:t>
      </w:r>
    </w:p>
    <w:p w14:paraId="48365190" w14:textId="77777777" w:rsidR="00A77B3E" w:rsidRDefault="00A77B3E"/>
    <w:sectPr w:rsidR="00A77B3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110AF8"/>
    <w:rsid w:val="00160D9A"/>
    <w:rsid w:val="006303F7"/>
    <w:rsid w:val="00A167A6"/>
    <w:rsid w:val="00A77B3E"/>
    <w:rsid w:val="00CA2A55"/>
    <w:rsid w:val="00EE59E8"/>
    <w:rsid w:val="00FC7D8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ABE035"/>
  <w15:docId w15:val="{38948533-DD9A-4D96-809B-AB7819003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bg-BG"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Text">
    <w:name w:val="mainText"/>
    <w:basedOn w:val="Normal"/>
  </w:style>
  <w:style w:type="paragraph" w:customStyle="1" w:styleId="center">
    <w:name w:val="center"/>
    <w:basedOn w:val="Normal"/>
    <w:pPr>
      <w:jc w:val="center"/>
    </w:pPr>
  </w:style>
  <w:style w:type="paragraph" w:customStyle="1" w:styleId="zamik">
    <w:name w:val="zamik"/>
    <w:basedOn w:val="Normal"/>
    <w:pPr>
      <w:ind w:firstLine="1021"/>
    </w:pPr>
  </w:style>
  <w:style w:type="paragraph" w:customStyle="1" w:styleId="alineazaodstavkom">
    <w:name w:val="alinea_za_odstavkom"/>
    <w:basedOn w:val="Normal"/>
    <w:pPr>
      <w:ind w:hanging="425"/>
      <w:jc w:val="both"/>
    </w:pPr>
  </w:style>
  <w:style w:type="paragraph" w:customStyle="1" w:styleId="evidencnastevilka">
    <w:name w:val="evidencna_stevilka"/>
    <w:basedOn w:val="Normal"/>
    <w:pPr>
      <w:jc w:val="both"/>
    </w:pPr>
  </w:style>
  <w:style w:type="paragraph" w:customStyle="1" w:styleId="krajdatumsprejetja">
    <w:name w:val="kraj_datum_sprejetja"/>
    <w:basedOn w:val="Normal"/>
    <w:pPr>
      <w:pBdr>
        <w:top w:val="none" w:sz="0" w:space="20" w:color="auto"/>
        <w:bottom w:val="none" w:sz="0" w:space="20" w:color="auto"/>
      </w:pBdr>
    </w:pPr>
  </w:style>
  <w:style w:type="paragraph" w:customStyle="1" w:styleId="podpisnik">
    <w:name w:val="podpisnik"/>
    <w:basedOn w:val="Normal"/>
    <w:pPr>
      <w:pBdr>
        <w:top w:val="none" w:sz="0" w:space="24" w:color="auto"/>
      </w:pBd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data.europa.eu/eli/dir/2014/40/oj" TargetMode="External"/><Relationship Id="rId3" Type="http://schemas.openxmlformats.org/officeDocument/2006/relationships/webSettings" Target="webSettings.xml"/><Relationship Id="rId7" Type="http://schemas.openxmlformats.org/officeDocument/2006/relationships/hyperlink" Target="http://data.europa.eu/eli/dir/2014/40/o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ata.europa.eu/eli/dir_del/2022/2100/oj" TargetMode="External"/><Relationship Id="rId11" Type="http://schemas.openxmlformats.org/officeDocument/2006/relationships/theme" Target="theme/theme1.xml"/><Relationship Id="rId5" Type="http://schemas.openxmlformats.org/officeDocument/2006/relationships/hyperlink" Target="http://data.europa.eu/eli/dir/2014/40/anx_2/oj" TargetMode="External"/><Relationship Id="rId10" Type="http://schemas.openxmlformats.org/officeDocument/2006/relationships/fontTable" Target="fontTable.xml"/><Relationship Id="rId4" Type="http://schemas.openxmlformats.org/officeDocument/2006/relationships/hyperlink" Target="http://data.europa.eu/eli/dir_del/2014/109/oj" TargetMode="External"/><Relationship Id="rId9" Type="http://schemas.openxmlformats.org/officeDocument/2006/relationships/hyperlink" Target="https://eur-lex.europa.eu/legal-content/EN/TXT/?uri=uriserv:OJ.P_.17.015.01.0019.01.F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5319</Words>
  <Characters>28990</Characters>
  <Application>Microsoft Office Word</Application>
  <DocSecurity>0</DocSecurity>
  <Lines>517</Lines>
  <Paragraphs>248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ZAKO8761 NPB0</dc:title>
  <dc:creator>Jožica Škof Nikolič</dc:creator>
  <cp:keywords>class='Internal'</cp:keywords>
  <cp:lastModifiedBy>Ragnhild Efraimsson</cp:lastModifiedBy>
  <cp:revision>2</cp:revision>
  <dcterms:created xsi:type="dcterms:W3CDTF">2024-08-14T11:50:00Z</dcterms:created>
  <dcterms:modified xsi:type="dcterms:W3CDTF">2024-08-14T11:50:00Z</dcterms:modified>
</cp:coreProperties>
</file>