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LEGE</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DE MODIFICARE A LEGII PRIVIND RESTRICȚIONAREA UTILIZĂRII TUTUNULUI ȘI A PRODUSELOR CONEXE</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 din Legea privind restricționarea utilizării tutunului și a produselor conexe (Monitorul Oficial al Republicii Slovenia, nr. 9/17 și nr. 29/17), cuvintele „</w:t>
      </w:r>
      <w:hyperlink r:id="rId4" w:tgtFrame="_blank" w:tooltip="to EUR-Lex" w:history="1">
        <w:r>
          <w:rPr>
            <w:rFonts w:ascii="Arial" w:hAnsi="Arial"/>
            <w:color w:val="0000EE"/>
            <w:sz w:val="21"/>
            <w:u w:val="single" w:color="0000EE"/>
          </w:rPr>
          <w:t>Directiva delegată 2014/109/UE a Comisiei</w:t>
        </w:r>
      </w:hyperlink>
      <w:r>
        <w:rPr>
          <w:rFonts w:ascii="Arial" w:hAnsi="Arial"/>
          <w:sz w:val="21"/>
        </w:rPr>
        <w:t xml:space="preserve"> din 10 octombrie 2014 de modificare a </w:t>
      </w:r>
      <w:hyperlink r:id="rId5" w:tgtFrame="_blank" w:tooltip="to EUR-Lex" w:history="1">
        <w:r>
          <w:rPr>
            <w:rFonts w:ascii="Arial" w:hAnsi="Arial"/>
            <w:color w:val="0000EE"/>
            <w:sz w:val="21"/>
            <w:u w:val="single" w:color="0000EE"/>
          </w:rPr>
          <w:t>anexei II la Directiva 2014/40/UE</w:t>
        </w:r>
      </w:hyperlink>
      <w:r>
        <w:rPr>
          <w:rFonts w:ascii="Arial" w:hAnsi="Arial"/>
          <w:sz w:val="21"/>
        </w:rPr>
        <w:t xml:space="preserve"> a Parlamentului European și a Consiliului prin stabilirea galeriei de avertismente ilustrate care trebuie utilizate pe produsele din tutun (JO L 360, 17. 12. 2014, p. 22)” se înlocuiesc cu cuvintele „</w:t>
      </w:r>
      <w:hyperlink r:id="rId6" w:tgtFrame="_blank" w:tooltip="to EUR-Lex" w:history="1">
        <w:r>
          <w:rPr>
            <w:rFonts w:ascii="Arial" w:hAnsi="Arial"/>
            <w:color w:val="0000EE"/>
            <w:sz w:val="21"/>
            <w:u w:val="single" w:color="0000EE"/>
          </w:rPr>
          <w:t>Directiva delegată (UE) 2022/2100</w:t>
        </w:r>
      </w:hyperlink>
      <w:r>
        <w:rPr>
          <w:rFonts w:ascii="Arial" w:hAnsi="Arial"/>
          <w:sz w:val="21"/>
        </w:rPr>
        <w:t xml:space="preserve"> a Comisiei din 29 iunie 2022 de modificare a </w:t>
      </w:r>
      <w:hyperlink r:id="rId7" w:tgtFrame="_blank" w:tooltip="to EUR-Lex" w:history="1">
        <w:r>
          <w:rPr>
            <w:rFonts w:ascii="Arial" w:hAnsi="Arial"/>
            <w:color w:val="0000EE"/>
            <w:sz w:val="21"/>
            <w:u w:val="single" w:color="0000EE"/>
          </w:rPr>
          <w:t>Directivei 2014/40/UE</w:t>
        </w:r>
      </w:hyperlink>
      <w:r>
        <w:rPr>
          <w:rFonts w:ascii="Arial" w:hAnsi="Arial"/>
          <w:sz w:val="21"/>
        </w:rPr>
        <w:t xml:space="preserve"> a Parlamentului European și a Consiliului în ceea ce privește retragerea anumitor exceptări care vizează produsele din tutun încălzit (JO L 283, 3. 11. 2022, p.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3, punctul 12 se modifică și are următoarea formulare:</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O țigară electronică este un produs care poate fi utilizat pentru a inhala vapori care conțin nicotină printr-un muștiuc sau orice componentă a produsului respectiv, inclusiv un cartuș, un rezervor și un dispozitiv fără cartuș sau rezervor. Țigările electronice pot fi de unică folosință după utilizare sau pot fi reumplute cu ajutorul unui flacon și al unui rezervor de reumplere sau pot fi reumplute cu un cartuș de unică folosință. De asemenea, o țigară electronică este considerată a fi o țigară electronică dacă este reîncărcată folosind un flacon și un rezervor de reumplere fără nicotină sau este reîncărcată cu o reîncărcare de unică folosință fără nicotină pentru inhalarea de vapori fără nicotină.”.</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punctul 12 se adaugă un nou punct 12.a, cu următoarea formulare:</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o țigară electronică fără nicotină este un produs de unică folosință care conține un rezervor cu un lichid fără nicotină și este utilizat pentru a insufla vapori care nu conțin nicotină prin muștiucul sau prin orice componentă a acestui produs.”.</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17 se elimină.</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punctul 19 se adaugă un nou punct 19.a, cu următoarea formulare:</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Un produs nou care conține nicotină este un produs care nu aparține niciuneia dintre următoarele categorii de produse care conțin nicotină, dar care nu conțin tutun: țigări electronice, flacoane de reumplere și produse de terapie de înlocuire a nicotinei înregistrate.”.</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punctul 22 se adaugă un nou punct 22.a, cu următoarea formulare:</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Un produs din tutun încălzit este un produs nou din tutun care este încălzit pentru a produce o emisie care conține nicotină și alte substanțe chimice, care este apoi inhalat de utilizator (utilizatori) și care, în funcție de caracteristicile sale, este un produs din tutun care nu se fumează sau un produs din tutun pentru fumat.”.</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punctul 23 se adaugă un nou punct 23.a, cu următoarea formulare:</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Un flacon de reumplere fără nicotină este un recipient care conține un lichid fără nicotină care poate fi utilizat pentru reumplerea unei țigări electronice.”.</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25 se modifică și are următoarea formulare:</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Produse conexe în temeiul </w:t>
      </w:r>
      <w:hyperlink r:id="rId8" w:tgtFrame="_blank" w:tooltip="to EUR-Lex" w:history="1">
        <w:r>
          <w:rPr>
            <w:rFonts w:ascii="Arial" w:hAnsi="Arial"/>
            <w:color w:val="0000EE"/>
            <w:sz w:val="21"/>
            <w:u w:val="single" w:color="0000EE"/>
          </w:rPr>
          <w:t>Directivei 2014/40/UE a Consiliului</w:t>
        </w:r>
      </w:hyperlink>
      <w:r>
        <w:rPr>
          <w:rFonts w:ascii="Arial" w:hAnsi="Arial"/>
          <w:sz w:val="21"/>
        </w:rPr>
        <w:t xml:space="preserve"> sunt țigările electronice, flacoanele de reumplere și plantele destinate fumatului. În conformitate cu prezenta lege, produsele conexe includ, de asemenea, țigările electronice fără nicotină și flacoanele de reumplere fără nicotină, produsele din plante încălzite, noile produse din tutun, noile produse cu nicotină. În conformitate cu prezenta lege, produsele conexe sunt, de asemenea, accesorii sau dispozitive pentru utilizarea produselor conexe menționate în prima teză și în teza anterioară din prezentul punct, fără de care produsele conexe nu pot fi utilizate.”.</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40 se modifică și are următoarea formulare:</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Tutunul de rulat este tutunul care poate fi utilizat pentru fabricarea țigărilor de către consumatori sau punctele de vânzare cu amănuntul.”.</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punctul 50 se adaugă un nou punct 50.a, cu următoarea formulare:</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Un produs din plante încălzite este un produs pe bază de plante, ierburi sau fructe, care nu conține tutun, în timpul utilizării căruia are loc procesul de încălzire.”.</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11, alineatul (1) se modifică și are următoarea formulare:</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Este interzisă introducerea pe piață a țigărilor, a tutunului de rulat și a produselor din tutun încălzit cu o aromă caracteristică.”.</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12, alineatul (2) se modifică și are următoarea formulare:</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Se interzice introducerea pe piață a țigărilor, a tutunului de rulat și a produselor din tutun încălzit care conțin substanțe aromatizante în oricare dintre componente, cum ar fi filtrele, hârtia, ambalajele și capsulele, sau care au caracteristici tehnice care permit modificarea mirosului sau a </w:t>
      </w:r>
      <w:r>
        <w:rPr>
          <w:rFonts w:ascii="Arial" w:hAnsi="Arial"/>
          <w:sz w:val="21"/>
        </w:rPr>
        <w:lastRenderedPageBreak/>
        <w:t>gustului produsului din tutun sau a intensității fumului. Filtrele, hârtiile și capsulele nu trebuie să conțină tutun sau nicotină.”.</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13 se adaugă un nou alineat (7) după alineatul (6), cu următoarea formulare:</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Imaginile pachetelor unitare și ale oricărui ambalaj exterior al produselor din tutun destinate consumatorilor trebuie să fie conforme cu dispozițiile articolului 2 (Etichetarea și ambalarea) din capitolul II din prezenta lege.”.</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14 alineatul (1), teza introductivă se modifică și are următoarea formulare: Fiecare pachet unitar și ambalaj exterior al produselor din tutun pentru fumat, inclusiv al produselor din tutun încălzit în cazul produselor din tutun pentru fumat, trebuie să poarte următorul avertisment general:”.</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alineatul (2), teza introductivă se modifică și are următoarea formulare: Fiecare pachet unitar și ambalaj exterior al produselor din tutun pentru fumat, inclusiv al produselor din tutun încălzit în cazul produselor din tutun pentru fumat, trebuie să poarte următorul mesaj de informare:”.</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alineatul (3), prima teză se modifică și are următoarea formulare: „În cazul pachetelor unitare care conțin țigări, al pachetelor unitare cu produse din tutun încălzit în cazul produselor din tutun pentru fumat și al pachetelor unitare în formă pătrată cu tutun de rulat, avertismentul general se afișează în partea de jos a unei suprafețe laterale a pachetului unitar, în timp ce mesajul de informare se afișează în partea de jos a celeilalte suprafețe laterale.”.</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15 alineatul (1), prima teză se modifică și are următoarea formulare: „Fiecare pachet unitar și ambalaj exterior al produse din tutun pentru fumat, inclusiv al produselor din tutun încălzit în cazul produselor din tutun pentru fumat, trebuie să poarte avertismente de sănătate combinate.”.</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22, alineatul (9) se modifică și are următoarea formulare:</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Entitatea economică implicată în comerțul cu produse din tutun nu modifică sau șterge datele înregistrate.”.</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25 alineatul (2), la prima teză, după cuvântul „paragraf”, virgula și cuvintele „atunci când NLZOH consideră că acest lucru este necesar din cauza modificării condițiilor” se elimină.</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alineatul (2), se introduce un nou alineat (3), cu următoarea formulare:</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percepe producătorilor și importatorilor taxe pentru primirea, stocarea, manipularea și analizarea datelor transmise în temeiul prezentului articol.”.</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Alineatul (3) existent, care devine alineatul (4), se modifică după cum urmează:</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Ministrul stabilește forma și modul de notificare, precum și cuantumul taxelor menționate în prezentul articol.”.</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26 alineatul (3), teza introductivă de la treia teză se modifică după cum urmează: „Țigările electronice, țigările electronice fără nicotină, flacoanele de reumplere și flacoanele de reumplere fără nicotină îndeplinesc următoarele condiții:”.</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1 se modifică și are următoarea formulare:</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un lichid cu nicotină sau fără nicotină se introduce pe piață în flacoane de reumplere dedicate, cu un volum care nu depășește 10 ml, în țigări electronice de unică folosință, în țigări electronice fără nicotină sau în cartușe de unică folosință cu sau fără nicotină, în cazul în care volumul unui cartuș sau al unui rezervor nu depășește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3 se modifică și are următoarea formulare:</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un lichid cu nicotină sau fără nicotină nu conține aditivii menționați la articolul 12 alineatul (1) din prezenta lege;”;</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4 se modifică și are următoarea formulare:</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la fabricarea unui lichid cu nicotină sau fără nicotină se utilizează numai ingrediente pure. În lichid, substanțele, cu excepția ingredientelor menționate la alineatul (2) punctul 2 din prezentul articol, sunt prezente numai sub formă de urme, dacă aceste urme sunt inevitabile din punct de vedere tehnic în timpul producției;”.</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7 se modifică și are următoarea formulare:</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ele nu trebuie utilizate de copii, trebuie să fie protejate împotriva manipulării frauduloase, a spargerii și a scurgerilor și să aibă un mecanism care să asigure realimentarea fără scurgeri;”.</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punctul 7, se adaugă un nou punct 8, care are următoarea formulare:</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Un lichid cu nicotină sau fără nicotină nu trebuie să conțină alte arome decât gustul sau mirosul de tutun.”.</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alineatul (5), teza introductivă se modifică și are următoarea formulare: „Pachetele și ambalajele exterioare ale țigărilor electronice, ale țigărilor electronice fără nicotină, ale flacoanelor de reumplere și ale flacoanelor de reumplere fără nicotină:”.</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Punctul 2 se modifică și are următoarea formulare:</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indiferent de punctul precedent, acestea nu conțin elementele sau caracteristicile menționate la articolul 17 din prezenta lege, cu excepția alineatului (1) prima liniuță în ceea ce privește informațiile privind conținutul de nicotină și informațiile referitoare la gustul sau mirosul de tutun, și, cu excepția țigărilor electronice fără nicotină și a flacoanelor de reumplere fără nicotină, acestea conțin următorul avertisment de sănătate care îndeplinește cerințele articolului 16 alineatele (2) și (3) din prezenta lege: «Acest produs conține nicotină. Nicotina generează un grad ridicat de dependență. Nu se recomandă utilizarea produsului de către nefumători.».”.</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sfârșitul alineatului (8) se adaugă următoarele cuvinte: „NLZOH și Inspectoratul Sanitar al Republicii Slovenia pun la dispoziția Comisiei Europene și a altor state membre ale UE, la cerere, toate informațiile primite în conformitate cu prezentul articol, asigurându-se că secretele comerciale și alte informații confidențiale sunt tratate în mod confidențial.”.</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alineatul (14), se adaugă următorul alineat (15) cu următoarea formulare:</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Dispoziții privind transmiterea notificării oficiale menționate la alineatul (1), conținutul acesteia menționat la alineatul (2), includerea instrucțiunilor de utilizare împreună cu datele menționate la alineatul (4), transmiterea datelor menționate la alineatul (6), monitorizarea evoluției pieței menționate la alineatul (7), publicarea pe internet, punerea datelor la dispoziția publicului și furnizarea informațiilor menționate la alineatul (8), instituirea și întreținerea sistemului de colectare a datelor și transmiterea datelor colectate menționate la alineatul (9); adoptarea de măsuri și notificarea autorităților menționate la alineatul (10), transferul de date suplimentare menționat la alineatul (11), comunicarea menționată la alineatul (12), dreptul de a percepe taxe menționat la alineatul (13) și stabilirea unor condiții mai detaliate menționate la alineatul (14) din prezentul articol se aplică, de asemenea, țigărilor electronice fără nicotină și flacoanelor de reumplere fără nicotină.”</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28, titlul articolului se modifică după cum urmează: „(raportarea ingredientelor produselor din plante pentru fumat și a produselor din plante încălzite)”.</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Alineatul (1) se modifică și are următoarea formulare:</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Producătorii și importatorii de produse din plante pentru fumat și de produse din plante încălzite transmit NLZOH o listă a tuturor ingredientelor și a cantităților acestora utilizate la fabricarea </w:t>
      </w:r>
      <w:r>
        <w:rPr>
          <w:rFonts w:ascii="Arial" w:hAnsi="Arial"/>
          <w:sz w:val="21"/>
        </w:rPr>
        <w:lastRenderedPageBreak/>
        <w:t>acestor produse, separat pentru fiecare marcă și pentru fiecare tip. Notificarea oficială se transmite electronic cu șase luni înainte de intenția de a introduce pe piață un produs nou sau modificat pentru fumat din plante sau un produs din plante încălzit. Producătorii sau importatorii de produse din plante pentru fumat și de produse încălzite din plante notifică NLZOH dacă compoziția produsului este modificată astfel încât să afecteze datele transmise în temeiul prezentului articol.”</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alineatul (2), se adaugă următorul alineat (3), cu următoarea formulare:</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percepe producătorilor și importatorilor taxe pentru primirea, stocarea, manipularea, analizarea și publicarea datelor transmise în temeiul prezentului articol.”.</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Alineatul (3) existent, care devine alineatul (4), se modifică după cum urmează:</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Ministrul stabilește condiții mai detaliate pentru raportarea ingredientelor plantelor destinate fumatului și a produselor pe bază de plante încălzite și cuantumul taxelor menționate în prezentul articol.”.</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Titlul capitolului V se modifică și are următoarea formulare: „V. PUBLICITATE, PROMOVARE, SPONSORIZARE, VÂNZARE ȘI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30, titlul articolului se modifică după cum urmează: „(interzicerea vânzării și achiziției)”;</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alineatul (6) se adaugă noile alineate (7) și (8), cu următoarea formulare:</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O persoană fizică nu poate vinde sau introduce pe piață tutun, produse din tutun sau produse conexe.</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O persoană fizică nu poate achiziționa tutun, produse din tutun sau produse conexe cu încălcarea prezentului articol.”.</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actualul articol 30 se adaugă un nou articol 30.a, cu următoarea formulare:</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(Interdicția la import)</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Se interzice importul produselor menționate la articolul 11 alineatul (1), la articolul 12 alineatele (1), (2) și (3) și la articolul 24 din prezenta lege.</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O persoană fizică nu poate importa tutun, produse din tutun sau produse conexe, cu excepția produselor care sunt scutite de plata taxelor la import pentru transporturile sau bagajele personale ale pasagerului în conformitate cu regulamentul care reglementează sistemul de scutiri vamale în UE.”.</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Titlul capitolului VII se modifică și are următoarea formulare: „VII. INTERZICEREA FUMATULUI”.</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39 alineatul (3), la sfârșitul celei de-a treia liniuțe, punctul și virgulă se înlocuiește cu punct, iar a patra liniuță se elimină.</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Alineatul (4) se elimină.</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Alineatul (5) devine alineatul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Articolul 40 se elimină.</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Textul articolului 41 se modifică și are următoarea formulare:</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Supravegherea punerii în aplicare a prezentei legi se efectuează de către Inspectoratul Sanitar al Republicii Slovenia, Inspectoratul Muncii din Republica Slovenia, Inspectoratul Piețelor din Republica Slovenia, Administrația Financiară a Republicii Slovenia și serviciile de poliție și de gardă municipală.</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Inspectoratul Sanitar al Republicii Slovenia supraveghează:</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emisiile de gudron, nicotină și monoxid de carbon provenite de la țigările menționate la articolul 7 din prezenta lege;</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interzicerea introducerii pe piață a produselor din tutun cu o aromă caracteristică menționată la articolul 11 din prezenta lege;</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3. interzicerea introducerii pe piață a produselor din tutun care conțin aditivi menționați la articolul 12 din prezenta lege;</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raportarea și informarea producătorilor și importatorilor cu privire la ingredientele și emisiile produselor din tutun și ale produselor conexe, în conformitate cu articolul 9, articolul 10, articolul 25, articolul 26 alineatele (1), (2) și (6) și articolul 28 din prezenta lege;</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obligațiile care trebuie îndeplinite de producătorii, importatorii și distribuitorii de țigări electronice, țigări electronice fără nicotină, flacoane de reumplere și flacoane de reumplere fără nicotină menționate la articolul 26 alineatele (9), (10) și (11) din prezenta lege și condițiile pe care trebuie să le îndeplinească țigările electronice, țigările electronice fără nicotină, flacoanele de reumplere și flacoanele de reumplere fără nicotină menționate la articolul 26 alineatul (3) din prezenta lege;</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interzicerea fumatului sau a utilizării tutunului, a produselor din tutun și a produselor conexe, altele decât tutunul de mestecat și tutunul de prizat, în spațiile publice menționate la articolul 39 din prezenta lege;</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persoanele care nu respectă interdicția fumatului sau a utilizării tutunului, a produselor din tutun și a produselor conexe, altele decât tutunul de mestecat și tutunul pentru uz nazal, în spațiile publice menționate la articolul 39 din prezenta lege.</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Inspectoratul Sanitar al Republicii Slovenia, pe baza propriilor constatări sau a constatărilor NLZOH potrivit cărora tutunul, produsele din tutun și produsele conexe sunt fabricate, vândute sau introduse pe piață cu încălcarea articolelor 7, 8, 11, 12 și 26 din prezenta lege, interzice printr-o decizie producția și vânzarea acestor produse și dispune scoaterea lor din producție și vânzare.</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Inspectoratul Sanitar al Republicii Slovenia, pe baza constatărilor NLZOH, potrivit căruia, pentru o anumită marcă și tip de tutun, produse din tutun și produse conexe, producătorii și importatorii acestora nu își îndeplinesc obligația de a raporta sau de a informa cu privire la produsele menționate la articolele 9, 10, 25, 26 și 28 din prezenta lege, interzice printr-o decizie vânzarea acestor produse și dispune scoaterea lor din vânzare.</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La cererea Inspectoratului Sanitar al Republicii Slovenia sau a Administrației Financiare a Republicii Slovenia, NLZOH poate efectua teste de laborator pentru tutun, produse din tutun și produse conexe. Persoanele juridice și fizice care introduc pe piață tutun, produse din tutun și produse conexe trebuie să pună gratuit la dispoziția inspectorului competent (denumit în continuare „inspector”) un eșantion al acestor produse. În cazul în care, prin teste de laborator, se constată că eșantionul prelevat în timpul procedurii de control nu respectă dispozițiile prezentei legi, costurile testelor de laborator sunt suportate de persoana fizică sau juridică de la care a fost prelevat eșantionul.</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Inspectoratul Muncii al Republicii Slovenia supraveghează:</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interzicerea fumatului sau a utilizării tutunului, a produselor din tutun și a produselor conexe, altele decât tutunul de mestecat și tutunul pentru uz nazal, la locurile de muncă menționate la articolul 39 din prezenta lege;</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persoanele fizice care nu respectă interdicția fumatului sau a utilizării tutunului, a produselor din tutun și a produselor conexe, altele decât tutunul de mestecat și tutunul pentru uz nazal, la locurile de muncă menționate la articolul 39 din prezenta lege.</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Inspectoratul Piețelor din Republica Slovenia supraveghează entitățile comerciale, și anume:</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 condițiile pe care trebuie să le îndeplinească tutunul și produsele din tutun menționate la articolele 13-20 din prezenta lege;</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interzicerea introducerii pe piață a tutunului pentru uz nazal menționat la articolul 24 din prezenta lege;</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condițiile pe care trebuie să le îndeplinească țigările electronice, țigările electronice fără nicotină, flacoanele de reumplere și flacoanele de reumplere fără nicotină menționate la articolul 26 alineatele (4) și (5) din prezenta lege;</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condițiile pe care trebuie să le îndeplinească produsele din plante pentru fumat menționate la articolul 27 din prezenta lege;</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interzicerea sponsorizării și a publicității pentru tutun, produse din tutun și produse conexe menționată la articolul 29 din prezenta lege;</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interzicerea vânzărilor menționată la articolele 30 și 31 din prezenta lege;</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vânzarea de tutun, produse din tutun și produse conexe fără autorizația menționată la articolul 32 din prezenta lege și vizibilitatea autorizației în spațiile comerciale menționate la articolul 34 alineatul (3) din prezenta lege.</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Administrația financiară a Republicii Slovenia supraveghează:</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condițiile prevăzute la articolele 22 și 23 din prezenta lege pe care trebuie să le îndeplinească tutunul și produsele din tutun;</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condițiile pe care trebuie să le îndeplinească țigările electronice, țigările electronice fără nicotină, flacoanele de reumplere și flacoanele de reumplere fără nicotină menționate la articolul 26 alineatul (3) din prezenta lege atunci când sunt importate din țări terțe, cu sprijinul oferit de Inspectoratul de Sănătate al Republicii Slovenia;</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persoanele fizice care vând, introduc pe piață sau achiziționează tutun, tutun sau produse conexe, cu încălcarea articolului 30 alineatele (7) și (8) din prezenta lege;</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interdicția de import menționată la articolul 30 litera (a) din prezenta lege;</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vânzarea fără autorizație a tutunului, a produselor din tutun și a produselor conexe menționate la articolul 32 din prezenta lege.</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În cazul în care Inspectoratul Piețelor din Republica Slovenia stabilește că tutunul și produsele din tutun sunt produse, vândute sau introduse pe piață cu încălcarea articolelor 13-20 din prezenta lege sau sunt vândute fără autorizația menționată la articolul 32 din prezenta lege, acesta emite o decizie de interzicere a producerii, vânzării sau introducerii lor pe piață și dispune scoaterea lor din producție sau vânzare. </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(10) În cazul în care Administrația financiară a Republicii Slovenia stabilește că tutunul, produsele din tutun și produsele conexe din tutun sunt vândute fără autorizația menționată la articolul 32 din prezenta lege, aceasta emite o decizie prin care interzice vânzarea acestora și dispune scoaterea lor din producție sau vânzare. </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(11) Pe baza notificării menționate la articolul 26 alineatul (12) din prezenta lege, Inspectoratul de Sănătate al Republicii Slovenia adoptă măsuri temporare adecvate pentru protecția </w:t>
      </w:r>
      <w:r>
        <w:rPr>
          <w:rFonts w:ascii="Arial" w:hAnsi="Arial"/>
          <w:sz w:val="21"/>
        </w:rPr>
        <w:lastRenderedPageBreak/>
        <w:t>sănătății umane, care includ interzicerea vânzării unui anumit produs sau retragerea unui anumit produs de pe piață.</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(12) În cazul în care organismul de control competent stabilește că tutunul sau produsele conexe sunt produse, vândute sau introduse pe piață cu încălcarea articolelor 26 și 27 din prezenta lege sau fără autorizația menționată la articolul 32 din prezenta lege, acesta emite o decizie prin care interzice vânzarea, introducerea pe piață sau fabricarea acestor produse și dispune scoaterea lor din producție sau vânzare. </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În cazul în care Inspectoratul Piețelor din Republica Slovenia stabilește că tutunul, produsele din tutun sau produsele conexe din tutun sunt sponsorizate sau promovate cu încălcarea articolului 29 din prezenta lege, sponsorizarea sau publicitatea respectivă sunt interzise prin decizie.  În vederea executării deciziei, acesta dispune eliminarea imediată a materialelor publicitare pe cheltuiala entității comerciale.</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Inspectorul competent poate coopera cu o persoană cu vârsta sub 18 ani pentru supravegherea interdicției de vânzare a tutunului, a tutunului și a produselor din tutun către persoane cu vârsta sub 18 ani, menționată la articolul 30 alineatul (1) din prezenta lege. Pentru participarea minorilor, se obține acordul prealabil scris al părinților sau al tutorilor acestora.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Poliția și serviciile de gardă municipală controlează interzicerea fumatului în toate vehiculele în prezența persoanelor cu vârsta sub 18 ani, astfel cum se menționează la articolul 39 alineatul (1) din prezenta lege.”.</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42, alineatul (1) se modifică și are următoarea formulare:</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 persoană juridică este amendată cu o amendă cuprinsă între 4 000 EUR și 33 000 EUR pentru o infracțiune:</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dacă produce, vinde sau introduce pe piață țigări care conțin un conținut mai mare de gudron, nicotină și monoxid de carbon, astfel cum se specifică la articolul 7 din prezenta lege;</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dacă vinde sau introduce pe piață produse din tutun pentru care obligația de a raporta ingredientele și emisiile acestor produse nu a fost îndeplinită (articolele 9 și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dacă produce, introduce pe piață sau vinde produse din tutun cu o aromă caracteristică (articolul 11) sau cu aditivi menționați la articolul 12 alineatele (1) și (3) din prezenta lege sau dacă produce, vinde sau introduce pe piață produse din tutun care conțin substanțe aromatice în oricare dintre componentele lor [articolul 12 alineatul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dacă introduce pe piață sau vinde produse din tutun și produse din tutun care nu se fumează care nu îndeplinesc condițiile privind etichetarea, ambalarea, avertismentele generale, mesajele informative și avertismentele de sănătate combinate (articolele 13, 14, 15 și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dacă introduce pe piață sau vinde produse din tutun a căror etichetare sau ambalaj exterior contravine dispozițiilor articolului 17 din prezenta lege;</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dacă introduce pe piață sau vinde pachete de țigări și ambalaje exterioare ale țigărilor al căror aspect și conținut contravin dispozițiilor articolului 18 din prezenta lege;</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dacă introduce pe piață sau vinde pachete unitare de tutun de rulat și ambalaje exterioare ale tutunului de rulat al căror aspect și conținut contravin dispozițiilor articolului 19 din prezenta lege;</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dacă introduce pe piață sau vinde țigări al căror aspect contravine dispozițiilor articolului 20 din prezenta lege;</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dacă nu pune la dispoziție identificatorul unic [articolul 22 alineatul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dacă nu înregistrează intrarea tuturor pachetelor unitare și a mișcărilor intermediare și cantitatea finală de pachete unitare din posesia sa astfel încât să permită identificarea și urmărirea clară și lipsită de ambiguitate a tuturor pachetelor unitare [articolul 22 alineatul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dacă nu ține evidența tuturor tranzacțiilor finalizate [articolul 22 alineatul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dacă nu furnizează entităților economice implicate în comerțul cu produse din tutun, de la producător la ultima entitate economică, înainte de prima vânzare la punctul de vânzare, inclusiv importatorilor, antrepozitelor și societăților de transport, echipamentele de înregistrare a produselor din tutun sau dacă echipamentul furnizat nu permite citirea electronică și identificarea și urmărirea fără echivoc a tuturor pachetelor unitare [articolul 22 alineatul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dacă modifică sau șterge datele înregistrate [articolul 22 alineatul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dacă introduce pe piață sau vinde produse din tutun fără o marcă de identificare sau un element de securitate, dacă marca de identificare este incompletă sau dacă elementul de securitate nu îndeplinește standardele tehnice necesare [articolul 22 alineatele (1), (2) și (3) și articolul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dacă introduce pe piață sau vinde tutun pentru uz oral (articolul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dacă vinde sau introduce pe piață produse noi din tutun, cu încălcarea articolului 25 din prezenta lege;</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dacă produce, vinde sau introduce pe piață țigări electronice, țigări electronice fără nicotină, flacoane de reumplere sau flacoane de reumplere fără nicotină, încălcând articolul 26 alineatele (3), (4), (5) și (10) din prezenta lege;</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dacă produce, vinde sau introduce pe piață țigări electronice, țigări electronice fără nicotină, flacoane de reumplere sau flacoane de reumplere fără nicotină, încălcând articolul 26 alineatele (1), (2), (6) și (11) din prezenta lege;</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dacă introduce pe piață sau vinde un produs din plante pentru fumat, cu încălcarea articolului 27 din prezenta lege;</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dacă nu raportează ingredientele plantelor destinate fumatului și ale produselor pe bază de plante încălzite în conformitate cu articolul 28 din prezenta lege;</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dacă donează sau sponsorizează un eveniment, o activitate sau o persoană și, direct sau indirect, face publicitate și promovează produse din tutun și produse conexe (articolul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dacă afișează sau utilizează tutun, produse din tutun și produse conexe din tutun la televizor și în contextul aparițiilor publice [articolul 29 alineatul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dacă vinde tutun, produse din tutun sau produse conexe către persoane cu vârsta sub 18 ani sau dacă nu interzice vânzarea într-un loc vizibil sau dacă vinde tutun, produse din tutun sau produse conexe către o persoană cu vârsta sub 18 ani [articolul 30 alineatele (1) și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24. dacă vinde sau introduce pe piață tutun, produse din tutun sau produse conexe din tutun, cu încălcarea articolului 30 alineatul (3) din prezenta lege;</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dacă vinde sau introduce pe piață tutun, produse din tutun sau produse conexe din tutun în afara ambalajului original al producătorului [articolul 30 alineatul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dacă introduce pe piață sau efectuează vânzări transfrontaliere la distanță de tutun, produse din tutun sau produse conexe din tutun prin intermediul internetului, al telecomunicațiilor sau al altor tehnologii în evoluție [articolul 30 alineatul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dacă produce, introduce pe piață sau efectuează vânzări transfrontaliere la distanță de dulciuri, gustări, jucării sau alte produse sub formă de produse din tutun sau produse conexe din tutun destinate persoanelor cu vârsta sub 18 ani [articolul 30 alineatul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dacă importă produsele menționate la articolul 11 alineatul (1), articolul 12 alineatele (1), (2) și (3) și articolul 24 din prezenta lege;</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dacă nu afișează în mod vizibil autorizația de vânzare a tutunului, a produselor din tutun și a produselor conexe din tutun în spațiile comerciale [articolul 34 alineatul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dacă nu asigură respectarea interdicției privind fumatul sau utilizarea tutunului, a produselor din tutun și a produselor conexe din tutun, cu excepția tutunului de mestecat și a tutunului pentru uz oral, în spațiile închise pentru public și de lucru și în spații care nu sunt considerate spații închise în temeiul prezentei legi, dacă acestea fac parte din terenul funcțional care aparține instalațiilor în care se desfășoară activități de educație sau de formare (articolul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Alineatele (4), (5) și (6) se modifică și vor avea următoarea formulare:</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Pentru infracțiunile menționate la alineatul (1) punctele 1, 3 </w:t>
      </w:r>
      <w:hyperlink r:id="rId9" w:tgtFrame="_blank" w:tooltip="to EUR-Lex" w:history="1">
        <w:r>
          <w:rPr>
            <w:rFonts w:ascii="Arial" w:hAnsi="Arial"/>
            <w:color w:val="0000EE"/>
            <w:sz w:val="21"/>
            <w:u w:val="single" w:color="0000EE"/>
          </w:rPr>
          <w:t>-15, 17, 19</w:t>
        </w:r>
      </w:hyperlink>
      <w:r>
        <w:rPr>
          <w:rFonts w:ascii="Arial" w:hAnsi="Arial"/>
          <w:sz w:val="21"/>
        </w:rPr>
        <w:t>, 25 și 28 din prezentul articol, pe lângă sancțiunea principală, se impune confiscarea tutunului, a produselor din tutun sau a produselor conexe din tutun care fac obiectul infracțiunii și confiscarea articolelor cu care a fost săvârșită infracțiunea. De asemenea, se aplică o sancțiune colaterală în cazul în care tutunul, produsele din tutun sau produsele conexe din tutun nu sunt proprietatea autorului infracțiunii sau nu se află în posesia persoanei juridice. Se poate renunța la confiscarea bunului în cazul în care autorul infracțiunii dovedește originea legală a tutunului, a produselor din tutun sau a produselor din tutun sau în cazul în care impunerea unei sancțiuni colaterale pentru confiscarea obiectelor infracțiunii ar fi în mod clar disproporționată în raport cu gravitatea faptei și cu consecințele infracțiunii.</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O amendă de 50 000 EUR se aplică unei entități juridice, unui comerciant individual sau unei persoane fizice care desfășoară o activitate independentă care vinde fără autorizație tutun, produse din tutun sau produse conexe din tutun (articolul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O amendă de 5 000 EUR se aplică unei persoane responsabile a unei entități juridice, unei persoane responsabile a unui comerciant individual sau unei persoane fizice care desfășoară o activitate independentă care vinde tutun, produse din tutun sau produse conexe din tutun fără autorizație (articolul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 articolul 43, alineatul (1) se modifică și are următoarea formulare:</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O persoană este amendată cu o amendă cuprinsă între 125 EUR și 5 000 EUR pentru o infracțiune:</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dacă achiziționează tutun, produse din tutun sau produse conexe din tutun, cu încălcarea articolului 30 din prezenta lege;</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dacă importă produse cu încălcarea articolului 30.a alineatul (1) sau (2) din prezenta lege;</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dacă fumează sau utilizează tutun, produse din tutun sau produse conexe din tutun în locuri publice sau de muncă unde acest lucru este interzis (articolul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alineatul (2), se adaugă alineatele (3) și (4) noi, cu următoarea formulare:</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O persoană este amendată cu o amendă cuprinsă între 3 000 EUR și 5 000 EUR pentru o infracțiune:</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dacă, în scopul publicității, oferă tutun, produse din tutun și produse conexe din tutun gratuit într-un loc public sau în spații publice, cu încălcarea articolului 29 alineatul (3) din prezenta lege;</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dacă vinde sau introduce pe piață tutun, produse din tutun sau produse conexe din tutun, cu încălcarea articolului 30 alineatul (7) din prezenta lege;</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Pentru infracțiunile menționate la primul paragraf prima și a doua liniuță din prezentul articol și pentru infracțiunile menționate la alineatul precedent prima și a doua liniuță, pe lângă sancțiunea principală, se impune confiscarea tutunului, a produselor din tutun sau a produselor conexe din tutun care fac obiectul infracțiunii și confiscarea obiectelor cu care a fost săvârșită infracțiunea. De asemenea, se aplică o sancțiune colaterală în cazul în care tutunul, produsele din tutun sau produsele conexe din tutun nu sunt proprietatea autorului infracțiunii sau nu se află în posesia acestuia. Se poate renunța la confiscarea bunului în cazul în care autorul infracțiunii dovedește originea legală a tutunului, a produselor din tutun sau a produselor din tutun sau în cazul în care impunerea unei sancțiuni colaterale pentru confiscarea obiectelor infracțiunii ar fi în mod clar disproporționată în raport cu gravitatea faptei și cu consecințele infracțiunii.”.</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După articolul 43, se introduce un nou articol 43.a, cu următoarea formulare:</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(Impunerea unei amenzi într-o procedură accelerată privind delictele)</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Pentru infracțiunile menționate în prezenta lege, se poate aplica o amendă în cadrul unei proceduri accelerate într-o sumă mai mare decât amenda minimă prevăzută de prezenta lege.</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DISPOZIȚII TRANZITORII ȘI FINALE</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Articolul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(Armonizarea acțiunilor)</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Țigările electronice, țigările electronice fără nicotină, flacoanele de reumplere și flacoanele de reumplere fără nicotină cu arome pot fi introduse pe piață timp de maximum 12 luni de la intrarea în vigoare a prezentei legi.</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(Finalizarea procedurilor)</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Procedurile de inspecție și delicte inițiate înainte de intrarea în vigoare a prezentei legi se încheie în conformitate cu reglementările în vigoare până în prezent.</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(Statut)</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Ministrul emite reglementările menționate la articolul 25 alineatul (4) modificat din lege și la articolul 28 alineatul (4) modificat din lege în termen de trei luni de la intrarea în vigoare a prezentei legi.</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În termen de trei luni de la intrarea în vigoare a prezentei legi, ministrul pune dispozițiile menționate la articolul 26 alineatul (14) din lege în conformitate cu noul punct 8 de la alineatul (3) și noul alineat (15) de la articolul 26 din lege.</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(Încetarea valabilității și prelungirea aplicării regulamentelor existente)</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Dispozițiile articolului 3 punctul 17, ale articolului 39 alineatul (4) și alineatul (3) a patra liniuță, ale articolului 40, ale alineatului (2) punctele 8 și 9, ale alineatului (6) punctele 3 și 4, ale articolului 41 alineatul (14), ale articolului 42 alineatul (1) punctul 30 și ale articolului 43 alineatul (1) a treia liniuță din Legea privind restricționarea utilizării tutunului și a produselor conexe (Monitorul Oficial al Republicii Slovenia, nr. 9/17 și 29/17) se aplică camerelor pentru fumători până la 31 decembrie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De la data intrării în vigoare a prezentei legi, normele privind condițiile pe care trebuie să le îndeplinească o cameră pentru fumători (Monitorul Oficial al Republicii Slovenia, nr. 52/17), care poate fi utilizată până la 31 decembrie 2025, încetează să se aplice.</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Articolul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(Intrare în vigoare și aplicare)</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Prezenta lege intră în vigoare în a 15-a zi de la data publicării în Monitorul Oficial al Republicii Slovenia și se aplică începând cu a 30-a zi de la intrarea sa în vigoare.</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Legea privind restricționarea utilizării tutunului și a produselor conexe (Monitorul Oficial al Republicii Slovenia, nr. 9/17 și 29/17) se aplică până la intrarea în vigoare a prezentei legi.</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28 martie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Adunarea Națională</w:t>
      </w:r>
      <w:r>
        <w:rPr>
          <w:rFonts w:ascii="Arial" w:hAnsi="Arial"/>
          <w:sz w:val="21"/>
        </w:rPr>
        <w:br/>
        <w:t>a Republicii Slovenia</w:t>
      </w:r>
      <w:r>
        <w:rPr>
          <w:rFonts w:ascii="Arial" w:hAnsi="Arial"/>
          <w:sz w:val="21"/>
        </w:rPr>
        <w:br/>
        <w:t>Danijel Krivec</w:t>
      </w:r>
      <w:r>
        <w:rPr>
          <w:rFonts w:ascii="Arial" w:hAnsi="Arial"/>
          <w:sz w:val="21"/>
        </w:rPr>
        <w:br/>
        <w:t>Vicepreședinte</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267A"/>
    <w:rsid w:val="00160D9A"/>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5487</Words>
  <Characters>31277</Characters>
  <Application>Microsoft Office Word</Application>
  <DocSecurity>0</DocSecurity>
  <Lines>488</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2024-08-14T11:56:00Z</dcterms:created>
  <dcterms:modified xsi:type="dcterms:W3CDTF">2024-08-14T11:56:00Z</dcterms:modified>
</cp:coreProperties>
</file>