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Decret guvernamental</w:t>
      </w:r>
    </w:p>
    <w:p w14:paraId="7B4FFF5E" w14:textId="3922D066" w:rsidR="007E26C7" w:rsidRPr="000207A4" w:rsidRDefault="00780A38" w:rsidP="00384963">
      <w:pPr>
        <w:pStyle w:val="LLSaadoksenNimi"/>
      </w:pPr>
      <w:r>
        <w:t xml:space="preserve">privind criteriile referitoare la statutul de deșeu pentru materiile prime secundare din plastic reciclate mecanic </w:t>
      </w:r>
    </w:p>
    <w:p w14:paraId="4704AE09" w14:textId="7DBC0B3A" w:rsidR="007E26C7" w:rsidRPr="000207A4" w:rsidRDefault="007E26C7" w:rsidP="00384963">
      <w:pPr>
        <w:pStyle w:val="LLJohtolauseKappaleet"/>
      </w:pPr>
      <w:r>
        <w:t>Printr-o hotărâre a guvernului, în temeiul articolului 5b alineatul (2), astfel cum a fost modificată prin Legea 714/2021, și al articolului 10, astfel cum a fost modificată parțial prin Legea 714/2021 din Legea privind deșeurile (646/2011), și al articolului 9, astfel cum a fost modificată prin Legea 1166/2018 din Legea privind protecția mediului (527/2014), se promulgă următorul text:</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Articolul 1</w:t>
      </w:r>
    </w:p>
    <w:p w14:paraId="038BAA52" w14:textId="543C3223" w:rsidR="00780A38" w:rsidRPr="000207A4" w:rsidRDefault="00780A38" w:rsidP="00384963">
      <w:pPr>
        <w:pStyle w:val="LLPykalanOtsikko"/>
      </w:pPr>
      <w:r>
        <w:t>Obiectiv și domeniu de aplicare</w:t>
      </w:r>
    </w:p>
    <w:p w14:paraId="64731EE8" w14:textId="3F52A435" w:rsidR="00780A38" w:rsidRPr="000207A4" w:rsidRDefault="00780A38" w:rsidP="00384963">
      <w:pPr>
        <w:pStyle w:val="LLKappalejako"/>
      </w:pPr>
      <w:r>
        <w:t>Prezentul decret stabilește criteriile pentru determinarea momentului în care o materie primă secundară din plastic reciclată mecanic încetează să mai fie deșeu, precum și scopurile în care poate fi utilizată o materie primă secundară din plastic care îndeplinește aceste criterii.</w:t>
      </w:r>
    </w:p>
    <w:p w14:paraId="5F892B67" w14:textId="00D3B6D6" w:rsidR="00343FD0" w:rsidRPr="000207A4" w:rsidRDefault="00343FD0" w:rsidP="00384963">
      <w:pPr>
        <w:pStyle w:val="LLKappalejako"/>
      </w:pPr>
      <w:r>
        <w:t xml:space="preserve">Prezentul decret se aplică producătorilor de materii prime secundare din plastic care dețin o autorizație de mediu menționată la articolul 27 din Legea privind protecția mediului (527/2014) pentru prelucrarea deșeurilor din plastic și care adoptă criteriile menționate în prezentul decret. </w:t>
      </w:r>
    </w:p>
    <w:p w14:paraId="338B84AB" w14:textId="77777777" w:rsidR="007B40E9" w:rsidRDefault="008F35B4" w:rsidP="00384963">
      <w:pPr>
        <w:pStyle w:val="LLKappalejako"/>
      </w:pPr>
      <w:r>
        <w:t xml:space="preserve">În plus, fabricarea materiilor prime din plastic secundare destinate să vină în contact cu produsele alimentare este reglementată de Regulamentul (UE) 2022/1616 al Comisiei privind materialele și obiectele din plastic reciclat destinate să vină în contact cu produse alimentare, și de abrogare a Regulamentului (CE) nr. 282/2008, de Regulamentul (CE) nr. 2023/2006 al Comisiei privind buna practică de fabricație a materialelor și a obiectelor destinate să vină în contact cu produsele alimentare, de Regulamentul (UE) nr. 10/2011 al Comisiei privind materialele și obiectele din plastic destinate să vină în contact cu produsele alimentare, precum și de Regulamentul (UE) nr. 1935/2004 al Parlamentului European și al Consiliului privind materialele și obiectele destinate să vină în contact cu produsele alimentare și de abrogare a Directivelor 80/590/CEE și 89/109/CEE.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Articolul 2</w:t>
      </w:r>
    </w:p>
    <w:p w14:paraId="4738F473" w14:textId="77777777" w:rsidR="007E26C7" w:rsidRPr="000207A4" w:rsidRDefault="007E26C7" w:rsidP="00384963">
      <w:pPr>
        <w:pStyle w:val="LLPykalanOtsikko"/>
      </w:pPr>
      <w:r>
        <w:t>Definiții</w:t>
      </w:r>
    </w:p>
    <w:p w14:paraId="6F06CAC6" w14:textId="77777777" w:rsidR="007E26C7" w:rsidRPr="000207A4" w:rsidRDefault="007E26C7" w:rsidP="00384963">
      <w:pPr>
        <w:pStyle w:val="LLMomentinJohdantoKappale"/>
      </w:pPr>
      <w:r>
        <w:t>În sensul prezentului decret, se aplică definițiile următoare:</w:t>
      </w:r>
    </w:p>
    <w:p w14:paraId="65BA00FB" w14:textId="45F992EA" w:rsidR="00922B51" w:rsidRPr="000207A4" w:rsidRDefault="00384963" w:rsidP="00384963">
      <w:pPr>
        <w:pStyle w:val="LLMomentinKohta"/>
      </w:pPr>
      <w:r>
        <w:t>1. „materiale de intrare din plastic” înseamnă deșeurile de plastic, astfel cum sunt menționate în anexa 1, utilizate ca materie primă pentru producția materiei prime din plastic secundare menționate la punctul 2;</w:t>
      </w:r>
    </w:p>
    <w:p w14:paraId="1237061B" w14:textId="2B9D043B" w:rsidR="00922B51" w:rsidRDefault="00384963" w:rsidP="00384963">
      <w:pPr>
        <w:pStyle w:val="LLMomentinKohta"/>
      </w:pPr>
      <w:r>
        <w:t>2. „materii prime secundare din plastic” înseamnă material plastic sub formă de pelete, plastic zdrobit sau fulgi produși din deșeuri de plastic și care este disponibil ca materie primă pentru fabricarea de noi produse din plastic, fără a fi necesară o prelucrare ulterioară;</w:t>
      </w:r>
    </w:p>
    <w:p w14:paraId="436CA3BE" w14:textId="72A83905" w:rsidR="00922B51" w:rsidRPr="000207A4" w:rsidRDefault="00384963" w:rsidP="00384963">
      <w:pPr>
        <w:pStyle w:val="LLMomentinKohta"/>
      </w:pPr>
      <w:r>
        <w:lastRenderedPageBreak/>
        <w:t>3. „operațiune de recuperare” înseamnă măsuri tehnice și de altă natură pentru recepția, preprocesarea și recuperarea factorilor de producție în vederea transformării deșeurilor de plastic în materii prime din plastic secundare;</w:t>
      </w:r>
    </w:p>
    <w:p w14:paraId="633C090F" w14:textId="0D5253B0" w:rsidR="00922B51" w:rsidRDefault="00384963" w:rsidP="00384963">
      <w:pPr>
        <w:pStyle w:val="LLMomentinKohta"/>
      </w:pPr>
      <w:r>
        <w:t xml:space="preserve">4. „producător” înseamnă deținătorul deșeurilor care adoptă criteriile de încetare a statutului de deșeu pentru materia primă din plastic secundară; </w:t>
      </w:r>
    </w:p>
    <w:p w14:paraId="02AC561F" w14:textId="3819126D" w:rsidR="007308DB" w:rsidRPr="000207A4" w:rsidRDefault="00384963" w:rsidP="00384963">
      <w:pPr>
        <w:pStyle w:val="LLMomentinKohta"/>
      </w:pPr>
      <w:r>
        <w:t xml:space="preserve">5. „partid independent” înseamnă o entitate, o instituție sau un alt organism care furnizează servicii de evaluare a conformității; </w:t>
      </w:r>
    </w:p>
    <w:p w14:paraId="3BD7699F" w14:textId="279FCA37" w:rsidR="000435C5" w:rsidRDefault="00384963" w:rsidP="00384963">
      <w:pPr>
        <w:pStyle w:val="LLMomentinKohta"/>
        <w:rPr>
          <w:iCs/>
        </w:rPr>
      </w:pPr>
      <w:r>
        <w:t>6. „indicele debitului de topire” înseamnă o măsură a ușurinței de curgere a topirii unui polimer termoplastic la o anumită temperatură și la o presiune specificată.</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Articolul 3</w:t>
      </w:r>
    </w:p>
    <w:p w14:paraId="7A51E0DB" w14:textId="658276EC" w:rsidR="007E26C7" w:rsidRPr="000207A4" w:rsidRDefault="00922B51" w:rsidP="00384963">
      <w:pPr>
        <w:pStyle w:val="LLPykalanOtsikko"/>
      </w:pPr>
      <w:r>
        <w:t xml:space="preserve">Criterii privind încetarea statutului de deșeu pentru materiile prime din plastic secundare </w:t>
      </w:r>
    </w:p>
    <w:p w14:paraId="12A0E20F" w14:textId="5CE562CC" w:rsidR="00A95C47" w:rsidRPr="000207A4" w:rsidRDefault="0066585D" w:rsidP="00384963">
      <w:pPr>
        <w:pStyle w:val="LLMomentinJohdantoKappale"/>
      </w:pPr>
      <w:r>
        <w:t xml:space="preserve"> Clasificarea materiilor prime din plastic secundare ca deșeuri încetează atunci când sunt îndeplinite următoarele cerințe la momentul introducerii pe piață a materiei prime din plastic secundare:</w:t>
      </w:r>
    </w:p>
    <w:p w14:paraId="36C76D50" w14:textId="2A261C21" w:rsidR="007F2E80" w:rsidRPr="000207A4" w:rsidRDefault="00384963" w:rsidP="00384963">
      <w:pPr>
        <w:pStyle w:val="LLMomentinKohta"/>
      </w:pPr>
      <w:bookmarkStart w:id="0" w:name="_Hlk115093501"/>
      <w:r>
        <w:t>1. deșeurile de plastic menționate în anexa 1 au fost utilizate ca input pentru operațiunea de recuperare;</w:t>
      </w:r>
    </w:p>
    <w:p w14:paraId="410BC458" w14:textId="0CB7678B" w:rsidR="007F2E80" w:rsidRPr="000207A4" w:rsidRDefault="00384963" w:rsidP="00384963">
      <w:pPr>
        <w:pStyle w:val="LLMomentinKohta"/>
      </w:pPr>
      <w:r>
        <w:t>2. intrările au fost supuse unei operațiuni de recuperare care îndeplinește cerințele prevăzute la articolul 5 și la articolele 7-9;</w:t>
      </w:r>
    </w:p>
    <w:p w14:paraId="16A6DA11" w14:textId="1F97607F" w:rsidR="00733298" w:rsidRDefault="00384963" w:rsidP="00384963">
      <w:pPr>
        <w:pStyle w:val="LLMomentinKohta"/>
      </w:pPr>
      <w:r>
        <w:t xml:space="preserve">3. materia primă din plastic secundar îndeplinește cerințele prevăzute la punctul 10; </w:t>
      </w:r>
    </w:p>
    <w:p w14:paraId="6870A594" w14:textId="770CAC2C" w:rsidR="00E2086C" w:rsidRPr="000207A4" w:rsidRDefault="00384963" w:rsidP="00384963">
      <w:pPr>
        <w:pStyle w:val="LLMomentinKohta"/>
      </w:pPr>
      <w:r>
        <w:t>4. utilizarea preconizată a materiei prime din plastic secundar a fost determinată în conformitate cu articolul 12;</w:t>
      </w:r>
    </w:p>
    <w:p w14:paraId="46871890" w14:textId="5B92A177" w:rsidR="000A24C3" w:rsidRPr="000207A4" w:rsidRDefault="00384963" w:rsidP="00384963">
      <w:pPr>
        <w:pStyle w:val="LLMomentinKohta"/>
      </w:pPr>
      <w:r>
        <w:t>5. materia primă din plastic secundar a fost depozitată în conformitate cu cerințele prevăzute la articolul 13 și are o declarație de conformitate în conformitate cu articolul 14, care îndeplinește cerințele privind conținutul prevăzute la articolul 15.</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Articolul 4</w:t>
      </w:r>
    </w:p>
    <w:p w14:paraId="1F2292AB" w14:textId="1789C63B" w:rsidR="008E1263" w:rsidRPr="000207A4" w:rsidRDefault="008E1263" w:rsidP="00384963">
      <w:pPr>
        <w:pStyle w:val="LLPykalanOtsikko"/>
      </w:pPr>
      <w:r>
        <w:t>Sistemul de asigurare a calității utilizat de producător</w:t>
      </w:r>
    </w:p>
    <w:p w14:paraId="0C615CED" w14:textId="17A9C91E" w:rsidR="008E1263" w:rsidRPr="000207A4" w:rsidRDefault="008E1263" w:rsidP="00384963">
      <w:pPr>
        <w:pStyle w:val="LLKappalejako"/>
      </w:pPr>
      <w:r>
        <w:t xml:space="preserve">Producătorul trebuie să dispună de un sistem de asigurare a calității pentru a verifica, în mod continuu, respectarea cerințelor de asigurare a calității aferente operațiunii de recuperare și a materiei prime din plastic reciclat care a fost supusă operațiunii de recuperare. </w:t>
      </w:r>
    </w:p>
    <w:p w14:paraId="1F4FD3F7" w14:textId="357CA664" w:rsidR="0042707E" w:rsidRPr="000207A4" w:rsidRDefault="0042707E" w:rsidP="00384963">
      <w:pPr>
        <w:pStyle w:val="LLKappalejako"/>
      </w:pPr>
      <w:r>
        <w:t>Producătorul desemnează persoanele responsabile de sistemul de asigurare a calității și se asigură că persoanele responsabile și cele implicate în punerea în aplicare a asigurării calității sunt instruite în sistemul de asigurare a calității. Persoanele responsabile sunt desemnate în sistemul de asigurare a calității.</w:t>
      </w:r>
    </w:p>
    <w:p w14:paraId="0472B54A" w14:textId="64616857" w:rsidR="008E1263" w:rsidRPr="000207A4" w:rsidRDefault="006B26A3" w:rsidP="00384963">
      <w:pPr>
        <w:pStyle w:val="LLKappalejako"/>
      </w:pPr>
      <w:r>
        <w:t xml:space="preserve">Producătorul stabilește un plan de evaluare și audit pentru sistemul de asigurare a calității. </w:t>
      </w:r>
    </w:p>
    <w:p w14:paraId="5568D3F8" w14:textId="7A34BF14" w:rsidR="00FD08D7" w:rsidRDefault="006B26A3" w:rsidP="00384963">
      <w:pPr>
        <w:pStyle w:val="LLKappalejako"/>
      </w:pPr>
      <w:r>
        <w:t>Conformitatea sistemului de asigurare a calității este verificată de o parte independentă. Pentru a îndeplini această sarcină, partea independentă trebuie să dețină o calificare acordată de Serviciul de acreditare al Agenției finlandeze pentru securitate și substanțe chimice.</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Articolul 5</w:t>
      </w:r>
    </w:p>
    <w:p w14:paraId="5A70B7B8" w14:textId="3F687988" w:rsidR="00E90DB0" w:rsidRPr="000207A4" w:rsidRDefault="00740F47" w:rsidP="00384963">
      <w:pPr>
        <w:pStyle w:val="LLPykalanOtsikko"/>
      </w:pPr>
      <w:r>
        <w:t>Recepția deșeurilor de plastic</w:t>
      </w:r>
    </w:p>
    <w:p w14:paraId="0C29BD4C" w14:textId="17ECEA69" w:rsidR="000531B7" w:rsidRDefault="00D661F5" w:rsidP="00384963">
      <w:pPr>
        <w:pStyle w:val="LLKappalejako"/>
      </w:pPr>
      <w:r>
        <w:t>Producătorul verifică fiecare lot de deșeuri de plastic în momentul primirii deșeurilor înainte de preprocesare. Producătorul întocmește instrucțiuni pentru inspecția destinatară și le documentează în sistemul său de asigurare a calității.</w:t>
      </w:r>
    </w:p>
    <w:p w14:paraId="5E6F0F4B" w14:textId="4A162F8A" w:rsidR="00A775C8" w:rsidRDefault="00E90DB0" w:rsidP="00384963">
      <w:pPr>
        <w:pStyle w:val="LLMomentinJohdantoKappale"/>
      </w:pPr>
      <w:r>
        <w:lastRenderedPageBreak/>
        <w:t>Producătorul poate accepta numai deșeurile de plastic menționate în anexa 1, care trebuie, de asemenea,</w:t>
      </w:r>
    </w:p>
    <w:p w14:paraId="3B84D6AE" w14:textId="4D7C651C" w:rsidR="00A775C8" w:rsidRDefault="00384963" w:rsidP="00384963">
      <w:pPr>
        <w:pStyle w:val="LLMomentinKohta"/>
      </w:pPr>
      <w:r>
        <w:t>1. să fie de așa natură încât să se asigure că este posibil, ținând seama de soluțiile tehnice ale operațiunii de recuperare, să se producă materii prime din plastic secundare care îndeplinesc criteriile;</w:t>
      </w:r>
    </w:p>
    <w:p w14:paraId="1C5CDA72" w14:textId="0E1CA2FB" w:rsidR="000531B7" w:rsidRDefault="00384963" w:rsidP="00384963">
      <w:pPr>
        <w:pStyle w:val="LLMomentinKohta"/>
      </w:pPr>
      <w:r>
        <w:t>2. să fie depozitate și transportate astfel încât deșeurile din diferitele coduri de deșeuri din anexa 1 să nu fie amestecate între ele sau cu alte deșeuri.</w:t>
      </w:r>
    </w:p>
    <w:p w14:paraId="23DBEB76" w14:textId="1C201F6A" w:rsidR="00240E2F" w:rsidRPr="00240E2F" w:rsidRDefault="001D0E2F" w:rsidP="00384963">
      <w:pPr>
        <w:pStyle w:val="LLMomentinKohta"/>
      </w:pPr>
      <w:r>
        <w:t xml:space="preserve">Producătorul nu primește, sub formă de deșeuri de plastic, ambalaje utilizate pentru depozitarea sau ambalarea unei substanțe sau a unui amestec periculos care corespunde clasei sau categoriei de pericol enumerate în anexa 2. Această cerință nu se aplică deșeurilor din plastic colectate separat de gospodării. </w:t>
      </w:r>
    </w:p>
    <w:p w14:paraId="7B6B06D5" w14:textId="02B58F82" w:rsidR="007D27BF" w:rsidRDefault="00B017F4" w:rsidP="00384963">
      <w:pPr>
        <w:pStyle w:val="LLKappalejako"/>
      </w:pPr>
      <w:r>
        <w:t>Deșeurile de plastic despre care, pe baza inspecției, se suspectează sau se constată că conțin impurități care afectează în mod semnificativ calitatea materiei prime din plastic reciclat, nu pot fi utilizate ca input pentru operațiunea de recuperare.</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Articolul 6</w:t>
      </w:r>
    </w:p>
    <w:p w14:paraId="0786D1FF" w14:textId="0A4F247A" w:rsidR="00B816DC" w:rsidRPr="000207A4" w:rsidRDefault="00667278" w:rsidP="00384963">
      <w:pPr>
        <w:pStyle w:val="LLPykalanOtsikko"/>
      </w:pPr>
      <w:r>
        <w:t>Evidențe privind primirea deșeurilor de plastic</w:t>
      </w:r>
    </w:p>
    <w:p w14:paraId="5A32EA85" w14:textId="77793DB4" w:rsidR="00B816DC" w:rsidRPr="000207A4" w:rsidRDefault="000A149A" w:rsidP="00384963">
      <w:pPr>
        <w:pStyle w:val="LLKappalejako"/>
      </w:pPr>
      <w:r>
        <w:t xml:space="preserve">Producătorul ține evidența deșeurilor de plastic primite și respinse ca input. Evidențele de primire trebuie să consemneze data și ora primirii fiecărui lot de deșeuri de plastic primite, producătorul și furnizorul deșeurilor, tipul, titlul și cantitatea deșeurilor, precum și indicarea acceptării. Pentru loturile de deșeuri neacceptate, se înregistrează data respingerii, producătorul și furnizorul deșeurilor, tipul, codul și cantitatea deșeurilor, precum și motivele respingerii. </w:t>
      </w:r>
    </w:p>
    <w:p w14:paraId="6E5BC3B6" w14:textId="3BDB3470" w:rsidR="00B816DC" w:rsidRPr="000207A4" w:rsidRDefault="00E34863" w:rsidP="00384963">
      <w:pPr>
        <w:pStyle w:val="LLKappalejako"/>
      </w:pPr>
      <w:r>
        <w:t>Producătorul întocmește instrucțiuni privind ținerea evidențelor de primire și le documentează în sistemul de asigurare a calității.</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Articolul 7 </w:t>
      </w:r>
    </w:p>
    <w:p w14:paraId="5AAD740E" w14:textId="6BDE16D0" w:rsidR="00ED4546" w:rsidRPr="000207A4" w:rsidRDefault="00ED4546" w:rsidP="00384963">
      <w:pPr>
        <w:pStyle w:val="LLPykalanOtsikko"/>
      </w:pPr>
      <w:r>
        <w:t>Depozitarea deșeurilor de plastic</w:t>
      </w:r>
    </w:p>
    <w:p w14:paraId="5F6DEF24" w14:textId="7FB4BA55" w:rsidR="00D8662E" w:rsidRDefault="00114EC8" w:rsidP="00384963">
      <w:pPr>
        <w:pStyle w:val="LLKappalejako"/>
      </w:pPr>
      <w:r>
        <w:t xml:space="preserve">Producătorul depozitează deșeurile de plastic destinate fabricării materiilor prime din plastic secundare destinate să vină în contact cu alimentele separat de alte deșeuri și deșeuri de plastic. </w:t>
      </w:r>
    </w:p>
    <w:p w14:paraId="7E7F1D20" w14:textId="3FC0D6AD" w:rsidR="007D27BF" w:rsidRDefault="00484CA6" w:rsidP="00384963">
      <w:pPr>
        <w:pStyle w:val="LLKappalejako"/>
      </w:pPr>
      <w:r>
        <w:t xml:space="preserve"> Producătorul păstrează deșeurile de plastic provenite din construcții separate de deșeurile din plastic de demolări și de alte deșeuri.</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Articolul 8</w:t>
      </w:r>
    </w:p>
    <w:p w14:paraId="47F00BAE" w14:textId="1CB6ABE5" w:rsidR="006630F0" w:rsidRPr="000207A4" w:rsidRDefault="00667278" w:rsidP="00384963">
      <w:pPr>
        <w:pStyle w:val="LLPykalanOtsikko"/>
      </w:pPr>
      <w:r>
        <w:t>Prelucrarea deșeurilor de plastic</w:t>
      </w:r>
    </w:p>
    <w:p w14:paraId="6D6167D7" w14:textId="7442647F" w:rsidR="00D8662E" w:rsidRPr="000207A4" w:rsidRDefault="004B3DCA" w:rsidP="00384963">
      <w:pPr>
        <w:pStyle w:val="LLKappalejako"/>
      </w:pPr>
      <w:r>
        <w:t xml:space="preserve">Producătorul prelucrează deșeurile de plastic înainte de utilizarea lor ca input pentru operațiunea de recuperare în vederea eliminării deșeurilor neplastice sau a deșeurilor de plastic care conțin cantități semnificative de impurități. </w:t>
      </w:r>
    </w:p>
    <w:p w14:paraId="61A94527" w14:textId="4A98F9D7" w:rsidR="00A056A7" w:rsidRDefault="004B3DCA" w:rsidP="00384963">
      <w:pPr>
        <w:pStyle w:val="LLKappalejako"/>
      </w:pPr>
      <w:r>
        <w:t xml:space="preserve">Producătorul monitorizează continuu calitatea deșeurilor de plastic preprelucrate și elimină impuritățile detectate care ar putea afecta în mod semnificativ calitatea materiei prime secundare din plastic fabricate. Producătorii trebuie să se țină evidența cantității de impurități eliminate și a metodei de tratament.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Articolul 9</w:t>
      </w:r>
    </w:p>
    <w:p w14:paraId="652799F3" w14:textId="28AC43F1" w:rsidR="00D91151" w:rsidRPr="000207A4" w:rsidRDefault="00667278" w:rsidP="00384963">
      <w:pPr>
        <w:pStyle w:val="LLPykalanOtsikko"/>
      </w:pPr>
      <w:r>
        <w:t>Recuperarea deșeurilor de plastic</w:t>
      </w:r>
    </w:p>
    <w:p w14:paraId="594CD257" w14:textId="77777777" w:rsidR="00797805" w:rsidRDefault="00797805" w:rsidP="00384963">
      <w:pPr>
        <w:pStyle w:val="LLMomentinJohdantoKappale"/>
      </w:pPr>
      <w:r>
        <w:lastRenderedPageBreak/>
        <w:t>În ceea ce privește recuperarea deșeurilor de plastic, producătorul se asigură că:</w:t>
      </w:r>
    </w:p>
    <w:p w14:paraId="732E40FF" w14:textId="7C443DCA" w:rsidR="00797805" w:rsidRPr="00687217" w:rsidRDefault="00384963" w:rsidP="00384963">
      <w:pPr>
        <w:pStyle w:val="LLMomentinKohta"/>
      </w:pPr>
      <w:r>
        <w:t xml:space="preserve">1. deșeurile de plastic sortate în funcție de tipul de plastic la sursă au fost sortate în mod corespunzător înainte de a fi utilizate ca input în prelucrarea ulterioară; </w:t>
      </w:r>
    </w:p>
    <w:p w14:paraId="50807E55" w14:textId="4EA90ADA" w:rsidR="00797805" w:rsidRDefault="00384963" w:rsidP="00384963">
      <w:pPr>
        <w:pStyle w:val="LLMomentinKohta"/>
      </w:pPr>
      <w:r>
        <w:t>2. deșeurile care nu sunt sortate în funcție de tipul de plastic la sursă sunt sortate în funcție de tipul de plastic și luând în considerare alte caracteristici legate de calitatea și clasificarea materiei prime din plastic reciclat;</w:t>
      </w:r>
    </w:p>
    <w:p w14:paraId="6C7B5AEB" w14:textId="6FDF57E9" w:rsidR="00797805" w:rsidRDefault="00384963" w:rsidP="00384963">
      <w:pPr>
        <w:pStyle w:val="LLMomentinKohta"/>
      </w:pPr>
      <w:r>
        <w:t>3. deșeurile de plastic preprelucrate și sortate sunt reduse prin zdrobire sau mărunțire în fulgi, iar bucățile care nu conțin material plastic sunt îndepărtate;</w:t>
      </w:r>
    </w:p>
    <w:p w14:paraId="535BD39E" w14:textId="7DE933C8" w:rsidR="00797805" w:rsidRDefault="00384963" w:rsidP="00384963">
      <w:pPr>
        <w:pStyle w:val="LLMomentinKohta"/>
      </w:pPr>
      <w:r>
        <w:t xml:space="preserve">4. deșeurile de plastic contaminate sau deșeurile de plastic care conțin autocolante sau alte impurități sunt tratate pentru a îndepărta impuritățile; </w:t>
      </w:r>
    </w:p>
    <w:p w14:paraId="04D2441F" w14:textId="6C762229" w:rsidR="00797805" w:rsidRDefault="00CB6437" w:rsidP="00384963">
      <w:pPr>
        <w:pStyle w:val="LLMomentinKohta"/>
      </w:pPr>
      <w:r>
        <w:t xml:space="preserve">5. impuritățile rămase sunt îndepărtate din topirea materialelor plastice destinate peletizării prin extrudare sau în alt mod înainte de peletizare; </w:t>
      </w:r>
    </w:p>
    <w:p w14:paraId="5B034F78" w14:textId="760FA32B" w:rsidR="003C1292" w:rsidRPr="000207A4" w:rsidRDefault="00CB6437" w:rsidP="00384963">
      <w:pPr>
        <w:pStyle w:val="LLMomentinKohta"/>
      </w:pPr>
      <w:r>
        <w:t>6. linia de prelucrare utilizată pentru producția de materii prime din plastic secundare destinate să vină în contact cu produsele alimentare prelucrează numai deșeurile de plastic provenite din produse din plastic care au intrat în contact cu alimentele și care sunt colectate separat sau sortate la sursă.</w:t>
      </w:r>
    </w:p>
    <w:p w14:paraId="118C0612" w14:textId="77777777" w:rsidR="00797805" w:rsidRPr="000207A4" w:rsidRDefault="00797805" w:rsidP="00CB6437">
      <w:pPr>
        <w:pStyle w:val="LLKappalejako"/>
      </w:pPr>
      <w:r>
        <w:t xml:space="preserve">Producătorul definește măsuri adecvate și adecvate de gestionare a riscurilor pentru identificarea și eliminarea loturilor contaminate din operațiunea de recuperare.  </w:t>
      </w:r>
    </w:p>
    <w:p w14:paraId="2949CDC9" w14:textId="1DEF5D13" w:rsidR="001A2DC1" w:rsidRDefault="00797805" w:rsidP="00CB6437">
      <w:pPr>
        <w:pStyle w:val="LLKappalejako"/>
      </w:pPr>
      <w:r>
        <w:t>Producătorul întocmește în sistemul de asigurare a calității instrucțiuni privind utilizarea și întreținerea echipamentelor utilizate la fabricarea materiei prime din plastic secundare și privind funcțiile legate de procesul de fabricație.</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Articolul 10</w:t>
      </w:r>
    </w:p>
    <w:p w14:paraId="70EBF1B1" w14:textId="29457F60" w:rsidR="000C2A30" w:rsidRPr="000207A4" w:rsidRDefault="008C05E2" w:rsidP="00CB6437">
      <w:pPr>
        <w:pStyle w:val="LLPykalanOtsikko"/>
      </w:pPr>
      <w:r>
        <w:t>Specificații pentru materiile prime secundare din plastic</w:t>
      </w:r>
    </w:p>
    <w:p w14:paraId="7E5F5AE7" w14:textId="4743ADB8" w:rsidR="007D6254" w:rsidRPr="000207A4" w:rsidRDefault="00FB73E5" w:rsidP="00CB6437">
      <w:pPr>
        <w:pStyle w:val="LLMomentinJohdantoKappale"/>
      </w:pPr>
      <w:r>
        <w:t>Producătorul furnizează următoarele specificații pentru materia primă din plastic secundară:</w:t>
      </w:r>
    </w:p>
    <w:p w14:paraId="17FC4758" w14:textId="77777777" w:rsidR="006C3EFD" w:rsidRPr="006C3EFD" w:rsidRDefault="006C3EFD" w:rsidP="00CB6437">
      <w:pPr>
        <w:pStyle w:val="LLMomentinKohta"/>
      </w:pPr>
      <w:r>
        <w:t>1. fracțiile masice ale polimerului principal și ale altor polimeri;</w:t>
      </w:r>
    </w:p>
    <w:p w14:paraId="4449BFFA" w14:textId="77777777" w:rsidR="006C3EFD" w:rsidRPr="006C3EFD" w:rsidRDefault="006C3EFD" w:rsidP="00CB6437">
      <w:pPr>
        <w:pStyle w:val="LLMomentinKohta"/>
      </w:pPr>
      <w:r>
        <w:t>2. adecvarea sa pentru diferite metode de fabricație a produselor din plastic;</w:t>
      </w:r>
    </w:p>
    <w:p w14:paraId="5C56BED2" w14:textId="5588CD8C" w:rsidR="006C3EFD" w:rsidRPr="006C3EFD" w:rsidRDefault="006C3EFD" w:rsidP="00CB6437">
      <w:pPr>
        <w:pStyle w:val="LLMomentinKohta"/>
      </w:pPr>
      <w:r>
        <w:t>3. indicele debitului de topire, fie ca măsurătoare continuă, fie determinat dintr-un eșantion reprezentativ pentru un lot de până la 1 500 kg de materie primă din plastic secundar.</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Articolul 11</w:t>
      </w:r>
    </w:p>
    <w:p w14:paraId="6F7927F1" w14:textId="4F9EFC31" w:rsidR="00E260FC" w:rsidRPr="000207A4" w:rsidRDefault="00E260FC" w:rsidP="001706E9">
      <w:pPr>
        <w:pStyle w:val="LLPykalanOtsikko"/>
      </w:pPr>
      <w:r>
        <w:t>Documentarea prelevării de probe, analiza probelor și a rezultatelor</w:t>
      </w:r>
    </w:p>
    <w:p w14:paraId="15FE3AD2" w14:textId="05C5EA67" w:rsidR="00E260FC" w:rsidRPr="000207A4" w:rsidRDefault="00F874EE" w:rsidP="001706E9">
      <w:pPr>
        <w:pStyle w:val="LLMomentinJohdantoKappale"/>
      </w:pPr>
      <w:r>
        <w:t>Producătorul întocmește instrucțiuni de probe și de încercare pentru specificațiile prevăzute la articolul 10 și înregistrează instrucțiunile în sistemul de asigurare a calității. Instrucțiunile trebuie să includă informații privind:</w:t>
      </w:r>
    </w:p>
    <w:p w14:paraId="55233DEA" w14:textId="77777777" w:rsidR="00E260FC" w:rsidRPr="000207A4" w:rsidRDefault="00E260FC" w:rsidP="001706E9">
      <w:pPr>
        <w:pStyle w:val="LLMomentinKohta"/>
      </w:pPr>
      <w:r>
        <w:t xml:space="preserve"> 1. persoana care colectează probele și calificările acestora, locul de prelevare, metoda de eșantionare și data și ora prelevării;</w:t>
      </w:r>
    </w:p>
    <w:p w14:paraId="78E2938B" w14:textId="30A0250C" w:rsidR="00E260FC" w:rsidRPr="000207A4" w:rsidRDefault="00F2250D" w:rsidP="001706E9">
      <w:pPr>
        <w:pStyle w:val="LLMomentinKohta"/>
      </w:pPr>
      <w:r>
        <w:t xml:space="preserve"> 2. metodele utilizate pentru determinarea indicelui de topire și a altor caracteristici;</w:t>
      </w:r>
    </w:p>
    <w:p w14:paraId="274330D6" w14:textId="5B88F808" w:rsidR="00E260FC" w:rsidRPr="000207A4" w:rsidRDefault="00E260FC" w:rsidP="001706E9">
      <w:pPr>
        <w:pStyle w:val="LLMomentinKohta"/>
      </w:pPr>
      <w:r>
        <w:t xml:space="preserve"> 3. abaterile observate în timpul eșantionării;</w:t>
      </w:r>
    </w:p>
    <w:p w14:paraId="5CF6F400" w14:textId="7718CC89" w:rsidR="00AC73BD" w:rsidRDefault="00363100" w:rsidP="001706E9">
      <w:pPr>
        <w:pStyle w:val="LLMomentinKohta"/>
      </w:pPr>
      <w:r>
        <w:t xml:space="preserve"> 4. utilizarea, calibrarea și întreținerea echipamentului de eșantionare, măsurare sau testare utilizat de producător.</w:t>
      </w:r>
    </w:p>
    <w:p w14:paraId="75B216DF" w14:textId="77777777" w:rsidR="007D6254" w:rsidRPr="000207A4" w:rsidRDefault="007D6254" w:rsidP="001706E9">
      <w:pPr>
        <w:pStyle w:val="LLMomentinJohdantoKappale"/>
      </w:pPr>
      <w:r>
        <w:t>Metodele și instrumentele utilizate pentru analiza eșantioanelor și rezultatele analizei trebuie documentate ca parte a sistemului de asigurare a calității. Documentele trebuie să conțină informații privind:</w:t>
      </w:r>
    </w:p>
    <w:p w14:paraId="4C247248" w14:textId="77777777" w:rsidR="007D6254" w:rsidRPr="000207A4" w:rsidRDefault="007D6254" w:rsidP="001706E9">
      <w:pPr>
        <w:pStyle w:val="LLMomentinKohta"/>
      </w:pPr>
      <w:r>
        <w:t xml:space="preserve"> 1. parametrii și metodele de cercetare utilizate pentru analiza probelor;</w:t>
      </w:r>
    </w:p>
    <w:p w14:paraId="2D410501" w14:textId="77777777" w:rsidR="007D6254" w:rsidRPr="000207A4" w:rsidRDefault="007D6254" w:rsidP="001706E9">
      <w:pPr>
        <w:pStyle w:val="LLMomentinKohta"/>
      </w:pPr>
      <w:r>
        <w:t xml:space="preserve"> 2. rezultatele analizelor efectuate pe eșantioane;</w:t>
      </w:r>
    </w:p>
    <w:p w14:paraId="3269D0D4" w14:textId="77777777" w:rsidR="007D6254" w:rsidRPr="000207A4" w:rsidRDefault="007D6254" w:rsidP="001706E9">
      <w:pPr>
        <w:pStyle w:val="LLMomentinKohta"/>
      </w:pPr>
      <w:r>
        <w:t xml:space="preserve"> 3. abaterile de calitate observate;</w:t>
      </w:r>
    </w:p>
    <w:p w14:paraId="207D2A36" w14:textId="77777777" w:rsidR="007D6254" w:rsidRPr="000207A4" w:rsidRDefault="007D6254" w:rsidP="001706E9">
      <w:pPr>
        <w:pStyle w:val="LLMomentinKohta"/>
      </w:pPr>
      <w:r>
        <w:t xml:space="preserve"> 4. măsurile luate ca răspuns la abateri;</w:t>
      </w:r>
    </w:p>
    <w:p w14:paraId="7CC9213F" w14:textId="77777777" w:rsidR="007D6254" w:rsidRPr="000207A4" w:rsidRDefault="007D6254" w:rsidP="001706E9">
      <w:pPr>
        <w:pStyle w:val="LLMomentinKohta"/>
      </w:pPr>
      <w:r>
        <w:lastRenderedPageBreak/>
        <w:t xml:space="preserve"> 5. calibrarea și întreținerea echipamentului de eșantionare, măsurare sau testare utilizat de producător. </w:t>
      </w:r>
    </w:p>
    <w:p w14:paraId="4B0D609A" w14:textId="77777777" w:rsidR="007D6254" w:rsidRPr="000207A4" w:rsidRDefault="007D6254" w:rsidP="001706E9">
      <w:pPr>
        <w:pStyle w:val="LLKappalejako"/>
      </w:pPr>
      <w:r>
        <w:t>Documentele menționate la articolul 2 privind asigurarea calității se păstrează pentru o perioadă de 10 ani de la data întocmirii documentelor.</w:t>
      </w:r>
    </w:p>
    <w:p w14:paraId="5B3FD161" w14:textId="02E9F4BA" w:rsidR="007D6254" w:rsidRPr="000207A4" w:rsidRDefault="007D6254" w:rsidP="001706E9">
      <w:pPr>
        <w:pStyle w:val="LLKappalejako"/>
      </w:pPr>
      <w:r>
        <w:t>Datele de măsurare în timp real ale indicelui debitului de topire produs ca măsurătoare continuă sunt păstrate timp de cel puțin două luni.</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Articolul 12</w:t>
      </w:r>
    </w:p>
    <w:p w14:paraId="75D6FDC5" w14:textId="463C1ED9" w:rsidR="009413B1" w:rsidRPr="000207A4" w:rsidRDefault="00145995" w:rsidP="001706E9">
      <w:pPr>
        <w:pStyle w:val="LLPykalanOtsikko"/>
      </w:pPr>
      <w:r>
        <w:t xml:space="preserve">Utilizări permise ale materiilor prime din plastic secundare care au fost supuse operațiunii de recuperare </w:t>
      </w:r>
    </w:p>
    <w:p w14:paraId="232D7FE6" w14:textId="6EA411DC" w:rsidR="009413B1" w:rsidRDefault="009413B1" w:rsidP="001706E9">
      <w:pPr>
        <w:pStyle w:val="LLKappalejako"/>
      </w:pPr>
      <w:r>
        <w:t xml:space="preserve">Materiile prime secundare din plastic pot fi utilizate pentru fabricarea produselor din plastic sau a produselor care conțin plastic.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Articolul 13 </w:t>
      </w:r>
    </w:p>
    <w:p w14:paraId="51626A4B" w14:textId="59C4A24F" w:rsidR="00ED4546" w:rsidRPr="000207A4" w:rsidRDefault="001A1C2E" w:rsidP="001706E9">
      <w:pPr>
        <w:pStyle w:val="LLPykalanOtsikko"/>
      </w:pPr>
      <w:r>
        <w:t>Depozitarea materiilor prime din plastic secundare care au fost supuse operațiunii de recuperare</w:t>
      </w:r>
    </w:p>
    <w:p w14:paraId="21099173" w14:textId="592ACDB9" w:rsidR="000F64AE" w:rsidRDefault="00946C83" w:rsidP="001706E9">
      <w:pPr>
        <w:pStyle w:val="LLKappalejako"/>
      </w:pPr>
      <w:r>
        <w:t xml:space="preserve">Producătorul depozitează separat materiile prime din plastic secundare destinate unor utilizări diferite. Materia primă din plastic secundar trebuie depozitată astfel încât calitatea sa să nu se deterioreze. </w:t>
      </w:r>
    </w:p>
    <w:p w14:paraId="2A7CB5C5" w14:textId="351AD485" w:rsidR="00ED4546" w:rsidRPr="000207A4" w:rsidRDefault="00946C83" w:rsidP="001706E9">
      <w:pPr>
        <w:pStyle w:val="LLKappalejako"/>
      </w:pPr>
      <w:r>
        <w:t>În cazul în care producătorul are motive să suspecteze că materia primă din plastic secundar s-a deteriorat în timpul depozitării, astfel încât aceasta să nu mai îndeplinească criteriile, producătorul examinează calitatea materiei prime din plastic secundar și evaluează adecvarea acesteia pentru utilizarea preconizată. Materiile prime secundare din plastic care nu îndeplinesc criteriile sunt returnate de producător pentru prelucrarea ca deșeu.</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Articolul 14</w:t>
      </w:r>
    </w:p>
    <w:p w14:paraId="3C1CA5A0" w14:textId="3D33E126" w:rsidR="00145995" w:rsidRPr="000207A4" w:rsidRDefault="00145995" w:rsidP="001706E9">
      <w:pPr>
        <w:pStyle w:val="LLPykalanOtsikko"/>
      </w:pPr>
      <w:r>
        <w:t>Declarația de conformitate a producătorului</w:t>
      </w:r>
    </w:p>
    <w:p w14:paraId="2BA63C43" w14:textId="03791CAD" w:rsidR="00145995" w:rsidRPr="00946C83" w:rsidRDefault="00145995" w:rsidP="001706E9">
      <w:pPr>
        <w:pStyle w:val="LLKappalejako"/>
      </w:pPr>
      <w:r>
        <w:t xml:space="preserve">Producătorii întocmesc o declarație de conformitate pentru materia primă din plastic secundară pe care o fabrică și pe care o introduc pe piață. Declarația de conformitate este furnizată destinatarului materiei prime din plastic secundare cu fiecare lot de materie primă din plastic secundar. Declarația de conformitate poate fi, de asemenea, în format electronic. Producătorul păstrează declarația de conformitate timp de 10 ani de la emiterea acesteia. </w:t>
      </w:r>
    </w:p>
    <w:p w14:paraId="48D80A0A" w14:textId="061FB2DF" w:rsidR="009718C1" w:rsidRPr="00946C83" w:rsidRDefault="00EB68A7" w:rsidP="001706E9">
      <w:pPr>
        <w:pStyle w:val="LLKappalejako"/>
      </w:pPr>
      <w:r>
        <w:t>La cerere, producătorul prezintă Agenției finlandeze pentru siguranță și produse chimice o declarație de conformitate pentru materia primă din plastic secundară.</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Articolul 15</w:t>
      </w:r>
    </w:p>
    <w:p w14:paraId="613C3681" w14:textId="39C8C63C" w:rsidR="00145995" w:rsidRPr="000207A4" w:rsidRDefault="00145995" w:rsidP="001706E9">
      <w:pPr>
        <w:pStyle w:val="LLPykalanOtsikko"/>
      </w:pPr>
      <w:r>
        <w:t>Conținutul declarației de conformitate</w:t>
      </w:r>
    </w:p>
    <w:p w14:paraId="5779D164" w14:textId="7DD12278" w:rsidR="00145995" w:rsidRPr="000207A4" w:rsidRDefault="00145995" w:rsidP="001706E9">
      <w:pPr>
        <w:pStyle w:val="LLMomentinJohdantoKappale"/>
      </w:pPr>
      <w:r>
        <w:t>Declarația de conformitate trebuie să conțină următoarele informații privind materia primă din plastic secundară:</w:t>
      </w:r>
    </w:p>
    <w:p w14:paraId="49F13DBE" w14:textId="3B875386" w:rsidR="003F4B34" w:rsidRPr="001C3A90" w:rsidRDefault="001706E9" w:rsidP="001706E9">
      <w:pPr>
        <w:pStyle w:val="LLMomentinKohta"/>
      </w:pPr>
      <w:r>
        <w:t>1. numele și datele de contact ale producătorului, precum și declarația acestuia de conformitate cu criteriile și semnătura;</w:t>
      </w:r>
    </w:p>
    <w:p w14:paraId="2C97E920" w14:textId="0947F5E3" w:rsidR="001C4FB7" w:rsidRPr="001C3A90" w:rsidRDefault="001706E9" w:rsidP="001706E9">
      <w:pPr>
        <w:pStyle w:val="LLMomentinKohta"/>
      </w:pPr>
      <w:r>
        <w:t>2. data adoptării criteriilor și autoritatea de supraveghere responsabilă cu supravegherea activităților în conformitate cu Legea privind protecția mediului;</w:t>
      </w:r>
    </w:p>
    <w:p w14:paraId="6711ABD4" w14:textId="2CEF3AB9" w:rsidR="003F4B34" w:rsidRPr="000207A4" w:rsidRDefault="001706E9" w:rsidP="001706E9">
      <w:pPr>
        <w:pStyle w:val="LLMomentinKohta"/>
      </w:pPr>
      <w:r>
        <w:lastRenderedPageBreak/>
        <w:t>3. informații de bază privind materia primă din plastic secundară, inclusiv culoarea și originea acesteia prin codul deșeurilor;</w:t>
      </w:r>
    </w:p>
    <w:p w14:paraId="253EDF44" w14:textId="05909C74" w:rsidR="00145995" w:rsidRPr="000207A4" w:rsidRDefault="001706E9" w:rsidP="001706E9">
      <w:pPr>
        <w:pStyle w:val="LLMomentinKohta"/>
      </w:pPr>
      <w:r>
        <w:t>4. tipul de plastic și identificatorul acestuia în conformitate cu specificațiile industriei;</w:t>
      </w:r>
    </w:p>
    <w:p w14:paraId="4C861447" w14:textId="6DD3A41B" w:rsidR="003F4B34" w:rsidRPr="000207A4" w:rsidRDefault="001706E9" w:rsidP="001706E9">
      <w:pPr>
        <w:pStyle w:val="LLMomentinKohta"/>
      </w:pPr>
      <w:r>
        <w:t>5. indicele debitului de topire și standardul utilizat pentru determinarea acestuia sau descrierea exactă a metodei utilizate pentru determinare, precum și fracțiunile masice ale polimerului principal și ale altor polimeri din materia primă din plastic secundar;</w:t>
      </w:r>
    </w:p>
    <w:p w14:paraId="6555FDB0" w14:textId="47E9F39D" w:rsidR="00145995" w:rsidRPr="00430DEE" w:rsidRDefault="001706E9" w:rsidP="001706E9">
      <w:pPr>
        <w:pStyle w:val="LLMomentinKohta"/>
      </w:pPr>
      <w:r>
        <w:t>6. utilizarea prevăzută și adecvarea pentru metodele de fabricație a produselor din plastic în conformitate cu articolul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Articolul 16</w:t>
      </w:r>
    </w:p>
    <w:p w14:paraId="554E6026" w14:textId="77777777" w:rsidR="00145995" w:rsidRPr="000207A4" w:rsidRDefault="00145995" w:rsidP="001706E9">
      <w:pPr>
        <w:pStyle w:val="LLPykalanOtsikko"/>
      </w:pPr>
      <w:r>
        <w:t>Obligația de notificare și raportare</w:t>
      </w:r>
    </w:p>
    <w:p w14:paraId="3ACB83FF" w14:textId="54A828FA" w:rsidR="00145995" w:rsidRPr="000207A4" w:rsidRDefault="00145995" w:rsidP="001706E9">
      <w:pPr>
        <w:pStyle w:val="LLKappalejako"/>
      </w:pPr>
      <w:r>
        <w:t xml:space="preserve">Producătorul notifică în scris autorității de supraveghere menționate la articolul 23 alinatul (1) din Legea privind protecția mediului adoptarea criteriilor. Notificarea trebuie să includă o explicație a sistemului de asigurare a calității al producătorului. Notificarea se emite cu cel puțin 30 de zile înainte de introducerea criteriilor.  </w:t>
      </w:r>
    </w:p>
    <w:p w14:paraId="2C93A095" w14:textId="7D7E7E77" w:rsidR="00145995" w:rsidRPr="000207A4" w:rsidRDefault="00145995" w:rsidP="001706E9">
      <w:pPr>
        <w:pStyle w:val="LLMomentinJohdantoKappale"/>
      </w:pPr>
      <w:r>
        <w:t>În fiecare an, la momentul specificat în autorizația de mediu, dar nu mai târziu de sfârșitul lunii februarie a anului calendaristic următor, producătorul prezintă autorității de supraveghere:</w:t>
      </w:r>
    </w:p>
    <w:p w14:paraId="368450E4" w14:textId="4B6C5DD5" w:rsidR="00145995" w:rsidRPr="000207A4" w:rsidRDefault="00145995" w:rsidP="00B46D58">
      <w:pPr>
        <w:pStyle w:val="LLMomentinKohta"/>
      </w:pPr>
      <w:r>
        <w:t>1. informații privind deșeurile utilizate în operațiunea de valorificare și cantitățile lor detaliate în funcție de deșeurile de plastic și codul deșeurilor, astfel cum sunt enumerate în anexa 1;</w:t>
      </w:r>
    </w:p>
    <w:p w14:paraId="0D200FBA" w14:textId="77777777" w:rsidR="00145995" w:rsidRPr="000207A4" w:rsidRDefault="00145995" w:rsidP="00B46D58">
      <w:pPr>
        <w:pStyle w:val="LLMomentinKohta"/>
      </w:pPr>
      <w:r>
        <w:t>2. o explicație a oricăror modificări aduse sistemului de asigurare a calității al producătorului;</w:t>
      </w:r>
    </w:p>
    <w:p w14:paraId="27B4B95B" w14:textId="7D2807B2" w:rsidR="00145995" w:rsidRPr="000207A4" w:rsidRDefault="00145995" w:rsidP="00B46D58">
      <w:pPr>
        <w:pStyle w:val="LLMomentinKohta"/>
      </w:pPr>
      <w:r>
        <w:t>3. informații privind cantitățile de materii prime din plastic secundare fabricate care îndeplinesc criteriile.</w:t>
      </w:r>
    </w:p>
    <w:p w14:paraId="5B378D8E" w14:textId="319AECFE" w:rsidR="00145995" w:rsidRPr="000207A4" w:rsidRDefault="00144C85" w:rsidP="00B46D58">
      <w:pPr>
        <w:pStyle w:val="LLKappalejako"/>
      </w:pPr>
      <w:r>
        <w:t>În plus, producătorul furnizează anual autorității de supraveghere informații cu privire la cantitățile primite de deșeuri enumerate în anexa 1, pe tipuri de deșeuri, precum și informații privind cantitățile de materiale scoase din input în preprocesarea menționată la articolul 8 și în operațiunea de recuperare menționată la articolul 9 și privind prelucrarea ulterioară.</w:t>
      </w:r>
    </w:p>
    <w:p w14:paraId="7D3E74F2" w14:textId="77777777" w:rsidR="00145995" w:rsidRPr="000207A4" w:rsidRDefault="00145995" w:rsidP="00B46D58">
      <w:pPr>
        <w:pStyle w:val="LLKappalejako"/>
      </w:pPr>
      <w:r>
        <w:t>Producătorul notifică în scris autoritatea de supraveghere încetarea utilizării criteriilor.</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Articolul 17 </w:t>
      </w:r>
    </w:p>
    <w:p w14:paraId="222D57AD" w14:textId="0F621332" w:rsidR="00ED5D76" w:rsidRDefault="00ED5D76" w:rsidP="00B46D58">
      <w:pPr>
        <w:pStyle w:val="LLPykalanOtsikko"/>
      </w:pPr>
      <w:r>
        <w:t>Intrare în vigoare</w:t>
      </w:r>
    </w:p>
    <w:p w14:paraId="1083D660" w14:textId="441BEBC1" w:rsidR="00B46D58" w:rsidRPr="00B46D58" w:rsidRDefault="00B46D58" w:rsidP="00B46D58">
      <w:pPr>
        <w:pStyle w:val="LLKappalejako"/>
      </w:pPr>
      <w:r>
        <w:t>Prezentul decret intră în vigoare la 1 august 2024.</w:t>
      </w:r>
    </w:p>
    <w:p w14:paraId="7AB896A5" w14:textId="240E7A58" w:rsidR="00B46D58" w:rsidRPr="00B46D58" w:rsidRDefault="00B46D58" w:rsidP="00B46D58">
      <w:pPr>
        <w:pStyle w:val="LLKappalejako"/>
        <w:rPr>
          <w:rFonts w:eastAsia="Calibri"/>
          <w:szCs w:val="22"/>
        </w:rPr>
      </w:pPr>
      <w:r>
        <w:t xml:space="preserve">Prezentul decret nu se aplică materiilor prime din plastic secundare fabricate înainte de intrarea în vigoare a prezentului decret. Orice decizie ad-hoc privind statutul de deșeu final emisă înainte de intrarea în vigoare a prezentului decret este abrogată în momentul adoptării criteriilor stabilite la articolul 3, în măsura în care acestea se referă la deșeurile din plastic reglementate de prezentul decret. </w:t>
      </w:r>
    </w:p>
    <w:p w14:paraId="1B12393B" w14:textId="7D66723C" w:rsidR="001D5B51" w:rsidRPr="00B46D58" w:rsidRDefault="00B46D58" w:rsidP="00B46D58">
      <w:pPr>
        <w:pStyle w:val="LLKappalejako"/>
        <w:rPr>
          <w:rFonts w:eastAsia="Calibri"/>
          <w:szCs w:val="22"/>
        </w:rPr>
      </w:pPr>
      <w:r>
        <w:t>În cazul în care o cerere ad hoc de acordare a statutului de deșeu unei materii prime secundare din plastic este pendinte la momentul intrării în vigoare a prezentului decret, prelucrarea cererii încetează sau expiră. Cauzele pendinte în fața unei instanțe la data intrării în vigoare a prezentului decret sunt judecate în conformitate cu dispozițiile în vigoare la data intrării în vigoare a prezentului decret. În cazul în care Curtea de Apel anulează o hotărâre care a făcut obiectul dispozițiilor în vigoare la data intrării în vigoare a prezentului decret și trimite cauza în întregime spre reexaminare, cauza este soluționată și soluționată în conformitate cu prezentul decret.</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lastRenderedPageBreak/>
        <w:t>Helsinki 23 mai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Ministrul Climei și Mediului</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responsabil superior pentru afaceri juridice</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Anexa 1</w:t>
      </w:r>
    </w:p>
    <w:p w14:paraId="399AFF85" w14:textId="27BDCEAB" w:rsidR="007E26C7" w:rsidRPr="00AD4402" w:rsidRDefault="007E26C7" w:rsidP="007E3D13">
      <w:pPr>
        <w:pStyle w:val="LLLiiteOtsikko"/>
      </w:pPr>
      <w:r>
        <w:t xml:space="preserve"> Tipurile de deșeuri de plastic care pot fi utilizate ca input pentru operațiunea de valorificare și codurile lor de deșeuri</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Deșeuri de plastic</w:t>
            </w:r>
          </w:p>
        </w:tc>
        <w:tc>
          <w:tcPr>
            <w:tcW w:w="1276" w:type="dxa"/>
          </w:tcPr>
          <w:p w14:paraId="1CD466BB" w14:textId="77777777" w:rsidR="001A1C2E" w:rsidRPr="00D26E5F" w:rsidRDefault="001A1C2E" w:rsidP="00D26E5F">
            <w:pPr>
              <w:pStyle w:val="LLNormaali"/>
              <w:rPr>
                <w:b/>
                <w:bCs/>
              </w:rPr>
            </w:pPr>
            <w:r>
              <w:rPr>
                <w:b/>
              </w:rPr>
              <w:t>Codul deșeurilor</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Deșeuri de plastic rezultate din fabricarea materialelor plastice și a produselor din plastic</w:t>
            </w:r>
          </w:p>
          <w:bookmarkEnd w:id="2"/>
          <w:p w14:paraId="38091AD1" w14:textId="3D852D05" w:rsidR="001A1C2E" w:rsidRPr="00420D41" w:rsidRDefault="00D26E5F" w:rsidP="00D26E5F">
            <w:pPr>
              <w:pStyle w:val="LLNormaali"/>
            </w:pPr>
            <w:r>
              <w:t>(a) Deșeuri de plastic rezultate din fabricarea și utilizarea materialelor plastice</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(b) Deșeuri provenite din produse din plastic necomercializabile rezultate din fabricarea produselor din plastic</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(c) Deșeuri de plastic rezultate din turnarea materialelor plastice</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(d) Deșeuri de plastic preprelucrate rezultate din prelucrarea mecanică a deșeurilor de plastic menționate la literele (a)-(c)</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Deșeuri de construcții din plastic</w:t>
            </w:r>
          </w:p>
          <w:p w14:paraId="74C99FE5" w14:textId="557A5464" w:rsidR="00C86A7E" w:rsidRPr="000207A4" w:rsidRDefault="00D26E5F" w:rsidP="00D26E5F">
            <w:pPr>
              <w:pStyle w:val="LLNormaali"/>
            </w:pPr>
            <w:r>
              <w:t>(a) Deșeuri de plastic rezultate din construcții</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(b) Deșeuri de materiale izolante din plastic rezultate din construcții</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(c) Deșeuri de plastic preprelucrate rezultate din prelucrarea mecanică a deșeurilor de plastic menționate la literele (a)-(b)</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Alte deșeuri de plastic colectate separat</w:t>
            </w:r>
          </w:p>
          <w:p w14:paraId="2F9AA784" w14:textId="7B4BF81D" w:rsidR="00C86A7E" w:rsidRPr="000207A4" w:rsidRDefault="00D26E5F" w:rsidP="00D26E5F">
            <w:pPr>
              <w:pStyle w:val="LLNormaali"/>
            </w:pPr>
            <w:r>
              <w:t>(a) Deșeuri de plastic colectate separat din agricultură, horticultură și silvicultură</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(b) Deșeuri de ambalaje din plastic colectate separat și alte deșeuri din plastic provenite de la gospodării</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(c) Sticle de plastic colectate separat prin sistemul de depozitare</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(d) Deșeuri de ambalaje din plastic și alte deșeuri de plastic colectate sau sortate separat la sursă din industrie, comerț și servicii</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(e) Deșeuri de plastic preprelucrate provenite din prelucrarea mecanică a deșeurilor de plastic menționate la literele (a)-(d)</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Deșeuri de plastic separate de deșeurile mixte</w:t>
            </w:r>
          </w:p>
          <w:p w14:paraId="1A4C228B" w14:textId="3500FDD8" w:rsidR="00A1116F" w:rsidRPr="00A92292" w:rsidRDefault="00D26E5F" w:rsidP="00D26E5F">
            <w:pPr>
              <w:pStyle w:val="LLNormaali"/>
            </w:pPr>
            <w:r>
              <w:t>(a) Deșeuri de pelicule de plastic separate de deșeurile mixte din construcții și demolări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(b) Deșeuri de ambalaje din plastic separate de deșeurile energetice colectate separat din industrie, comerț și servicii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Anexa 2</w:t>
      </w:r>
    </w:p>
    <w:p w14:paraId="485FCE31" w14:textId="77777777" w:rsidR="00BB4B39" w:rsidRPr="000207A4" w:rsidRDefault="00BB4B39" w:rsidP="00B22D2A">
      <w:pPr>
        <w:pStyle w:val="LLLiiteOtsikko"/>
      </w:pPr>
      <w:r>
        <w:t>CLASE DE PERICOL ȘI CATEGORII DE SUBSTANȚE PERICULOASE</w:t>
      </w:r>
    </w:p>
    <w:p w14:paraId="2EEDC8D3" w14:textId="553FB0D9" w:rsidR="00BB4B39" w:rsidRPr="000207A4" w:rsidRDefault="00B22D2A" w:rsidP="00B22D2A">
      <w:pPr>
        <w:pStyle w:val="LLNormaali"/>
      </w:pPr>
      <w:r>
        <w:t xml:space="preserve">(a) explozivi din clasa de pericol 2.1;  </w:t>
      </w:r>
    </w:p>
    <w:p w14:paraId="733E0969" w14:textId="4329CDF3" w:rsidR="00BB4B39" w:rsidRPr="000207A4" w:rsidRDefault="00B22D2A" w:rsidP="00B22D2A">
      <w:pPr>
        <w:pStyle w:val="LLNormaali"/>
      </w:pPr>
      <w:r>
        <w:t xml:space="preserve">(b) gaze inflamabile din clasa de pericol 2.2; </w:t>
      </w:r>
    </w:p>
    <w:p w14:paraId="2DFBFB47" w14:textId="3158C46C" w:rsidR="00BB4B39" w:rsidRPr="000207A4" w:rsidRDefault="00B22D2A" w:rsidP="00B22D2A">
      <w:pPr>
        <w:pStyle w:val="LLNormaali"/>
      </w:pPr>
      <w:r>
        <w:t>(c) aerosoli inflamabili din clasa de pericol 2.3;</w:t>
      </w:r>
    </w:p>
    <w:p w14:paraId="36E3AFA1" w14:textId="5C54E3BD" w:rsidR="00BB4B39" w:rsidRPr="000207A4" w:rsidRDefault="00B22D2A" w:rsidP="00B22D2A">
      <w:pPr>
        <w:pStyle w:val="LLNormaali"/>
      </w:pPr>
      <w:r>
        <w:t>(d) gaze oxidante din clasa de pericol 2.4;</w:t>
      </w:r>
    </w:p>
    <w:p w14:paraId="57D58F59" w14:textId="5062AB1C" w:rsidR="00BB4B39" w:rsidRPr="000207A4" w:rsidRDefault="00B22D2A" w:rsidP="00B22D2A">
      <w:pPr>
        <w:pStyle w:val="LLNormaali"/>
      </w:pPr>
      <w:r>
        <w:t>(e) gaze sub presiune din clasa de pericol 2.5;</w:t>
      </w:r>
    </w:p>
    <w:p w14:paraId="36E93DB2" w14:textId="7F4285D8" w:rsidR="00BB4B39" w:rsidRPr="000207A4" w:rsidRDefault="00B22D2A" w:rsidP="00B22D2A">
      <w:pPr>
        <w:pStyle w:val="LLNormaali"/>
      </w:pPr>
      <w:r>
        <w:t xml:space="preserve">(f) lichide inflamabile din clasa de pericol 2.6, categoria 1; </w:t>
      </w:r>
    </w:p>
    <w:p w14:paraId="2CF0B2E0" w14:textId="21793484" w:rsidR="00BB4B39" w:rsidRPr="000207A4" w:rsidRDefault="00B22D2A" w:rsidP="00B22D2A">
      <w:pPr>
        <w:pStyle w:val="LLNormaali"/>
      </w:pPr>
      <w:r>
        <w:t>(g) solide inflamabile din clasa de pericol 2.7;</w:t>
      </w:r>
    </w:p>
    <w:p w14:paraId="290B13B8" w14:textId="1E39452F" w:rsidR="00BB4B39" w:rsidRPr="000207A4" w:rsidRDefault="00B22D2A" w:rsidP="00B22D2A">
      <w:pPr>
        <w:pStyle w:val="LLNormaali"/>
      </w:pPr>
      <w:r>
        <w:t>(h) substanțe și amestecuri autoreactive din clasa de pericol 2.8, tipurile A-D;</w:t>
      </w:r>
    </w:p>
    <w:p w14:paraId="2900333E" w14:textId="561C6738" w:rsidR="00BB4B39" w:rsidRPr="000207A4" w:rsidRDefault="00B22D2A" w:rsidP="00B22D2A">
      <w:pPr>
        <w:pStyle w:val="LLNormaali"/>
      </w:pPr>
      <w:r>
        <w:t>(i) substanțe și amestecuri din clasa de pericol 2.12 care, în contact cu apa, emit gaze inflamabile, categoriile 1 și 2;</w:t>
      </w:r>
    </w:p>
    <w:p w14:paraId="07BA8A3F" w14:textId="5612BAF1" w:rsidR="00BB4B39" w:rsidRPr="000207A4" w:rsidRDefault="00B22D2A" w:rsidP="00B22D2A">
      <w:pPr>
        <w:pStyle w:val="LLNormaali"/>
      </w:pPr>
      <w:r>
        <w:t>(j) lichide oxidante din clasa de pericol 2.13, categoriile 1 și 2;</w:t>
      </w:r>
    </w:p>
    <w:p w14:paraId="1A56599F" w14:textId="7CBECD21" w:rsidR="00BB4B39" w:rsidRPr="000207A4" w:rsidRDefault="00B22D2A" w:rsidP="00B22D2A">
      <w:pPr>
        <w:pStyle w:val="LLNormaali"/>
      </w:pPr>
      <w:r>
        <w:t>(k) solide oxidante din clasa de pericol 2.14, categoriile 1 și 2;</w:t>
      </w:r>
    </w:p>
    <w:p w14:paraId="7DB8EE38" w14:textId="1E93D5D8" w:rsidR="00BB4B39" w:rsidRPr="000207A4" w:rsidRDefault="00B22D2A" w:rsidP="00B22D2A">
      <w:pPr>
        <w:pStyle w:val="LLNormaali"/>
      </w:pPr>
      <w:r>
        <w:t>(l) peroxizi organici din clasa de pericol 2.15, tipurile A-D;</w:t>
      </w:r>
    </w:p>
    <w:p w14:paraId="3A97C2CB" w14:textId="1C5FBEFC" w:rsidR="00BB4B39" w:rsidRPr="000207A4" w:rsidRDefault="00B22D2A" w:rsidP="00B22D2A">
      <w:pPr>
        <w:pStyle w:val="LLNormaali"/>
      </w:pPr>
      <w:r>
        <w:t>(m) toxicitate acută din clasa de pericol 3.1, categoriile 1, 2 și 3;</w:t>
      </w:r>
    </w:p>
    <w:p w14:paraId="6B18C7AD" w14:textId="7EF2A803" w:rsidR="00BB4B39" w:rsidRPr="000207A4" w:rsidRDefault="00B22D2A" w:rsidP="00B22D2A">
      <w:pPr>
        <w:pStyle w:val="LLNormaali"/>
      </w:pPr>
      <w:r>
        <w:t>(n) mutagenicitatea celulelor germinale din clasa de pericol 3.5;</w:t>
      </w:r>
    </w:p>
    <w:p w14:paraId="30B12133" w14:textId="055E7DB3" w:rsidR="00BB4B39" w:rsidRPr="000207A4" w:rsidRDefault="00B22D2A" w:rsidP="00B22D2A">
      <w:pPr>
        <w:pStyle w:val="LLNormaali"/>
      </w:pPr>
      <w:r>
        <w:t>(o) efecte cancerigene din clasa de pericol 3.6;</w:t>
      </w:r>
    </w:p>
    <w:p w14:paraId="165363FE" w14:textId="3CA96D71" w:rsidR="00BB4B39" w:rsidRPr="000207A4" w:rsidRDefault="00B22D2A" w:rsidP="00B22D2A">
      <w:pPr>
        <w:pStyle w:val="LLNormaali"/>
      </w:pPr>
      <w:r>
        <w:t>(p) toxicitate pentru reproducere din clasa de pericol 3.7;</w:t>
      </w:r>
    </w:p>
    <w:p w14:paraId="182FBF2C" w14:textId="7536943C" w:rsidR="00BB4B39" w:rsidRDefault="00B22D2A" w:rsidP="00B22D2A">
      <w:pPr>
        <w:pStyle w:val="LLNormaali"/>
      </w:pPr>
      <w:r>
        <w:t>(q) toxicitate asupra unui organ țintă specific din clasa de pericol 3.8 – expunere unică, categoriile 1 și 2;</w:t>
      </w:r>
    </w:p>
    <w:p w14:paraId="60635CB5" w14:textId="3AB72E7D" w:rsidR="00AA2C21" w:rsidRDefault="00B22D2A" w:rsidP="00B22D2A">
      <w:pPr>
        <w:pStyle w:val="LLNormaali"/>
      </w:pPr>
      <w:r>
        <w:t>(r) substanțe și amestecuri din clasa de pericol 3.11 care perturbă sistemul endocrin care afectează sănătatea umană, categoriile 1 și 2;</w:t>
      </w:r>
    </w:p>
    <w:p w14:paraId="33D1660B" w14:textId="137C97A1" w:rsidR="004C5442" w:rsidRDefault="00B22D2A" w:rsidP="00B22D2A">
      <w:pPr>
        <w:pStyle w:val="LLNormaali"/>
      </w:pPr>
      <w:r>
        <w:t>(s) substanțe și amestecuri din clasa de pericol 4.2 care perturbă sistemul endocrin care afectează mediul, categoriile 1 și 2;</w:t>
      </w:r>
    </w:p>
    <w:p w14:paraId="6B455264" w14:textId="7A50B645" w:rsidR="004C5442" w:rsidRDefault="00B22D2A" w:rsidP="00B22D2A">
      <w:pPr>
        <w:pStyle w:val="LLNormaali"/>
      </w:pPr>
      <w:r>
        <w:t>(t) substanțe și amestecuri persistente, bioacumulative și toxice (PBT) sau foarte persistente și foarte bioacumulative (vPvB) din clasa de pericol 4.3;</w:t>
      </w:r>
    </w:p>
    <w:p w14:paraId="1DEAA9AC" w14:textId="51B02423" w:rsidR="004C5442" w:rsidRPr="000207A4" w:rsidRDefault="00B22D2A" w:rsidP="00B22D2A">
      <w:pPr>
        <w:pStyle w:val="LLNormaali"/>
      </w:pPr>
      <w:r>
        <w:t>(u) substanțe și amestecuri persistente, transportabile și toxice (PMT) sau foarte persistente și foarte mobile (vPvM) din clasa de pericol 4.4.</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Anexa 3</w:t>
      </w:r>
    </w:p>
    <w:p w14:paraId="7BC5F676" w14:textId="24408C9A" w:rsidR="00F76018" w:rsidRPr="00F76018" w:rsidRDefault="00F76018" w:rsidP="00B22D2A">
      <w:pPr>
        <w:pStyle w:val="LLLiiteOtsikko"/>
      </w:pPr>
      <w:r>
        <w:t>DETERMINAREA INDICELUI DEBITULUI DE TOPIRE</w:t>
      </w:r>
    </w:p>
    <w:p w14:paraId="748CF95C" w14:textId="77777777" w:rsidR="00F76018" w:rsidRPr="00F76018" w:rsidRDefault="00F76018" w:rsidP="00B22D2A">
      <w:pPr>
        <w:pStyle w:val="LLNormaali"/>
      </w:pPr>
      <w:r>
        <w:t>În cazul în care indicele debitului de topire este determinat pe un eșantion reprezentativ de maximum 1 500 kg, determinarea se efectuează în conformitate cu standardul SFS-EN ISO 1133-1 sau prin orice altă metodă de sensibilitate analitică suficientă, precizie și reproductibilitate. În cazul în care se utilizează un input din aceeași materie primă pentru a produce materii prime secundare din plastic de o calitate uniformă a materialului, a căror cantitate depășește 1 500 kg, o probă prelevată pe lot de materie primă secundară este suficient pentru a determina indicele debitului de topire.</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În cazul în care indicele debitului de topire este determinat pentru fiecare lot de materie primă din plastic secundar ca măsurătoare continuă, indicele debitului de topire se determină pentru fiecare lot pe baza datelor de măsurare în timp real.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Pentru loturile mici din punct de vedere cantitativ cu o materie primă bine cunoscută și perfect omogenă, determinarea indicelui debitului de topire poate fi înlocuită cu o descriere precisă a intrărilor.</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0908" w14:textId="77777777" w:rsidR="00C82D0E" w:rsidRDefault="00C82D0E">
      <w:r>
        <w:separator/>
      </w:r>
    </w:p>
  </w:endnote>
  <w:endnote w:type="continuationSeparator" w:id="0">
    <w:p w14:paraId="68FF2FF6" w14:textId="77777777" w:rsidR="00C82D0E" w:rsidRDefault="00C82D0E">
      <w:r>
        <w:continuationSeparator/>
      </w:r>
    </w:p>
  </w:endnote>
  <w:endnote w:type="continuationNotice" w:id="1">
    <w:p w14:paraId="45F8326F" w14:textId="77777777" w:rsidR="00C82D0E" w:rsidRDefault="00C82D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6577" w14:textId="77777777" w:rsidR="00C82D0E" w:rsidRDefault="00C82D0E">
      <w:r>
        <w:separator/>
      </w:r>
    </w:p>
  </w:footnote>
  <w:footnote w:type="continuationSeparator" w:id="0">
    <w:p w14:paraId="5CA576E4" w14:textId="77777777" w:rsidR="00C82D0E" w:rsidRDefault="00C82D0E">
      <w:r>
        <w:continuationSeparator/>
      </w:r>
    </w:p>
  </w:footnote>
  <w:footnote w:type="continuationNotice" w:id="1">
    <w:p w14:paraId="656A70D6" w14:textId="77777777" w:rsidR="00C82D0E" w:rsidRDefault="00C82D0E">
      <w:pPr>
        <w:spacing w:line="240" w:lineRule="auto"/>
      </w:pPr>
    </w:p>
  </w:footnote>
  <w:footnote w:id="2">
    <w:p w14:paraId="48FDEA17" w14:textId="77777777" w:rsidR="00420D41" w:rsidRDefault="00420D41" w:rsidP="00420D41">
      <w:pPr>
        <w:pStyle w:val="FootnoteText"/>
      </w:pPr>
      <w:r>
        <w:rPr>
          <w:rStyle w:val="FootnoteReference"/>
        </w:rPr>
        <w:footnoteRef/>
      </w:r>
      <w:r>
        <w:t xml:space="preserve"> Conține deșeuri de ambalaje din plastic colectate separat sau colectiv și alte deșeuri de plastic</w:t>
      </w:r>
    </w:p>
  </w:footnote>
  <w:footnote w:id="3">
    <w:p w14:paraId="6622ABC1" w14:textId="77777777" w:rsidR="00420D41" w:rsidRDefault="00420D41" w:rsidP="00420D41">
      <w:pPr>
        <w:pStyle w:val="FootnoteText"/>
      </w:pPr>
      <w:r>
        <w:rPr>
          <w:rStyle w:val="FootnoteReference"/>
        </w:rPr>
        <w:footnoteRef/>
      </w:r>
      <w:r>
        <w:t xml:space="preserve"> Conține deșeuri de ambalaje din plastic colectate separat sau colectiv și alte deșeuri de plastic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5AD"/>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D0E"/>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customXml/itemProps3.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CDFE7-274B-4E14-8C6E-E9120859C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VN_asetus</Template>
  <TotalTime>0</TotalTime>
  <Pages>11</Pages>
  <Words>3232</Words>
  <Characters>19137</Characters>
  <Application>Microsoft Office Word</Application>
  <DocSecurity>0</DocSecurity>
  <Lines>390</Lines>
  <Paragraphs>217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2024-06-20T07:52:00Z</dcterms:created>
  <dcterms:modified xsi:type="dcterms:W3CDTF">2024-06-20T07:52:00Z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