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A457C" w14:textId="6765B1FA" w:rsidR="00503C92" w:rsidRPr="00F122A6" w:rsidRDefault="00F122A6" w:rsidP="00EE0D48">
      <w:pPr>
        <w:pStyle w:val="Bodytext40"/>
        <w:numPr>
          <w:ilvl w:val="0"/>
          <w:numId w:val="1"/>
        </w:numPr>
        <w:tabs>
          <w:tab w:val="left" w:pos="265"/>
        </w:tabs>
        <w:ind w:left="1560" w:right="1830"/>
      </w:pPr>
      <w:r>
        <w:rPr>
          <w:rStyle w:val="Bodytext4"/>
          <w:b/>
        </w:rPr>
        <w:t xml:space="preserve"> DISPOŻIZZJONIJIET ĠENERALI</w:t>
      </w:r>
    </w:p>
    <w:p w14:paraId="58D891A5" w14:textId="77777777" w:rsidR="00503C92" w:rsidRPr="00F122A6" w:rsidRDefault="0037644B" w:rsidP="00EE0D48">
      <w:pPr>
        <w:pStyle w:val="Heading10"/>
        <w:keepNext/>
        <w:keepLines/>
        <w:ind w:left="1560" w:right="1830"/>
        <w:rPr>
          <w:sz w:val="28"/>
          <w:szCs w:val="28"/>
        </w:rPr>
      </w:pPr>
      <w:bookmarkStart w:id="0" w:name="bookmark0"/>
      <w:r>
        <w:rPr>
          <w:rStyle w:val="Heading1"/>
          <w:sz w:val="28"/>
        </w:rPr>
        <w:t>MINISTERU TAL-AGRIKOLTURA, IS-SAJD U L-IKEL</w:t>
      </w:r>
      <w:bookmarkEnd w:id="0"/>
    </w:p>
    <w:p w14:paraId="07583A7E" w14:textId="13D4FE06" w:rsidR="00503C92" w:rsidRPr="00F122A6" w:rsidRDefault="0037644B" w:rsidP="00F122A6">
      <w:pPr>
        <w:pStyle w:val="BodyText"/>
        <w:spacing w:after="260" w:line="240" w:lineRule="auto"/>
        <w:ind w:left="2694" w:right="1830" w:hanging="1134"/>
        <w:jc w:val="both"/>
        <w:rPr>
          <w:sz w:val="20"/>
          <w:szCs w:val="20"/>
        </w:rPr>
      </w:pPr>
      <w:r>
        <w:rPr>
          <w:rStyle w:val="BodyTextChar"/>
          <w:b/>
          <w:sz w:val="24"/>
        </w:rPr>
        <w:t xml:space="preserve">17371 </w:t>
      </w:r>
      <w:r>
        <w:rPr>
          <w:rStyle w:val="BodyTextChar"/>
          <w:b/>
          <w:sz w:val="24"/>
        </w:rPr>
        <w:tab/>
      </w:r>
      <w:r>
        <w:rPr>
          <w:rStyle w:val="BodyTextChar"/>
          <w:i/>
          <w:sz w:val="20"/>
        </w:rPr>
        <w:t>Digriet Reġju 840/2024 tas-27 ta’ Awwissu 2024 li jemenda d-Digriet Reġju 1051/2022 tas-27 ta’ Diċembru 2022 li jistabbilixxi regoli għal nutrizzjoni sostenibbli fil-ħamrija agrikola.</w:t>
      </w:r>
    </w:p>
    <w:p w14:paraId="5EC89531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Id-Digriet Reġju 1051/2022 tas-27 ta’ Diċembru 2022 li jistabbilixxi regoli għal nutrizzjoni sostenibbli fil-ħamrija agrikola jistabbilixxi ċerti regoli bażiċi għall-fertilizzazzjoni razzjonali tal-għelejjel, permezz ta’ prattiki agrikoli tajbin minimi li għandhom jitqiesu meta jiġu applikati n-nutrijenti fil-ħamrija agrikola. Barra minn hekk, huwa stabbilit ir-reġistru ġenerali tal-manifatturi u ta’ operaturi ekonomiċi oħra ta’ prodotti fertilizzanti, bl-objettiv doppju li tittejjeb is-sorveljanza tas-suq, f’konformità mad-dispożizzjonijiet tar-Regolament (UE) 2019/1009 tal-Parlament Ewropew u tal-Kunsill tal-5 ta’ Ġunju 2019 li jistabbilixxi regoli dwar it-tpoġġija għad-dispożizzjoni fis-suq ta’ prodotti fertilizzanti tal-UE, u d-Digriet Reġju 506/2013 tas-26 ta’ Ġunju 2013 dwar prodotti fertilizzanti, u mar-Regolament (UE) 2019/1020 tal-Parlament Ewropew u tal-Kunsill tal-20 ta’ Ġunju 2019 dwar is-sorveljanza tas-suq u l-konformità ta’ prodotti, filwaqt li tiġi ffaċilitata l-implimentazzjoni tal-ġbir tad-data biex jittejjeb il-kalkolu tal-emissjonijiet tal-arja li jirriżultaw mill-użu ta’ prodotti fertilizzanti. Fost kwistjonijiet oħra, dan id-Digriet Reġju jirregola l-professjoni ta’ konsulent tal-fertilizzazzjoni, li ma hijiex professjoni regolata skont l-Artikolu 36 tal-Kostituzzjoni Spanjola.</w:t>
      </w:r>
    </w:p>
    <w:p w14:paraId="50105317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Wara aktar minn sena ta’ applikazzjoni ta’ dan ir-Regolament, issa huwa meħtieġ li tiġi ffaċilitata l-implimentazzjoni ta’ ċerti aspetti tekniċi, li tissaħħaħ il-koerenza ma’ regolamenti settorjali oħra, bħal-Liġi 7/2022 tat-8 ta’ April 2022 dwar l-iskart u l-ħamrija kkontaminata għal ekonomija ċirkolari, jew dispożizzjonijiet reġjonali settorjali, u li tiġi ċċarata l-formulazzjoni mhux ċara. Għal dan l-għan, huma emendati d-dispożizzjonijiet relatati mar-reġistru tal-farms, il-pjan ta’ fertilizzazzjoni u dawk li jiffaċilitaw l-użu ta’ demel u fertilizzanti organiċi.</w:t>
      </w:r>
    </w:p>
    <w:p w14:paraId="1D506E7A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Għalhekk, ċerti inċentivi huma inklużi għall-użu tar-reġistru diġitali tal-azjendi agrikoli, peress li mhuwiex obbligatorju, u l-informazzjoni fil-pjan ta’ fertilizzazzjoni li trid tiġi inkluża fir-reġistru tal-azjendi agrikoli hija dettaljata, filwaqt li jiġi speċifikat ukoll li wieħed mill-punti ewlenin huwa d-determinazzjoni tad-doża.</w:t>
      </w:r>
    </w:p>
    <w:p w14:paraId="31AAFEFC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Ġew introdotti miżuri ġodda u abbozzati aħjar għat-tnaqqis tal-emissjonijiet tal-ammonijaka, u tqiesu teknoloġiji oħra biex jitnaqqas ir-riskju ta’ lissija.</w:t>
      </w:r>
    </w:p>
    <w:p w14:paraId="0804DA06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Sabiex jiġi ffaċilitat l-użu tad-demel, tal-fertilizzanti u ta’ materjali organiċi oħra, id-dispożizzjonijiet dwar it-tqegħid fuq xulxin jew l-applikazzjoni li jikkonċernaw il-ħinijiet tal-irdim, id-derogi u l-perjodi ta’ applikazzjoni saru inqas stretti. Fl-istess ħin, jiżdied skart ġdid mal-lista ta’ skart aċċettat, li jimmodifika r-rekwiżiti tiegħu f’konformità mas-suq u jżomm il-kriterji tas-sikurezza u tal-effiċjenza agronomika.</w:t>
      </w:r>
    </w:p>
    <w:p w14:paraId="3D2CCECE" w14:textId="24F053FE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Dan id-Digriet Reġju ġie abbozzat skont il-prinċipji ta’ regolamentazzjoni tajba stabbiliti fl-Artikolu 129 tal-Liġi 39/2015 tal-1 ta’ Ottubru 2015 dwar il-Proċedura Amministrattiva Komuni tal-Amministrazzjonijiet Pubbliċi. F’konformità mal-prinċipji ta’ neċessità u effettività, l-abbozz huwa ġġustifikat mill-ħtieġa ta’ applikazzjoni aħjar tar-regolamenti tal-Unjoni Ewropea fi Spanja, b’dan ir-regolament ikun l-aktar strument xieraq biex jiżgura l-kisba tiegħu, peress li huwa obbligatorju li r-regolament ikun ikkontemplat f’regolament bażiku. Dan jikkonforma wkoll mal-prinċipju tal-proporzjonalità, u mal-objettiv li r-regolamentazzjoni tiġi limitata għall-minimu essenzjali sabiex titnaqqas l-intensità regolatorja. Min-naħa tiegħu, il-prinċipju ta’ ċertezza legali huwa ggarantit bl-</w:t>
      </w:r>
      <w:r>
        <w:rPr>
          <w:rStyle w:val="BodyTextChar"/>
          <w:sz w:val="20"/>
        </w:rPr>
        <w:lastRenderedPageBreak/>
        <w:t>introduzzjoni f’dispożizzjoni ġenerali ta’ stipulazzjonijiet ġodda konsistenti mal-bqija tas-sistema legali. Barra minn hekk, skont il-prinċipju tat-trasparenza, matul l-ipproċessar tar-regolament ġew ikkonsultati l-entitajiet li jirrappreżentaw is-setturi kkonċernati, u twettqet il-proċedura għas-smigħ pubbliku u għall-informazzjoni pubblika. Fl-aħħar nett, il-prinċipju tal-effiċjenza jitqies li ġie ssodisfat peress li ma ġie impost l-ebda piż amministrattiv ġdid meta mqabbel mar-regolament attwali.</w:t>
      </w:r>
    </w:p>
    <w:p w14:paraId="7B067845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Id-dispożizzjoni ta’ dan id-Digriet Reġju huma regolamenti bażiċi u jinħarġu skont l-Artikolu 149(1), id-dispożizzjonijiet 13, 16 u 23, tal-Kostituzzjoni Spanjola, li jikkonferixxu lill-Istat kompetenzi esklużivi fi kwistjonijiet, rispettivament, ta’ bażijiet u koordinazzjoni tal-ippjanar ġenerali tal-attività ekonomika, il-bażijiet u l-koordinazzjoni ġenerali tas-saħħa, u l-leġiżlazzjoni bażika dwar il-protezzjoni ambjentali, mingħajr preġudizzju għas-setgħat tal-Komunitajiet Awtonomi li jistabbilixxu regoli addizzjonali ta’ protezzjoni.</w:t>
      </w:r>
    </w:p>
    <w:p w14:paraId="4240DB30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Dan ir-regolament jinħareġ f’konformità mad-dispożizzjonijiet tas-sittax-il dispożizzjoni finali tal-Liġi 30/2022 tat-23 ta’ Diċembru 2022 li tirregola s-sistema ta’ ġestjoni tal-Politika Agrikola Komuni u kwistjonijiet relatati.</w:t>
      </w:r>
    </w:p>
    <w:p w14:paraId="4D259E79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Ir-regolament ġie ppreżentat għall-proċess ta’ konsultazzjoni tal-Komunitajiet Awtonomi u l-bliet ta’ Ceuta u Melilla, abbażi tad-dmir ġenerali ta’ kooperazzjoni bejn l-amministrazzjonijiet pubbliċi impost mill-Artikolu 3(1)(k) tal-Liġi 40/2015 tal-1 ta’ Ottubru 2015 dwar ir-Reġim Legali tas-Settur Pubbliku.</w:t>
      </w:r>
    </w:p>
    <w:p w14:paraId="373D6039" w14:textId="77777777" w:rsidR="00503C92" w:rsidRPr="00F122A6" w:rsidRDefault="0037644B" w:rsidP="00EE0D48">
      <w:pPr>
        <w:pStyle w:val="BodyText"/>
        <w:spacing w:after="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Dan ġie soġġett ukoll għall-proċedura ta’ informazzjoni dwar l-istandards u r-regolamenti tekniċi prevista fid-Direttiva (UE) 2015/1535 tal-Parlament Ewropew u tal-Kunsill tad-9 ta’ Settembru 2015 li tistabbilixxi proċedura għall-għoti ta’ informazzjoni fil-qasam tar-regolamenti tekniċi u tar-regoli dwar is-servizzi tas-Soċjetà tal-Informatika, irregolata mid-Digriet Reġju 1337/1999 tal-31 ta’ Lulju 1999 li jirregola t-trażmissjoni tal-informazzjoni fil-qasam tal-istandards u r-regolamenti tekniċi u r-regoli dwar is-servizzi tas-soċjetà tal-informazzjoni.</w:t>
      </w:r>
    </w:p>
    <w:p w14:paraId="48A1437F" w14:textId="77777777" w:rsidR="00503C92" w:rsidRPr="00F122A6" w:rsidRDefault="0037644B" w:rsidP="00EE0D48">
      <w:pPr>
        <w:pStyle w:val="BodyText"/>
        <w:spacing w:after="2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Bis-saħħa ta’ dan ta’ hawn fuq, fuq proposta tal-Ministru għall-Agrikoltura, is-Sajd u l-Ikel, bi qbil mal-Kunsill tal-Istat, u wara deliberazzjoni tal-Kunsill tal-Ministri fil-laqgħa tiegħu tas-27 ta’ Awwissu 2024,</w:t>
      </w:r>
    </w:p>
    <w:p w14:paraId="6DA74257" w14:textId="77777777" w:rsidR="00503C92" w:rsidRPr="00F122A6" w:rsidRDefault="0037644B" w:rsidP="00EE0D48">
      <w:pPr>
        <w:pStyle w:val="BodyText"/>
        <w:spacing w:after="180"/>
        <w:ind w:left="1560" w:right="1830" w:firstLine="0"/>
        <w:jc w:val="center"/>
        <w:rPr>
          <w:sz w:val="20"/>
        </w:rPr>
      </w:pPr>
      <w:r>
        <w:rPr>
          <w:rStyle w:val="BodyTextChar"/>
          <w:sz w:val="20"/>
        </w:rPr>
        <w:t>NORDNA DAN LI ĠEJ:</w:t>
      </w:r>
    </w:p>
    <w:p w14:paraId="44A8F054" w14:textId="77777777" w:rsidR="00503C92" w:rsidRPr="00F122A6" w:rsidRDefault="0037644B" w:rsidP="00BB487E">
      <w:pPr>
        <w:pStyle w:val="BodyText"/>
        <w:spacing w:after="140" w:line="257" w:lineRule="auto"/>
        <w:ind w:left="1985" w:right="1830" w:hanging="360"/>
        <w:jc w:val="both"/>
        <w:rPr>
          <w:sz w:val="20"/>
          <w:szCs w:val="20"/>
        </w:rPr>
      </w:pPr>
      <w:r>
        <w:rPr>
          <w:rStyle w:val="BodyTextChar"/>
          <w:b/>
          <w:sz w:val="20"/>
        </w:rPr>
        <w:t xml:space="preserve">Artikolu Uniku. </w:t>
      </w:r>
      <w:r>
        <w:rPr>
          <w:rStyle w:val="BodyTextChar"/>
          <w:i/>
          <w:sz w:val="20"/>
        </w:rPr>
        <w:t>Emenda tad-Digriet Reġju 1051/2022 tas-27 ta’ Diċembru 2022 li jistabbilixxi regoli għal nutrizzjoni sostenibbli fil-ħamrija agrikola.</w:t>
      </w:r>
    </w:p>
    <w:p w14:paraId="20188F93" w14:textId="77777777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Id-Digriet Reġju 1051/2022 tas-27 ta’ Diċembru 2022 li jistabbilixxi regoli għal nutrizzjoni sostenibbli fil-ħamrija agrikola huwa emendat kif ġej:</w:t>
      </w:r>
    </w:p>
    <w:p w14:paraId="6948B1B2" w14:textId="77777777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Wieħed. L-Artikolu 3(d) huwa fformulat kif ġej:</w:t>
      </w:r>
    </w:p>
    <w:p w14:paraId="24D5FBD1" w14:textId="198E1DDF" w:rsidR="00503C92" w:rsidRPr="00F122A6" w:rsidRDefault="0037644B" w:rsidP="00EE0D48">
      <w:pPr>
        <w:pStyle w:val="BodyText"/>
        <w:spacing w:after="14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“d) Kompost: materjal miksub mit-trattament aerobiku u termofiliku ta’ skart bijodegradabbli miġbur separatament li, meta jinkiseb permezz tal-ikkompostjar aerobiku f’konformità mar-rekwiżiti tal-Kategorija 3 tal-Materjal Komponent (CMC 3) tal-Anness II tar-Regolament (UE) 2019/1009 tal-Parlament Ewropew u tal-Kunsill tal-5 ta’ Ġunju 2019, jilħaq tmiem tal-istatus ta’ skart jekk jikkonforma wkoll mar-rekwiżiti tar-regolamenti dwar il-prodott.”</w:t>
      </w:r>
    </w:p>
    <w:p w14:paraId="402A47F5" w14:textId="77777777" w:rsidR="00503C92" w:rsidRPr="00F122A6" w:rsidRDefault="0037644B" w:rsidP="00F122A6">
      <w:pPr>
        <w:pStyle w:val="BodyText"/>
        <w:keepNext/>
        <w:spacing w:after="140"/>
        <w:ind w:left="1559" w:right="1831" w:firstLine="357"/>
        <w:jc w:val="both"/>
        <w:rPr>
          <w:sz w:val="20"/>
        </w:rPr>
      </w:pPr>
      <w:r>
        <w:rPr>
          <w:rStyle w:val="BodyTextChar"/>
          <w:sz w:val="20"/>
        </w:rPr>
        <w:t>Tnejn. L-Artikolu 5(a) jaqra kif ġej:</w:t>
      </w:r>
    </w:p>
    <w:p w14:paraId="4150FC23" w14:textId="77777777" w:rsidR="00EE0D48" w:rsidRPr="00F122A6" w:rsidRDefault="0037644B" w:rsidP="00EE0D48">
      <w:pPr>
        <w:pStyle w:val="BodyText"/>
        <w:spacing w:after="140" w:line="276" w:lineRule="auto"/>
        <w:ind w:left="1560" w:right="1830"/>
        <w:jc w:val="both"/>
        <w:rPr>
          <w:rStyle w:val="BodyTextChar"/>
          <w:sz w:val="20"/>
        </w:rPr>
      </w:pPr>
      <w:r>
        <w:rPr>
          <w:rStyle w:val="BodyTextChar"/>
          <w:sz w:val="20"/>
        </w:rPr>
        <w:t>“a) Id-dettalji li ġejjin tal-pjan ta’ fertilizzazzjoni msemmi fl-Artikolu 6, fejn huwa obbligatorju li jitfasslu, fil-bidu tas-sena agrikola: ir-rendiment mistenni, l-għelejjel preċedenti, ir-rekwiżiti għal N, P</w:t>
      </w:r>
      <w:r>
        <w:rPr>
          <w:rStyle w:val="BodyTextChar"/>
          <w:sz w:val="20"/>
          <w:vertAlign w:val="subscript"/>
        </w:rPr>
        <w:t>2</w:t>
      </w:r>
      <w:r>
        <w:rPr>
          <w:rStyle w:val="BodyTextChar"/>
          <w:sz w:val="20"/>
        </w:rPr>
        <w:t>O</w:t>
      </w:r>
      <w:r>
        <w:rPr>
          <w:rStyle w:val="BodyTextChar"/>
          <w:sz w:val="20"/>
          <w:vertAlign w:val="subscript"/>
        </w:rPr>
        <w:t>5</w:t>
      </w:r>
      <w:r>
        <w:rPr>
          <w:rStyle w:val="BodyTextChar"/>
          <w:sz w:val="20"/>
        </w:rPr>
        <w:t xml:space="preserve"> u K</w:t>
      </w:r>
      <w:r>
        <w:rPr>
          <w:rStyle w:val="BodyTextChar"/>
          <w:sz w:val="20"/>
          <w:vertAlign w:val="subscript"/>
        </w:rPr>
        <w:t>2</w:t>
      </w:r>
      <w:r>
        <w:rPr>
          <w:rStyle w:val="BodyTextChar"/>
          <w:sz w:val="20"/>
        </w:rPr>
        <w:t>O, u d-data li fiha tfassal il-pjan.”</w:t>
      </w:r>
    </w:p>
    <w:p w14:paraId="694AB235" w14:textId="47707BFA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Tlieta. L-Artikolu 6(4) huwa fformulat kif ġej:</w:t>
      </w:r>
    </w:p>
    <w:p w14:paraId="71A37E88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lastRenderedPageBreak/>
        <w:t>“4. Il-pjan għandu jinkludi d-doża rakkomandata tad-diversi nutrijenti, iż-żmien li fih huma maħsuba li jiġu applikati, kif ukoll it-tip ta’ fertilizzant jew materjal, il-metodu ta’ applikazzjoni u l-makkinarju ta’ distribuzzjoni.”</w:t>
      </w:r>
    </w:p>
    <w:p w14:paraId="283A1B19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Erbgħa. L-Artikolu 9(2)(g) jaqra kif ġej:</w:t>
      </w:r>
    </w:p>
    <w:p w14:paraId="582E52F1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“g) Il-munzelli ġeneralment ma jistgħux jibqgħu fil-kompartimenti għal aktar minn 10 ijiem. Jekk il-materjal f’munzelli jiġi kompost jew diġestit, dan il-perjodu jista’ jiġi estiż sa 20 jum. L-ispazji magħluqa li ma jkunux jistgħu jiġu aċċessati mill-makkinarju minħabba xita, għandhom ikunu eżentati minn dan l-obbligu sakemm din iċ-ċirkostanza tieqaf.”</w:t>
      </w:r>
    </w:p>
    <w:p w14:paraId="0430BE9F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Ħamsa. L-Artikolu 10(2) u l-Artikolu 10(3), l-ewwel u l-aħħar subparagrafu huma fformulati kif ġej:</w:t>
      </w:r>
    </w:p>
    <w:p w14:paraId="5D0D8FC9" w14:textId="77777777" w:rsidR="00503C92" w:rsidRPr="00F122A6" w:rsidRDefault="0037644B" w:rsidP="00EE0D48">
      <w:pPr>
        <w:pStyle w:val="BodyText"/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“2. L-applikazzjoni ta’ materjali organiċi jew organominerali oħra, inkluż skart, bl-użu ta’ sistemi ta’ pjanċi, fannijiet u kanuni, għandha tkun ipprojbita, jekk l-umdità ta’ dawn il-materjali tkun 90 % jew aktar u l-kontenut ta’ nitroġenu ammonijaku tagħhom ikun aktar minn 0.1 % fuq materja friska.”</w:t>
      </w:r>
    </w:p>
    <w:p w14:paraId="6C51EA6F" w14:textId="77777777" w:rsidR="00503C92" w:rsidRPr="00F122A6" w:rsidRDefault="0037644B" w:rsidP="00EE0D48">
      <w:pPr>
        <w:pStyle w:val="BodyText"/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“3. “Id-demel u l-prodotti jew il-materjali organiċi jew organaminerali, inkluż l-iskart, għandhom jintradmu kemm jista’ jkun malajr wara l-applikazzjoni, u dejjem fl-ewwel 24 siegħa, permezz ta’ moħriet mouldboard, moħriet chisel, moħriet rotanti, jew tagħmir li jiżgura xogħol ekwivalenti, sakemm ma tapplikax waħda miċ-ċirkostanzi li ġejjin:”</w:t>
      </w:r>
    </w:p>
    <w:p w14:paraId="1D9B8B0E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“L-awtoritajiet kompetenti tal-Komunitajiet Awtonomi, filwaqt li jqisu l-karatteristiċi agroklimatiċi tat-territorji tagħhom u t-tip ta’ materjal applikat, jistgħu jistabbilixxu perjodu massimu ta’ inqas minn 24 siegħa biex iwettqu dan l-irdim, meta dan ikun obbligatorju.”</w:t>
      </w:r>
    </w:p>
    <w:p w14:paraId="73324CC2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Sitta. Il-paragrafi 2, 3 u 4 tal-Artikolu 12 huma fformulati kif ġej:</w:t>
      </w:r>
    </w:p>
    <w:p w14:paraId="6BB7A2EA" w14:textId="77777777" w:rsidR="00503C92" w:rsidRPr="00F122A6" w:rsidRDefault="0037644B" w:rsidP="00EE0D48">
      <w:pPr>
        <w:pStyle w:val="BodyText"/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“2. Għandu jitħeġġeġ kemm jista’ jkun, l-użu ta’ prodotti fertilizzanti li jipproduċu inqas emissjonijiet tal-ammonijaka, inqas emissjonijiet ta’ gassijiet serra, jew li jnaqqsu r-riskju ta’ lissija tan-nitrati, filwaqt li jitqiesu l-karatteristiċi tal-ħamrija, tal-klima u tal-għelejjel.</w:t>
      </w:r>
    </w:p>
    <w:p w14:paraId="7EF1CF55" w14:textId="77777777" w:rsidR="00503C92" w:rsidRPr="00F122A6" w:rsidRDefault="0037644B" w:rsidP="00EE0D48">
      <w:pPr>
        <w:pStyle w:val="BodyText"/>
        <w:numPr>
          <w:ilvl w:val="0"/>
          <w:numId w:val="2"/>
        </w:numPr>
        <w:tabs>
          <w:tab w:val="left" w:pos="1290"/>
        </w:tabs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Meta jintużaw soluzzjonijiet tal-urea, jew tan-nitroġenu tal-urea, mill-inqas wieħed mill-metodi elenkati fil-Parti B tal-Anness V, kwalunkwe metodu ieħor li għalih tkun intweriet effiċjenza simili fiż-żmien tat-tnaqqis fl-emissjonijiet tal-ammonijaka jew iż-żamma ta’ reġistru diġitali tal-farms għandha tiġi implimentata mingħajr ma tkun obbligata li tagħmel dan mill-bqija tad-dispożizzjonijiet ta’ dan id-Digriet Reġju.</w:t>
      </w:r>
    </w:p>
    <w:p w14:paraId="1DABF87A" w14:textId="3D896EA7" w:rsidR="00503C92" w:rsidRPr="00F122A6" w:rsidRDefault="0037644B" w:rsidP="00EE0D48">
      <w:pPr>
        <w:pStyle w:val="BodyText"/>
        <w:numPr>
          <w:ilvl w:val="0"/>
          <w:numId w:val="2"/>
        </w:numPr>
        <w:tabs>
          <w:tab w:val="left" w:pos="1290"/>
        </w:tabs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Jekk, matul sena, jinstab li n-nitroġenu fornut mis-soluzzjonijiet tan-nitroġenu tal-urea u tal-urea jaqbeż it-30 % tan-nitroġenu totali mqiegħed fis-suq fil-livell nazzjonali, fl-istaġun ta’ wara l-azjendi li japplikaw aktar minn 20 % tal-ħtiġijiet tagħhom ta’ nitroġenu bl-użu ta’ soluzzjonijiet tal-urea jew tan-nitroġenu tal-urea għandhom jagħżlu mill-metodi fl-Anness V, il-Parti B, dawk li jiżguraw tnaqqis fl-emissjonijiet ta’ mill-inqas 30 % meta mqabbla mat-teknika ta’ referenza, f’konformità mal-istimi tal-gwida żviluppata mit-Task Force tal-Kummissjoni Ekonomika għall-Ewropa tan-Nazzjonijiet Uniti (UNECE) dwar “Opzjonijiet għall-mitigazzjoni tal-ammonijaka”. Għal dan l-għan, b’deċiżjoni tad-Direttorat Ġenerali għall-Produzzjonijiet u s-Swieq Agrikoli, l-ammont ta’ nitroġenu kkummerċjalizzat fil-forma ta’ soluzzjonijiet ta’ urea u nitroġenu tal-urea bħala proporzjon tat-total għandu jiġi ppubblikat kull sena. F’każ li l-Ministeru għat-Tranżizzjoni Ekoloġika u l-Isfida Demografika jiddetermina l-koeffiċjenti ta’ tnaqqis nazzjonali għal dawn it-tekniki, dawn għandhom jissostitwixxu dawk stabbiliti fil-gwida tal-UNECE msemmija hawn fuq.”</w:t>
      </w:r>
    </w:p>
    <w:p w14:paraId="696818E4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Sebgħa. L-Artikolu 15(1) huwa riformulat, u jiddaħħal paragrafu 6 kif ġej:</w:t>
      </w:r>
    </w:p>
    <w:p w14:paraId="598FC1FC" w14:textId="77777777" w:rsidR="00503C92" w:rsidRPr="00F122A6" w:rsidRDefault="0037644B" w:rsidP="00EE0D48">
      <w:pPr>
        <w:pStyle w:val="BodyText"/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 xml:space="preserve">“1. Il-materjali msemmija fl-artikolu preċedenti, meta jintużaw bħala tejjieba tal-ħamrija, għandhom jiġu applikati biss fuq ħamrija mhux ikkultivata u, meta jiġu applikati fuq pjantaġġuni b’siġar jew fuq għelejjel permanenti li jinħartu bħall-banana u l-papajja, </w:t>
      </w:r>
      <w:r>
        <w:rPr>
          <w:rStyle w:val="BodyTextChar"/>
          <w:sz w:val="20"/>
        </w:rPr>
        <w:lastRenderedPageBreak/>
        <w:t>dan għandu jsir direttament fil-ħamrija u qabel tmiem il-perjodu ta’ mistrieħ fix-xitwa. Fil-każ ta’ mergħat permanenti, dawn jistgħu jiġu applikati bl-awtorizzazzjoni tal-Komunità Awtonoma. Meta jiġu applikati għall-użu tan-nutrijenti tagħhom bħala fertilizzanti, jekk jiġu applikati fuq art b’għalla mħawla, dawn ma għandhomx jiġu f’kuntatt mal-parti tal-għalla maħsuba għall-konsum.”</w:t>
      </w:r>
    </w:p>
    <w:p w14:paraId="7B11D49C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“6. Fil-Komunitajiet Awtonomi li ma għandhom l-ebda leġiżlazzjoni applikabbli qabel ir-regolament previst f’din ir-regola, l-iskart likwidu li jista’ jiġi rkuprat, ħlief il-ħama, li jintuża biex jipprovdi nutrijenti lill-għelejjel, għandu jiġi applikat billi jippermetti li jgħaddu mill-inqas xahrejn bejn l-applikazzjoni u l-ħsad. Madankollu, dan il-perjodu jista’ jitnaqqas għal 21 jum fil-każijiet li ġejjin:</w:t>
      </w:r>
    </w:p>
    <w:p w14:paraId="76164C5F" w14:textId="77777777" w:rsidR="00503C92" w:rsidRPr="00F122A6" w:rsidRDefault="0037644B" w:rsidP="00EE0D48">
      <w:pPr>
        <w:pStyle w:val="BodyText"/>
        <w:numPr>
          <w:ilvl w:val="0"/>
          <w:numId w:val="3"/>
        </w:numPr>
        <w:tabs>
          <w:tab w:val="left" w:pos="1304"/>
        </w:tabs>
        <w:spacing w:after="0"/>
        <w:ind w:left="1560" w:right="1830" w:firstLine="920"/>
        <w:jc w:val="both"/>
        <w:rPr>
          <w:sz w:val="20"/>
        </w:rPr>
      </w:pPr>
      <w:r>
        <w:rPr>
          <w:rStyle w:val="BodyTextChar"/>
          <w:sz w:val="20"/>
        </w:rPr>
        <w:t>il-ħsad ma huwiex maħsub għall-konsum mill-bniedem jew mill-annimali; jew</w:t>
      </w:r>
    </w:p>
    <w:p w14:paraId="507CC156" w14:textId="77777777" w:rsidR="00503C92" w:rsidRPr="00F122A6" w:rsidRDefault="0037644B" w:rsidP="00BB487E">
      <w:pPr>
        <w:pStyle w:val="BodyText"/>
        <w:numPr>
          <w:ilvl w:val="0"/>
          <w:numId w:val="3"/>
        </w:numPr>
        <w:tabs>
          <w:tab w:val="left" w:pos="1300"/>
        </w:tabs>
        <w:ind w:left="2127" w:right="1830"/>
        <w:jc w:val="both"/>
        <w:rPr>
          <w:sz w:val="20"/>
        </w:rPr>
      </w:pPr>
      <w:r>
        <w:rPr>
          <w:rStyle w:val="BodyTextChar"/>
          <w:sz w:val="20"/>
        </w:rPr>
        <w:t>il-forma ta’ kultivazzjoni jew is-sistema ta’ applikazzjoni tal-materjal jiżguraw li l-iskart ma jiġix f’kuntatt mal-partijiet li jittieklu tal-għalla.”</w:t>
      </w:r>
    </w:p>
    <w:p w14:paraId="5D11DE93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Tmienja. L-ewwel subparagrafu tal-Artikolu 20 huwa fformulat kif ġej:</w:t>
      </w:r>
    </w:p>
    <w:p w14:paraId="1194A18B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“Il-parir dwar l-aspetti differenti tal-fertilizzazzjoni msemmija f’dan id-Digriet Reġju għandu jingħata minn tekniku li jista’ jagħti prova tal-istatus tiegħu ta’ konsulent tal-fertilizzazzjoni skont ir-rekwiżiti stabbiliti fl-Artikolu 21. Madankollu, meta l-awtorità kompetenti tal-Komunità Awtonoma tipprevedi dan, jistgħu jiġu ssodisfati obbligi ta’ konsulenza jekk is-sid tal-azjenda juża software ta’ rakkomandazzjoni għall-fertilizzazzjoni, approvat minn dik l-awtorità kompetenti, f’konformità mar-rekwiżiti minimi stabbiliti fl-Anness III, il-Parti III, dment li s-sid iżomm reġistru diġitali tal-farms.”</w:t>
      </w:r>
    </w:p>
    <w:p w14:paraId="0E0619CE" w14:textId="77777777" w:rsidR="00503C92" w:rsidRPr="00F122A6" w:rsidRDefault="0037644B" w:rsidP="00EE0D48">
      <w:pPr>
        <w:pStyle w:val="BodyText"/>
        <w:spacing w:after="18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Disgħa. Id-dispożizzjoni tranżitorja unika taqra kif ġej:</w:t>
      </w:r>
    </w:p>
    <w:p w14:paraId="1B18B22E" w14:textId="77777777" w:rsidR="00503C92" w:rsidRPr="00F122A6" w:rsidRDefault="0037644B" w:rsidP="00BB487E">
      <w:pPr>
        <w:pStyle w:val="BodyText"/>
        <w:spacing w:line="257" w:lineRule="auto"/>
        <w:ind w:left="1985" w:right="1830" w:hanging="340"/>
        <w:jc w:val="both"/>
        <w:rPr>
          <w:sz w:val="20"/>
          <w:szCs w:val="20"/>
        </w:rPr>
      </w:pPr>
      <w:r>
        <w:rPr>
          <w:rStyle w:val="BodyTextChar"/>
          <w:sz w:val="20"/>
        </w:rPr>
        <w:t xml:space="preserve">Dispożizzjoni tranżitorja unika. </w:t>
      </w:r>
      <w:r>
        <w:rPr>
          <w:rStyle w:val="BodyTextChar"/>
          <w:i/>
          <w:sz w:val="20"/>
        </w:rPr>
        <w:t>L-applikazzjoni tal-iskart permezz tal-operazzjoni R1001 L-Irkupru tal-Iskart fil-Ħamrija Agrikola u l-Ġardinaġġ.</w:t>
      </w:r>
    </w:p>
    <w:p w14:paraId="1D7846FC" w14:textId="720A5B50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Fil-każ ta’ skart li jkun ġie awtorizzat mill-awtorità ambjentali kompetenti biex jiġi ġestit bħala R1001 għall-Irkupru tal-Iskart fil-Ħamrija Agrikola u l-Ġardinaġġ, li jiċċertifika għal dan l-għan dokumentazzjoni b’deskrizzjoni tal-proċess u l-karatterizzazzjonijiet analitiċi, qabel id-dħul fis-seħħ ta’ dan id-Digriet Reġju, il-produttur tal-iskart għandu jkollu perjodu ta’ 3 snin mill-pubblikazzjoni ta’ dan id-Digriet Reġju biex ikompli bl-immaniġġjar tiegħu, u biex jippreżenta rapport għall-emenda, meta xieraq, tal-Anness VIII.”</w:t>
      </w:r>
    </w:p>
    <w:p w14:paraId="2A47F4D6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Għaxra. Is-subparagrafu (iii) tal-Anness II huwa fformulat kif ġej:</w:t>
      </w:r>
    </w:p>
    <w:p w14:paraId="059223B0" w14:textId="77777777" w:rsidR="00EE0D48" w:rsidRPr="00F122A6" w:rsidRDefault="0037644B" w:rsidP="00EE0D48">
      <w:pPr>
        <w:pStyle w:val="BodyText"/>
        <w:ind w:left="1560" w:right="1830"/>
        <w:jc w:val="both"/>
        <w:rPr>
          <w:rStyle w:val="BodyTextChar"/>
          <w:sz w:val="20"/>
        </w:rPr>
      </w:pPr>
      <w:r>
        <w:rPr>
          <w:rStyle w:val="BodyTextChar"/>
          <w:sz w:val="20"/>
        </w:rPr>
        <w:t>“iii) jekk jintużaw tekniki ta’ mitigazzjoni tal-lissija bħal polimeri, inibituri, eċċ., ċerti prodotti b’rilaxx imdewwem jistgħu jiġu esklużi mill-projbizzjoni tal-applikazzjoni matul ċerti perjodi”.</w:t>
      </w:r>
    </w:p>
    <w:p w14:paraId="7DE01383" w14:textId="0A5F5024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Ħdax. L-ewwel subparagrafu tal-Parti III tal-Anness III huwa fformulat kif ġej:</w:t>
      </w:r>
    </w:p>
    <w:p w14:paraId="18597F81" w14:textId="77777777" w:rsidR="00503C92" w:rsidRPr="00F122A6" w:rsidRDefault="0037644B" w:rsidP="00EE0D48">
      <w:pPr>
        <w:pStyle w:val="BodyText"/>
        <w:spacing w:after="14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“L-obbligi ta’ konsulenza stabbiliti b’dan id-Digriet Reġju għandhom jitqiesu li ġew issodisfati meta l-bidwi jżomm reġistru diġitali tal-farms, u jekk jintużaw għodod jew applikazzjonijiet tal-IT biex jiġu ppreparati l-kalkoli tal-ħtiġijiet nutrittivi tal-għelejjel u tiġi pprovduta proposta għal fertilizzant, dment dawn ikunu ġew approvati mill-awtorità kompetenti tal-Komunità Awtonoma fejn għandhom jintużaw.”</w:t>
      </w:r>
    </w:p>
    <w:p w14:paraId="3C7D3588" w14:textId="77777777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Tnax. L-aħħar ringiela tat-tabella stabbilita fil-paragrafu 1 tal-Parti A tal-Anness IV hija sostitwita biż-żewġ ringieli li ġejjin, u l-paragrafu 2 jaqra kif ġej:</w:t>
      </w:r>
    </w:p>
    <w:tbl>
      <w:tblPr>
        <w:tblOverlap w:val="never"/>
        <w:tblW w:w="0" w:type="auto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47"/>
        <w:gridCol w:w="2076"/>
        <w:gridCol w:w="3581"/>
      </w:tblGrid>
      <w:tr w:rsidR="00503C92" w:rsidRPr="00F122A6" w14:paraId="22C71BE9" w14:textId="77777777" w:rsidTr="00F122A6">
        <w:trPr>
          <w:trHeight w:hRule="exact" w:val="374"/>
          <w:jc w:val="center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2A7B68B1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sz w:val="16"/>
              </w:rPr>
              <w:t>Kolonna 1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5B6C1050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sz w:val="16"/>
              </w:rPr>
              <w:t>Kolonna 2</w:t>
            </w:r>
          </w:p>
        </w:tc>
        <w:tc>
          <w:tcPr>
            <w:tcW w:w="3581" w:type="dxa"/>
            <w:shd w:val="clear" w:color="auto" w:fill="D9D9D9" w:themeFill="background1" w:themeFillShade="D9"/>
            <w:vAlign w:val="center"/>
          </w:tcPr>
          <w:p w14:paraId="5BBAA7E0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sz w:val="16"/>
              </w:rPr>
              <w:t>Kolonna 3</w:t>
            </w:r>
          </w:p>
        </w:tc>
      </w:tr>
      <w:tr w:rsidR="00503C92" w:rsidRPr="00F122A6" w14:paraId="20ED82A6" w14:textId="77777777" w:rsidTr="00F122A6">
        <w:trPr>
          <w:trHeight w:hRule="exact" w:val="566"/>
          <w:jc w:val="center"/>
        </w:trPr>
        <w:tc>
          <w:tcPr>
            <w:tcW w:w="1747" w:type="dxa"/>
            <w:shd w:val="clear" w:color="auto" w:fill="D9D9D9" w:themeFill="background1" w:themeFillShade="D9"/>
            <w:vAlign w:val="center"/>
          </w:tcPr>
          <w:p w14:paraId="4B8683D3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sz w:val="16"/>
              </w:rPr>
              <w:lastRenderedPageBreak/>
              <w:t>Metalli tqal</w:t>
            </w:r>
          </w:p>
        </w:tc>
        <w:tc>
          <w:tcPr>
            <w:tcW w:w="2076" w:type="dxa"/>
            <w:shd w:val="clear" w:color="auto" w:fill="D9D9D9" w:themeFill="background1" w:themeFillShade="D9"/>
            <w:vAlign w:val="center"/>
          </w:tcPr>
          <w:p w14:paraId="027C08C0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sz w:val="16"/>
              </w:rPr>
              <w:t>Valuri ta’ limitu (mg/kg ms)</w:t>
            </w:r>
          </w:p>
        </w:tc>
        <w:tc>
          <w:tcPr>
            <w:tcW w:w="3581" w:type="dxa"/>
            <w:shd w:val="clear" w:color="auto" w:fill="D9D9D9" w:themeFill="background1" w:themeFillShade="D9"/>
            <w:vAlign w:val="center"/>
          </w:tcPr>
          <w:p w14:paraId="6B687215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6"/>
                <w:szCs w:val="16"/>
              </w:rPr>
            </w:pPr>
            <w:r>
              <w:rPr>
                <w:rStyle w:val="Other"/>
                <w:b/>
                <w:sz w:val="16"/>
              </w:rPr>
              <w:t>Valuri ta’ limitu (mg/kg ms) imsemmija fl-Artikolu 8(2)</w:t>
            </w:r>
          </w:p>
        </w:tc>
      </w:tr>
      <w:tr w:rsidR="00503C92" w:rsidRPr="00F122A6" w14:paraId="5A358BE6" w14:textId="77777777" w:rsidTr="00F122A6">
        <w:trPr>
          <w:trHeight w:hRule="exact" w:val="336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52B9DDD0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“Total ta’ arseniku (As)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3F7F67A7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40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15B84B83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0.8</w:t>
            </w:r>
          </w:p>
        </w:tc>
      </w:tr>
      <w:tr w:rsidR="00503C92" w:rsidRPr="00F122A6" w14:paraId="24C9545C" w14:textId="77777777" w:rsidTr="00F122A6">
        <w:trPr>
          <w:trHeight w:hRule="exact" w:val="346"/>
          <w:jc w:val="center"/>
        </w:trPr>
        <w:tc>
          <w:tcPr>
            <w:tcW w:w="1747" w:type="dxa"/>
            <w:shd w:val="clear" w:color="auto" w:fill="auto"/>
            <w:vAlign w:val="center"/>
          </w:tcPr>
          <w:p w14:paraId="5344CFF1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Kromju (Cr)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11EA4524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1000</w:t>
            </w:r>
          </w:p>
        </w:tc>
        <w:tc>
          <w:tcPr>
            <w:tcW w:w="3581" w:type="dxa"/>
            <w:shd w:val="clear" w:color="auto" w:fill="auto"/>
            <w:vAlign w:val="center"/>
          </w:tcPr>
          <w:p w14:paraId="636B41D4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20”</w:t>
            </w:r>
          </w:p>
        </w:tc>
      </w:tr>
    </w:tbl>
    <w:p w14:paraId="5AB607F1" w14:textId="77777777" w:rsidR="00503C92" w:rsidRPr="00F122A6" w:rsidRDefault="00503C92" w:rsidP="00EE0D48">
      <w:pPr>
        <w:spacing w:after="239" w:line="1" w:lineRule="exact"/>
        <w:ind w:left="1560" w:right="1830"/>
      </w:pPr>
    </w:p>
    <w:p w14:paraId="145B7D13" w14:textId="5681DD89" w:rsidR="00503C92" w:rsidRPr="00F122A6" w:rsidRDefault="008A217F" w:rsidP="008A217F">
      <w:pPr>
        <w:pStyle w:val="BodyText"/>
        <w:tabs>
          <w:tab w:val="left" w:pos="1278"/>
        </w:tabs>
        <w:spacing w:after="140"/>
        <w:ind w:left="1900" w:right="1830" w:firstLine="510"/>
        <w:jc w:val="both"/>
        <w:rPr>
          <w:sz w:val="20"/>
        </w:rPr>
      </w:pPr>
      <w:r>
        <w:rPr>
          <w:rStyle w:val="BodyTextChar"/>
          <w:sz w:val="20"/>
        </w:rPr>
        <w:t>“2. Il-valuri ta’ metalli tqal ta’ skart applikati għall-ħamrija għandhom jiġu rreġistrati reġistru tal-farms imsemmi fl-Artikolu 5 ta’ dan id-Digriet Reġju.”</w:t>
      </w:r>
    </w:p>
    <w:p w14:paraId="14D9F12F" w14:textId="77777777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Tlettax. Tiżdied ir-ringiela li ġejja fl-aħħar tat-tabella fil-Parti B tal-Anness IV bil-kontenut li ġej:</w:t>
      </w:r>
    </w:p>
    <w:tbl>
      <w:tblPr>
        <w:tblOverlap w:val="never"/>
        <w:tblW w:w="0" w:type="auto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734"/>
        <w:gridCol w:w="744"/>
      </w:tblGrid>
      <w:tr w:rsidR="00503C92" w:rsidRPr="00F122A6" w14:paraId="59708D39" w14:textId="77777777" w:rsidTr="008A217F">
        <w:trPr>
          <w:trHeight w:hRule="exact" w:val="350"/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08066328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“Kromju (Cr)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7816A927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60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644324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100”</w:t>
            </w:r>
          </w:p>
        </w:tc>
      </w:tr>
    </w:tbl>
    <w:p w14:paraId="4DE6B90B" w14:textId="77777777" w:rsidR="00503C92" w:rsidRPr="00F122A6" w:rsidRDefault="00503C92" w:rsidP="00EE0D48">
      <w:pPr>
        <w:spacing w:after="239" w:line="1" w:lineRule="exact"/>
        <w:ind w:left="1560" w:right="1830"/>
      </w:pPr>
    </w:p>
    <w:p w14:paraId="2755C612" w14:textId="77777777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Erbatax. Tiżdied ringiela fl-aħħar tat-tabella stabbilita fil-paragrafu 1 tal-Parti C tal-Anness IV bil-kontenut li ġej:</w:t>
      </w:r>
    </w:p>
    <w:tbl>
      <w:tblPr>
        <w:tblOverlap w:val="never"/>
        <w:tblW w:w="0" w:type="auto"/>
        <w:jc w:val="center"/>
        <w:tblBorders>
          <w:top w:val="single" w:sz="4" w:space="0" w:color="ADADAD" w:themeColor="background2" w:themeShade="BF"/>
          <w:left w:val="single" w:sz="4" w:space="0" w:color="ADADAD" w:themeColor="background2" w:themeShade="BF"/>
          <w:bottom w:val="single" w:sz="4" w:space="0" w:color="ADADAD" w:themeColor="background2" w:themeShade="BF"/>
          <w:right w:val="single" w:sz="4" w:space="0" w:color="ADADAD" w:themeColor="background2" w:themeShade="BF"/>
          <w:insideH w:val="single" w:sz="4" w:space="0" w:color="ADADAD" w:themeColor="background2" w:themeShade="BF"/>
          <w:insideV w:val="single" w:sz="4" w:space="0" w:color="ADADAD" w:themeColor="background2" w:themeShade="BF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83"/>
        <w:gridCol w:w="734"/>
        <w:gridCol w:w="744"/>
      </w:tblGrid>
      <w:tr w:rsidR="00503C92" w:rsidRPr="00F122A6" w14:paraId="43508A47" w14:textId="77777777" w:rsidTr="008A217F">
        <w:trPr>
          <w:trHeight w:hRule="exact" w:val="350"/>
          <w:jc w:val="center"/>
        </w:trPr>
        <w:tc>
          <w:tcPr>
            <w:tcW w:w="1483" w:type="dxa"/>
            <w:shd w:val="clear" w:color="auto" w:fill="auto"/>
            <w:vAlign w:val="center"/>
          </w:tcPr>
          <w:p w14:paraId="209C69AC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“Kromju (Cr)</w:t>
            </w:r>
          </w:p>
        </w:tc>
        <w:tc>
          <w:tcPr>
            <w:tcW w:w="734" w:type="dxa"/>
            <w:shd w:val="clear" w:color="auto" w:fill="auto"/>
            <w:vAlign w:val="center"/>
          </w:tcPr>
          <w:p w14:paraId="2B8EA9C0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2400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B13026B" w14:textId="77777777" w:rsidR="00503C92" w:rsidRPr="00F122A6" w:rsidRDefault="0037644B" w:rsidP="00F122A6">
            <w:pPr>
              <w:pStyle w:val="Other0"/>
              <w:spacing w:after="0" w:line="240" w:lineRule="auto"/>
              <w:ind w:left="57" w:right="57" w:firstLine="0"/>
              <w:jc w:val="center"/>
              <w:rPr>
                <w:sz w:val="17"/>
                <w:szCs w:val="17"/>
              </w:rPr>
            </w:pPr>
            <w:r>
              <w:rPr>
                <w:rStyle w:val="Other"/>
                <w:sz w:val="17"/>
              </w:rPr>
              <w:t>48”</w:t>
            </w:r>
          </w:p>
        </w:tc>
      </w:tr>
    </w:tbl>
    <w:p w14:paraId="03D5A39B" w14:textId="77777777" w:rsidR="00503C92" w:rsidRPr="00F122A6" w:rsidRDefault="00503C92" w:rsidP="00EE0D48">
      <w:pPr>
        <w:spacing w:after="239" w:line="1" w:lineRule="exact"/>
        <w:ind w:left="1560" w:right="1830"/>
      </w:pPr>
    </w:p>
    <w:p w14:paraId="35F234AC" w14:textId="77777777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Ħmistax. L-Anness V, il-Parti A, il-punti (f) u (g) huma emendati, u jiżdiedu żewġ punti ġodda (h) u (i) bil-kontenut li ġej:</w:t>
      </w:r>
    </w:p>
    <w:p w14:paraId="27DB6947" w14:textId="77777777" w:rsidR="00503C92" w:rsidRPr="00F122A6" w:rsidRDefault="0037644B" w:rsidP="008A217F">
      <w:pPr>
        <w:pStyle w:val="BodyText"/>
        <w:spacing w:after="0"/>
        <w:ind w:left="1560" w:right="1830" w:firstLine="283"/>
        <w:jc w:val="both"/>
        <w:rPr>
          <w:sz w:val="20"/>
        </w:rPr>
      </w:pPr>
      <w:r>
        <w:rPr>
          <w:rStyle w:val="BodyTextChar"/>
          <w:sz w:val="20"/>
        </w:rPr>
        <w:t>“f) L-użu ta’ demel likwidu aċidifikat jew inibituri tal-ureażi.</w:t>
      </w:r>
    </w:p>
    <w:p w14:paraId="27628483" w14:textId="77777777" w:rsidR="00503C92" w:rsidRPr="00F122A6" w:rsidRDefault="0037644B" w:rsidP="00EE0D48">
      <w:pPr>
        <w:pStyle w:val="BodyText"/>
        <w:numPr>
          <w:ilvl w:val="0"/>
          <w:numId w:val="4"/>
        </w:numPr>
        <w:tabs>
          <w:tab w:val="left" w:pos="1248"/>
        </w:tabs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L-użu ta’ inibituri tal-ureażi jew inibituri tan-nitrifikazzjoni, b’superviżjoni professjonali fil-każ ta’ applikazzjoni diretta fil-ħamrija.</w:t>
      </w:r>
    </w:p>
    <w:p w14:paraId="09826684" w14:textId="77777777" w:rsidR="00503C92" w:rsidRPr="00F122A6" w:rsidRDefault="0037644B" w:rsidP="00EE0D48">
      <w:pPr>
        <w:pStyle w:val="BodyText"/>
        <w:numPr>
          <w:ilvl w:val="0"/>
          <w:numId w:val="4"/>
        </w:numPr>
        <w:tabs>
          <w:tab w:val="left" w:pos="1248"/>
        </w:tabs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L-ikkompostjar jew il-bijodiġestjoni li jiżguraw kontenut finali ta’ nitroġenu ammonijaku ta’ inqas minn 0.6 %, espress bħala nitroġenu (N) fir-rigward tal-piż frisk tal-materjal.</w:t>
      </w:r>
    </w:p>
    <w:p w14:paraId="6AA39005" w14:textId="77777777" w:rsidR="00503C92" w:rsidRPr="00F122A6" w:rsidRDefault="0037644B" w:rsidP="00EE0D48">
      <w:pPr>
        <w:pStyle w:val="BodyText"/>
        <w:numPr>
          <w:ilvl w:val="0"/>
          <w:numId w:val="4"/>
        </w:numPr>
        <w:tabs>
          <w:tab w:val="left" w:pos="1248"/>
        </w:tabs>
        <w:spacing w:after="14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Irdim ta’ demel fl-ewwel 12-il siegħa wara l-applikazzjoni, permezz ta’ moħriet mouldboard, moħriet chisel, moħriet rotanti, jew tagħmir li jiżgura xogħol ekwivalenti, ħlief fiż-żrigħ dirett, fl-agrikoltura ta’ konservazzjoni jew fil-mergħat.”</w:t>
      </w:r>
    </w:p>
    <w:p w14:paraId="1FD90741" w14:textId="125DFFD4" w:rsidR="00503C92" w:rsidRPr="00F122A6" w:rsidRDefault="0037644B" w:rsidP="00EE0D48">
      <w:pPr>
        <w:pStyle w:val="BodyText"/>
        <w:spacing w:after="140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>Sittax. Il-punti (a) u (e) tal-paragrafu 1 tal-Parti 1 tal-Anness VIII huma fformulati kif ġej, u jiddaħħlu l-punti (g), (h), (i) u (j) il-ġodda, bil-kontenut li ġej:</w:t>
      </w:r>
    </w:p>
    <w:p w14:paraId="63F8109E" w14:textId="20477922" w:rsidR="00503C92" w:rsidRPr="00F122A6" w:rsidRDefault="0037644B" w:rsidP="00EE0D48">
      <w:pPr>
        <w:pStyle w:val="BodyText"/>
        <w:spacing w:after="14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“a) Materjali li, mingħajr ma jkunu ntużaw fil-manifattura ta’ prodott fertilizzanti, jikkonformaw mar-rekwiżiti kollha tas-CMCs 3, 4, 5, 6, 12, 13 u 14 tal-Anness II tar-Regolament (UE) 2019/1009. Għall-irkupru fil-ħamrija bħala skart, mhuwiex meħtieġ li jkun hemm konformità mar-rekwiżit tal-punt 2 tas-CMC 1 meta jiġi applikat għall-kategoriji elenkati hawn fuq.”</w:t>
      </w:r>
    </w:p>
    <w:p w14:paraId="3EA26C98" w14:textId="77777777" w:rsidR="00503C92" w:rsidRPr="00F122A6" w:rsidRDefault="0037644B" w:rsidP="00BB487E">
      <w:pPr>
        <w:pStyle w:val="BodyText"/>
        <w:keepNext/>
        <w:keepLines/>
        <w:spacing w:after="0"/>
        <w:ind w:left="1559" w:right="1831"/>
        <w:jc w:val="both"/>
        <w:rPr>
          <w:sz w:val="20"/>
        </w:rPr>
      </w:pPr>
      <w:r>
        <w:rPr>
          <w:rStyle w:val="BodyTextChar"/>
          <w:sz w:val="20"/>
        </w:rPr>
        <w:t>“e) Ħama inkluża fl-Anness I tal-Ordni AAA/1072/2013 tas-7 ta’ Ġunju 2013, dment li tkun ġiet ittrattata f’konformità mad-dispożizzjonijiet tad-Digriet Reġju 1310/1990 tad-29 ta’ Ottubru 1990.”</w:t>
      </w:r>
    </w:p>
    <w:p w14:paraId="782CCBF9" w14:textId="77777777" w:rsidR="00503C92" w:rsidRPr="00F122A6" w:rsidRDefault="0037644B" w:rsidP="00EE0D48">
      <w:pPr>
        <w:pStyle w:val="BodyText"/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“g) Il-materjali li, għalkemm ma jikkonformawx mar-rekwiżiti tat-trattament stabbiliti fis-CMCs 3, 4 u 5, kif applikabbli, tar-Regolament 2019/1009, jissodisfaw ir-rekwiżiti għall-materjali ta’ input fir-rigward tal-istabbiltà, tal-impuritajiet u tal-kontaminanti.</w:t>
      </w:r>
    </w:p>
    <w:p w14:paraId="6999F79B" w14:textId="77777777" w:rsidR="00503C92" w:rsidRPr="00F122A6" w:rsidRDefault="0037644B" w:rsidP="00EE0D48">
      <w:pPr>
        <w:pStyle w:val="BodyText"/>
        <w:numPr>
          <w:ilvl w:val="0"/>
          <w:numId w:val="5"/>
        </w:numPr>
        <w:tabs>
          <w:tab w:val="left" w:pos="1273"/>
        </w:tabs>
        <w:spacing w:after="0"/>
        <w:ind w:left="1560" w:right="1830" w:firstLine="920"/>
        <w:jc w:val="both"/>
        <w:rPr>
          <w:sz w:val="20"/>
        </w:rPr>
      </w:pPr>
      <w:r>
        <w:rPr>
          <w:rStyle w:val="BodyTextChar"/>
          <w:sz w:val="20"/>
        </w:rPr>
        <w:t>Skart mill-mitħna taż-żejt.</w:t>
      </w:r>
    </w:p>
    <w:p w14:paraId="52BCE1BB" w14:textId="77777777" w:rsidR="00503C92" w:rsidRPr="00F122A6" w:rsidRDefault="0037644B" w:rsidP="00EE0D48">
      <w:pPr>
        <w:pStyle w:val="BodyText"/>
        <w:numPr>
          <w:ilvl w:val="0"/>
          <w:numId w:val="5"/>
        </w:numPr>
        <w:tabs>
          <w:tab w:val="left" w:pos="1206"/>
        </w:tabs>
        <w:spacing w:after="0"/>
        <w:ind w:left="1560" w:right="1830" w:firstLine="920"/>
        <w:jc w:val="both"/>
        <w:rPr>
          <w:sz w:val="20"/>
        </w:rPr>
      </w:pPr>
      <w:r>
        <w:rPr>
          <w:rStyle w:val="BodyTextChar"/>
          <w:sz w:val="20"/>
        </w:rPr>
        <w:t>Karfa tal-inbid.</w:t>
      </w:r>
    </w:p>
    <w:p w14:paraId="332C9668" w14:textId="77777777" w:rsidR="00503C92" w:rsidRDefault="0037644B" w:rsidP="008A217F">
      <w:pPr>
        <w:pStyle w:val="BodyText"/>
        <w:numPr>
          <w:ilvl w:val="0"/>
          <w:numId w:val="5"/>
        </w:numPr>
        <w:spacing w:after="0"/>
        <w:ind w:left="1560" w:right="1830" w:firstLine="920"/>
        <w:jc w:val="both"/>
        <w:rPr>
          <w:rStyle w:val="BodyTextChar"/>
          <w:sz w:val="20"/>
        </w:rPr>
      </w:pPr>
      <w:r>
        <w:rPr>
          <w:rStyle w:val="BodyTextChar"/>
          <w:sz w:val="20"/>
        </w:rPr>
        <w:t>Taħlitiet ta’ dan ta’ hawn fuq, dment li jkun hemm konformità mar-restrizzjonijiet l-aktar limitati ta’ kull wieħed mill-komponenti.”</w:t>
      </w:r>
    </w:p>
    <w:p w14:paraId="2B0EA9E3" w14:textId="77777777" w:rsidR="008A217F" w:rsidRPr="00F122A6" w:rsidRDefault="008A217F" w:rsidP="008A217F">
      <w:pPr>
        <w:pStyle w:val="BodyText"/>
        <w:tabs>
          <w:tab w:val="left" w:pos="1207"/>
        </w:tabs>
        <w:spacing w:after="0"/>
        <w:ind w:left="2480" w:right="1830" w:firstLine="0"/>
        <w:jc w:val="both"/>
        <w:rPr>
          <w:sz w:val="20"/>
        </w:rPr>
      </w:pPr>
    </w:p>
    <w:p w14:paraId="5092D498" w14:textId="77777777" w:rsidR="00503C92" w:rsidRPr="00F122A6" w:rsidRDefault="0037644B" w:rsidP="00EE0D48">
      <w:pPr>
        <w:pStyle w:val="BodyText"/>
        <w:ind w:left="1560" w:right="1830" w:firstLine="360"/>
        <w:jc w:val="both"/>
        <w:rPr>
          <w:sz w:val="20"/>
        </w:rPr>
      </w:pPr>
      <w:r>
        <w:rPr>
          <w:rStyle w:val="BodyTextChar"/>
          <w:sz w:val="20"/>
        </w:rPr>
        <w:t xml:space="preserve">Sbatax. Il-paragrafi 1 u 2 tal-Parti 2 tal-Anness VIII huma riformulati, u jiddaħħlu żewġ </w:t>
      </w:r>
      <w:r>
        <w:rPr>
          <w:rStyle w:val="BodyTextChar"/>
          <w:sz w:val="20"/>
        </w:rPr>
        <w:lastRenderedPageBreak/>
        <w:t>paragrafi 7 u 8 ġodda kif ġej:</w:t>
      </w:r>
    </w:p>
    <w:p w14:paraId="2BF2A9A1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“1. Il-materjali ta’ CMCs 3, 4 u 5, miksuba f’konformità mal-Anness II tar-Regolament (UE) 2019/1009 tal-Parlament Ewropew u tal-Kunsill tal-5 ta’ Ġunju 2019:</w:t>
      </w:r>
    </w:p>
    <w:p w14:paraId="17625A3C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Jikkonformaw mar-rekwiżiti kollha ta’ dak l-Anness, inkluż l-oriġini tal-materjali ta’ input, u l-parametri li ġejjin:</w:t>
      </w:r>
    </w:p>
    <w:p w14:paraId="332C73FC" w14:textId="0ED2C2D6" w:rsidR="00503C92" w:rsidRPr="00F122A6" w:rsidRDefault="0037644B" w:rsidP="00BB487E">
      <w:pPr>
        <w:pStyle w:val="BodyText"/>
        <w:numPr>
          <w:ilvl w:val="0"/>
          <w:numId w:val="6"/>
        </w:numPr>
        <w:tabs>
          <w:tab w:val="left" w:pos="1230"/>
        </w:tabs>
        <w:spacing w:after="0" w:line="276" w:lineRule="auto"/>
        <w:ind w:left="1985" w:right="1830" w:firstLine="567"/>
        <w:jc w:val="both"/>
        <w:rPr>
          <w:sz w:val="20"/>
        </w:rPr>
      </w:pPr>
      <w:r>
        <w:rPr>
          <w:rStyle w:val="BodyTextChar"/>
          <w:sz w:val="20"/>
        </w:rPr>
        <w:t>Total tal-materja organika ≥ 25 % f’materja niexfa.</w:t>
      </w:r>
    </w:p>
    <w:p w14:paraId="4B6A4943" w14:textId="77777777" w:rsidR="00503C92" w:rsidRPr="00F122A6" w:rsidRDefault="0037644B" w:rsidP="00BB487E">
      <w:pPr>
        <w:pStyle w:val="BodyText"/>
        <w:numPr>
          <w:ilvl w:val="0"/>
          <w:numId w:val="6"/>
        </w:numPr>
        <w:tabs>
          <w:tab w:val="left" w:pos="1230"/>
        </w:tabs>
        <w:spacing w:after="0" w:line="276" w:lineRule="auto"/>
        <w:ind w:left="1985" w:right="1830" w:firstLine="567"/>
        <w:jc w:val="both"/>
        <w:rPr>
          <w:sz w:val="20"/>
          <w:szCs w:val="20"/>
        </w:rPr>
      </w:pPr>
      <w:r>
        <w:rPr>
          <w:rStyle w:val="BodyTextChar"/>
          <w:sz w:val="20"/>
        </w:rPr>
        <w:t xml:space="preserve">Dikjarazzjoni tal-kontenut ta’ </w:t>
      </w:r>
      <w:r>
        <w:rPr>
          <w:rStyle w:val="BodyTextChar"/>
          <w:i/>
          <w:sz w:val="20"/>
        </w:rPr>
        <w:t>Salmonella</w:t>
      </w:r>
      <w:r>
        <w:rPr>
          <w:rStyle w:val="BodyTextChar"/>
          <w:sz w:val="20"/>
        </w:rPr>
        <w:t>.</w:t>
      </w:r>
    </w:p>
    <w:p w14:paraId="47896A74" w14:textId="77777777" w:rsidR="00503C92" w:rsidRPr="00F122A6" w:rsidRDefault="0037644B" w:rsidP="00BB487E">
      <w:pPr>
        <w:pStyle w:val="BodyText"/>
        <w:numPr>
          <w:ilvl w:val="0"/>
          <w:numId w:val="6"/>
        </w:numPr>
        <w:tabs>
          <w:tab w:val="left" w:pos="1230"/>
        </w:tabs>
        <w:spacing w:after="0" w:line="276" w:lineRule="auto"/>
        <w:ind w:left="1985" w:right="1830" w:firstLine="567"/>
        <w:jc w:val="both"/>
        <w:rPr>
          <w:sz w:val="20"/>
          <w:szCs w:val="20"/>
        </w:rPr>
      </w:pPr>
      <w:r>
        <w:rPr>
          <w:rStyle w:val="BodyTextChar"/>
          <w:sz w:val="20"/>
        </w:rPr>
        <w:t xml:space="preserve">Dikjarazzjoni tal-kontenut ta’ </w:t>
      </w:r>
      <w:r>
        <w:rPr>
          <w:rStyle w:val="BodyTextChar"/>
          <w:i/>
          <w:sz w:val="20"/>
        </w:rPr>
        <w:t>Escherichia coli</w:t>
      </w:r>
      <w:r>
        <w:rPr>
          <w:rStyle w:val="BodyTextChar"/>
          <w:sz w:val="20"/>
        </w:rPr>
        <w:t>.</w:t>
      </w:r>
    </w:p>
    <w:p w14:paraId="7DC5B92E" w14:textId="77777777" w:rsidR="00503C92" w:rsidRPr="00F122A6" w:rsidRDefault="0037644B" w:rsidP="00BB487E">
      <w:pPr>
        <w:pStyle w:val="BodyText"/>
        <w:numPr>
          <w:ilvl w:val="0"/>
          <w:numId w:val="6"/>
        </w:numPr>
        <w:tabs>
          <w:tab w:val="left" w:pos="1231"/>
        </w:tabs>
        <w:spacing w:after="0" w:line="276" w:lineRule="auto"/>
        <w:ind w:left="1985" w:right="1830" w:firstLine="567"/>
        <w:jc w:val="both"/>
        <w:rPr>
          <w:sz w:val="20"/>
        </w:rPr>
      </w:pPr>
      <w:r>
        <w:rPr>
          <w:rStyle w:val="BodyTextChar"/>
          <w:sz w:val="20"/>
        </w:rPr>
        <w:t>Provvista ta’ analiżi tan-nutrijenti li jipprovdu, b’mod partikolari, in-nitroġenu, il-fosforu (espress bħala P</w:t>
      </w:r>
      <w:r>
        <w:rPr>
          <w:rStyle w:val="BodyTextChar"/>
          <w:sz w:val="20"/>
          <w:vertAlign w:val="subscript"/>
        </w:rPr>
        <w:t>2</w:t>
      </w:r>
      <w:r>
        <w:rPr>
          <w:rStyle w:val="BodyTextChar"/>
          <w:sz w:val="20"/>
        </w:rPr>
        <w:t>O</w:t>
      </w:r>
      <w:r>
        <w:rPr>
          <w:rStyle w:val="BodyTextChar"/>
          <w:sz w:val="20"/>
          <w:vertAlign w:val="subscript"/>
        </w:rPr>
        <w:t>5</w:t>
      </w:r>
      <w:r>
        <w:rPr>
          <w:rStyle w:val="BodyTextChar"/>
          <w:sz w:val="20"/>
        </w:rPr>
        <w:t>) u l-potassju (espress bħala K</w:t>
      </w:r>
      <w:r>
        <w:rPr>
          <w:rStyle w:val="BodyTextChar"/>
          <w:sz w:val="20"/>
          <w:vertAlign w:val="subscript"/>
        </w:rPr>
        <w:t>2</w:t>
      </w:r>
      <w:r>
        <w:rPr>
          <w:rStyle w:val="BodyTextChar"/>
          <w:sz w:val="20"/>
        </w:rPr>
        <w:t>O), kif ukoll il-pH u l-konduttività elettrika.</w:t>
      </w:r>
    </w:p>
    <w:p w14:paraId="255E2022" w14:textId="77777777" w:rsidR="00503C92" w:rsidRPr="00F122A6" w:rsidRDefault="0037644B" w:rsidP="00BB487E">
      <w:pPr>
        <w:pStyle w:val="BodyText"/>
        <w:numPr>
          <w:ilvl w:val="0"/>
          <w:numId w:val="6"/>
        </w:numPr>
        <w:tabs>
          <w:tab w:val="left" w:pos="1221"/>
        </w:tabs>
        <w:spacing w:line="276" w:lineRule="auto"/>
        <w:ind w:left="1985" w:right="1830" w:firstLine="567"/>
        <w:jc w:val="both"/>
        <w:rPr>
          <w:sz w:val="20"/>
        </w:rPr>
      </w:pPr>
      <w:r>
        <w:rPr>
          <w:rStyle w:val="BodyTextChar"/>
          <w:sz w:val="20"/>
        </w:rPr>
        <w:t>Issodisfar tar-rekwiżiti addizzjonali kollha inklużi fl-awtorizzazzjoni għall-irkupru tal-iskart R1001 tiegħu.”</w:t>
      </w:r>
    </w:p>
    <w:p w14:paraId="27038D19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2. Bl-istess mod, kwalunkwe materjal kompost jew diġestat, li għandu jiġi applikat għall-ħamrija agrikola u miksub minn materjali ta’ input għajr dawk fil-paragrafu preċedenti, għandu jikkonforma mar-rekwiżiti tal-impuritajiet u l-istabbiltà stabbiliti rispettivament f’CMC3 jew CMC5 tar-Regolament (UE) 2019/1009 tal-Parlament Ewropew u tal-Kunsill tal-5 ta’ Ġunju 2019, minbarra li jikkonforma mal-parametri li ġejjin:</w:t>
      </w:r>
    </w:p>
    <w:p w14:paraId="4E48BC44" w14:textId="72693F5C" w:rsidR="00503C92" w:rsidRPr="00F122A6" w:rsidRDefault="0037644B" w:rsidP="00BB487E">
      <w:pPr>
        <w:pStyle w:val="BodyText"/>
        <w:numPr>
          <w:ilvl w:val="0"/>
          <w:numId w:val="7"/>
        </w:numPr>
        <w:tabs>
          <w:tab w:val="left" w:pos="1230"/>
        </w:tabs>
        <w:spacing w:after="0" w:line="276" w:lineRule="auto"/>
        <w:ind w:left="1985" w:right="1830" w:firstLine="495"/>
        <w:jc w:val="both"/>
        <w:rPr>
          <w:sz w:val="20"/>
        </w:rPr>
      </w:pPr>
      <w:r>
        <w:rPr>
          <w:rStyle w:val="BodyTextChar"/>
          <w:sz w:val="20"/>
        </w:rPr>
        <w:t>Total tal-materja organika ≥ 25 % f’materja niexfa.</w:t>
      </w:r>
    </w:p>
    <w:p w14:paraId="576B61C8" w14:textId="77777777" w:rsidR="00503C92" w:rsidRPr="00F122A6" w:rsidRDefault="0037644B" w:rsidP="00BB487E">
      <w:pPr>
        <w:pStyle w:val="BodyText"/>
        <w:numPr>
          <w:ilvl w:val="0"/>
          <w:numId w:val="7"/>
        </w:numPr>
        <w:tabs>
          <w:tab w:val="left" w:pos="1230"/>
        </w:tabs>
        <w:spacing w:after="0" w:line="276" w:lineRule="auto"/>
        <w:ind w:left="1985" w:right="1830" w:firstLine="495"/>
        <w:jc w:val="both"/>
        <w:rPr>
          <w:sz w:val="20"/>
          <w:szCs w:val="20"/>
        </w:rPr>
      </w:pPr>
      <w:r>
        <w:rPr>
          <w:rStyle w:val="BodyTextChar"/>
          <w:sz w:val="20"/>
        </w:rPr>
        <w:t xml:space="preserve">Dikjarazzjoni tal-kontenut ta’ </w:t>
      </w:r>
      <w:r>
        <w:rPr>
          <w:rStyle w:val="BodyTextChar"/>
          <w:i/>
          <w:sz w:val="20"/>
        </w:rPr>
        <w:t>Salmonella</w:t>
      </w:r>
      <w:r>
        <w:rPr>
          <w:rStyle w:val="BodyTextChar"/>
          <w:sz w:val="20"/>
        </w:rPr>
        <w:t>.</w:t>
      </w:r>
    </w:p>
    <w:p w14:paraId="4D9310C5" w14:textId="77777777" w:rsidR="00503C92" w:rsidRPr="00F122A6" w:rsidRDefault="0037644B" w:rsidP="00BB487E">
      <w:pPr>
        <w:pStyle w:val="BodyText"/>
        <w:numPr>
          <w:ilvl w:val="0"/>
          <w:numId w:val="7"/>
        </w:numPr>
        <w:tabs>
          <w:tab w:val="left" w:pos="1230"/>
        </w:tabs>
        <w:spacing w:after="0" w:line="276" w:lineRule="auto"/>
        <w:ind w:left="1985" w:right="1830" w:firstLine="495"/>
        <w:jc w:val="both"/>
        <w:rPr>
          <w:sz w:val="20"/>
          <w:szCs w:val="20"/>
        </w:rPr>
      </w:pPr>
      <w:r>
        <w:rPr>
          <w:rStyle w:val="BodyTextChar"/>
          <w:sz w:val="20"/>
        </w:rPr>
        <w:t xml:space="preserve">Dikjarazzjoni tal-kontenut ta’ </w:t>
      </w:r>
      <w:r>
        <w:rPr>
          <w:rStyle w:val="BodyTextChar"/>
          <w:i/>
          <w:sz w:val="20"/>
        </w:rPr>
        <w:t>Escherichia coli</w:t>
      </w:r>
      <w:r>
        <w:rPr>
          <w:rStyle w:val="BodyTextChar"/>
          <w:sz w:val="20"/>
        </w:rPr>
        <w:t>.</w:t>
      </w:r>
    </w:p>
    <w:p w14:paraId="1DF72A9D" w14:textId="77777777" w:rsidR="00503C92" w:rsidRPr="00F122A6" w:rsidRDefault="0037644B" w:rsidP="00BB487E">
      <w:pPr>
        <w:pStyle w:val="BodyText"/>
        <w:numPr>
          <w:ilvl w:val="0"/>
          <w:numId w:val="7"/>
        </w:numPr>
        <w:tabs>
          <w:tab w:val="left" w:pos="1231"/>
        </w:tabs>
        <w:spacing w:after="0" w:line="276" w:lineRule="auto"/>
        <w:ind w:left="1985" w:right="1830" w:firstLine="495"/>
        <w:jc w:val="both"/>
        <w:rPr>
          <w:sz w:val="20"/>
        </w:rPr>
      </w:pPr>
      <w:r>
        <w:rPr>
          <w:rStyle w:val="BodyTextChar"/>
          <w:sz w:val="20"/>
        </w:rPr>
        <w:t>Provvista ta’ analiżi tan-nutrijenti li jipprovdu, b’mod partikolari, in-nitroġenu, il-fosforu (espress bħala P</w:t>
      </w:r>
      <w:r>
        <w:rPr>
          <w:rStyle w:val="BodyTextChar"/>
          <w:sz w:val="20"/>
          <w:vertAlign w:val="subscript"/>
        </w:rPr>
        <w:t>2</w:t>
      </w:r>
      <w:r>
        <w:rPr>
          <w:rStyle w:val="BodyTextChar"/>
          <w:sz w:val="20"/>
        </w:rPr>
        <w:t>O</w:t>
      </w:r>
      <w:r>
        <w:rPr>
          <w:rStyle w:val="BodyTextChar"/>
          <w:sz w:val="20"/>
          <w:vertAlign w:val="subscript"/>
        </w:rPr>
        <w:t>5</w:t>
      </w:r>
      <w:r>
        <w:rPr>
          <w:rStyle w:val="BodyTextChar"/>
          <w:sz w:val="20"/>
        </w:rPr>
        <w:t>) u l-potassju (espress bħala K</w:t>
      </w:r>
      <w:r>
        <w:rPr>
          <w:rStyle w:val="BodyTextChar"/>
          <w:sz w:val="20"/>
          <w:vertAlign w:val="subscript"/>
        </w:rPr>
        <w:t>2</w:t>
      </w:r>
      <w:r>
        <w:rPr>
          <w:rStyle w:val="BodyTextChar"/>
          <w:sz w:val="20"/>
        </w:rPr>
        <w:t>O), kif ukoll il-pH u l-konduttività elettrika.</w:t>
      </w:r>
    </w:p>
    <w:p w14:paraId="2E2A82BB" w14:textId="77777777" w:rsidR="00503C92" w:rsidRPr="00F122A6" w:rsidRDefault="0037644B" w:rsidP="00BB487E">
      <w:pPr>
        <w:pStyle w:val="BodyText"/>
        <w:numPr>
          <w:ilvl w:val="0"/>
          <w:numId w:val="7"/>
        </w:numPr>
        <w:tabs>
          <w:tab w:val="left" w:pos="1221"/>
        </w:tabs>
        <w:spacing w:line="276" w:lineRule="auto"/>
        <w:ind w:left="1985" w:right="1830" w:firstLine="495"/>
        <w:jc w:val="both"/>
        <w:rPr>
          <w:sz w:val="20"/>
        </w:rPr>
      </w:pPr>
      <w:r>
        <w:rPr>
          <w:rStyle w:val="BodyTextChar"/>
          <w:sz w:val="20"/>
        </w:rPr>
        <w:t>Issodisfar tar-rekwiżiti addizzjonali kollha inklużi fl-awtorizzazzjoni għall-irkupru tal-iskart R1001 tiegħu.”</w:t>
      </w:r>
    </w:p>
    <w:p w14:paraId="2FE61487" w14:textId="2911B964" w:rsidR="00503C92" w:rsidRPr="00F122A6" w:rsidRDefault="00FF7446" w:rsidP="00FF7446">
      <w:pPr>
        <w:pStyle w:val="BodyText"/>
        <w:tabs>
          <w:tab w:val="left" w:pos="1216"/>
        </w:tabs>
        <w:ind w:left="2480" w:right="1830" w:firstLine="0"/>
        <w:jc w:val="both"/>
        <w:rPr>
          <w:sz w:val="20"/>
        </w:rPr>
      </w:pPr>
      <w:r>
        <w:rPr>
          <w:rStyle w:val="BodyTextChar"/>
          <w:sz w:val="20"/>
        </w:rPr>
        <w:t>“7. Skart mill-mitħna taż-żejt.</w:t>
      </w:r>
    </w:p>
    <w:p w14:paraId="28AE5BA8" w14:textId="3B2C33EB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Dan huwa l-likwidu, li jikkonsisti fl-ilma għall-ħasil taż-żebbuġ u l-ilma għall-ħasil taż-żjut miksuba mis-sistema ta’ estrazzjoni f’żewġ stadji u li jikkonforma mar-rekwiżiti addizzjonali kollha inklużi fl-awtorizzazzjoni għall-irkupru R1001 tiegħu.</w:t>
      </w:r>
    </w:p>
    <w:p w14:paraId="43FF02FD" w14:textId="6FE40C1A" w:rsidR="00503C92" w:rsidRPr="00F122A6" w:rsidRDefault="00FF7446" w:rsidP="00FF7446">
      <w:pPr>
        <w:pStyle w:val="BodyText"/>
        <w:tabs>
          <w:tab w:val="left" w:pos="1216"/>
        </w:tabs>
        <w:ind w:left="2480" w:right="1830" w:firstLine="0"/>
        <w:jc w:val="both"/>
        <w:rPr>
          <w:sz w:val="20"/>
        </w:rPr>
      </w:pPr>
      <w:r>
        <w:rPr>
          <w:rStyle w:val="BodyTextChar"/>
          <w:sz w:val="20"/>
        </w:rPr>
        <w:t>8. Karfa tal-inbid.</w:t>
      </w:r>
    </w:p>
    <w:p w14:paraId="29227E47" w14:textId="2A06893C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Dawn huma preċipitati organiċi, li jikkonsistu minn ħmira, batterji u sustanzi residwi oħra, li jiġu ffurmati matul il-proċess tal-produzzjoni tal-inbid u li jridu jikkonformaw mar-rekwiżiti addizzjonali kollha inklużi fl-awtorizzazzjoni għall-irkupru R1001 tagħhom.”</w:t>
      </w:r>
    </w:p>
    <w:p w14:paraId="2B531F85" w14:textId="45C3DAE0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Tmintax. Il-paragrafi 1 u 4 tal-Anness IX jaqraw kif ġej:</w:t>
      </w:r>
    </w:p>
    <w:p w14:paraId="2EECEDDC" w14:textId="333324DB" w:rsidR="00503C92" w:rsidRPr="00F122A6" w:rsidRDefault="0037644B" w:rsidP="00EE0D48">
      <w:pPr>
        <w:pStyle w:val="BodyText"/>
        <w:spacing w:after="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 xml:space="preserve">“1. B’mod ġenerali, id-doża u l-frekwenza tal-irrigazzjoni għandhom jiġu aġġustati għall-ħtiġijiet tal-għalla, u għandhom jiġu adattati għall-kapaċità taż-żamma ta’ ndewwa tal-ħamrija biex jiġi evitat it-telf ta’ nutrijenti permezz tal-lissija, filwaqt li jitqiesu bħala referenza r-rakkomandazzjonijiet tas-servizzi konsultattivi lill-irrigatur tal-Komunità Awtonoma jew is-Sistema ta’ Informazzjoni Agroklimatika għall-Irrigazzjoni (SIAR) tal-Ministeru tal-Agrikoltura, is-Sajd u l-Ikel, fil-każ li jkunu fil-Komunitajiet Awtonomi li fihom topera kwalunkwe waħda minnhom; huwa rrakkomandat l-użu ta’ sensuri għall-kontroll tal-kontenut ta’ ndewwa tal-ħamrija, bħala għodda ta’ appoġġ biex ikun magħruf l-istat tal-ħamrija. Fil-każ li l-materjal użat fil-fertilizzazzjoni fih innifsu jipprovdi ammont konsiderevoli ta’ ilma lill-għalla (bħal meta jintuża demel likwidu), il-volum ta’ ilma </w:t>
      </w:r>
      <w:r>
        <w:rPr>
          <w:rStyle w:val="BodyTextChar"/>
          <w:sz w:val="20"/>
        </w:rPr>
        <w:lastRenderedPageBreak/>
        <w:t>inkorporat minnu jiġi kkunsidrat għall-kalkolu tad-doża tal-ilma għat-tisqija u l-frekwenza tal-applikazzjoni tiegħu.”</w:t>
      </w:r>
    </w:p>
    <w:p w14:paraId="526DE1C5" w14:textId="12181085" w:rsidR="00503C92" w:rsidRPr="00F122A6" w:rsidRDefault="0037644B" w:rsidP="00EE0D48">
      <w:pPr>
        <w:pStyle w:val="BodyText"/>
        <w:spacing w:after="180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“4. F’għelejjel b’irrigazzjoni lokalizzata, il-fertilizzazzjoni se ssir billi jinħallu n-nutrijenti fl-ilma għat-tisqija u jiġu applikati fil-ħamrija permezz tal-ilma. Dawn se jitqassmu f’dożi frazzjonali, matul il-perjodu ta’ attività veġetattiva tal-għalla, filwaqt li l-konċentrazzjonijiet u l-ammonti parzjali kkontribwiti jistgħu jiġu adattati għaż-żminijiet tar-rekwiżit massimu fiċ-ċiklu tal-għelejjel.”</w:t>
      </w:r>
    </w:p>
    <w:p w14:paraId="5C7B1C08" w14:textId="77777777" w:rsidR="00503C92" w:rsidRPr="00F122A6" w:rsidRDefault="0037644B" w:rsidP="00EE0D48">
      <w:pPr>
        <w:pStyle w:val="BodyText"/>
        <w:ind w:left="1560" w:right="1830" w:firstLine="0"/>
        <w:jc w:val="both"/>
        <w:rPr>
          <w:sz w:val="20"/>
          <w:szCs w:val="20"/>
        </w:rPr>
      </w:pPr>
      <w:r>
        <w:rPr>
          <w:rStyle w:val="BodyTextChar"/>
          <w:b/>
          <w:sz w:val="20"/>
        </w:rPr>
        <w:t xml:space="preserve">Dispożizzjoni finali unika. </w:t>
      </w:r>
      <w:r>
        <w:rPr>
          <w:rStyle w:val="BodyTextChar"/>
          <w:i/>
          <w:sz w:val="20"/>
        </w:rPr>
        <w:t>Dħul fis-seħħ.</w:t>
      </w:r>
    </w:p>
    <w:p w14:paraId="79EF3419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Dan id-Digriet Reġju għandu jidħol fis-seħħ l-għada tal-pubblikazzjoni tiegħu fil-“Gazzetta Uffiċjali tal-Istat”.</w:t>
      </w:r>
    </w:p>
    <w:p w14:paraId="68AE9113" w14:textId="77777777" w:rsidR="00503C92" w:rsidRPr="00F122A6" w:rsidRDefault="0037644B" w:rsidP="00EE0D48">
      <w:pPr>
        <w:pStyle w:val="BodyText"/>
        <w:ind w:left="1560" w:right="1830"/>
        <w:jc w:val="both"/>
        <w:rPr>
          <w:sz w:val="20"/>
        </w:rPr>
      </w:pPr>
      <w:r>
        <w:rPr>
          <w:rStyle w:val="BodyTextChar"/>
          <w:sz w:val="20"/>
        </w:rPr>
        <w:t>Imfassal f’Madrid, fis-27 ta’ Awwissu 2024.</w:t>
      </w:r>
    </w:p>
    <w:p w14:paraId="0C00789F" w14:textId="77777777" w:rsidR="00503C92" w:rsidRPr="00F122A6" w:rsidRDefault="0037644B" w:rsidP="00EE0D48">
      <w:pPr>
        <w:pStyle w:val="BodyText"/>
        <w:spacing w:after="240"/>
        <w:ind w:left="1560" w:right="1830" w:firstLine="0"/>
        <w:jc w:val="right"/>
        <w:rPr>
          <w:sz w:val="20"/>
        </w:rPr>
      </w:pPr>
      <w:r>
        <w:rPr>
          <w:rStyle w:val="BodyTextChar"/>
          <w:sz w:val="20"/>
        </w:rPr>
        <w:t>FELIPE R.</w:t>
      </w:r>
    </w:p>
    <w:p w14:paraId="278970C7" w14:textId="35CDF83F" w:rsidR="00503C92" w:rsidRDefault="00FF7446" w:rsidP="00EE0D48">
      <w:pPr>
        <w:pStyle w:val="Bodytext30"/>
        <w:spacing w:line="319" w:lineRule="auto"/>
        <w:ind w:left="1560" w:right="1830"/>
        <w:jc w:val="center"/>
        <w:rPr>
          <w:rStyle w:val="Bodytext3"/>
        </w:rPr>
      </w:pPr>
      <w:r>
        <w:rPr>
          <w:rStyle w:val="Bodytext3"/>
        </w:rPr>
        <w:t>Ministru tal-Agrikoltura, is-Sajd u l-Ikel,</w:t>
      </w:r>
      <w:r>
        <w:rPr>
          <w:rStyle w:val="Bodytext3"/>
        </w:rPr>
        <w:br/>
        <w:t>LUIS PLANAS PUCHADES</w:t>
      </w:r>
    </w:p>
    <w:p w14:paraId="79892C53" w14:textId="77777777" w:rsidR="0037644B" w:rsidRDefault="0037644B" w:rsidP="00EE0D48">
      <w:pPr>
        <w:pStyle w:val="Bodytext30"/>
        <w:spacing w:line="319" w:lineRule="auto"/>
        <w:ind w:left="1560" w:right="1830"/>
        <w:jc w:val="center"/>
        <w:rPr>
          <w:rStyle w:val="Bodytext3"/>
        </w:rPr>
      </w:pPr>
    </w:p>
    <w:p w14:paraId="60F86DA3" w14:textId="77777777" w:rsidR="0037644B" w:rsidRDefault="0037644B" w:rsidP="00EE0D48">
      <w:pPr>
        <w:pStyle w:val="Bodytext30"/>
        <w:spacing w:line="319" w:lineRule="auto"/>
        <w:ind w:left="1560" w:right="1830"/>
        <w:jc w:val="center"/>
        <w:rPr>
          <w:rStyle w:val="Bodytext3"/>
        </w:rPr>
      </w:pPr>
    </w:p>
    <w:p w14:paraId="61F764BC" w14:textId="77777777" w:rsidR="0037644B" w:rsidRDefault="0037644B" w:rsidP="00EE0D48">
      <w:pPr>
        <w:pStyle w:val="Bodytext30"/>
        <w:spacing w:line="319" w:lineRule="auto"/>
        <w:ind w:left="1560" w:right="1830"/>
        <w:jc w:val="center"/>
        <w:rPr>
          <w:rStyle w:val="Bodytext3"/>
        </w:rPr>
      </w:pPr>
    </w:p>
    <w:p w14:paraId="3E44A77D" w14:textId="77777777" w:rsidR="0037644B" w:rsidRDefault="0037644B" w:rsidP="00EE0D48">
      <w:pPr>
        <w:pStyle w:val="Bodytext30"/>
        <w:spacing w:line="319" w:lineRule="auto"/>
        <w:ind w:left="1560" w:right="1830"/>
        <w:jc w:val="center"/>
        <w:rPr>
          <w:sz w:val="20"/>
          <w:szCs w:val="19"/>
        </w:rPr>
      </w:pPr>
    </w:p>
    <w:p w14:paraId="39068B9D" w14:textId="39B94AF9" w:rsidR="0037644B" w:rsidRPr="00F122A6" w:rsidRDefault="0037644B" w:rsidP="00200072">
      <w:pPr>
        <w:pStyle w:val="Bodytext30"/>
        <w:spacing w:line="319" w:lineRule="auto"/>
        <w:ind w:right="1830"/>
        <w:rPr>
          <w:sz w:val="20"/>
          <w:szCs w:val="19"/>
        </w:rPr>
      </w:pPr>
      <w:r>
        <w:rPr>
          <w:rFonts w:ascii="Microsoft Sans Serif" w:hAnsi="Microsoft Sans Serif"/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B143088" wp14:editId="3C93C6CB">
                <wp:simplePos x="0" y="0"/>
                <wp:positionH relativeFrom="page">
                  <wp:posOffset>377825</wp:posOffset>
                </wp:positionH>
                <wp:positionV relativeFrom="paragraph">
                  <wp:posOffset>5000625</wp:posOffset>
                </wp:positionV>
                <wp:extent cx="6899275" cy="21653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99275" cy="216535"/>
                        </a:xfrm>
                        <a:prstGeom prst="rect">
                          <a:avLst/>
                        </a:prstGeom>
                        <a:solidFill>
                          <a:srgbClr val="004479"/>
                        </a:solidFill>
                      </wps:spPr>
                      <wps:txbx>
                        <w:txbxContent>
                          <w:tbl>
                            <w:tblPr>
                              <w:tblStyle w:val="TableGrid2"/>
                              <w:tblW w:w="0" w:type="auto"/>
                              <w:tblInd w:w="31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9"/>
                              <w:gridCol w:w="4505"/>
                              <w:gridCol w:w="2889"/>
                            </w:tblGrid>
                            <w:tr w:rsidR="00F122A6" w14:paraId="4C7B1FE4" w14:textId="77777777" w:rsidTr="001A30DD">
                              <w:tc>
                                <w:tcPr>
                                  <w:tcW w:w="3234" w:type="dxa"/>
                                  <w:vAlign w:val="bottom"/>
                                </w:tcPr>
                                <w:p w14:paraId="200D134E" w14:textId="77777777" w:rsidR="00F122A6" w:rsidRPr="001A30DD" w:rsidRDefault="009B772F" w:rsidP="007E1B61">
                                  <w:pPr>
                                    <w:spacing w:before="30"/>
                                    <w:rPr>
                                      <w:b/>
                                      <w:color w:val="FFFFFF"/>
                                    </w:rPr>
                                  </w:pPr>
                                  <w:hyperlink r:id="rId7">
                                    <w:r w:rsidR="0037644B">
                                      <w:rPr>
                                        <w:b/>
                                        <w:color w:val="FFFFFF"/>
                                        <w:sz w:val="18"/>
                                      </w:rPr>
                                      <w:t>https://www.</w:t>
                                    </w:r>
                                  </w:hyperlink>
                                  <w:r w:rsidR="0037644B"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boe.es</w:t>
                                  </w:r>
                                </w:p>
                              </w:tc>
                              <w:tc>
                                <w:tcPr>
                                  <w:tcW w:w="4659" w:type="dxa"/>
                                  <w:vAlign w:val="bottom"/>
                                </w:tcPr>
                                <w:p w14:paraId="30AA6D48" w14:textId="77777777" w:rsidR="00F122A6" w:rsidRPr="00DA52BB" w:rsidRDefault="00F122A6" w:rsidP="001A30DD">
                                  <w:pPr>
                                    <w:spacing w:before="30"/>
                                    <w:jc w:val="center"/>
                                    <w:rPr>
                                      <w:b/>
                                      <w:color w:val="FFFFFF"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</w:rPr>
                                    <w:t>GAZZETTA UFFIĊJALI TAL-ISTAT</w:t>
                                  </w:r>
                                </w:p>
                              </w:tc>
                              <w:tc>
                                <w:tcPr>
                                  <w:tcW w:w="2987" w:type="dxa"/>
                                  <w:vAlign w:val="bottom"/>
                                </w:tcPr>
                                <w:p w14:paraId="152F23BF" w14:textId="77777777" w:rsidR="00F122A6" w:rsidRDefault="00F122A6" w:rsidP="001A30DD">
                                  <w:pPr>
                                    <w:spacing w:before="30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8"/>
                                    </w:rPr>
                                    <w:t>D. L.: M-1/1958 - ISSN: 0212-033X</w:t>
                                  </w:r>
                                </w:p>
                              </w:tc>
                            </w:tr>
                          </w:tbl>
                          <w:p w14:paraId="2A834EF0" w14:textId="77777777" w:rsidR="00F122A6" w:rsidRDefault="00F122A6" w:rsidP="00F122A6">
                            <w:pPr>
                              <w:tabs>
                                <w:tab w:val="left" w:pos="3342"/>
                                <w:tab w:val="left" w:pos="8001"/>
                              </w:tabs>
                              <w:spacing w:before="30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143088" id="_x0000_t202" coordsize="21600,21600" o:spt="202" path="m,l,21600r21600,l21600,xe">
                <v:stroke joinstyle="miter"/>
                <v:path gradientshapeok="t" o:connecttype="rect"/>
              </v:shapetype>
              <v:shape id="Textbox 21" o:spid="_x0000_s1026" type="#_x0000_t202" style="position:absolute;margin-left:29.75pt;margin-top:393.75pt;width:543.25pt;height:17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" fillcolor="#004479" stroked="f">
                <v:textbox inset="0,0,0,0">
                  <w:txbxContent>
                    <w:tbl>
                      <w:tblPr>
                        <w:tblStyle w:val="TableGrid2"/>
                        <w:tblW w:w="0" w:type="auto"/>
                        <w:tblInd w:w="31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9"/>
                        <w:gridCol w:w="4505"/>
                        <w:gridCol w:w="2889"/>
                      </w:tblGrid>
                      <w:tr w:rsidR="00F122A6" w14:paraId="4C7B1FE4" w14:textId="77777777" w:rsidTr="001A30DD">
                        <w:tc>
                          <w:tcPr>
                            <w:tcW w:w="3234" w:type="dxa"/>
                            <w:vAlign w:val="bottom"/>
                          </w:tcPr>
                          <w:p w14:paraId="200D134E" w14:textId="77777777" w:rsidR="00F122A6" w:rsidRPr="001A30DD" w:rsidRDefault="009B772F" w:rsidP="007E1B61">
                            <w:pPr>
                              <w:spacing w:before="30"/>
                              <w:rPr>
                                <w:b/>
                                <w:color w:val="FFFFFF"/>
                              </w:rPr>
                            </w:pPr>
                            <w:hyperlink r:id="rId8">
                              <w:r w:rsidR="0037644B">
                                <w:rPr>
                                  <w:b/>
                                  <w:color w:val="FFFFFF"/>
                                  <w:sz w:val="18"/>
                                </w:rPr>
                                <w:t>https://www.</w:t>
                              </w:r>
                            </w:hyperlink>
                            <w:r w:rsidR="0037644B">
                              <w:rPr>
                                <w:b/>
                                <w:color w:val="FFFFFF"/>
                                <w:sz w:val="18"/>
                              </w:rPr>
                              <w:t>boe.es</w:t>
                            </w:r>
                          </w:p>
                        </w:tc>
                        <w:tc>
                          <w:tcPr>
                            <w:tcW w:w="4659" w:type="dxa"/>
                            <w:vAlign w:val="bottom"/>
                          </w:tcPr>
                          <w:p w14:paraId="30AA6D48" w14:textId="77777777" w:rsidR="00F122A6" w:rsidRPr="00DA52BB" w:rsidRDefault="00F122A6" w:rsidP="001A30DD">
                            <w:pPr>
                              <w:spacing w:before="30"/>
                              <w:jc w:val="center"/>
                              <w:rPr>
                                <w:b/>
                                <w:color w:val="FFFFFF"/>
                                <w:sz w:val="2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GAZZETTA UFFIĊJALI TAL-ISTAT</w:t>
                            </w:r>
                          </w:p>
                        </w:tc>
                        <w:tc>
                          <w:tcPr>
                            <w:tcW w:w="2987" w:type="dxa"/>
                            <w:vAlign w:val="bottom"/>
                          </w:tcPr>
                          <w:p w14:paraId="152F23BF" w14:textId="77777777" w:rsidR="00F122A6" w:rsidRDefault="00F122A6" w:rsidP="001A30DD">
                            <w:pPr>
                              <w:spacing w:before="30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D. L.: M-1/1958 - ISSN: 0212-033X</w:t>
                            </w:r>
                          </w:p>
                        </w:tc>
                      </w:tr>
                    </w:tbl>
                    <w:p w14:paraId="2A834EF0" w14:textId="77777777" w:rsidR="00F122A6" w:rsidRDefault="00F122A6" w:rsidP="00F122A6">
                      <w:pPr>
                        <w:tabs>
                          <w:tab w:val="left" w:pos="3342"/>
                          <w:tab w:val="left" w:pos="8001"/>
                        </w:tabs>
                        <w:spacing w:before="30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37644B" w:rsidRPr="00F122A6" w:rsidSect="00F122A6">
      <w:headerReference w:type="default" r:id="rId9"/>
      <w:footerReference w:type="default" r:id="rId10"/>
      <w:type w:val="continuous"/>
      <w:pgSz w:w="11900" w:h="16840"/>
      <w:pgMar w:top="1077" w:right="357" w:bottom="1276" w:left="357" w:header="612" w:footer="1020" w:gutter="0"/>
      <w:pgNumType w:start="10846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7194" w14:textId="77777777" w:rsidR="009B772F" w:rsidRDefault="009B772F">
      <w:r>
        <w:separator/>
      </w:r>
    </w:p>
  </w:endnote>
  <w:endnote w:type="continuationSeparator" w:id="0">
    <w:p w14:paraId="4644035D" w14:textId="77777777" w:rsidR="009B772F" w:rsidRDefault="009B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673D" w14:textId="4BCE84DE" w:rsidR="00F122A6" w:rsidRDefault="00F122A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CC1602" wp14:editId="665CCF54">
              <wp:simplePos x="0" y="0"/>
              <wp:positionH relativeFrom="page">
                <wp:posOffset>6965950</wp:posOffset>
              </wp:positionH>
              <wp:positionV relativeFrom="paragraph">
                <wp:posOffset>-1518920</wp:posOffset>
              </wp:positionV>
              <wp:extent cx="231775" cy="143510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775" cy="143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1BEB48" w14:textId="77777777" w:rsidR="00F122A6" w:rsidRDefault="00F122A6" w:rsidP="00F122A6">
                          <w:pPr>
                            <w:pStyle w:val="Bodytext20"/>
                          </w:pPr>
                          <w:r>
                            <w:rPr>
                              <w:rStyle w:val="Bodytext2"/>
                            </w:rPr>
                            <w:t>cve: BOE-A-2024-17371</w:t>
                          </w:r>
                        </w:p>
                        <w:p w14:paraId="141DFE5A" w14:textId="77777777" w:rsidR="00F122A6" w:rsidRDefault="00F122A6" w:rsidP="00F122A6">
                          <w:pPr>
                            <w:pStyle w:val="Bodytext20"/>
                          </w:pPr>
                          <w:r>
                            <w:rPr>
                              <w:rStyle w:val="Bodytext2"/>
                            </w:rPr>
                            <w:t xml:space="preserve">Verifikabbli fuq </w:t>
                          </w:r>
                          <w:hyperlink r:id="rId1" w:history="1">
                            <w:r>
                              <w:rPr>
                                <w:rStyle w:val="Bodytext2"/>
                              </w:rPr>
                              <w:t>https://www.boe.es</w:t>
                            </w:r>
                          </w:hyperlink>
                        </w:p>
                        <w:p w14:paraId="5DB38A53" w14:textId="77777777" w:rsidR="00F122A6" w:rsidRPr="00BB5B1F" w:rsidRDefault="00F122A6" w:rsidP="00F122A6">
                          <w:pPr>
                            <w:pStyle w:val="Bodytext20"/>
                            <w:textDirection w:val="btLr"/>
                          </w:pPr>
                        </w:p>
                      </w:txbxContent>
                    </wps:txbx>
                    <wps:bodyPr vert="vert270"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4CCC1602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8" type="#_x0000_t202" style="position:absolute;margin-left:548.5pt;margin-top:-119.6pt;width:18.25pt;height:113pt;z-index:25165926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" filled="f" stroked="f">
              <v:textbox style="layout-flow:vertical;mso-layout-flow-alt:bottom-to-top" inset="0,0,0,0">
                <w:txbxContent>
                  <w:p w14:paraId="521BEB48" w14:textId="77777777" w:rsidR="00F122A6" w:rsidRDefault="00F122A6" w:rsidP="00F122A6">
                    <w:pPr>
                      <w:pStyle w:val="Bodytext20"/>
                    </w:pPr>
                    <w:r>
                      <w:rPr>
                        <w:rStyle w:val="Bodytext2"/>
                      </w:rPr>
                      <w:t xml:space="preserve">cve:</w:t>
                    </w:r>
                    <w:r>
                      <w:rPr>
                        <w:rStyle w:val="Bodytext2"/>
                      </w:rPr>
                      <w:t xml:space="preserve"> </w:t>
                    </w:r>
                    <w:r>
                      <w:rPr>
                        <w:rStyle w:val="Bodytext2"/>
                      </w:rPr>
                      <w:t xml:space="preserve">BOE-A-2024-17371</w:t>
                    </w:r>
                  </w:p>
                  <w:p w14:paraId="141DFE5A" w14:textId="77777777" w:rsidR="00F122A6" w:rsidRDefault="00F122A6" w:rsidP="00F122A6">
                    <w:pPr>
                      <w:pStyle w:val="Bodytext20"/>
                    </w:pPr>
                    <w:r>
                      <w:rPr>
                        <w:rStyle w:val="Bodytext2"/>
                      </w:rPr>
                      <w:t xml:space="preserve">Verifikabbli fuq </w:t>
                    </w:r>
                    <w:hyperlink r:id="rId2" w:history="1">
                      <w:r>
                        <w:rPr>
                          <w:rStyle w:val="Bodytext2"/>
                        </w:rPr>
                        <w:t xml:space="preserve">https://www.boe.es</w:t>
                      </w:r>
                    </w:hyperlink>
                  </w:p>
                  <w:p w14:paraId="5DB38A53" w14:textId="77777777" w:rsidR="00F122A6" w:rsidRPr="00BB5B1F" w:rsidRDefault="00F122A6" w:rsidP="00F122A6">
                    <w:pPr>
                      <w:pStyle w:val="Bodytext20"/>
                      <w:textDirection w:val="btLr"/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0C2C3B" w14:textId="77777777" w:rsidR="009B772F" w:rsidRDefault="009B772F"/>
  </w:footnote>
  <w:footnote w:type="continuationSeparator" w:id="0">
    <w:p w14:paraId="7A2A6312" w14:textId="77777777" w:rsidR="009B772F" w:rsidRDefault="009B77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112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35"/>
      <w:gridCol w:w="6804"/>
      <w:gridCol w:w="708"/>
      <w:gridCol w:w="1509"/>
    </w:tblGrid>
    <w:tr w:rsidR="00EE0D48" w:rsidRPr="00EE0D48" w14:paraId="29FF6C3D" w14:textId="77777777" w:rsidTr="0029462A">
      <w:trPr>
        <w:trHeight w:val="851"/>
      </w:trPr>
      <w:tc>
        <w:tcPr>
          <w:tcW w:w="2235" w:type="dxa"/>
          <w:tcBorders>
            <w:bottom w:val="single" w:sz="8" w:space="0" w:color="00447A"/>
          </w:tcBorders>
          <w:vAlign w:val="center"/>
        </w:tcPr>
        <w:p w14:paraId="4ECD7A44" w14:textId="77777777" w:rsidR="00EE0D48" w:rsidRPr="00EE0D48" w:rsidRDefault="00EE0D48" w:rsidP="00EE0D48">
          <w:pPr>
            <w:tabs>
              <w:tab w:val="center" w:pos="468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4B258F07" wp14:editId="7AECED03">
                <wp:extent cx="762000" cy="323215"/>
                <wp:effectExtent l="0" t="0" r="0" b="0"/>
                <wp:docPr id="1376890813" name="Picture 1376890813" descr="A blue circle with white text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87279781" name="Picture 787279781" descr="A blue circle with white text&#10;&#10;Description automatically generated"/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762000" cy="323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2" w:type="dxa"/>
          <w:gridSpan w:val="2"/>
          <w:tcBorders>
            <w:bottom w:val="single" w:sz="8" w:space="0" w:color="00447A"/>
          </w:tcBorders>
          <w:vAlign w:val="center"/>
        </w:tcPr>
        <w:p w14:paraId="3BD86AC7" w14:textId="77777777" w:rsidR="00EE0D48" w:rsidRPr="00EE0D48" w:rsidRDefault="00EE0D48" w:rsidP="00EE0D48">
          <w:pPr>
            <w:jc w:val="center"/>
            <w:rPr>
              <w:rFonts w:ascii="Arial" w:eastAsia="Times New Roman" w:hAnsi="Arial" w:cs="Arial"/>
              <w:sz w:val="20"/>
              <w:szCs w:val="20"/>
            </w:rPr>
          </w:pPr>
          <w:r>
            <w:rPr>
              <w:rFonts w:ascii="Arial" w:hAnsi="Arial"/>
              <w:b/>
              <w:color w:val="00447A"/>
              <w:sz w:val="40"/>
            </w:rPr>
            <w:t>GAZZETTA UFFIĊJALI TAL-ISTAT</w:t>
          </w:r>
        </w:p>
      </w:tc>
      <w:tc>
        <w:tcPr>
          <w:tcW w:w="1509" w:type="dxa"/>
          <w:tcBorders>
            <w:bottom w:val="single" w:sz="8" w:space="0" w:color="00447A"/>
          </w:tcBorders>
          <w:vAlign w:val="center"/>
        </w:tcPr>
        <w:p w14:paraId="78853998" w14:textId="77777777" w:rsidR="00EE0D48" w:rsidRPr="00EE0D48" w:rsidRDefault="00EE0D48" w:rsidP="00EE0D48">
          <w:pPr>
            <w:tabs>
              <w:tab w:val="center" w:pos="4680"/>
              <w:tab w:val="right" w:pos="9360"/>
            </w:tabs>
            <w:jc w:val="right"/>
          </w:pPr>
          <w:r>
            <w:rPr>
              <w:noProof/>
            </w:rPr>
            <w:drawing>
              <wp:inline distT="0" distB="0" distL="0" distR="0" wp14:anchorId="6E4D7463" wp14:editId="2C76F42D">
                <wp:extent cx="384175" cy="408305"/>
                <wp:effectExtent l="0" t="0" r="0" b="0"/>
                <wp:docPr id="2068100945" name="Picture 2068100945" descr="A blue and white emblem&#10;&#10;Description automatically generated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30636042" name="Picture 1630636042" descr="A blue and white emblem&#10;&#10;Description automatically generated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84175" cy="4083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E0D48" w:rsidRPr="00EE0D48" w14:paraId="040EEF60" w14:textId="77777777" w:rsidTr="0029462A">
      <w:trPr>
        <w:trHeight w:val="350"/>
      </w:trPr>
      <w:tc>
        <w:tcPr>
          <w:tcW w:w="2235" w:type="dxa"/>
          <w:tcBorders>
            <w:top w:val="single" w:sz="8" w:space="0" w:color="00447A"/>
            <w:bottom w:val="single" w:sz="8" w:space="0" w:color="00447A"/>
          </w:tcBorders>
        </w:tcPr>
        <w:p w14:paraId="46E828EA" w14:textId="77777777" w:rsidR="00EE0D48" w:rsidRPr="00EE0D48" w:rsidRDefault="00EE0D48" w:rsidP="00EE0D48">
          <w:pPr>
            <w:tabs>
              <w:tab w:val="center" w:pos="4680"/>
              <w:tab w:val="right" w:pos="9360"/>
            </w:tabs>
            <w:spacing w:before="60"/>
            <w:rPr>
              <w:noProof/>
              <w:sz w:val="20"/>
              <w:szCs w:val="20"/>
            </w:rPr>
          </w:pPr>
          <w:r>
            <w:rPr>
              <w:rFonts w:ascii="Arial" w:hAnsi="Arial"/>
              <w:b/>
              <w:color w:val="00447A"/>
              <w:sz w:val="20"/>
            </w:rPr>
            <w:t>Nru 208</w:t>
          </w:r>
        </w:p>
      </w:tc>
      <w:tc>
        <w:tcPr>
          <w:tcW w:w="6804" w:type="dxa"/>
          <w:tcBorders>
            <w:top w:val="single" w:sz="8" w:space="0" w:color="00447A"/>
            <w:bottom w:val="single" w:sz="8" w:space="0" w:color="00447A"/>
          </w:tcBorders>
        </w:tcPr>
        <w:p w14:paraId="53768128" w14:textId="77777777" w:rsidR="00EE0D48" w:rsidRPr="00EE0D48" w:rsidRDefault="00EE0D48" w:rsidP="00EE0D48">
          <w:pPr>
            <w:spacing w:before="60"/>
            <w:jc w:val="center"/>
            <w:rPr>
              <w:rFonts w:ascii="Arial" w:eastAsia="Arial" w:hAnsi="Arial" w:cs="Arial"/>
              <w:b/>
              <w:bCs/>
              <w:color w:val="00447A"/>
              <w:sz w:val="20"/>
              <w:szCs w:val="20"/>
            </w:rPr>
          </w:pPr>
          <w:r>
            <w:rPr>
              <w:rFonts w:ascii="Arial" w:hAnsi="Arial"/>
              <w:b/>
              <w:color w:val="00447A"/>
              <w:sz w:val="20"/>
            </w:rPr>
            <w:t>28/08/2024</w:t>
          </w:r>
        </w:p>
      </w:tc>
      <w:tc>
        <w:tcPr>
          <w:tcW w:w="2217" w:type="dxa"/>
          <w:gridSpan w:val="2"/>
          <w:tcBorders>
            <w:top w:val="single" w:sz="8" w:space="0" w:color="00447A"/>
            <w:bottom w:val="single" w:sz="8" w:space="0" w:color="00447A"/>
          </w:tcBorders>
        </w:tcPr>
        <w:p w14:paraId="0445C7CE" w14:textId="77777777" w:rsidR="00EE0D48" w:rsidRPr="00EE0D48" w:rsidRDefault="00EE0D48" w:rsidP="00EE0D48">
          <w:pPr>
            <w:tabs>
              <w:tab w:val="center" w:pos="4680"/>
              <w:tab w:val="right" w:pos="9360"/>
            </w:tabs>
            <w:spacing w:before="60"/>
            <w:jc w:val="right"/>
            <w:rPr>
              <w:noProof/>
              <w:sz w:val="20"/>
              <w:szCs w:val="20"/>
            </w:rPr>
          </w:pPr>
          <w:r>
            <w:rPr>
              <w:rFonts w:ascii="Arial" w:hAnsi="Arial"/>
              <w:b/>
              <w:color w:val="00447A"/>
              <w:sz w:val="20"/>
            </w:rPr>
            <w:t xml:space="preserve">Taqsima I. Paġna </w:t>
          </w:r>
          <w:r w:rsidRPr="00EE0D48">
            <w:rPr>
              <w:rFonts w:ascii="Arial" w:eastAsia="Arial" w:hAnsi="Arial" w:cs="Arial"/>
              <w:b/>
              <w:color w:val="00447A"/>
              <w:sz w:val="20"/>
            </w:rPr>
            <w:fldChar w:fldCharType="begin"/>
          </w:r>
          <w:r w:rsidRPr="00EE0D48">
            <w:rPr>
              <w:rFonts w:ascii="Arial" w:eastAsia="Arial" w:hAnsi="Arial" w:cs="Arial"/>
              <w:b/>
              <w:color w:val="00447A"/>
              <w:sz w:val="20"/>
            </w:rPr>
            <w:instrText xml:space="preserve"> PAGE   \* MERGEFORMAT </w:instrText>
          </w:r>
          <w:r w:rsidRPr="00EE0D48">
            <w:rPr>
              <w:rFonts w:ascii="Arial" w:eastAsia="Arial" w:hAnsi="Arial" w:cs="Arial"/>
              <w:b/>
              <w:color w:val="00447A"/>
              <w:sz w:val="20"/>
            </w:rPr>
            <w:fldChar w:fldCharType="separate"/>
          </w:r>
          <w:r w:rsidRPr="00EE0D48">
            <w:rPr>
              <w:rFonts w:ascii="Arial" w:eastAsia="Arial" w:hAnsi="Arial" w:cs="Arial"/>
              <w:b/>
              <w:color w:val="00447A"/>
              <w:sz w:val="20"/>
            </w:rPr>
            <w:t>108461</w:t>
          </w:r>
          <w:r w:rsidRPr="00EE0D48">
            <w:rPr>
              <w:rFonts w:ascii="Arial" w:eastAsia="Arial" w:hAnsi="Arial" w:cs="Arial"/>
              <w:b/>
              <w:color w:val="00447A"/>
              <w:sz w:val="20"/>
            </w:rPr>
            <w:fldChar w:fldCharType="end"/>
          </w:r>
        </w:p>
      </w:tc>
    </w:tr>
  </w:tbl>
  <w:p w14:paraId="7DDE1055" w14:textId="77777777" w:rsidR="00EE0D48" w:rsidRPr="00EE0D48" w:rsidRDefault="00EE0D48" w:rsidP="00EE0D48">
    <w:pPr>
      <w:tabs>
        <w:tab w:val="center" w:pos="4680"/>
        <w:tab w:val="right" w:pos="9360"/>
      </w:tabs>
    </w:pPr>
  </w:p>
  <w:p w14:paraId="6D3322AA" w14:textId="77777777" w:rsidR="00EE0D48" w:rsidRPr="00EE0D48" w:rsidRDefault="00EE0D4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0D8"/>
    <w:multiLevelType w:val="multilevel"/>
    <w:tmpl w:val="0428ED76"/>
    <w:lvl w:ilvl="0">
      <w:start w:val="8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071BF6"/>
    <w:multiLevelType w:val="multilevel"/>
    <w:tmpl w:val="5DE44DB4"/>
    <w:lvl w:ilvl="0">
      <w:start w:val="1"/>
      <w:numFmt w:val="upperRoman"/>
      <w:lvlText w:val="%1."/>
      <w:lvlJc w:val="righ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3E37C9"/>
    <w:multiLevelType w:val="multilevel"/>
    <w:tmpl w:val="C79A14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D919AA"/>
    <w:multiLevelType w:val="multilevel"/>
    <w:tmpl w:val="A0A0B3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B566924"/>
    <w:multiLevelType w:val="multilevel"/>
    <w:tmpl w:val="BA70EFF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CB75579"/>
    <w:multiLevelType w:val="multilevel"/>
    <w:tmpl w:val="9632A9C0"/>
    <w:lvl w:ilvl="0">
      <w:start w:val="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EC93299"/>
    <w:multiLevelType w:val="multilevel"/>
    <w:tmpl w:val="C100907A"/>
    <w:lvl w:ilvl="0">
      <w:start w:val="7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C92"/>
    <w:rsid w:val="001C4407"/>
    <w:rsid w:val="00200072"/>
    <w:rsid w:val="0037644B"/>
    <w:rsid w:val="003A02E8"/>
    <w:rsid w:val="00503C92"/>
    <w:rsid w:val="00695D6F"/>
    <w:rsid w:val="007C7F14"/>
    <w:rsid w:val="008A217F"/>
    <w:rsid w:val="008D51C9"/>
    <w:rsid w:val="00973FEB"/>
    <w:rsid w:val="009B772F"/>
    <w:rsid w:val="00A51493"/>
    <w:rsid w:val="00BB487E"/>
    <w:rsid w:val="00C10FCF"/>
    <w:rsid w:val="00EE0D48"/>
    <w:rsid w:val="00F122A6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B8557"/>
  <w15:docId w15:val="{14B7957D-F9B3-420D-ABEF-F04A5FA72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mt-MT" w:eastAsia="es-ES" w:bidi="es-E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Bodytext20">
    <w:name w:val="Body text (2)"/>
    <w:basedOn w:val="Normal"/>
    <w:link w:val="Bodytext2"/>
    <w:rPr>
      <w:rFonts w:ascii="Arial" w:eastAsia="Arial" w:hAnsi="Arial" w:cs="Arial"/>
      <w:sz w:val="14"/>
      <w:szCs w:val="14"/>
    </w:rPr>
  </w:style>
  <w:style w:type="paragraph" w:customStyle="1" w:styleId="Bodytext40">
    <w:name w:val="Body text (4)"/>
    <w:basedOn w:val="Normal"/>
    <w:link w:val="Bodytext4"/>
    <w:pPr>
      <w:spacing w:after="260"/>
      <w:jc w:val="center"/>
    </w:pPr>
    <w:rPr>
      <w:rFonts w:ascii="Arial" w:eastAsia="Arial" w:hAnsi="Arial" w:cs="Arial"/>
      <w:b/>
      <w:bCs/>
      <w:sz w:val="30"/>
      <w:szCs w:val="30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10">
    <w:name w:val="Heading #1"/>
    <w:basedOn w:val="Normal"/>
    <w:link w:val="Heading1"/>
    <w:pPr>
      <w:spacing w:after="260"/>
      <w:jc w:val="center"/>
      <w:outlineLvl w:val="0"/>
    </w:pPr>
    <w:rPr>
      <w:rFonts w:ascii="Arial" w:eastAsia="Arial" w:hAnsi="Arial" w:cs="Arial"/>
      <w:sz w:val="34"/>
      <w:szCs w:val="34"/>
    </w:rPr>
  </w:style>
  <w:style w:type="paragraph" w:styleId="BodyText">
    <w:name w:val="Body Text"/>
    <w:basedOn w:val="Normal"/>
    <w:link w:val="BodyTextChar"/>
    <w:qFormat/>
    <w:pPr>
      <w:spacing w:after="120" w:line="264" w:lineRule="auto"/>
      <w:ind w:firstLine="340"/>
    </w:pPr>
    <w:rPr>
      <w:rFonts w:ascii="Arial" w:eastAsia="Arial" w:hAnsi="Arial" w:cs="Arial"/>
      <w:sz w:val="19"/>
      <w:szCs w:val="19"/>
    </w:rPr>
  </w:style>
  <w:style w:type="paragraph" w:customStyle="1" w:styleId="Other0">
    <w:name w:val="Other"/>
    <w:basedOn w:val="Normal"/>
    <w:link w:val="Other"/>
    <w:pPr>
      <w:spacing w:after="120" w:line="264" w:lineRule="auto"/>
      <w:ind w:firstLine="340"/>
    </w:pPr>
    <w:rPr>
      <w:rFonts w:ascii="Arial" w:eastAsia="Arial" w:hAnsi="Arial" w:cs="Arial"/>
      <w:sz w:val="19"/>
      <w:szCs w:val="19"/>
    </w:rPr>
  </w:style>
  <w:style w:type="paragraph" w:customStyle="1" w:styleId="Bodytext30">
    <w:name w:val="Body text (3)"/>
    <w:basedOn w:val="Normal"/>
    <w:link w:val="Bodytext3"/>
    <w:pPr>
      <w:spacing w:line="278" w:lineRule="auto"/>
    </w:pPr>
    <w:rPr>
      <w:rFonts w:ascii="Arial" w:eastAsia="Arial" w:hAnsi="Arial" w:cs="Arial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E0D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D48"/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E0D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D48"/>
    <w:rPr>
      <w:color w:val="000000"/>
    </w:rPr>
  </w:style>
  <w:style w:type="table" w:customStyle="1" w:styleId="TableGrid1">
    <w:name w:val="Table Grid1"/>
    <w:basedOn w:val="TableNormal"/>
    <w:next w:val="TableGrid"/>
    <w:uiPriority w:val="39"/>
    <w:rsid w:val="00EE0D48"/>
    <w:pPr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E0D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122A6"/>
    <w:pPr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F7446"/>
    <w:pPr>
      <w:autoSpaceDE w:val="0"/>
      <w:autoSpaceDN w:val="0"/>
    </w:pPr>
    <w:rPr>
      <w:rFonts w:ascii="Calibri" w:eastAsia="Calibri" w:hAnsi="Calibri" w:cs="Times New Roman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e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e.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oe.es" TargetMode="External"/><Relationship Id="rId1" Type="http://schemas.openxmlformats.org/officeDocument/2006/relationships/hyperlink" Target="https://www.boe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2613</Words>
  <Characters>18715</Characters>
  <Application>Microsoft Office Word</Application>
  <DocSecurity>0</DocSecurity>
  <Lines>322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Disposición 17371 del BOE núm. 208 de 2024</vt:lpstr>
    </vt:vector>
  </TitlesOfParts>
  <Company/>
  <LinksUpToDate>false</LinksUpToDate>
  <CharactersWithSpaces>21207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Disposición 17371 del BOE núm. 208 de 2024</dc:title>
  <dc:subject>BOE-A-2024-17371</dc:subject>
  <dc:creator>MINISTERIO DE AGRICULTURA, PESCA Y ALIMENTACIÓN</dc:creator>
  <cp:keywords>DECRETO 840/2024 de 27/08/2024; MINISTERIO DE AGRICULTURA, PESCA Y ALIMENTACIÓN; BOE-A-2024-17371; BOE 208 de 2024; 17371; 28/08/2024;Class='Internal'</cp:keywords>
  <cp:lastModifiedBy>Ragnhild Efraimsson</cp:lastModifiedBy>
  <cp:revision>2</cp:revision>
  <dcterms:created xsi:type="dcterms:W3CDTF">2024-10-10T11:21:00Z</dcterms:created>
  <dcterms:modified xsi:type="dcterms:W3CDTF">2024-10-10T11:21:00Z</dcterms:modified>
</cp:coreProperties>
</file>