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551316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Asetukset, määräykset, kiertokirjeet </w:t>
      </w:r>
    </w:p>
    <w:p w14:paraId="4AC62185" w14:textId="77777777" w:rsidR="00BB5F5A" w:rsidRDefault="00551316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YLEISET TEKSTIT </w:t>
      </w:r>
    </w:p>
    <w:p w14:paraId="2E00BDAA" w14:textId="77777777" w:rsidR="00BB5F5A" w:rsidRDefault="00551316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TALOUS-, VALTIONVARAIN- JA TEOLLISUUSMINISTERIÖ </w:t>
      </w:r>
    </w:p>
    <w:p w14:paraId="6D78EE22" w14:textId="77777777" w:rsidR="00BB5F5A" w:rsidRDefault="00551316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Määräys nro 2024-978, annettu 6 päivänä marraskuuta 2024, kaupallisen vaikuttamisen sääntelystä ja vaikuttajien väärinkäytösten torjumisesta sosiaalisissa verkostoissa 9 päivänä kesäkuuta 2023 annetun lain nro 2023-451 muuttamisesta </w:t>
      </w:r>
    </w:p>
    <w:p w14:paraId="53548437" w14:textId="77777777" w:rsidR="00BB5F5A" w:rsidRDefault="00551316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NOR: </w:t>
      </w:r>
      <w:r>
        <w:rPr>
          <w:rFonts w:ascii="Calibri" w:hAnsi="Calibri"/>
          <w:i/>
          <w:sz w:val="16"/>
        </w:rPr>
        <w:t xml:space="preserve">ECOI2418969R </w:t>
      </w:r>
    </w:p>
    <w:p w14:paraId="6C61012D" w14:textId="77777777" w:rsidR="00BB5F5A" w:rsidRDefault="00551316">
      <w:pPr>
        <w:ind w:firstLine="0"/>
      </w:pPr>
      <w:r>
        <w:t>Tas</w:t>
      </w:r>
      <w:r>
        <w:t xml:space="preserve">avallan presidentti, joka </w:t>
      </w:r>
    </w:p>
    <w:p w14:paraId="60771B53" w14:textId="77777777" w:rsidR="00BB5F5A" w:rsidRDefault="00551316">
      <w:pPr>
        <w:spacing w:after="88"/>
        <w:ind w:firstLine="0"/>
      </w:pPr>
      <w:r>
        <w:t xml:space="preserve">pääministerin sekä talous-, valtiovarain- ja teollisuusministerin selonteon perusteella </w:t>
      </w:r>
    </w:p>
    <w:p w14:paraId="54602248" w14:textId="77777777" w:rsidR="00BB5F5A" w:rsidRDefault="00551316">
      <w:pPr>
        <w:spacing w:after="30"/>
        <w:ind w:firstLine="0"/>
      </w:pPr>
      <w:r>
        <w:t xml:space="preserve">ottaa huomioon perustuslain ja erityisesti sen 38 §:n, </w:t>
      </w:r>
    </w:p>
    <w:p w14:paraId="071009EA" w14:textId="77777777" w:rsidR="00BB5F5A" w:rsidRDefault="00551316">
      <w:pPr>
        <w:spacing w:after="24"/>
        <w:ind w:left="-15"/>
      </w:pPr>
      <w:r>
        <w:t>ottaa huomioon tietoyhteiskunnan palveluja, erityisesti sähköistä kaupankäyntiä, sis</w:t>
      </w:r>
      <w:r>
        <w:t xml:space="preserve">ämarkkinoilla koskevista tietyistä oikeudellisista näkökohdista 8 päivänä kesäkuuta 2000 annetun Euroopan parlamentin ja neuvoston direktiivin 2000/31/EY (direktiivi sähköisestä kaupankäynnistä), </w:t>
      </w:r>
    </w:p>
    <w:p w14:paraId="0D58FCC0" w14:textId="77777777" w:rsidR="00BB5F5A" w:rsidRDefault="00551316">
      <w:pPr>
        <w:spacing w:after="24"/>
        <w:ind w:left="-15"/>
      </w:pPr>
      <w:r>
        <w:t>ottaa huomioon sopimattomista elinkeinonharjoittajien ja ku</w:t>
      </w:r>
      <w:r>
        <w:t>luttajien välisistä kaupallisista menettelyistä sisämarkkinoilla ja neuvoston direktiivin 84/450/ETY, Euroopan parlamentin ja neuvoston direktiivien 97/7/EY, 98/27/EY ja 2002/65/EY sekä Euroopan parlamentin ja neuvoston asetuksen (EY) N:o 2006/2004 muuttam</w:t>
      </w:r>
      <w:r>
        <w:t xml:space="preserve">isesta 11 päivänä toukokuuta 2005 annetun Euroopan parlamentin ja neuvoston direktiivin 2005/29/EY (sopimattomia kaupallisia menettelyjä koskeva direktiivi), </w:t>
      </w:r>
    </w:p>
    <w:p w14:paraId="29E501B5" w14:textId="77777777" w:rsidR="00BB5F5A" w:rsidRDefault="00551316">
      <w:pPr>
        <w:spacing w:after="23"/>
        <w:ind w:left="-15"/>
      </w:pPr>
      <w:r>
        <w:t xml:space="preserve">ottaa huomioon audiovisuaalisten mediapalvelujen tarjoamista koskevien jäsenvaltioiden tiettyjen </w:t>
      </w:r>
      <w:r>
        <w:t xml:space="preserve">lakien, asetusten ja hallinnollisten määräysten yhteensovittamisesta 10 päivänä maaliskuuta 2010 annetun Euroopan parlamentin ja neuvoston direktiivin 2010/13/EU (audiovisuaalisia mediapalveluja koskeva direktiivi), </w:t>
      </w:r>
    </w:p>
    <w:p w14:paraId="517F39D2" w14:textId="77777777" w:rsidR="00BB5F5A" w:rsidRDefault="00551316">
      <w:pPr>
        <w:ind w:left="-15"/>
      </w:pPr>
      <w:r>
        <w:t>ottaa huomioon teknisiä määräyksiä ja t</w:t>
      </w:r>
      <w:r>
        <w:t xml:space="preserve">ietoyhteiskunnan palveluja koskevia määräyksiä koskevien tietojen toimittamisessa noudatettavasta menettelystä 9 päivänä syyskuuta 2015 annetun Euroopan parlamentin ja neuvoston direktiivin (EU) 2015/1535, </w:t>
      </w:r>
    </w:p>
    <w:p w14:paraId="18DA088E" w14:textId="77777777" w:rsidR="00BB5F5A" w:rsidRDefault="00551316">
      <w:pPr>
        <w:spacing w:after="30"/>
        <w:ind w:firstLine="0"/>
      </w:pPr>
      <w:r>
        <w:t>ottaa huomioon hallintolainkäyttölain ja erityise</w:t>
      </w:r>
      <w:r>
        <w:t xml:space="preserve">sti sen R. 123-20 §:n, </w:t>
      </w:r>
    </w:p>
    <w:p w14:paraId="7F86EC33" w14:textId="77777777" w:rsidR="00BB5F5A" w:rsidRDefault="00551316">
      <w:pPr>
        <w:spacing w:after="25"/>
        <w:ind w:left="-15"/>
      </w:pPr>
      <w:r>
        <w:t xml:space="preserve">ottaa huomioon kaupallisen vaikuttamisen sääntelystä ja vaikuttajien väärinkäytösten torjumisesta sosiaalisissa verkostoissa 9 päivänä kesäkuuta 2023 annetun lain nro 2023-451, </w:t>
      </w:r>
    </w:p>
    <w:p w14:paraId="76205EB4" w14:textId="77777777" w:rsidR="00BB5F5A" w:rsidRDefault="00551316">
      <w:pPr>
        <w:ind w:left="-15"/>
      </w:pPr>
      <w:r>
        <w:t>ottaa huomioon taloutta, rahoitusta, ekologista siirtymää, rikosoikeutta, sosi</w:t>
      </w:r>
      <w:r>
        <w:t xml:space="preserve">aalioikeutta ja maatalousasioita koskevien seikkojen mukauttamisesta Euroopan unionin oikeuteen koskevista säännöksistä 22 päivänä huhtikuuta 2024 annetun lain nro 2024-364, ja erityisesti sen 3 §:n, </w:t>
      </w:r>
    </w:p>
    <w:p w14:paraId="52DE1B19" w14:textId="77777777" w:rsidR="00BB5F5A" w:rsidRDefault="00551316">
      <w:pPr>
        <w:ind w:firstLine="0"/>
      </w:pPr>
      <w:r>
        <w:t>ottaa huomioon Euroopan komissiolle 3 päivänä heinäkuut</w:t>
      </w:r>
      <w:r>
        <w:t xml:space="preserve">a 2024 toimitetun ilmoituksen nro 2024/0379/FR, </w:t>
      </w:r>
    </w:p>
    <w:p w14:paraId="2DC263BA" w14:textId="77777777" w:rsidR="00BB5F5A" w:rsidRDefault="00551316">
      <w:pPr>
        <w:spacing w:after="214"/>
        <w:ind w:right="5040" w:firstLine="0"/>
      </w:pPr>
      <w:r>
        <w:t xml:space="preserve">kuultuaan korkeinta hallinto-oikeutta (talousasioista vastaavaa osastoa), kuultuaan ministerineuvostoa </w:t>
      </w:r>
    </w:p>
    <w:p w14:paraId="1578A1A7" w14:textId="77777777" w:rsidR="00BB5F5A" w:rsidRDefault="00551316">
      <w:pPr>
        <w:spacing w:after="146"/>
        <w:ind w:left="1077" w:firstLine="0"/>
      </w:pPr>
      <w:r>
        <w:t xml:space="preserve">määrää seuraavaa: </w:t>
      </w:r>
    </w:p>
    <w:p w14:paraId="4FDE374B" w14:textId="77777777" w:rsidR="00BB5F5A" w:rsidRDefault="00551316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1 §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551316">
      <w:pPr>
        <w:spacing w:after="119"/>
        <w:ind w:left="-15"/>
      </w:pPr>
      <w:r>
        <w:t>Muutetaan kaupallisen vaikuttamisen sääntelystä ja vaikuttajien väärinkäytösten</w:t>
      </w:r>
      <w:r>
        <w:t xml:space="preserve"> torjumisesta sosiaalisissa verkostoissa 9 päivänä kesäkuuta 2023 annettua lakia nro 2023-451 seuraavasti: </w:t>
      </w:r>
    </w:p>
    <w:p w14:paraId="542BFDB4" w14:textId="77777777" w:rsidR="00BB5F5A" w:rsidRDefault="00551316">
      <w:pPr>
        <w:numPr>
          <w:ilvl w:val="0"/>
          <w:numId w:val="1"/>
        </w:numPr>
        <w:spacing w:after="85"/>
        <w:ind w:hanging="305"/>
      </w:pPr>
      <w:r>
        <w:t xml:space="preserve">– Korvataan 1 § seuraavasti: </w:t>
      </w:r>
    </w:p>
    <w:p w14:paraId="36B0D7BB" w14:textId="77777777" w:rsidR="00BB5F5A" w:rsidRDefault="00551316">
      <w:pPr>
        <w:spacing w:after="135"/>
        <w:ind w:left="-15"/>
      </w:pPr>
      <w:r>
        <w:t xml:space="preserve">” </w:t>
      </w:r>
      <w:r>
        <w:rPr>
          <w:i/>
        </w:rPr>
        <w:t xml:space="preserve">1 §. – </w:t>
      </w:r>
      <w:r>
        <w:t>Luonnolliset henkilöt tai oikeushenkilöt, jotka vastikkeellisesti hyödyntävät saamaansa julkisuutta jakaaksee</w:t>
      </w:r>
      <w:r>
        <w:t xml:space="preserve">n yleisölle sähköisessä muodossa sisältöä, jonka tarkoituksena on suoraan tai välillisesti edistää tavaroita, palveluita tai mitä tahansa tarkoitusta, harjoittavat kaupallista vaikuttamista sähköisesti.”; </w:t>
      </w:r>
    </w:p>
    <w:p w14:paraId="3950E5A5" w14:textId="77777777" w:rsidR="00BB5F5A" w:rsidRDefault="00551316">
      <w:pPr>
        <w:numPr>
          <w:ilvl w:val="0"/>
          <w:numId w:val="1"/>
        </w:numPr>
        <w:spacing w:after="79"/>
        <w:ind w:hanging="305"/>
      </w:pPr>
      <w:r>
        <w:t xml:space="preserve">– Korvataan 4 § seuraavasti: </w:t>
      </w:r>
    </w:p>
    <w:p w14:paraId="6F86B412" w14:textId="77777777" w:rsidR="00BB5F5A" w:rsidRDefault="00551316">
      <w:pPr>
        <w:ind w:left="-15"/>
      </w:pPr>
      <w:r>
        <w:t xml:space="preserve">” </w:t>
      </w:r>
      <w:r>
        <w:rPr>
          <w:i/>
        </w:rPr>
        <w:t xml:space="preserve">4 § – </w:t>
      </w:r>
      <w:proofErr w:type="spellStart"/>
      <w:r>
        <w:t>I.Esteettise</w:t>
      </w:r>
      <w:r>
        <w:t>en</w:t>
      </w:r>
      <w:proofErr w:type="spellEnd"/>
      <w:r>
        <w:t xml:space="preserve"> tarkoitukseen tähtäävien toimien, prosessien, tekniikoiden ja menetelmien, jotka voivat vaarantaa kansanterveyslain L. 1151-2 §:ssä tarkoitettujen henkilöiden terveyden, sekä saman lain L. 6322-1 §:ssä tarkoitettujen toimenpiteiden suora tai välillinen </w:t>
      </w:r>
      <w:r>
        <w:t xml:space="preserve">edistäminen on kielletty henkilöiltä, jotka harjoittavat kaupallista vaikuttamista sähköisesti. </w:t>
      </w:r>
    </w:p>
    <w:p w14:paraId="1DB6FB2C" w14:textId="77777777" w:rsidR="00BB5F5A" w:rsidRDefault="00551316">
      <w:pPr>
        <w:ind w:left="-15"/>
      </w:pPr>
      <w:proofErr w:type="spellStart"/>
      <w:r>
        <w:lastRenderedPageBreak/>
        <w:t>II.Terapeuttisten</w:t>
      </w:r>
      <w:proofErr w:type="spellEnd"/>
      <w:r>
        <w:t xml:space="preserve"> toimien, protokollien tai lääkemääräysten kanssa vertailukelpoisina tai niitä parempina tai ne korvaavina esitettävien, muiden kuin terapeutt</w:t>
      </w:r>
      <w:r>
        <w:t xml:space="preserve">isten tuotteiden, toimien, prosessien, tekniikoiden ja menetelmien suora tai välillinen edistäminen on kielletty henkilöiltä, jotka harjoittavat kaupallista vaikuttamista sähköisesti. </w:t>
      </w:r>
    </w:p>
    <w:p w14:paraId="0FCE785E" w14:textId="77777777" w:rsidR="00BB5F5A" w:rsidRDefault="00551316">
      <w:pPr>
        <w:ind w:left="-15"/>
      </w:pPr>
      <w:proofErr w:type="spellStart"/>
      <w:r>
        <w:t>III.Nikotiinituotteiksi</w:t>
      </w:r>
      <w:proofErr w:type="spellEnd"/>
      <w:r>
        <w:t xml:space="preserve"> luettavien tuotteiden, jotka ovat kulutustuotte</w:t>
      </w:r>
      <w:r>
        <w:t xml:space="preserve">ita ja valmistettu vaikka vain osittain nikotiinista, suora tai välillinen edistäminen on kielletty henkilöiltä, jotka harjoittavat kaupallista vaikuttamista sähköisesti. </w:t>
      </w:r>
    </w:p>
    <w:p w14:paraId="7EEC5628" w14:textId="77777777" w:rsidR="00BB5F5A" w:rsidRDefault="00551316">
      <w:pPr>
        <w:spacing w:after="130"/>
        <w:ind w:left="-15"/>
      </w:pPr>
      <w:proofErr w:type="spellStart"/>
      <w:r>
        <w:t>IV.Sellaisten</w:t>
      </w:r>
      <w:proofErr w:type="spellEnd"/>
      <w:r>
        <w:t xml:space="preserve"> eläinten, joita ei ole sisällytetty ympäristölain L. 413-1 A §:n I mom</w:t>
      </w:r>
      <w:r>
        <w:t>entissa tarkoitettuun luetteloon, suora tai välillinen edistäminen on kielletty henkilöiltä, jotka harjoittavat kaupallista vaikuttamista sähköisesti. Tätä kieltoa ei sovelleta laitoksiin, joilla on lupa pitää kyseisiä eläimiä ympäristölain L. 413-3 §:n mu</w:t>
      </w:r>
      <w:r>
        <w:t xml:space="preserve">kaisesti. </w:t>
      </w:r>
    </w:p>
    <w:p w14:paraId="4BB23C95" w14:textId="77777777" w:rsidR="00BB5F5A" w:rsidRDefault="00551316">
      <w:pPr>
        <w:spacing w:after="77"/>
        <w:ind w:left="-15"/>
      </w:pPr>
      <w:proofErr w:type="spellStart"/>
      <w:r>
        <w:t>V.Seuraavien</w:t>
      </w:r>
      <w:proofErr w:type="spellEnd"/>
      <w:r>
        <w:t xml:space="preserve"> rahoitustuotteiden ja -palvelujen suora tai välillinen edistäminen on kielletty henkilöiltä, jotka harjoittavat kaupallista vaikuttamista sähköisesti:  </w:t>
      </w:r>
    </w:p>
    <w:p w14:paraId="0FCB0A4E" w14:textId="77777777" w:rsidR="00BB5F5A" w:rsidRDefault="00551316">
      <w:pPr>
        <w:ind w:firstLine="0"/>
      </w:pPr>
      <w:r>
        <w:t>”1</w:t>
      </w:r>
      <w:r>
        <w:rPr>
          <w:sz w:val="17"/>
          <w:vertAlign w:val="superscript"/>
        </w:rPr>
        <w:t xml:space="preserve">o </w:t>
      </w:r>
      <w:r>
        <w:t xml:space="preserve">Rahataloudesta ja rahoitusmarkkinoista annetun lain L. 533-12-7 §:ssä määritellyt rahoitussopimukset; </w:t>
      </w:r>
    </w:p>
    <w:p w14:paraId="7B571492" w14:textId="77777777" w:rsidR="00BB5F5A" w:rsidRDefault="00551316">
      <w:pPr>
        <w:spacing w:after="34"/>
        <w:ind w:left="-15"/>
      </w:pPr>
      <w:r>
        <w:t>”2</w:t>
      </w:r>
      <w:r>
        <w:rPr>
          <w:sz w:val="17"/>
          <w:vertAlign w:val="superscript"/>
        </w:rPr>
        <w:t xml:space="preserve">o </w:t>
      </w:r>
      <w:r>
        <w:t>Kyseisen lain L. 54-10-2 §:ssä tarkoitetut digitaaliseen varallisuuteen liittyvät palvelut, lukuun ottamatta palveluita, joita varten mainostaja on rekisteröitynyt kyseisen lain L. 54-10-3 §:ssä säädetyin edellytyksin tai hyväksytty saman lain L. 54-10-5 §</w:t>
      </w:r>
      <w:r>
        <w:t xml:space="preserve">:ssä säädetyin edellytyksin; </w:t>
      </w:r>
    </w:p>
    <w:p w14:paraId="56BD14C2" w14:textId="77777777" w:rsidR="00BB5F5A" w:rsidRDefault="00551316">
      <w:pPr>
        <w:spacing w:after="31"/>
        <w:ind w:left="-15"/>
      </w:pPr>
      <w:r>
        <w:t>”3</w:t>
      </w:r>
      <w:r>
        <w:rPr>
          <w:sz w:val="17"/>
          <w:vertAlign w:val="superscript"/>
        </w:rPr>
        <w:t xml:space="preserve">o </w:t>
      </w:r>
      <w:r>
        <w:t xml:space="preserve">Saman lain L. 552-3 §:ssä tarkoitetut julkiset </w:t>
      </w:r>
      <w:proofErr w:type="spellStart"/>
      <w:r>
        <w:t>token</w:t>
      </w:r>
      <w:proofErr w:type="spellEnd"/>
      <w:r>
        <w:t xml:space="preserve">-tarjoukset, paitsi jos mainostaja on saanut kyseisen lain L. 552-4 §:ssä säädetyn hyväksynnän; </w:t>
      </w:r>
    </w:p>
    <w:p w14:paraId="2ED229B9" w14:textId="77777777" w:rsidR="00BB5F5A" w:rsidRDefault="00551316">
      <w:pPr>
        <w:ind w:left="-15"/>
      </w:pPr>
      <w:r>
        <w:t>”4</w:t>
      </w:r>
      <w:r>
        <w:rPr>
          <w:sz w:val="17"/>
          <w:vertAlign w:val="superscript"/>
        </w:rPr>
        <w:t xml:space="preserve">o </w:t>
      </w:r>
      <w:r>
        <w:t>Digitaalinen varallisuus, lukuun ottamatta sellaista, joka liittyy pa</w:t>
      </w:r>
      <w:r>
        <w:t>lveluihin, joiden tarjoamista varten mainostaja on rekisteröitynyt kyseisen lain L. 54-10-3 §:ssä säädetyin edellytyksin tai hyväksytty saman lain L. 54-10-5 §:ssä säädetyin edellytyksin eli silloin, kun mainostaja ei kuulu saman lain L. 54-10-3 ja L. 54-1</w:t>
      </w:r>
      <w:r>
        <w:t xml:space="preserve">0-5 §:n soveltamisalaan. </w:t>
      </w:r>
    </w:p>
    <w:p w14:paraId="4F97707A" w14:textId="77777777" w:rsidR="00BB5F5A" w:rsidRDefault="00551316">
      <w:pPr>
        <w:ind w:left="-15"/>
      </w:pPr>
      <w:r>
        <w:t xml:space="preserve">” Tämän V momentin säännösten rikkomisesta määrättävät seuraamukset on säädetty kuluttajansuojalain L. 222-16-1 §:n viidennessä kohdassa ja L. 222-16-2 §:n toiseksi viimeisessä kohdassa. </w:t>
      </w:r>
    </w:p>
    <w:p w14:paraId="7FC2E317" w14:textId="77777777" w:rsidR="00BB5F5A" w:rsidRDefault="00551316">
      <w:pPr>
        <w:ind w:left="-15"/>
      </w:pPr>
      <w:r>
        <w:t>” VI. – Urheiluun liittyvien vihje- tai en</w:t>
      </w:r>
      <w:r>
        <w:t xml:space="preserve">nustetilausten suora tai välillinen edistäminen on kielletty henkilöiltä, jotka harjoittavat kaupallista vaikuttamista sähköisesti. </w:t>
      </w:r>
    </w:p>
    <w:p w14:paraId="728EE356" w14:textId="77777777" w:rsidR="00BB5F5A" w:rsidRDefault="00551316">
      <w:pPr>
        <w:ind w:left="-15"/>
      </w:pPr>
      <w:r>
        <w:t xml:space="preserve">” VII. – Tämän lain 1 §:ssä tarkoitettujen henkilöiden sähköisesti tapahtuva kaupallinen viestintä, joka koskee sisäisestä </w:t>
      </w:r>
      <w:r>
        <w:t>turvallisuudesta annetun lain L. 320-1 ja L. 320-6 §:ssä määriteltyjä raha- ja uhkapelejä, sallitaan ainoastaan verkkoalustoilla, joilla on teknisesti mahdollista sulkea tällaisen sisällön ulkopuolelle kaikki alle 18-vuotiaat käyttäjät ja kun nämä henkilöt</w:t>
      </w:r>
      <w:r>
        <w:t xml:space="preserve"> tosiasiallisesti aktivoivat kyseisen poissulkemismekanismin. </w:t>
      </w:r>
    </w:p>
    <w:p w14:paraId="6EB44F5A" w14:textId="77777777" w:rsidR="00BB5F5A" w:rsidRDefault="00551316">
      <w:pPr>
        <w:ind w:left="-15"/>
      </w:pPr>
      <w:r>
        <w:t>Tällaiseen kaupalliseen viestintään on liitettävä viittaus siihen, että sisältö on kielletty alle 18-vuotiailta.  Tämän ilmoituksen on oltava selkeä ja helposti luettavissa ja ymmärrettävissä k</w:t>
      </w:r>
      <w:r>
        <w:t xml:space="preserve">aikilla mahdollisesti käytettävillä välineillä. </w:t>
      </w:r>
    </w:p>
    <w:p w14:paraId="16552C4E" w14:textId="77777777" w:rsidR="00BB5F5A" w:rsidRDefault="00551316">
      <w:pPr>
        <w:ind w:left="-15"/>
      </w:pPr>
      <w:r>
        <w:t>Tässä VII momentissa säädettyjen poissulkemismekanismien on vastattava viitekehystä, jonka audiovisuaalisen ja digitaalisen viestinnän sääntelyviranomainen on laatinut kuultuaan kansallista rahapeliviranomai</w:t>
      </w:r>
      <w:r>
        <w:t xml:space="preserve">sta ja kansallista tietosuojaviranomaista.  </w:t>
      </w:r>
    </w:p>
    <w:p w14:paraId="5C916282" w14:textId="77777777" w:rsidR="00BB5F5A" w:rsidRDefault="00551316">
      <w:pPr>
        <w:ind w:left="-15"/>
      </w:pPr>
      <w:r>
        <w:t>Rahapelitoiminnan harjoittajien kanssa tehtävissä myynninedistämissopimuksissa on oltava lauseke, jossa tämän lain 1 §:ssä tarkoitetut henkilöt vakuuttavat tutustuneensa rahapelaamiseen liittyvään kaupalliseen v</w:t>
      </w:r>
      <w:r>
        <w:t xml:space="preserve">iestintään sovellettaviin lakeihin ja asetuksiin ja sitoutuvat noudattamaan niitä.  </w:t>
      </w:r>
    </w:p>
    <w:p w14:paraId="507CFB94" w14:textId="77777777" w:rsidR="00BB5F5A" w:rsidRDefault="00551316">
      <w:pPr>
        <w:spacing w:after="122"/>
        <w:ind w:left="-15"/>
      </w:pPr>
      <w:r>
        <w:t xml:space="preserve">Tämän VII momentin säännösten rikkomisesta määrätään sisäisestä turvallisuudesta annetun lain L. 324-8-1 §:ssä säädetty sakko.  </w:t>
      </w:r>
    </w:p>
    <w:p w14:paraId="65CC3B40" w14:textId="77777777" w:rsidR="00BB5F5A" w:rsidRDefault="00551316">
      <w:pPr>
        <w:spacing w:after="93"/>
        <w:ind w:firstLine="0"/>
      </w:pPr>
      <w:r>
        <w:t xml:space="preserve">VIII.  – Lisätään työlain L. 6323-8-1 §:n </w:t>
      </w:r>
      <w:r>
        <w:t xml:space="preserve">2 momentin jälkeen kohta seuraavasti: </w:t>
      </w:r>
    </w:p>
    <w:p w14:paraId="6709E1F6" w14:textId="77777777" w:rsidR="00BB5F5A" w:rsidRDefault="00551316">
      <w:pPr>
        <w:ind w:left="-15"/>
      </w:pPr>
      <w:r>
        <w:t xml:space="preserve">”Lisäksi kielletään tuotteen myynti ja tuotetta koskeva myynninedistämistarjous ja maksu samassa L. 6323-6 §:ssä tarkoitettujen ohjelmien tilausta vastaan.” </w:t>
      </w:r>
    </w:p>
    <w:p w14:paraId="012E80CC" w14:textId="77777777" w:rsidR="00BB5F5A" w:rsidRDefault="00551316">
      <w:pPr>
        <w:ind w:left="-15"/>
      </w:pPr>
      <w:r>
        <w:t>” IX. – Tämän pykälän I–IV ja VI momentin säännösten rikkom</w:t>
      </w:r>
      <w:r>
        <w:t xml:space="preserve">isesta määrätään kuluttajansuojalain L. 132-2 §:ssä säädetty rangaistus. </w:t>
      </w:r>
    </w:p>
    <w:p w14:paraId="700FD132" w14:textId="77777777" w:rsidR="00BB5F5A" w:rsidRDefault="00551316">
      <w:pPr>
        <w:spacing w:after="143"/>
        <w:ind w:left="-15"/>
      </w:pPr>
      <w:r>
        <w:t>” Näiden rikkomusten ja VII momentissa tarkoitettujen rikkomusten osalta rikkomuksen tekijää voidaan myös kieltää joko pysyvästi tai tilapäisesti rikoslain 131-27 §:ssä säädettyjen m</w:t>
      </w:r>
      <w:r>
        <w:t xml:space="preserve">enettelyjen mukaisesti harjoittamasta ammattilista tai yhteiskunnallista toimintaa, jonka yhteydessä rikkomus on tehty, tai harjoittamasta tämän lain 1 §:ssä määriteltyä kaupallista vaikuttamista sähköisesti. </w:t>
      </w:r>
    </w:p>
    <w:p w14:paraId="29D9691F" w14:textId="77777777" w:rsidR="00BB5F5A" w:rsidRDefault="00551316">
      <w:pPr>
        <w:spacing w:after="81"/>
        <w:ind w:firstLine="0"/>
      </w:pPr>
      <w:r>
        <w:t>” X. – Lisätään kuluttajansuojalain L. 511-7 §</w:t>
      </w:r>
      <w:r>
        <w:t xml:space="preserve">:n 31 momentin jälkeen 32 momentti seuraavasti: </w:t>
      </w:r>
    </w:p>
    <w:p w14:paraId="14A29651" w14:textId="77777777" w:rsidR="00BB5F5A" w:rsidRDefault="00551316">
      <w:pPr>
        <w:spacing w:after="0" w:line="302" w:lineRule="auto"/>
        <w:ind w:left="-15" w:right="-15"/>
        <w:jc w:val="left"/>
      </w:pPr>
      <w:r>
        <w:t>”32</w:t>
      </w:r>
      <w:r>
        <w:rPr>
          <w:sz w:val="17"/>
          <w:vertAlign w:val="superscript"/>
        </w:rPr>
        <w:t xml:space="preserve">o </w:t>
      </w:r>
      <w:r>
        <w:t xml:space="preserve">Kaupallisen vaikuttamisen sääntelystä ja vaikuttajien väärinkäytösten torjumisesta sosiaalisissa verkostoissa 9 päivänä kesäkuuta 2023 annetun lain nro 2023-451 4 §:n V momentin nojalla.”; </w:t>
      </w:r>
      <w:proofErr w:type="spellStart"/>
      <w:r>
        <w:t>III.Korvataan</w:t>
      </w:r>
      <w:proofErr w:type="spellEnd"/>
      <w:r>
        <w:t xml:space="preserve"> 5 § seuraavasti: </w:t>
      </w:r>
    </w:p>
    <w:p w14:paraId="3C6D62EA" w14:textId="77777777" w:rsidR="00BB5F5A" w:rsidRDefault="00551316">
      <w:pPr>
        <w:ind w:left="-15"/>
      </w:pPr>
      <w:r>
        <w:lastRenderedPageBreak/>
        <w:t xml:space="preserve">” </w:t>
      </w:r>
      <w:r>
        <w:rPr>
          <w:i/>
        </w:rPr>
        <w:t xml:space="preserve">5 §. – </w:t>
      </w:r>
      <w:r>
        <w:t xml:space="preserve">I. – Tämän lain 1 §:ssä tarkoitettujen henkilöiden julkaisemaan sisältöön, joka sisältää kuvia, </w:t>
      </w:r>
    </w:p>
    <w:p w14:paraId="4B787B68" w14:textId="77777777" w:rsidR="00BB5F5A" w:rsidRDefault="00551316">
      <w:pPr>
        <w:spacing w:after="31"/>
        <w:ind w:left="-15"/>
      </w:pPr>
      <w:r>
        <w:t>”</w:t>
      </w:r>
      <w:proofErr w:type="gramStart"/>
      <w:r>
        <w:t>1</w:t>
      </w:r>
      <w:r>
        <w:rPr>
          <w:sz w:val="17"/>
          <w:vertAlign w:val="superscript"/>
        </w:rPr>
        <w:t>o</w:t>
      </w:r>
      <w:proofErr w:type="gramEnd"/>
      <w:r>
        <w:rPr>
          <w:sz w:val="17"/>
          <w:vertAlign w:val="superscript"/>
        </w:rPr>
        <w:t xml:space="preserve"> </w:t>
      </w:r>
      <w:r>
        <w:t>joita on muokattu kuvankäsittelyprosessissa siten, että siluettia on muutettu ohuemmaksi tai paksummaksi tai kasvoja on muokatt</w:t>
      </w:r>
      <w:r>
        <w:t xml:space="preserve">u, on liitettävä ilmoitus: ”Kuvaa on muokattu”; </w:t>
      </w:r>
    </w:p>
    <w:p w14:paraId="68231ACC" w14:textId="77777777" w:rsidR="00BB5F5A" w:rsidRDefault="00551316">
      <w:pPr>
        <w:ind w:left="-15"/>
      </w:pPr>
      <w:r>
        <w:t>”</w:t>
      </w:r>
      <w:proofErr w:type="gramStart"/>
      <w:r>
        <w:t>2</w:t>
      </w:r>
      <w:r>
        <w:rPr>
          <w:sz w:val="17"/>
          <w:vertAlign w:val="superscript"/>
        </w:rPr>
        <w:t>o</w:t>
      </w:r>
      <w:proofErr w:type="gramEnd"/>
      <w:r>
        <w:rPr>
          <w:sz w:val="17"/>
          <w:vertAlign w:val="superscript"/>
        </w:rPr>
        <w:t xml:space="preserve"> </w:t>
      </w:r>
      <w:r>
        <w:t xml:space="preserve">jotka on tuotettu tekoälyä käyttäen ja jotka esittävät kasvoja tai siluettia, on liitettävä ilmoitus: ”Virtuaalinen kuva”. </w:t>
      </w:r>
    </w:p>
    <w:p w14:paraId="25C7F208" w14:textId="77777777" w:rsidR="00BB5F5A" w:rsidRDefault="00551316">
      <w:pPr>
        <w:ind w:left="-15"/>
      </w:pPr>
      <w:r>
        <w:t xml:space="preserve">” </w:t>
      </w:r>
      <w:r>
        <w:t>Tässä I momentissa säädettyjen ilmoitusten on oltava selkeitä ja helposti luettavissa ja ymmärrettävissä kaikilla mahdollisesti käytettävillä välineillä. Ne voidaan korvata muulla vastaavalla ilmaisulla, joka on muokattu kyseessä olevaan vaikuttamisen kein</w:t>
      </w:r>
      <w:r>
        <w:t xml:space="preserve">oon ja käytettyyn välineeseen sopivaksi. </w:t>
      </w:r>
    </w:p>
    <w:p w14:paraId="029CE24B" w14:textId="77777777" w:rsidR="00BB5F5A" w:rsidRDefault="00551316">
      <w:pPr>
        <w:ind w:left="-15"/>
      </w:pPr>
      <w:r>
        <w:t>” II. – Kun myynninedistämistä toteuttavat tämän lain 1 §:ssä tarkoitetut henkilöt ja myynninedistäminen koskee ilmoittautumista työlain L. 6313-1 §:ssä tarkoitettuun ammatilliseen koulutukseen, jonka rahoittaa jok</w:t>
      </w:r>
      <w:r>
        <w:t>in saman lain L. 6316-1 §:ssä tarkoitetuista tahoista, tämän lain 5-2 §:ssä tarkoitetun ilmoituksen on sisällettävä tiedot koulutukseen liittyvästä rahoituksesta, sitoumuksista ja kelpoisuusvaatimuksista, kyseisten koulutusohjelmien palveluntarjoajien tunn</w:t>
      </w:r>
      <w:r>
        <w:t xml:space="preserve">istetiedot sekä saman lain L. 6323-9 §:ssä tarkoitetussa sähköisessä palvelussa mainittu palveluntarjoaja. </w:t>
      </w:r>
    </w:p>
    <w:p w14:paraId="57A2125D" w14:textId="77777777" w:rsidR="00BB5F5A" w:rsidRDefault="00551316">
      <w:pPr>
        <w:ind w:left="-15"/>
      </w:pPr>
      <w:r>
        <w:t xml:space="preserve">” III. – Tämän pykälän I ja II momentin säännösten rikkomisesta voidaan määrätä yhden vuoden vankeusrangaistus ja 4 500 euron sakko. </w:t>
      </w:r>
    </w:p>
    <w:p w14:paraId="7FA75FB0" w14:textId="77777777" w:rsidR="00BB5F5A" w:rsidRDefault="00551316">
      <w:pPr>
        <w:spacing w:after="143"/>
        <w:ind w:firstLine="0"/>
      </w:pPr>
      <w:r>
        <w:t xml:space="preserve">” IV. – Tämän </w:t>
      </w:r>
      <w:r>
        <w:t xml:space="preserve">pykälän I ja II momentin soveltamista koskevat yksityiskohtaiset säännöt vahvistetaan korkeimman hallinto-oikeuden kuulemisen jälkeen annetulla asetuksella.”; </w:t>
      </w:r>
    </w:p>
    <w:p w14:paraId="530ED4FA" w14:textId="77777777" w:rsidR="00BB5F5A" w:rsidRDefault="00551316">
      <w:pPr>
        <w:spacing w:after="92"/>
        <w:ind w:firstLine="0"/>
      </w:pPr>
      <w:r>
        <w:t xml:space="preserve">IV. – Lisätään 5 §:n jälkeen 5-1 ja 5-2 § seuraavasti: </w:t>
      </w:r>
    </w:p>
    <w:p w14:paraId="7B0D6657" w14:textId="77777777" w:rsidR="00BB5F5A" w:rsidRDefault="00551316">
      <w:pPr>
        <w:ind w:left="-15"/>
      </w:pPr>
      <w:r>
        <w:t xml:space="preserve">” </w:t>
      </w:r>
      <w:r>
        <w:rPr>
          <w:i/>
        </w:rPr>
        <w:t xml:space="preserve">5-1 §. – </w:t>
      </w:r>
      <w:r>
        <w:t>I – Edellä olevan 4 §:n I–III</w:t>
      </w:r>
      <w:r>
        <w:t> momentin säännöksiä ei sovelleta 10 päivänä maaliskuuta 2010 annetussa Euroopan parlamentin ja neuvoston direktiivissä 2010/13/EU tarkoitettuihin mediapalvelujen tarjoajiin, jotka kuuluvat kyseisen direktiivin 2 artiklan 2 kohdassa tarkoitettuun toisen Eu</w:t>
      </w:r>
      <w:r>
        <w:t xml:space="preserve">roopan talousalueen jäsenvaltion lainkäyttövallan piiriin. Sen sijaan niitä sovelletaan tällaisiin tarjoajiin, kun ne kuuluvat Ranskan lainkäyttövallan piiriin. </w:t>
      </w:r>
    </w:p>
    <w:p w14:paraId="4C1C0A8C" w14:textId="77777777" w:rsidR="00BB5F5A" w:rsidRDefault="00551316">
      <w:pPr>
        <w:ind w:left="-15"/>
      </w:pPr>
      <w:r>
        <w:t>” Jos kyseisen direktiivin 3 artiklan 2–3 kohdassa tai 4 artiklan 2–5 kohdassa tarkoitetut ede</w:t>
      </w:r>
      <w:r>
        <w:t xml:space="preserve">llytykset täyttyvät ja kyseisissä säännöksissä säädetty menettely on päättynyt, hallintoviranomainen täsmentää kuitenkin asianomaiselle henkilölle häneen sovellettavat säännökset, jollei asiaankuuluvista seuraamuksista muuta johdu, sekä kyseisen palvelun. </w:t>
      </w:r>
    </w:p>
    <w:p w14:paraId="6ACD68E9" w14:textId="77777777" w:rsidR="00BB5F5A" w:rsidRDefault="00551316">
      <w:pPr>
        <w:ind w:left="-15"/>
      </w:pPr>
      <w:r>
        <w:t>” II. – Jollei I momentista muuta johdu, siltä osin kuin on kyse 4 §:n I–III momentin säännösten soveltamisesta mediapalvelujen tarjoajiin, 4 ja 5 §:n määräyksiä ei sovelleta henkilöihin, jotka ovat sijoittautuneet johonkin toiseen Euroopan talousalueen s</w:t>
      </w:r>
      <w:r>
        <w:t xml:space="preserve">opimusvaltioon. </w:t>
      </w:r>
    </w:p>
    <w:p w14:paraId="653E9A7E" w14:textId="77777777" w:rsidR="00BB5F5A" w:rsidRDefault="00551316">
      <w:pPr>
        <w:ind w:left="-15"/>
      </w:pPr>
      <w:r>
        <w:t>” Jos 8 päivänä kesäkuuta 2000 annetun Euroopan parlamentin ja neuvoston direktiivin 2000/31/EY 3 artiklan 4–5 kohdassa tarkoitetut edellytykset täyttyvät ja kyseisissä säännöksissä säädetty menettely on päättynyt, hallintoviranomainen täs</w:t>
      </w:r>
      <w:r>
        <w:t xml:space="preserve">mentää kuitenkin asianomaiselle häneen sovellettavat säännökset, jollei asiaankuuluvista seuraamuksista muuta johdu, sekä kyseisen palvelun. </w:t>
      </w:r>
    </w:p>
    <w:p w14:paraId="2DB9CAB0" w14:textId="77777777" w:rsidR="00BB5F5A" w:rsidRDefault="00551316">
      <w:pPr>
        <w:spacing w:after="92"/>
        <w:ind w:firstLine="0"/>
      </w:pPr>
      <w:r>
        <w:t xml:space="preserve">” III. – Tämän artiklan täytäntöönpanomenettelyt määritellään korkeimman hallinto-oikeuden asetuksella. </w:t>
      </w:r>
    </w:p>
    <w:p w14:paraId="4BA17F87" w14:textId="77777777" w:rsidR="00BB5F5A" w:rsidRDefault="00551316">
      <w:pPr>
        <w:ind w:left="-15"/>
      </w:pPr>
      <w:r>
        <w:t xml:space="preserve">” </w:t>
      </w:r>
      <w:r>
        <w:rPr>
          <w:i/>
        </w:rPr>
        <w:t xml:space="preserve">5-2 §. </w:t>
      </w:r>
      <w:r>
        <w:rPr>
          <w:i/>
        </w:rPr>
        <w:t xml:space="preserve">– </w:t>
      </w:r>
      <w:r>
        <w:t>Kyseessä on kuluttajansuojalain L. 121-3 §:ssä tarkoitettu harhaanjohtava kaupallinen menettely, josta säädetään samassa pykälässä, jos tämän lain 1 §:ssä tarkoitettua kaupallista vaikuttamista harjoittava luonnollinen henkilö tai oikeushenkilö ei ilmoit</w:t>
      </w:r>
      <w:r>
        <w:t xml:space="preserve">a selkeästi ja siten, että ilmoitus on helposti luettavissa ja ymmärrettävissä kaikilla mahdollisesti käytettävillä välineillä, että julkaisulla on kaupallinen tarkoitus, mikäli kyseinen tarkoitus ei käy selkeästi ilmi asiayhteydestä. </w:t>
      </w:r>
    </w:p>
    <w:p w14:paraId="0DA643B9" w14:textId="77777777" w:rsidR="00BB5F5A" w:rsidRDefault="00551316">
      <w:pPr>
        <w:spacing w:after="149"/>
        <w:ind w:left="-15"/>
      </w:pPr>
      <w:r>
        <w:t>” Kaupallinen tarkoi</w:t>
      </w:r>
      <w:r>
        <w:t xml:space="preserve">tus voidaan ilmaista selkeästi käyttämällä ilmaisua ”mainonta” tai ”kaupallinen yhteistyö” tai muuta vastaavaa ilmaisua, joka on muokattu kyseessä olevaan vaikuttamisen keinoon ja käytettyyn välineeseen sopivaksi.”; </w:t>
      </w:r>
    </w:p>
    <w:p w14:paraId="3E80D657" w14:textId="77777777" w:rsidR="00BB5F5A" w:rsidRDefault="00551316">
      <w:pPr>
        <w:spacing w:after="86"/>
        <w:ind w:firstLine="0"/>
      </w:pPr>
      <w:r>
        <w:t xml:space="preserve">V. – Korvataan 9 § seuraavasti: </w:t>
      </w:r>
    </w:p>
    <w:p w14:paraId="6FABA20B" w14:textId="77777777" w:rsidR="00BB5F5A" w:rsidRDefault="00551316">
      <w:pPr>
        <w:ind w:left="-15"/>
      </w:pPr>
      <w:r>
        <w:t xml:space="preserve">” </w:t>
      </w:r>
      <w:r>
        <w:rPr>
          <w:i/>
        </w:rPr>
        <w:t>9 §.</w:t>
      </w:r>
      <w:r>
        <w:rPr>
          <w:i/>
        </w:rPr>
        <w:t xml:space="preserve"> – </w:t>
      </w:r>
      <w:r>
        <w:t>I. – Kun itsenäistä toimintaa kauppalain L. 526-6–L. 526-21 §:ssä tai L. 526-22–L. 526-26 §:ssä tarkoitetussa asemassa harjoittavat oikeushenkilöt tai luonnolliset henkilöt, jotka eivät ole sijoittautuneet Euroopan unionin jäsenvaltion, Sveitsin valalii</w:t>
      </w:r>
      <w:r>
        <w:t>ton tai Euroopan talousalueen alueelle, mutta toiminnan kohteena on Ranskassa oleva yleisö, harjoittavat 1 §:ssä tarkoitettua toimintaa, heidän on ilmoitettava kirjallisesti oikeushenkilö tai luonnollinen henkilö, jolla on heidän edustuksensa Euroopan unio</w:t>
      </w:r>
      <w:r>
        <w:t xml:space="preserve">nin alueella. </w:t>
      </w:r>
    </w:p>
    <w:p w14:paraId="2674630E" w14:textId="77777777" w:rsidR="00BB5F5A" w:rsidRDefault="00551316">
      <w:pPr>
        <w:ind w:left="-15"/>
      </w:pPr>
      <w:r>
        <w:t>” Edustaja vastaa sellaisten sopimusten säädöstenmukaisuuden varmistamisesta, joiden tarkoituksena tai seurauksena on kaupallisen vaikuttamisen toteuttaminen sähköisesti ja kun kaupallinen vaikuttaminen kohdistuu erityisesti Ranskan alueelle</w:t>
      </w:r>
      <w:r>
        <w:t xml:space="preserve"> sijoittautuneelle yleisölle. Nimetyn edustajan on myös vastattava I momentin ensimmäisessä kohdassa tarkoitettujen henkilöiden lisäksi tai heidän sijastaan kaikkiin toimivaltaisten hallinto- tai oikeusviranomaisten selvityspyyntöihin, jotka koskevat tämän</w:t>
      </w:r>
      <w:r>
        <w:t xml:space="preserve"> lain noudattamista. </w:t>
      </w:r>
    </w:p>
    <w:p w14:paraId="5A08C8A8" w14:textId="77777777" w:rsidR="00BB5F5A" w:rsidRDefault="00551316">
      <w:pPr>
        <w:ind w:left="-15"/>
      </w:pPr>
      <w:r>
        <w:lastRenderedPageBreak/>
        <w:t>” Ensimmäisessä kohdassa tarkoitettujen henkilöiden on annettava edustajaksi nimetylle henkilölle tarvittavat valtuudet ja riittävät resurssit tehokkaan yhteistyön varmistamiseksi toimivaltaisten viranomaisten kanssa tämän lain noudat</w:t>
      </w:r>
      <w:r>
        <w:t xml:space="preserve">tamiseksi. </w:t>
      </w:r>
    </w:p>
    <w:p w14:paraId="1E06B431" w14:textId="77777777" w:rsidR="00BB5F5A" w:rsidRDefault="00551316">
      <w:pPr>
        <w:ind w:left="-15"/>
      </w:pPr>
      <w:r>
        <w:t xml:space="preserve">” Ensimmäisessä kohdassa tarkoitettujen henkilöiden on pyynnöstä ilmoitettava toimivaltaisille hallintoviranomaisille ensimmäisessä kohdassa tarkoitetun edustajan nimi, postiosoite, sähköpostiosoite ja puhelinnumero. </w:t>
      </w:r>
    </w:p>
    <w:p w14:paraId="023B8981" w14:textId="77777777" w:rsidR="00BB5F5A" w:rsidRDefault="00551316">
      <w:pPr>
        <w:ind w:firstLine="0"/>
      </w:pPr>
      <w:r>
        <w:t>Tämä nimeäminen ei muodost</w:t>
      </w:r>
      <w:r>
        <w:t xml:space="preserve">a sijoittautumista Euroopan unionin alueelle.  </w:t>
      </w:r>
    </w:p>
    <w:p w14:paraId="4116DB33" w14:textId="77777777" w:rsidR="00BB5F5A" w:rsidRDefault="00551316">
      <w:pPr>
        <w:ind w:left="-15"/>
      </w:pPr>
      <w:r>
        <w:t>” II. – Edellä 1 §:ssä tarkoitettua toimintaa harjoittavan henkilön, joka on sijoittautunut Euroopan unionin, Sveitsin valaliiton tai Euroopan talousalueen ulkopuolelle, on otettava Euroopan unioniin sijoitta</w:t>
      </w:r>
      <w:r>
        <w:t xml:space="preserve">utuneelta vakuutuksenantajalta vastuuvakuutus, joka kattaa heidän ammatillisen vastuunsa taloudelliset seuraukset, jos toiminta on, vaikka vain satunnaisesti, suunnattu Ranskan alueelle sijoittautuneelle yleisölle. </w:t>
      </w:r>
      <w:proofErr w:type="spellStart"/>
      <w:r>
        <w:t>III.Tämän</w:t>
      </w:r>
      <w:proofErr w:type="spellEnd"/>
      <w:r>
        <w:t xml:space="preserve"> pykälän täytäntöönpanoa koskeva</w:t>
      </w:r>
      <w:r>
        <w:t xml:space="preserve">t toimenpiteet määritellään korkeimman hallinto-oikeuden kuulemisen jälkeen annetulla asetuksella.” </w:t>
      </w:r>
    </w:p>
    <w:p w14:paraId="24E41C5B" w14:textId="77777777" w:rsidR="00BB5F5A" w:rsidRDefault="00551316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2 § </w:t>
      </w:r>
    </w:p>
    <w:p w14:paraId="5E209DF5" w14:textId="77777777" w:rsidR="00BB5F5A" w:rsidRDefault="00551316">
      <w:pPr>
        <w:spacing w:after="76" w:line="216" w:lineRule="auto"/>
        <w:ind w:left="-15" w:right="-15"/>
        <w:jc w:val="left"/>
      </w:pPr>
      <w:r>
        <w:t xml:space="preserve">Pääministeri ja talous-, valtiovarain- ja teollisuusministeri ovat kumpikin omalta osaltaan vastuussa tämän </w:t>
      </w:r>
      <w:r>
        <w:rPr>
          <w:i/>
        </w:rPr>
        <w:t>Ranskan tasavallan virallisessa lehdessä</w:t>
      </w:r>
      <w:r>
        <w:t xml:space="preserve"> julkaistavan määräyksen täytäntöönpanosta. </w:t>
      </w:r>
    </w:p>
    <w:p w14:paraId="2458A41C" w14:textId="77777777" w:rsidR="00BB5F5A" w:rsidRDefault="00551316">
      <w:pPr>
        <w:ind w:firstLine="0"/>
      </w:pPr>
      <w:r>
        <w:t xml:space="preserve">Annettu 6 päivänä marraskuuta 2024. </w:t>
      </w:r>
    </w:p>
    <w:p w14:paraId="779C936B" w14:textId="77777777" w:rsidR="00BB5F5A" w:rsidRDefault="00551316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551316">
      <w:pPr>
        <w:spacing w:after="73" w:line="259" w:lineRule="auto"/>
        <w:ind w:left="544" w:firstLine="0"/>
        <w:jc w:val="left"/>
      </w:pPr>
      <w:r>
        <w:rPr>
          <w:sz w:val="18"/>
        </w:rPr>
        <w:t>Ranskan t</w:t>
      </w:r>
      <w:r>
        <w:rPr>
          <w:sz w:val="18"/>
        </w:rPr>
        <w:t xml:space="preserve">asavallan presidentin puolesta: </w:t>
      </w:r>
    </w:p>
    <w:p w14:paraId="74F7E8BF" w14:textId="77777777" w:rsidR="00BB5F5A" w:rsidRDefault="00551316">
      <w:pPr>
        <w:spacing w:after="8" w:line="259" w:lineRule="auto"/>
        <w:ind w:left="0" w:firstLine="0"/>
        <w:jc w:val="left"/>
      </w:pPr>
      <w:r>
        <w:rPr>
          <w:i/>
        </w:rPr>
        <w:t xml:space="preserve">Pääministeri </w:t>
      </w:r>
    </w:p>
    <w:p w14:paraId="65A8D155" w14:textId="77777777" w:rsidR="00BB5F5A" w:rsidRDefault="00551316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551316">
      <w:pPr>
        <w:spacing w:after="54" w:line="216" w:lineRule="auto"/>
        <w:ind w:left="7307" w:firstLine="0"/>
        <w:jc w:val="center"/>
      </w:pPr>
      <w:r>
        <w:rPr>
          <w:i/>
        </w:rPr>
        <w:t xml:space="preserve">Talous-, valtiovarain- ja teollisuusministeri </w:t>
      </w:r>
    </w:p>
    <w:p w14:paraId="276AC3A6" w14:textId="23F96FBD" w:rsidR="00BB5F5A" w:rsidRDefault="00551316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8BBA" w14:textId="77777777" w:rsidR="00551316" w:rsidRDefault="00551316">
      <w:pPr>
        <w:spacing w:after="0" w:line="240" w:lineRule="auto"/>
      </w:pPr>
      <w:r>
        <w:separator/>
      </w:r>
    </w:p>
  </w:endnote>
  <w:endnote w:type="continuationSeparator" w:id="0">
    <w:p w14:paraId="449D3166" w14:textId="77777777" w:rsidR="00551316" w:rsidRDefault="0055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E93C" w14:textId="77777777" w:rsidR="00551316" w:rsidRDefault="00551316">
      <w:pPr>
        <w:spacing w:after="0" w:line="240" w:lineRule="auto"/>
      </w:pPr>
      <w:r>
        <w:separator/>
      </w:r>
    </w:p>
  </w:footnote>
  <w:footnote w:type="continuationSeparator" w:id="0">
    <w:p w14:paraId="6255DAFA" w14:textId="77777777" w:rsidR="00551316" w:rsidRDefault="0055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551316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marraskuuta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RANSKAN TASAVALLAN VIRALLINEN LEHTI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Teksti 18/120 </w:t>
    </w:r>
  </w:p>
  <w:p w14:paraId="7D2344F0" w14:textId="77777777" w:rsidR="00BB5F5A" w:rsidRDefault="00551316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551316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marraskuuta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RANSKAN TASAVALLAN VIRALLINEN LEHTI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Teksti 18/120 </w:t>
    </w:r>
  </w:p>
  <w:p w14:paraId="03F43403" w14:textId="77777777" w:rsidR="00BB5F5A" w:rsidRDefault="00551316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551316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7. marraskuuta 2024 </w:t>
    </w:r>
    <w:r>
      <w:rPr>
        <w:rFonts w:ascii="Calibri" w:hAnsi="Calibri"/>
        <w:sz w:val="16"/>
      </w:rPr>
      <w:tab/>
    </w:r>
    <w:r>
      <w:rPr>
        <w:rFonts w:ascii="Calibri" w:hAnsi="Calibri"/>
        <w:color w:val="0060B0"/>
        <w:sz w:val="18"/>
      </w:rPr>
      <w:t>RANSKAN TASAVALLAN VIRALLINEN LEHTI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Teksti 18/120 </w:t>
    </w:r>
  </w:p>
  <w:p w14:paraId="3D44B973" w14:textId="77777777" w:rsidR="00BB5F5A" w:rsidRDefault="00551316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170B39"/>
    <w:rsid w:val="00551316"/>
    <w:rsid w:val="00AC55CF"/>
    <w:rsid w:val="00BB5F5A"/>
    <w:rsid w:val="00C256E0"/>
    <w:rsid w:val="00D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13230</Characters>
  <Application>Microsoft Office Word</Application>
  <DocSecurity>0</DocSecurity>
  <Lines>181</Lines>
  <Paragraphs>85</Paragraphs>
  <ScaleCrop>false</ScaleCrop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2024-12-17T14:41:00Z</dcterms:created>
  <dcterms:modified xsi:type="dcterms:W3CDTF">2024-12-17T14:41:00Z</dcterms:modified>
</cp:coreProperties>
</file>