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6868E" w14:textId="1491DFB4">
      <w:pPr>
        <w:pStyle w:val="P68B1DB1-P68B1DB1-Title11"/>
        <w:spacing w:before="0"/>
        <w:ind w:left="0"/>
        <w:jc w:val="right"/>
        <w:rPr>
          <w:i/>
          <w:iCs/>
          <w:color w:val="FF0000"/>
          <w:sz w:val="24"/>
          <w:szCs w:val="24"/>
          <w:u w:val="none"/>
        </w:rPr>
      </w:pPr>
      <w:r>
        <w:t xml:space="preserve">Šis ir mašīntulkojums</w:t>
      </w:r>
    </w:p>
    <w:p w14:paraId="48A46481" w14:textId="77777777">
      <w:pPr>
        <w:pStyle w:val="P68B1DB1-Title1"/>
        <w:spacing w:before="0"/>
        <w:ind w:left="0"/>
      </w:pPr>
    </w:p>
    <w:p w14:paraId="5DDBFD33" w14:textId="3AD4A40E">
      <w:pPr>
        <w:pStyle w:val="P68B1DB1-Title1"/>
        <w:spacing w:before="0"/>
        <w:ind w:left="0"/>
      </w:pPr>
      <w:r>
        <w:t xml:space="preserve">Judikatūra par Direktīvu (ES) 2015/1535</w:t>
      </w:r>
    </w:p>
    <w:p w14:paraId="5AFCD03C" w14:textId="77777777">
      <w:pPr>
        <w:pStyle w:val="BodyText"/>
      </w:pPr>
    </w:p>
    <w:p w14:paraId="55805DA1" w14:textId="3A3D4AA9">
      <w:pPr>
        <w:pStyle w:val="BodyText"/>
      </w:pPr>
      <w:r>
        <w:t xml:space="preserve">Šajā dokumentā ir norādīti Eiropas Savienības Tiesas galvenie spriedumi un rīkojumi attiecībā uz Direktīvas (ES) 2015/1535, ar ko izveido procedūru informācijas sniegšanai tehnisko noteikumu un informācijas sabiedrības pakalpojumu noteikumu jomā, darbības jomu un piemērošanu. Tās mērķis ir kalpot par ceļvedi dalībvalstu pārvaldes iestādēm, nozarei un iedzīvotājiem.</w:t>
      </w:r>
    </w:p>
    <w:p w14:paraId="4F3E66AE" w14:textId="77777777">
      <w:pPr>
        <w:pStyle w:val="BodyText"/>
        <w:rPr>
          <w:sz w:val="22"/>
          <w:szCs w:val="18"/>
        </w:rPr>
      </w:pPr>
    </w:p>
    <w:p w14:paraId="53D6EBA0" w14:textId="77777777">
      <w:pPr>
        <w:pStyle w:val="BodyText"/>
      </w:pPr>
      <w:r>
        <w:t xml:space="preserve">Tā kā šis dokuments nav izsmeļošs, daži attiecīgie lēmumi var nebūt iekļauti.</w:t>
      </w:r>
    </w:p>
    <w:p w14:paraId="771A43E5" w14:textId="77777777">
      <w:pPr>
        <w:pStyle w:val="BodyText"/>
      </w:pPr>
    </w:p>
    <w:p w14:paraId="45186CE0" w14:textId="45ABA22D">
      <w:pPr>
        <w:pStyle w:val="BodyText"/>
      </w:pPr>
      <w:r>
        <w:t xml:space="preserve">Spriedumi ir izklāstīti hronoloģiskā secībā, un dokuments ir strukturēts četrās daļās:</w:t>
      </w:r>
    </w:p>
    <w:p w14:paraId="267A7D41" w14:textId="77777777">
      <w:pPr>
        <w:pStyle w:val="P68B1DB1-Normal4"/>
        <w:spacing w:after="0" w:line="278" w:lineRule="auto"/>
        <w:rPr>
          <w:rFonts w:ascii="Times New Roman" w:hAnsi="Times New Roman" w:cs="Times New Roman"/>
        </w:rPr>
      </w:pPr>
      <w:bookmarkStart w:id="0" w:name="_Hlk194503326"/>
    </w:p>
    <w:p w14:paraId="7D859DD3" w14:textId="68537153">
      <w:pPr>
        <w:pStyle w:val="P68B1DB1-TOC12"/>
        <w:tabs>
          <w:tab w:val="left" w:pos="440"/>
          <w:tab w:val="right" w:leader="dot" w:pos="9016"/>
        </w:tabs>
        <w:rPr>
          <w:rFonts w:eastAsiaTheme="minorEastAsia"/>
          <w:b w:val="0"/>
          <w:bCs w:val="0"/>
          <w:caps w:val="0"/>
          <w:kern w:val="2"/>
          <w:sz w:val="24"/>
          <w:szCs w:val="24"/>
          <w14:ligatures w14:val="standardContextual"/>
        </w:rPr>
      </w:pPr>
      <w:r>
        <w:fldChar w:fldCharType="begin"/>
      </w:r>
      <w:r>
        <w:rPr>
          <w:rFonts w:ascii="Times New Roman" w:hAnsi="Times New Roman" w:cs="Times New Roman"/>
        </w:rPr>
        <w:instrText xml:space="preserve"> TOC \o "2-2" \h \z \t "Heading 1,1" </w:instrText>
      </w:r>
      <w:r>
        <w:rPr>
          <w:rFonts w:ascii="Times New Roman" w:hAnsi="Times New Roman" w:cs="Times New Roman"/>
        </w:rPr>
        <w:fldChar w:fldCharType="separate"/>
      </w:r>
      <w:hyperlink w:anchor="_Toc203035665" w:history="1">
        <w:r>
          <w:rPr>
            <w:rStyle w:val="Hyperlink"/>
          </w:rPr>
          <w:t>I.</w:t>
        </w:r>
        <w:r>
          <w:rPr>
            <w:rFonts w:eastAsiaTheme="minorEastAsia"/>
            <w:b w:val="0"/>
            <w:bCs w:val="0"/>
            <w:caps w:val="0"/>
            <w:kern w:val="2"/>
            <w:sz w:val="24"/>
            <w:szCs w:val="24"/>
            <w14:ligatures w14:val="standardContextual"/>
          </w:rPr>
          <w:tab/>
        </w:r>
        <w:r>
          <w:rPr>
            <w:rStyle w:val="Hyperlink"/>
          </w:rPr>
          <w:t>Classification as Technical Regulation</w:t>
        </w:r>
        <w:r>
          <w:rPr>
            <w:webHidden/>
          </w:rPr>
          <w:tab/>
        </w:r>
        <w:r>
          <w:rPr>
            <w:webHidden/>
          </w:rPr>
          <w:fldChar w:fldCharType="begin"/>
        </w:r>
        <w:r>
          <w:rPr>
            <w:webHidden/>
          </w:rPr>
          <w:instrText xml:space="preserve"> PAGEREF _Toc203035665 \h </w:instrText>
        </w:r>
        <w:r>
          <w:rPr>
            <w:webHidden/>
          </w:rPr>
        </w:r>
        <w:r>
          <w:rPr>
            <w:webHidden/>
          </w:rPr>
          <w:fldChar w:fldCharType="separate"/>
        </w:r>
        <w:r>
          <w:rPr>
            <w:webHidden/>
          </w:rPr>
          <w:t>4</w:t>
        </w:r>
        <w:r>
          <w:rPr>
            <w:webHidden/>
          </w:rPr>
          <w:fldChar w:fldCharType="end"/>
        </w:r>
      </w:hyperlink>
    </w:p>
    <w:p w14:paraId="0A04A47D" w14:textId="2BCBBFA9">
      <w:pPr>
        <w:pStyle w:val="TOC2"/>
        <w:tabs>
          <w:tab w:val="left" w:pos="660"/>
          <w:tab w:val="right" w:leader="dot" w:pos="9016"/>
        </w:tabs>
        <w:rPr>
          <w:rFonts w:eastAsiaTheme="minorEastAsia"/>
          <w:smallCaps w:val="0"/>
          <w:kern w:val="2"/>
          <w:sz w:val="24"/>
          <w:szCs w:val="24"/>
          <w14:ligatures w14:val="standardContextual"/>
        </w:rPr>
      </w:pPr>
      <w:hyperlink w:anchor="_Toc203035666" w:history="1">
        <w:r>
          <w:rPr>
            <w:rStyle w:val="Hyperlink"/>
            <w:bCs/>
          </w:rPr>
          <w:t>a.</w:t>
        </w:r>
        <w:r>
          <w:rPr>
            <w:rFonts w:eastAsiaTheme="minorEastAsia"/>
            <w:smallCaps w:val="0"/>
            <w:kern w:val="2"/>
            <w:sz w:val="24"/>
            <w:szCs w:val="24"/>
            <w14:ligatures w14:val="standardContextual"/>
          </w:rPr>
          <w:tab/>
        </w:r>
        <w:r>
          <w:rPr>
            <w:rStyle w:val="Hyperlink"/>
          </w:rPr>
          <w:t>Common Criteria for Technical Regulations</w:t>
        </w:r>
        <w:r>
          <w:rPr>
            <w:webHidden/>
          </w:rPr>
          <w:tab/>
        </w:r>
        <w:r>
          <w:rPr>
            <w:webHidden/>
          </w:rPr>
          <w:fldChar w:fldCharType="begin"/>
        </w:r>
        <w:r>
          <w:rPr>
            <w:webHidden/>
          </w:rPr>
          <w:instrText xml:space="preserve"> PAGEREF _Toc203035666 \h </w:instrText>
        </w:r>
        <w:r>
          <w:rPr>
            <w:webHidden/>
          </w:rPr>
        </w:r>
        <w:r>
          <w:rPr>
            <w:webHidden/>
          </w:rPr>
          <w:fldChar w:fldCharType="separate"/>
        </w:r>
        <w:r>
          <w:rPr>
            <w:webHidden/>
          </w:rPr>
          <w:t>4</w:t>
        </w:r>
        <w:r>
          <w:rPr>
            <w:webHidden/>
          </w:rPr>
          <w:fldChar w:fldCharType="end"/>
        </w:r>
      </w:hyperlink>
    </w:p>
    <w:p w14:paraId="6F26F433" w14:textId="185E7FA5">
      <w:pPr>
        <w:pStyle w:val="TOC2"/>
        <w:tabs>
          <w:tab w:val="left" w:pos="660"/>
          <w:tab w:val="right" w:leader="dot" w:pos="9016"/>
        </w:tabs>
        <w:rPr>
          <w:rFonts w:eastAsiaTheme="minorEastAsia"/>
          <w:smallCaps w:val="0"/>
          <w:kern w:val="2"/>
          <w:sz w:val="24"/>
          <w:szCs w:val="24"/>
          <w14:ligatures w14:val="standardContextual"/>
        </w:rPr>
      </w:pPr>
      <w:hyperlink w:anchor="_Toc203035667" w:history="1">
        <w:r>
          <w:rPr>
            <w:rStyle w:val="Hyperlink"/>
            <w:bCs/>
          </w:rPr>
          <w:t>b.</w:t>
        </w:r>
        <w:r>
          <w:rPr>
            <w:rFonts w:eastAsiaTheme="minorEastAsia"/>
            <w:smallCaps w:val="0"/>
            <w:kern w:val="2"/>
            <w:sz w:val="24"/>
            <w:szCs w:val="24"/>
            <w14:ligatures w14:val="standardContextual"/>
          </w:rPr>
          <w:tab/>
        </w:r>
        <w:r>
          <w:rPr>
            <w:rStyle w:val="Hyperlink"/>
          </w:rPr>
          <w:t>Technical Specifications</w:t>
        </w:r>
        <w:r>
          <w:rPr>
            <w:webHidden/>
          </w:rPr>
          <w:tab/>
        </w:r>
        <w:r>
          <w:rPr>
            <w:webHidden/>
          </w:rPr>
          <w:fldChar w:fldCharType="begin"/>
        </w:r>
        <w:r>
          <w:rPr>
            <w:webHidden/>
          </w:rPr>
          <w:instrText xml:space="preserve"> PAGEREF _Toc203035667 \h </w:instrText>
        </w:r>
        <w:r>
          <w:rPr>
            <w:webHidden/>
          </w:rPr>
        </w:r>
        <w:r>
          <w:rPr>
            <w:webHidden/>
          </w:rPr>
          <w:fldChar w:fldCharType="separate"/>
        </w:r>
        <w:r>
          <w:rPr>
            <w:webHidden/>
          </w:rPr>
          <w:t>6</w:t>
        </w:r>
        <w:r>
          <w:rPr>
            <w:webHidden/>
          </w:rPr>
          <w:fldChar w:fldCharType="end"/>
        </w:r>
      </w:hyperlink>
    </w:p>
    <w:p w14:paraId="4473297C" w14:textId="5097F959">
      <w:pPr>
        <w:pStyle w:val="TOC2"/>
        <w:tabs>
          <w:tab w:val="left" w:pos="660"/>
          <w:tab w:val="right" w:leader="dot" w:pos="9016"/>
        </w:tabs>
        <w:rPr>
          <w:rFonts w:eastAsiaTheme="minorEastAsia"/>
          <w:smallCaps w:val="0"/>
          <w:kern w:val="2"/>
          <w:sz w:val="24"/>
          <w:szCs w:val="24"/>
          <w14:ligatures w14:val="standardContextual"/>
        </w:rPr>
      </w:pPr>
      <w:hyperlink w:anchor="_Toc203035668" w:history="1">
        <w:r>
          <w:rPr>
            <w:rStyle w:val="Hyperlink"/>
            <w:bCs/>
          </w:rPr>
          <w:t>c.</w:t>
        </w:r>
        <w:r>
          <w:rPr>
            <w:rFonts w:eastAsiaTheme="minorEastAsia"/>
            <w:smallCaps w:val="0"/>
            <w:kern w:val="2"/>
            <w:sz w:val="24"/>
            <w:szCs w:val="24"/>
            <w14:ligatures w14:val="standardContextual"/>
          </w:rPr>
          <w:tab/>
        </w:r>
        <w:r>
          <w:rPr>
            <w:rStyle w:val="Hyperlink"/>
          </w:rPr>
          <w:t>Other Requirements</w:t>
        </w:r>
        <w:r>
          <w:rPr>
            <w:webHidden/>
          </w:rPr>
          <w:tab/>
        </w:r>
        <w:r>
          <w:rPr>
            <w:webHidden/>
          </w:rPr>
          <w:fldChar w:fldCharType="begin"/>
        </w:r>
        <w:r>
          <w:rPr>
            <w:webHidden/>
          </w:rPr>
          <w:instrText xml:space="preserve"> PAGEREF _Toc203035668 \h </w:instrText>
        </w:r>
        <w:r>
          <w:rPr>
            <w:webHidden/>
          </w:rPr>
        </w:r>
        <w:r>
          <w:rPr>
            <w:webHidden/>
          </w:rPr>
          <w:fldChar w:fldCharType="separate"/>
        </w:r>
        <w:r>
          <w:rPr>
            <w:webHidden/>
          </w:rPr>
          <w:t>14</w:t>
        </w:r>
        <w:r>
          <w:rPr>
            <w:webHidden/>
          </w:rPr>
          <w:fldChar w:fldCharType="end"/>
        </w:r>
      </w:hyperlink>
    </w:p>
    <w:p w14:paraId="110B55B0" w14:textId="4A4EB9AB">
      <w:pPr>
        <w:pStyle w:val="TOC2"/>
        <w:tabs>
          <w:tab w:val="left" w:pos="660"/>
          <w:tab w:val="right" w:leader="dot" w:pos="9016"/>
        </w:tabs>
        <w:rPr>
          <w:rFonts w:eastAsiaTheme="minorEastAsia"/>
          <w:smallCaps w:val="0"/>
          <w:kern w:val="2"/>
          <w:sz w:val="24"/>
          <w:szCs w:val="24"/>
          <w14:ligatures w14:val="standardContextual"/>
        </w:rPr>
      </w:pPr>
      <w:hyperlink w:anchor="_Toc203035669" w:history="1">
        <w:r>
          <w:rPr>
            <w:rStyle w:val="Hyperlink"/>
            <w:bCs/>
          </w:rPr>
          <w:t>d.</w:t>
        </w:r>
        <w:r>
          <w:rPr>
            <w:rFonts w:eastAsiaTheme="minorEastAsia"/>
            <w:smallCaps w:val="0"/>
            <w:kern w:val="2"/>
            <w:sz w:val="24"/>
            <w:szCs w:val="24"/>
            <w14:ligatures w14:val="standardContextual"/>
          </w:rPr>
          <w:tab/>
        </w:r>
        <w:r>
          <w:rPr>
            <w:rStyle w:val="Hyperlink"/>
          </w:rPr>
          <w:t>Rules on Services</w:t>
        </w:r>
        <w:r>
          <w:rPr>
            <w:webHidden/>
          </w:rPr>
          <w:tab/>
        </w:r>
        <w:r>
          <w:rPr>
            <w:webHidden/>
          </w:rPr>
          <w:fldChar w:fldCharType="begin"/>
        </w:r>
        <w:r>
          <w:rPr>
            <w:webHidden/>
          </w:rPr>
          <w:instrText xml:space="preserve"> PAGEREF _Toc203035669 \h </w:instrText>
        </w:r>
        <w:r>
          <w:rPr>
            <w:webHidden/>
          </w:rPr>
        </w:r>
        <w:r>
          <w:rPr>
            <w:webHidden/>
          </w:rPr>
          <w:fldChar w:fldCharType="separate"/>
        </w:r>
        <w:r>
          <w:rPr>
            <w:webHidden/>
          </w:rPr>
          <w:t>21</w:t>
        </w:r>
        <w:r>
          <w:rPr>
            <w:webHidden/>
          </w:rPr>
          <w:fldChar w:fldCharType="end"/>
        </w:r>
      </w:hyperlink>
    </w:p>
    <w:p w14:paraId="7AE2FA08" w14:textId="1FC0EAA8">
      <w:pPr>
        <w:pStyle w:val="TOC2"/>
        <w:tabs>
          <w:tab w:val="left" w:pos="660"/>
          <w:tab w:val="right" w:leader="dot" w:pos="9016"/>
        </w:tabs>
        <w:rPr>
          <w:rFonts w:eastAsiaTheme="minorEastAsia"/>
          <w:smallCaps w:val="0"/>
          <w:kern w:val="2"/>
          <w:sz w:val="24"/>
          <w:szCs w:val="24"/>
          <w14:ligatures w14:val="standardContextual"/>
        </w:rPr>
      </w:pPr>
      <w:hyperlink w:anchor="_Toc203035670" w:history="1">
        <w:r>
          <w:rPr>
            <w:rStyle w:val="Hyperlink"/>
            <w:bCs/>
          </w:rPr>
          <w:t>e.</w:t>
        </w:r>
        <w:r>
          <w:rPr>
            <w:rFonts w:eastAsiaTheme="minorEastAsia"/>
            <w:smallCaps w:val="0"/>
            <w:kern w:val="2"/>
            <w:sz w:val="24"/>
            <w:szCs w:val="24"/>
            <w14:ligatures w14:val="standardContextual"/>
          </w:rPr>
          <w:tab/>
        </w:r>
        <w:r>
          <w:rPr>
            <w:rStyle w:val="Hyperlink"/>
          </w:rPr>
          <w:t>Prohibition Provisions</w:t>
        </w:r>
        <w:r>
          <w:rPr>
            <w:webHidden/>
          </w:rPr>
          <w:tab/>
        </w:r>
        <w:r>
          <w:rPr>
            <w:webHidden/>
          </w:rPr>
          <w:fldChar w:fldCharType="begin"/>
        </w:r>
        <w:r>
          <w:rPr>
            <w:webHidden/>
          </w:rPr>
          <w:instrText xml:space="preserve"> PAGEREF _Toc203035670 \h </w:instrText>
        </w:r>
        <w:r>
          <w:rPr>
            <w:webHidden/>
          </w:rPr>
        </w:r>
        <w:r>
          <w:rPr>
            <w:webHidden/>
          </w:rPr>
          <w:fldChar w:fldCharType="separate"/>
        </w:r>
        <w:r>
          <w:rPr>
            <w:webHidden/>
          </w:rPr>
          <w:t>31</w:t>
        </w:r>
        <w:r>
          <w:rPr>
            <w:webHidden/>
          </w:rPr>
          <w:fldChar w:fldCharType="end"/>
        </w:r>
      </w:hyperlink>
    </w:p>
    <w:p w14:paraId="709EEE7A" w14:textId="670F7D1D">
      <w:pPr>
        <w:pStyle w:val="TOC2"/>
        <w:tabs>
          <w:tab w:val="left" w:pos="660"/>
          <w:tab w:val="right" w:leader="dot" w:pos="9016"/>
        </w:tabs>
        <w:rPr>
          <w:rFonts w:eastAsiaTheme="minorEastAsia"/>
          <w:smallCaps w:val="0"/>
          <w:kern w:val="2"/>
          <w:sz w:val="24"/>
          <w:szCs w:val="24"/>
          <w14:ligatures w14:val="standardContextual"/>
        </w:rPr>
      </w:pPr>
      <w:hyperlink w:anchor="_Toc203035671" w:history="1">
        <w:r>
          <w:rPr>
            <w:rStyle w:val="Hyperlink"/>
            <w:bCs/>
          </w:rPr>
          <w:t>f.</w:t>
        </w:r>
        <w:r>
          <w:rPr>
            <w:rFonts w:eastAsiaTheme="minorEastAsia"/>
            <w:smallCaps w:val="0"/>
            <w:kern w:val="2"/>
            <w:sz w:val="24"/>
            <w:szCs w:val="24"/>
            <w14:ligatures w14:val="standardContextual"/>
          </w:rPr>
          <w:tab/>
        </w:r>
        <w:r>
          <w:rPr>
            <w:rStyle w:val="Hyperlink"/>
          </w:rPr>
          <w:t>De Facto Technical Regulations</w:t>
        </w:r>
        <w:r>
          <w:rPr>
            <w:webHidden/>
          </w:rPr>
          <w:tab/>
        </w:r>
        <w:r>
          <w:rPr>
            <w:webHidden/>
          </w:rPr>
          <w:fldChar w:fldCharType="begin"/>
        </w:r>
        <w:r>
          <w:rPr>
            <w:webHidden/>
          </w:rPr>
          <w:instrText xml:space="preserve"> PAGEREF _Toc203035671 \h </w:instrText>
        </w:r>
        <w:r>
          <w:rPr>
            <w:webHidden/>
          </w:rPr>
        </w:r>
        <w:r>
          <w:rPr>
            <w:webHidden/>
          </w:rPr>
          <w:fldChar w:fldCharType="separate"/>
        </w:r>
        <w:r>
          <w:rPr>
            <w:webHidden/>
          </w:rPr>
          <w:t>34</w:t>
        </w:r>
        <w:r>
          <w:rPr>
            <w:webHidden/>
          </w:rPr>
          <w:fldChar w:fldCharType="end"/>
        </w:r>
      </w:hyperlink>
    </w:p>
    <w:p w14:paraId="1C2FBBFA" w14:textId="2ED58CFC">
      <w:pPr>
        <w:pStyle w:val="TOC2"/>
        <w:tabs>
          <w:tab w:val="left" w:pos="660"/>
          <w:tab w:val="right" w:leader="dot" w:pos="9016"/>
        </w:tabs>
        <w:rPr>
          <w:rFonts w:eastAsiaTheme="minorEastAsia"/>
          <w:smallCaps w:val="0"/>
          <w:kern w:val="2"/>
          <w:sz w:val="24"/>
          <w:szCs w:val="24"/>
          <w14:ligatures w14:val="standardContextual"/>
        </w:rPr>
      </w:pPr>
      <w:hyperlink w:anchor="_Toc203035672" w:history="1">
        <w:r>
          <w:rPr>
            <w:rStyle w:val="Hyperlink"/>
            <w:bCs/>
          </w:rPr>
          <w:t>g.</w:t>
        </w:r>
        <w:r>
          <w:rPr>
            <w:rFonts w:eastAsiaTheme="minorEastAsia"/>
            <w:smallCaps w:val="0"/>
            <w:kern w:val="2"/>
            <w:sz w:val="24"/>
            <w:szCs w:val="24"/>
            <w14:ligatures w14:val="standardContextual"/>
          </w:rPr>
          <w:tab/>
        </w:r>
        <w:r>
          <w:rPr>
            <w:rStyle w:val="Hyperlink"/>
          </w:rPr>
          <w:t>Excluded Matters</w:t>
        </w:r>
        <w:r>
          <w:rPr>
            <w:webHidden/>
          </w:rPr>
          <w:tab/>
        </w:r>
        <w:r>
          <w:rPr>
            <w:webHidden/>
          </w:rPr>
          <w:fldChar w:fldCharType="begin"/>
        </w:r>
        <w:r>
          <w:rPr>
            <w:webHidden/>
          </w:rPr>
          <w:instrText xml:space="preserve"> PAGEREF _Toc203035672 \h </w:instrText>
        </w:r>
        <w:r>
          <w:rPr>
            <w:webHidden/>
          </w:rPr>
        </w:r>
        <w:r>
          <w:rPr>
            <w:webHidden/>
          </w:rPr>
          <w:fldChar w:fldCharType="separate"/>
        </w:r>
        <w:r>
          <w:rPr>
            <w:webHidden/>
          </w:rPr>
          <w:t>37</w:t>
        </w:r>
        <w:r>
          <w:rPr>
            <w:webHidden/>
          </w:rPr>
          <w:fldChar w:fldCharType="end"/>
        </w:r>
      </w:hyperlink>
    </w:p>
    <w:p w14:paraId="6E4B30D2" w14:textId="492D7E3B">
      <w:pPr>
        <w:pStyle w:val="TOC1"/>
        <w:tabs>
          <w:tab w:val="left" w:pos="440"/>
          <w:tab w:val="right" w:leader="dot" w:pos="9016"/>
        </w:tabs>
        <w:rPr>
          <w:rFonts w:eastAsiaTheme="minorEastAsia"/>
          <w:b w:val="0"/>
          <w:bCs w:val="0"/>
          <w:caps w:val="0"/>
          <w:kern w:val="2"/>
          <w:sz w:val="24"/>
          <w:szCs w:val="24"/>
          <w14:ligatures w14:val="standardContextual"/>
        </w:rPr>
      </w:pPr>
      <w:hyperlink w:anchor="_Toc203035673" w:history="1">
        <w:r>
          <w:rPr>
            <w:rStyle w:val="Hyperlink"/>
          </w:rPr>
          <w:t>II.</w:t>
        </w:r>
        <w:r>
          <w:rPr>
            <w:rFonts w:eastAsiaTheme="minorEastAsia"/>
            <w:b w:val="0"/>
            <w:bCs w:val="0"/>
            <w:caps w:val="0"/>
            <w:kern w:val="2"/>
            <w:sz w:val="24"/>
            <w:szCs w:val="24"/>
            <w14:ligatures w14:val="standardContextual"/>
          </w:rPr>
          <w:tab/>
        </w:r>
        <w:r>
          <w:rPr>
            <w:rStyle w:val="Hyperlink"/>
          </w:rPr>
          <w:t>Notification Obligation</w:t>
        </w:r>
        <w:r>
          <w:rPr>
            <w:webHidden/>
          </w:rPr>
          <w:tab/>
        </w:r>
        <w:r>
          <w:rPr>
            <w:webHidden/>
          </w:rPr>
          <w:fldChar w:fldCharType="begin"/>
        </w:r>
        <w:r>
          <w:rPr>
            <w:webHidden/>
          </w:rPr>
          <w:instrText xml:space="preserve"> PAGEREF _Toc203035673 \h </w:instrText>
        </w:r>
        <w:r>
          <w:rPr>
            <w:webHidden/>
          </w:rPr>
        </w:r>
        <w:r>
          <w:rPr>
            <w:webHidden/>
          </w:rPr>
          <w:fldChar w:fldCharType="separate"/>
        </w:r>
        <w:r>
          <w:rPr>
            <w:webHidden/>
          </w:rPr>
          <w:t>39</w:t>
        </w:r>
        <w:r>
          <w:rPr>
            <w:webHidden/>
          </w:rPr>
          <w:fldChar w:fldCharType="end"/>
        </w:r>
      </w:hyperlink>
    </w:p>
    <w:p w14:paraId="559CE1AC" w14:textId="73AB7DFD">
      <w:pPr>
        <w:pStyle w:val="TOC2"/>
        <w:tabs>
          <w:tab w:val="left" w:pos="660"/>
          <w:tab w:val="right" w:leader="dot" w:pos="9016"/>
        </w:tabs>
        <w:rPr>
          <w:rFonts w:eastAsiaTheme="minorEastAsia"/>
          <w:smallCaps w:val="0"/>
          <w:kern w:val="2"/>
          <w:sz w:val="24"/>
          <w:szCs w:val="24"/>
          <w14:ligatures w14:val="standardContextual"/>
        </w:rPr>
      </w:pPr>
      <w:hyperlink w:anchor="_Toc203035674" w:history="1">
        <w:r>
          <w:rPr>
            <w:rStyle w:val="Hyperlink"/>
            <w:bCs/>
          </w:rPr>
          <w:t>a.</w:t>
        </w:r>
        <w:r>
          <w:rPr>
            <w:rFonts w:eastAsiaTheme="minorEastAsia"/>
            <w:smallCaps w:val="0"/>
            <w:kern w:val="2"/>
            <w:sz w:val="24"/>
            <w:szCs w:val="24"/>
            <w14:ligatures w14:val="standardContextual"/>
          </w:rPr>
          <w:tab/>
        </w:r>
        <w:r>
          <w:rPr>
            <w:rStyle w:val="Hyperlink"/>
          </w:rPr>
          <w:t>Notification at the Draft Stage</w:t>
        </w:r>
        <w:r>
          <w:rPr>
            <w:webHidden/>
          </w:rPr>
          <w:tab/>
        </w:r>
        <w:r>
          <w:rPr>
            <w:webHidden/>
          </w:rPr>
          <w:fldChar w:fldCharType="begin"/>
        </w:r>
        <w:r>
          <w:rPr>
            <w:webHidden/>
          </w:rPr>
          <w:instrText xml:space="preserve"> PAGEREF _Toc203035674 \h </w:instrText>
        </w:r>
        <w:r>
          <w:rPr>
            <w:webHidden/>
          </w:rPr>
        </w:r>
        <w:r>
          <w:rPr>
            <w:webHidden/>
          </w:rPr>
          <w:fldChar w:fldCharType="separate"/>
        </w:r>
        <w:r>
          <w:rPr>
            <w:webHidden/>
          </w:rPr>
          <w:t>39</w:t>
        </w:r>
        <w:r>
          <w:rPr>
            <w:webHidden/>
          </w:rPr>
          <w:fldChar w:fldCharType="end"/>
        </w:r>
      </w:hyperlink>
    </w:p>
    <w:p w14:paraId="7E8A6736" w14:textId="71519B8A">
      <w:pPr>
        <w:pStyle w:val="TOC2"/>
        <w:tabs>
          <w:tab w:val="left" w:pos="660"/>
          <w:tab w:val="right" w:leader="dot" w:pos="9016"/>
        </w:tabs>
        <w:rPr>
          <w:rFonts w:eastAsiaTheme="minorEastAsia"/>
          <w:smallCaps w:val="0"/>
          <w:kern w:val="2"/>
          <w:sz w:val="24"/>
          <w:szCs w:val="24"/>
          <w14:ligatures w14:val="standardContextual"/>
        </w:rPr>
      </w:pPr>
      <w:hyperlink w:anchor="_Toc203035675" w:history="1">
        <w:r>
          <w:rPr>
            <w:rStyle w:val="Hyperlink"/>
            <w:bCs/>
          </w:rPr>
          <w:t>b.</w:t>
        </w:r>
        <w:r>
          <w:rPr>
            <w:rFonts w:eastAsiaTheme="minorEastAsia"/>
            <w:smallCaps w:val="0"/>
            <w:kern w:val="2"/>
            <w:sz w:val="24"/>
            <w:szCs w:val="24"/>
            <w14:ligatures w14:val="standardContextual"/>
          </w:rPr>
          <w:tab/>
        </w:r>
        <w:r>
          <w:rPr>
            <w:rStyle w:val="Hyperlink"/>
          </w:rPr>
          <w:t>Notifications of New Technical Regulations</w:t>
        </w:r>
        <w:r>
          <w:rPr>
            <w:webHidden/>
          </w:rPr>
          <w:tab/>
        </w:r>
        <w:r>
          <w:rPr>
            <w:webHidden/>
          </w:rPr>
          <w:fldChar w:fldCharType="begin"/>
        </w:r>
        <w:r>
          <w:rPr>
            <w:webHidden/>
          </w:rPr>
          <w:instrText xml:space="preserve"> PAGEREF _Toc203035675 \h </w:instrText>
        </w:r>
        <w:r>
          <w:rPr>
            <w:webHidden/>
          </w:rPr>
        </w:r>
        <w:r>
          <w:rPr>
            <w:webHidden/>
          </w:rPr>
          <w:fldChar w:fldCharType="separate"/>
        </w:r>
        <w:r>
          <w:rPr>
            <w:webHidden/>
          </w:rPr>
          <w:t>41</w:t>
        </w:r>
        <w:r>
          <w:rPr>
            <w:webHidden/>
          </w:rPr>
          <w:fldChar w:fldCharType="end"/>
        </w:r>
      </w:hyperlink>
    </w:p>
    <w:p w14:paraId="1EA679C1" w14:textId="584C8B1D">
      <w:pPr>
        <w:pStyle w:val="TOC2"/>
        <w:tabs>
          <w:tab w:val="left" w:pos="660"/>
          <w:tab w:val="right" w:leader="dot" w:pos="9016"/>
        </w:tabs>
        <w:rPr>
          <w:rFonts w:eastAsiaTheme="minorEastAsia"/>
          <w:smallCaps w:val="0"/>
          <w:kern w:val="2"/>
          <w:sz w:val="24"/>
          <w:szCs w:val="24"/>
          <w14:ligatures w14:val="standardContextual"/>
        </w:rPr>
      </w:pPr>
      <w:hyperlink w:anchor="_Toc203035676" w:history="1">
        <w:r>
          <w:rPr>
            <w:rStyle w:val="Hyperlink"/>
            <w:bCs/>
          </w:rPr>
          <w:t>c.</w:t>
        </w:r>
        <w:r>
          <w:rPr>
            <w:rFonts w:eastAsiaTheme="minorEastAsia"/>
            <w:smallCaps w:val="0"/>
            <w:kern w:val="2"/>
            <w:sz w:val="24"/>
            <w:szCs w:val="24"/>
            <w14:ligatures w14:val="standardContextual"/>
          </w:rPr>
          <w:tab/>
        </w:r>
        <w:r>
          <w:rPr>
            <w:rStyle w:val="Hyperlink"/>
          </w:rPr>
          <w:t>Notification of the Full Text</w:t>
        </w:r>
        <w:r>
          <w:rPr>
            <w:webHidden/>
          </w:rPr>
          <w:tab/>
        </w:r>
        <w:r>
          <w:rPr>
            <w:webHidden/>
          </w:rPr>
          <w:fldChar w:fldCharType="begin"/>
        </w:r>
        <w:r>
          <w:rPr>
            <w:webHidden/>
          </w:rPr>
          <w:instrText xml:space="preserve"> PAGEREF _Toc203035676 \h </w:instrText>
        </w:r>
        <w:r>
          <w:rPr>
            <w:webHidden/>
          </w:rPr>
        </w:r>
        <w:r>
          <w:rPr>
            <w:webHidden/>
          </w:rPr>
          <w:fldChar w:fldCharType="separate"/>
        </w:r>
        <w:r>
          <w:rPr>
            <w:webHidden/>
          </w:rPr>
          <w:t>43</w:t>
        </w:r>
        <w:r>
          <w:rPr>
            <w:webHidden/>
          </w:rPr>
          <w:fldChar w:fldCharType="end"/>
        </w:r>
      </w:hyperlink>
    </w:p>
    <w:p w14:paraId="7399B3C2" w14:textId="37BC6B70">
      <w:pPr>
        <w:pStyle w:val="TOC2"/>
        <w:tabs>
          <w:tab w:val="left" w:pos="660"/>
          <w:tab w:val="right" w:leader="dot" w:pos="9016"/>
        </w:tabs>
        <w:rPr>
          <w:rFonts w:eastAsiaTheme="minorEastAsia"/>
          <w:smallCaps w:val="0"/>
          <w:kern w:val="2"/>
          <w:sz w:val="24"/>
          <w:szCs w:val="24"/>
          <w14:ligatures w14:val="standardContextual"/>
        </w:rPr>
      </w:pPr>
      <w:hyperlink w:anchor="_Toc203035677" w:history="1">
        <w:r>
          <w:rPr>
            <w:rStyle w:val="Hyperlink"/>
            <w:bCs/>
          </w:rPr>
          <w:t>d.</w:t>
        </w:r>
        <w:r>
          <w:rPr>
            <w:rFonts w:eastAsiaTheme="minorEastAsia"/>
            <w:smallCaps w:val="0"/>
            <w:kern w:val="2"/>
            <w:sz w:val="24"/>
            <w:szCs w:val="24"/>
            <w14:ligatures w14:val="standardContextual"/>
          </w:rPr>
          <w:tab/>
        </w:r>
        <w:r>
          <w:rPr>
            <w:rStyle w:val="Hyperlink"/>
          </w:rPr>
          <w:t>Notification of Concerned Basic Provisions</w:t>
        </w:r>
        <w:r>
          <w:rPr>
            <w:webHidden/>
          </w:rPr>
          <w:tab/>
        </w:r>
        <w:r>
          <w:rPr>
            <w:webHidden/>
          </w:rPr>
          <w:fldChar w:fldCharType="begin"/>
        </w:r>
        <w:r>
          <w:rPr>
            <w:webHidden/>
          </w:rPr>
          <w:instrText xml:space="preserve"> PAGEREF _Toc203035677 \h </w:instrText>
        </w:r>
        <w:r>
          <w:rPr>
            <w:webHidden/>
          </w:rPr>
        </w:r>
        <w:r>
          <w:rPr>
            <w:webHidden/>
          </w:rPr>
          <w:fldChar w:fldCharType="separate"/>
        </w:r>
        <w:r>
          <w:rPr>
            <w:webHidden/>
          </w:rPr>
          <w:t>44</w:t>
        </w:r>
        <w:r>
          <w:rPr>
            <w:webHidden/>
          </w:rPr>
          <w:fldChar w:fldCharType="end"/>
        </w:r>
      </w:hyperlink>
    </w:p>
    <w:p w14:paraId="6A9200BA" w14:textId="09F270C1">
      <w:pPr>
        <w:pStyle w:val="TOC2"/>
        <w:tabs>
          <w:tab w:val="left" w:pos="660"/>
          <w:tab w:val="right" w:leader="dot" w:pos="9016"/>
        </w:tabs>
        <w:rPr>
          <w:rFonts w:eastAsiaTheme="minorEastAsia"/>
          <w:smallCaps w:val="0"/>
          <w:kern w:val="2"/>
          <w:sz w:val="24"/>
          <w:szCs w:val="24"/>
          <w14:ligatures w14:val="standardContextual"/>
        </w:rPr>
      </w:pPr>
      <w:hyperlink w:anchor="_Toc203035678" w:history="1">
        <w:r>
          <w:rPr>
            <w:rStyle w:val="Hyperlink"/>
            <w:bCs/>
          </w:rPr>
          <w:t>e.</w:t>
        </w:r>
        <w:r>
          <w:rPr>
            <w:rFonts w:eastAsiaTheme="minorEastAsia"/>
            <w:smallCaps w:val="0"/>
            <w:kern w:val="2"/>
            <w:sz w:val="24"/>
            <w:szCs w:val="24"/>
            <w14:ligatures w14:val="standardContextual"/>
          </w:rPr>
          <w:tab/>
        </w:r>
        <w:r>
          <w:rPr>
            <w:rStyle w:val="Hyperlink"/>
          </w:rPr>
          <w:t>Re-Notification During the Standstill Period</w:t>
        </w:r>
        <w:r>
          <w:rPr>
            <w:webHidden/>
          </w:rPr>
          <w:tab/>
        </w:r>
        <w:r>
          <w:rPr>
            <w:webHidden/>
          </w:rPr>
          <w:fldChar w:fldCharType="begin"/>
        </w:r>
        <w:r>
          <w:rPr>
            <w:webHidden/>
          </w:rPr>
          <w:instrText xml:space="preserve"> PAGEREF _Toc203035678 \h </w:instrText>
        </w:r>
        <w:r>
          <w:rPr>
            <w:webHidden/>
          </w:rPr>
        </w:r>
        <w:r>
          <w:rPr>
            <w:webHidden/>
          </w:rPr>
          <w:fldChar w:fldCharType="separate"/>
        </w:r>
        <w:r>
          <w:rPr>
            <w:webHidden/>
          </w:rPr>
          <w:t>45</w:t>
        </w:r>
        <w:r>
          <w:rPr>
            <w:webHidden/>
          </w:rPr>
          <w:fldChar w:fldCharType="end"/>
        </w:r>
      </w:hyperlink>
    </w:p>
    <w:p w14:paraId="7E32C518" w14:textId="7B625DD7">
      <w:pPr>
        <w:pStyle w:val="TOC1"/>
        <w:tabs>
          <w:tab w:val="left" w:pos="660"/>
          <w:tab w:val="right" w:leader="dot" w:pos="9016"/>
        </w:tabs>
        <w:rPr>
          <w:rFonts w:eastAsiaTheme="minorEastAsia"/>
          <w:b w:val="0"/>
          <w:bCs w:val="0"/>
          <w:caps w:val="0"/>
          <w:kern w:val="2"/>
          <w:sz w:val="24"/>
          <w:szCs w:val="24"/>
          <w14:ligatures w14:val="standardContextual"/>
        </w:rPr>
      </w:pPr>
      <w:hyperlink w:anchor="_Toc203035679" w:history="1">
        <w:r>
          <w:rPr>
            <w:rStyle w:val="Hyperlink"/>
          </w:rPr>
          <w:t>III.</w:t>
        </w:r>
        <w:r>
          <w:rPr>
            <w:rFonts w:eastAsiaTheme="minorEastAsia"/>
            <w:b w:val="0"/>
            <w:bCs w:val="0"/>
            <w:caps w:val="0"/>
            <w:kern w:val="2"/>
            <w:sz w:val="24"/>
            <w:szCs w:val="24"/>
            <w14:ligatures w14:val="standardContextual"/>
          </w:rPr>
          <w:tab/>
        </w:r>
        <w:r>
          <w:rPr>
            <w:rStyle w:val="Hyperlink"/>
          </w:rPr>
          <w:t>Exceptions to the Obligation to Notify</w:t>
        </w:r>
        <w:r>
          <w:rPr>
            <w:webHidden/>
          </w:rPr>
          <w:tab/>
        </w:r>
        <w:r>
          <w:rPr>
            <w:webHidden/>
          </w:rPr>
          <w:fldChar w:fldCharType="begin"/>
        </w:r>
        <w:r>
          <w:rPr>
            <w:webHidden/>
          </w:rPr>
          <w:instrText xml:space="preserve"> PAGEREF _Toc203035679 \h </w:instrText>
        </w:r>
        <w:r>
          <w:rPr>
            <w:webHidden/>
          </w:rPr>
        </w:r>
        <w:r>
          <w:rPr>
            <w:webHidden/>
          </w:rPr>
          <w:fldChar w:fldCharType="separate"/>
        </w:r>
        <w:r>
          <w:rPr>
            <w:webHidden/>
          </w:rPr>
          <w:t>47</w:t>
        </w:r>
        <w:r>
          <w:rPr>
            <w:webHidden/>
          </w:rPr>
          <w:fldChar w:fldCharType="end"/>
        </w:r>
      </w:hyperlink>
    </w:p>
    <w:p w14:paraId="7CC02EA3" w14:textId="01C3FBA0">
      <w:pPr>
        <w:pStyle w:val="TOC2"/>
        <w:tabs>
          <w:tab w:val="left" w:pos="660"/>
          <w:tab w:val="right" w:leader="dot" w:pos="9016"/>
        </w:tabs>
        <w:rPr>
          <w:rFonts w:eastAsiaTheme="minorEastAsia"/>
          <w:smallCaps w:val="0"/>
          <w:kern w:val="2"/>
          <w:sz w:val="24"/>
          <w:szCs w:val="24"/>
          <w14:ligatures w14:val="standardContextual"/>
        </w:rPr>
      </w:pPr>
      <w:hyperlink w:anchor="_Toc203035680" w:history="1">
        <w:r>
          <w:rPr>
            <w:rStyle w:val="Hyperlink"/>
            <w:bCs/>
          </w:rPr>
          <w:t>a.</w:t>
        </w:r>
        <w:r>
          <w:rPr>
            <w:rFonts w:eastAsiaTheme="minorEastAsia"/>
            <w:smallCaps w:val="0"/>
            <w:kern w:val="2"/>
            <w:sz w:val="24"/>
            <w:szCs w:val="24"/>
            <w14:ligatures w14:val="standardContextual"/>
          </w:rPr>
          <w:tab/>
        </w:r>
        <w:r>
          <w:rPr>
            <w:rStyle w:val="Hyperlink"/>
          </w:rPr>
          <w:t>Transposition of a European Act</w:t>
        </w:r>
        <w:r>
          <w:rPr>
            <w:webHidden/>
          </w:rPr>
          <w:tab/>
        </w:r>
        <w:r>
          <w:rPr>
            <w:webHidden/>
          </w:rPr>
          <w:fldChar w:fldCharType="begin"/>
        </w:r>
        <w:r>
          <w:rPr>
            <w:webHidden/>
          </w:rPr>
          <w:instrText xml:space="preserve"> PAGEREF _Toc203035680 \h </w:instrText>
        </w:r>
        <w:r>
          <w:rPr>
            <w:webHidden/>
          </w:rPr>
        </w:r>
        <w:r>
          <w:rPr>
            <w:webHidden/>
          </w:rPr>
          <w:fldChar w:fldCharType="separate"/>
        </w:r>
        <w:r>
          <w:rPr>
            <w:webHidden/>
          </w:rPr>
          <w:t>47</w:t>
        </w:r>
        <w:r>
          <w:rPr>
            <w:webHidden/>
          </w:rPr>
          <w:fldChar w:fldCharType="end"/>
        </w:r>
      </w:hyperlink>
    </w:p>
    <w:p w14:paraId="73CA2C68" w14:textId="27F826B4">
      <w:pPr>
        <w:pStyle w:val="TOC2"/>
        <w:tabs>
          <w:tab w:val="left" w:pos="660"/>
          <w:tab w:val="right" w:leader="dot" w:pos="9016"/>
        </w:tabs>
        <w:rPr>
          <w:rFonts w:eastAsiaTheme="minorEastAsia"/>
          <w:smallCaps w:val="0"/>
          <w:kern w:val="2"/>
          <w:sz w:val="24"/>
          <w:szCs w:val="24"/>
          <w14:ligatures w14:val="standardContextual"/>
        </w:rPr>
      </w:pPr>
      <w:hyperlink w:anchor="_Toc203035681" w:history="1">
        <w:r>
          <w:rPr>
            <w:rStyle w:val="Hyperlink"/>
            <w:bCs/>
          </w:rPr>
          <w:t>b.</w:t>
        </w:r>
        <w:r>
          <w:rPr>
            <w:rFonts w:eastAsiaTheme="minorEastAsia"/>
            <w:smallCaps w:val="0"/>
            <w:kern w:val="2"/>
            <w:sz w:val="24"/>
            <w:szCs w:val="24"/>
            <w14:ligatures w14:val="standardContextual"/>
          </w:rPr>
          <w:tab/>
        </w:r>
        <w:r>
          <w:rPr>
            <w:rStyle w:val="Hyperlink"/>
          </w:rPr>
          <w:t>Use of a Safeguard Clause</w:t>
        </w:r>
        <w:r>
          <w:rPr>
            <w:webHidden/>
          </w:rPr>
          <w:tab/>
        </w:r>
        <w:r>
          <w:rPr>
            <w:webHidden/>
          </w:rPr>
          <w:fldChar w:fldCharType="begin"/>
        </w:r>
        <w:r>
          <w:rPr>
            <w:webHidden/>
          </w:rPr>
          <w:instrText xml:space="preserve"> PAGEREF _Toc203035681 \h </w:instrText>
        </w:r>
        <w:r>
          <w:rPr>
            <w:webHidden/>
          </w:rPr>
        </w:r>
        <w:r>
          <w:rPr>
            <w:webHidden/>
          </w:rPr>
          <w:fldChar w:fldCharType="separate"/>
        </w:r>
        <w:r>
          <w:rPr>
            <w:webHidden/>
          </w:rPr>
          <w:t>49</w:t>
        </w:r>
        <w:r>
          <w:rPr>
            <w:webHidden/>
          </w:rPr>
          <w:fldChar w:fldCharType="end"/>
        </w:r>
      </w:hyperlink>
    </w:p>
    <w:p w14:paraId="2E16821A" w14:textId="37A0CCE7">
      <w:pPr>
        <w:pStyle w:val="TOC2"/>
        <w:tabs>
          <w:tab w:val="left" w:pos="660"/>
          <w:tab w:val="right" w:leader="dot" w:pos="9016"/>
        </w:tabs>
        <w:rPr>
          <w:rFonts w:eastAsiaTheme="minorEastAsia"/>
          <w:smallCaps w:val="0"/>
          <w:kern w:val="2"/>
          <w:sz w:val="24"/>
          <w:szCs w:val="24"/>
          <w14:ligatures w14:val="standardContextual"/>
        </w:rPr>
      </w:pPr>
      <w:hyperlink w:anchor="_Toc203035682" w:history="1">
        <w:r>
          <w:rPr>
            <w:rStyle w:val="Hyperlink"/>
            <w:bCs/>
          </w:rPr>
          <w:t>c.</w:t>
        </w:r>
        <w:r>
          <w:rPr>
            <w:rFonts w:eastAsiaTheme="minorEastAsia"/>
            <w:smallCaps w:val="0"/>
            <w:kern w:val="2"/>
            <w:sz w:val="24"/>
            <w:szCs w:val="24"/>
            <w14:ligatures w14:val="standardContextual"/>
          </w:rPr>
          <w:tab/>
        </w:r>
        <w:r>
          <w:rPr>
            <w:rStyle w:val="Hyperlink"/>
          </w:rPr>
          <w:t>Amendment in Accordance with a Commission Request</w:t>
        </w:r>
        <w:r>
          <w:rPr>
            <w:webHidden/>
          </w:rPr>
          <w:tab/>
        </w:r>
        <w:r>
          <w:rPr>
            <w:webHidden/>
          </w:rPr>
          <w:fldChar w:fldCharType="begin"/>
        </w:r>
        <w:r>
          <w:rPr>
            <w:webHidden/>
          </w:rPr>
          <w:instrText xml:space="preserve"> PAGEREF _Toc203035682 \h </w:instrText>
        </w:r>
        <w:r>
          <w:rPr>
            <w:webHidden/>
          </w:rPr>
        </w:r>
        <w:r>
          <w:rPr>
            <w:webHidden/>
          </w:rPr>
          <w:fldChar w:fldCharType="separate"/>
        </w:r>
        <w:r>
          <w:rPr>
            <w:webHidden/>
          </w:rPr>
          <w:t>51</w:t>
        </w:r>
        <w:r>
          <w:rPr>
            <w:webHidden/>
          </w:rPr>
          <w:fldChar w:fldCharType="end"/>
        </w:r>
      </w:hyperlink>
    </w:p>
    <w:p w14:paraId="3089DDB6" w14:textId="5A964DBB">
      <w:pPr>
        <w:pStyle w:val="TOC2"/>
        <w:tabs>
          <w:tab w:val="left" w:pos="660"/>
          <w:tab w:val="right" w:leader="dot" w:pos="9016"/>
        </w:tabs>
        <w:rPr>
          <w:rFonts w:eastAsiaTheme="minorEastAsia"/>
          <w:smallCaps w:val="0"/>
          <w:kern w:val="2"/>
          <w:sz w:val="24"/>
          <w:szCs w:val="24"/>
          <w14:ligatures w14:val="standardContextual"/>
        </w:rPr>
      </w:pPr>
      <w:hyperlink w:anchor="_Toc203035683" w:history="1">
        <w:r>
          <w:rPr>
            <w:rStyle w:val="Hyperlink"/>
          </w:rPr>
          <w:t>a.</w:t>
        </w:r>
        <w:r>
          <w:rPr>
            <w:rFonts w:eastAsiaTheme="minorEastAsia"/>
            <w:smallCaps w:val="0"/>
            <w:kern w:val="2"/>
            <w:sz w:val="24"/>
            <w:szCs w:val="24"/>
            <w14:ligatures w14:val="standardContextual"/>
          </w:rPr>
          <w:tab/>
        </w:r>
        <w:r>
          <w:rPr>
            <w:rStyle w:val="Hyperlink"/>
          </w:rPr>
          <w:t>Circumstances That Do Not Constitute Exceptions</w:t>
        </w:r>
        <w:r>
          <w:rPr>
            <w:webHidden/>
          </w:rPr>
          <w:tab/>
        </w:r>
        <w:r>
          <w:rPr>
            <w:webHidden/>
          </w:rPr>
          <w:fldChar w:fldCharType="begin"/>
        </w:r>
        <w:r>
          <w:rPr>
            <w:webHidden/>
          </w:rPr>
          <w:instrText xml:space="preserve"> PAGEREF _Toc203035683 \h </w:instrText>
        </w:r>
        <w:r>
          <w:rPr>
            <w:webHidden/>
          </w:rPr>
        </w:r>
        <w:r>
          <w:rPr>
            <w:webHidden/>
          </w:rPr>
          <w:fldChar w:fldCharType="separate"/>
        </w:r>
        <w:r>
          <w:rPr>
            <w:webHidden/>
          </w:rPr>
          <w:t>52</w:t>
        </w:r>
        <w:r>
          <w:rPr>
            <w:webHidden/>
          </w:rPr>
          <w:fldChar w:fldCharType="end"/>
        </w:r>
      </w:hyperlink>
    </w:p>
    <w:p w14:paraId="340B66C9" w14:textId="65DEBB09">
      <w:pPr>
        <w:pStyle w:val="TOC1"/>
        <w:tabs>
          <w:tab w:val="left" w:pos="660"/>
          <w:tab w:val="right" w:leader="dot" w:pos="9016"/>
        </w:tabs>
        <w:rPr>
          <w:rFonts w:eastAsiaTheme="minorEastAsia"/>
          <w:b w:val="0"/>
          <w:bCs w:val="0"/>
          <w:caps w:val="0"/>
          <w:kern w:val="2"/>
          <w:sz w:val="24"/>
          <w:szCs w:val="24"/>
          <w14:ligatures w14:val="standardContextual"/>
        </w:rPr>
      </w:pPr>
      <w:hyperlink w:anchor="_Toc203035684" w:history="1">
        <w:r>
          <w:rPr>
            <w:rStyle w:val="Hyperlink"/>
          </w:rPr>
          <w:t>IV.</w:t>
        </w:r>
        <w:r>
          <w:rPr>
            <w:rFonts w:eastAsiaTheme="minorEastAsia"/>
            <w:b w:val="0"/>
            <w:bCs w:val="0"/>
            <w:caps w:val="0"/>
            <w:kern w:val="2"/>
            <w:sz w:val="24"/>
            <w:szCs w:val="24"/>
            <w14:ligatures w14:val="standardContextual"/>
          </w:rPr>
          <w:tab/>
        </w:r>
        <w:r>
          <w:rPr>
            <w:rStyle w:val="Hyperlink"/>
          </w:rPr>
          <w:t>Inapplicability</w:t>
        </w:r>
        <w:r>
          <w:rPr>
            <w:webHidden/>
          </w:rPr>
          <w:tab/>
        </w:r>
        <w:r>
          <w:rPr>
            <w:webHidden/>
          </w:rPr>
          <w:fldChar w:fldCharType="begin"/>
        </w:r>
        <w:r>
          <w:rPr>
            <w:webHidden/>
          </w:rPr>
          <w:instrText xml:space="preserve"> PAGEREF _Toc203035684 \h </w:instrText>
        </w:r>
        <w:r>
          <w:rPr>
            <w:webHidden/>
          </w:rPr>
        </w:r>
        <w:r>
          <w:rPr>
            <w:webHidden/>
          </w:rPr>
          <w:fldChar w:fldCharType="separate"/>
        </w:r>
        <w:r>
          <w:rPr>
            <w:webHidden/>
          </w:rPr>
          <w:t>54</w:t>
        </w:r>
        <w:r>
          <w:rPr>
            <w:webHidden/>
          </w:rPr>
          <w:fldChar w:fldCharType="end"/>
        </w:r>
      </w:hyperlink>
    </w:p>
    <w:p w14:paraId="3472F46D" w14:textId="5B898B42">
      <w:pPr>
        <w:pStyle w:val="TOC2"/>
        <w:tabs>
          <w:tab w:val="left" w:pos="660"/>
          <w:tab w:val="right" w:leader="dot" w:pos="9016"/>
        </w:tabs>
        <w:rPr>
          <w:rFonts w:eastAsiaTheme="minorEastAsia"/>
          <w:smallCaps w:val="0"/>
          <w:kern w:val="2"/>
          <w:sz w:val="24"/>
          <w:szCs w:val="24"/>
          <w14:ligatures w14:val="standardContextual"/>
        </w:rPr>
      </w:pPr>
      <w:hyperlink w:anchor="_Toc203035685" w:history="1">
        <w:r>
          <w:rPr>
            <w:rStyle w:val="Hyperlink"/>
            <w:bCs/>
          </w:rPr>
          <w:t>a.</w:t>
        </w:r>
        <w:r>
          <w:rPr>
            <w:rFonts w:eastAsiaTheme="minorEastAsia"/>
            <w:smallCaps w:val="0"/>
            <w:kern w:val="2"/>
            <w:sz w:val="24"/>
            <w:szCs w:val="24"/>
            <w14:ligatures w14:val="standardContextual"/>
          </w:rPr>
          <w:tab/>
        </w:r>
        <w:r>
          <w:rPr>
            <w:rStyle w:val="Hyperlink"/>
          </w:rPr>
          <w:t>Inapplicability in the Event of Non-Notification</w:t>
        </w:r>
        <w:r>
          <w:rPr>
            <w:webHidden/>
          </w:rPr>
          <w:tab/>
        </w:r>
        <w:r>
          <w:rPr>
            <w:webHidden/>
          </w:rPr>
          <w:fldChar w:fldCharType="begin"/>
        </w:r>
        <w:r>
          <w:rPr>
            <w:webHidden/>
          </w:rPr>
          <w:instrText xml:space="preserve"> PAGEREF _Toc203035685 \h </w:instrText>
        </w:r>
        <w:r>
          <w:rPr>
            <w:webHidden/>
          </w:rPr>
        </w:r>
        <w:r>
          <w:rPr>
            <w:webHidden/>
          </w:rPr>
          <w:fldChar w:fldCharType="separate"/>
        </w:r>
        <w:r>
          <w:rPr>
            <w:webHidden/>
          </w:rPr>
          <w:t>54</w:t>
        </w:r>
        <w:r>
          <w:rPr>
            <w:webHidden/>
          </w:rPr>
          <w:fldChar w:fldCharType="end"/>
        </w:r>
      </w:hyperlink>
    </w:p>
    <w:p w14:paraId="3917D769" w14:textId="59C074AB">
      <w:pPr>
        <w:pStyle w:val="TOC2"/>
        <w:tabs>
          <w:tab w:val="left" w:pos="660"/>
          <w:tab w:val="right" w:leader="dot" w:pos="9016"/>
        </w:tabs>
        <w:rPr>
          <w:rFonts w:eastAsiaTheme="minorEastAsia"/>
          <w:smallCaps w:val="0"/>
          <w:kern w:val="2"/>
          <w:sz w:val="24"/>
          <w:szCs w:val="24"/>
          <w14:ligatures w14:val="standardContextual"/>
        </w:rPr>
      </w:pPr>
      <w:hyperlink w:anchor="_Toc203035686" w:history="1">
        <w:r>
          <w:rPr>
            <w:rStyle w:val="Hyperlink"/>
            <w:bCs/>
          </w:rPr>
          <w:t>b.</w:t>
        </w:r>
        <w:r>
          <w:rPr>
            <w:rFonts w:eastAsiaTheme="minorEastAsia"/>
            <w:smallCaps w:val="0"/>
            <w:kern w:val="2"/>
            <w:sz w:val="24"/>
            <w:szCs w:val="24"/>
            <w14:ligatures w14:val="standardContextual"/>
          </w:rPr>
          <w:tab/>
        </w:r>
        <w:r>
          <w:rPr>
            <w:rStyle w:val="Hyperlink"/>
          </w:rPr>
          <w:t>Inapplicability in the Event of Adoption During the Standstill Period</w:t>
        </w:r>
        <w:r>
          <w:rPr>
            <w:webHidden/>
          </w:rPr>
          <w:tab/>
        </w:r>
        <w:r>
          <w:rPr>
            <w:webHidden/>
          </w:rPr>
          <w:fldChar w:fldCharType="begin"/>
        </w:r>
        <w:r>
          <w:rPr>
            <w:webHidden/>
          </w:rPr>
          <w:instrText xml:space="preserve"> PAGEREF _Toc203035686 \h </w:instrText>
        </w:r>
        <w:r>
          <w:rPr>
            <w:webHidden/>
          </w:rPr>
        </w:r>
        <w:r>
          <w:rPr>
            <w:webHidden/>
          </w:rPr>
          <w:fldChar w:fldCharType="separate"/>
        </w:r>
        <w:r>
          <w:rPr>
            <w:webHidden/>
          </w:rPr>
          <w:t>58</w:t>
        </w:r>
        <w:r>
          <w:rPr>
            <w:webHidden/>
          </w:rPr>
          <w:fldChar w:fldCharType="end"/>
        </w:r>
      </w:hyperlink>
    </w:p>
    <w:p w14:paraId="62AF9A81" w14:textId="5B90334F">
      <w:pPr>
        <w:pStyle w:val="TOC2"/>
        <w:tabs>
          <w:tab w:val="left" w:pos="660"/>
          <w:tab w:val="right" w:leader="dot" w:pos="9016"/>
        </w:tabs>
        <w:rPr>
          <w:rFonts w:eastAsiaTheme="minorEastAsia"/>
          <w:smallCaps w:val="0"/>
          <w:kern w:val="2"/>
          <w:sz w:val="24"/>
          <w:szCs w:val="24"/>
          <w14:ligatures w14:val="standardContextual"/>
        </w:rPr>
      </w:pPr>
      <w:hyperlink w:anchor="_Toc203035687" w:history="1">
        <w:r>
          <w:rPr>
            <w:rStyle w:val="Hyperlink"/>
            <w:bCs/>
          </w:rPr>
          <w:t>c.</w:t>
        </w:r>
        <w:r>
          <w:rPr>
            <w:rFonts w:eastAsiaTheme="minorEastAsia"/>
            <w:smallCaps w:val="0"/>
            <w:kern w:val="2"/>
            <w:sz w:val="24"/>
            <w:szCs w:val="24"/>
            <w14:ligatures w14:val="standardContextual"/>
          </w:rPr>
          <w:tab/>
        </w:r>
        <w:r>
          <w:rPr>
            <w:rStyle w:val="Hyperlink"/>
          </w:rPr>
          <w:t>Clarification as to the Effect of Inapplicability</w:t>
        </w:r>
        <w:r>
          <w:rPr>
            <w:webHidden/>
          </w:rPr>
          <w:tab/>
        </w:r>
        <w:r>
          <w:rPr>
            <w:webHidden/>
          </w:rPr>
          <w:fldChar w:fldCharType="begin"/>
        </w:r>
        <w:r>
          <w:rPr>
            <w:webHidden/>
          </w:rPr>
          <w:instrText xml:space="preserve"> PAGEREF _Toc203035687 \h </w:instrText>
        </w:r>
        <w:r>
          <w:rPr>
            <w:webHidden/>
          </w:rPr>
        </w:r>
        <w:r>
          <w:rPr>
            <w:webHidden/>
          </w:rPr>
          <w:fldChar w:fldCharType="separate"/>
        </w:r>
        <w:r>
          <w:rPr>
            <w:webHidden/>
          </w:rPr>
          <w:t>60</w:t>
        </w:r>
        <w:r>
          <w:rPr>
            <w:webHidden/>
          </w:rPr>
          <w:fldChar w:fldCharType="end"/>
        </w:r>
      </w:hyperlink>
    </w:p>
    <w:p w14:paraId="05C72C05" w14:textId="53813097">
      <w:pPr>
        <w:pStyle w:val="TOC2"/>
        <w:tabs>
          <w:tab w:val="left" w:pos="660"/>
          <w:tab w:val="right" w:leader="dot" w:pos="9016"/>
        </w:tabs>
        <w:rPr>
          <w:rFonts w:eastAsiaTheme="minorEastAsia"/>
          <w:smallCaps w:val="0"/>
          <w:kern w:val="2"/>
          <w:sz w:val="24"/>
          <w:szCs w:val="24"/>
          <w14:ligatures w14:val="standardContextual"/>
        </w:rPr>
      </w:pPr>
      <w:hyperlink w:anchor="_Toc203035688" w:history="1">
        <w:r>
          <w:rPr>
            <w:rStyle w:val="Hyperlink"/>
            <w:bCs/>
          </w:rPr>
          <w:t>d.</w:t>
        </w:r>
        <w:r>
          <w:rPr>
            <w:rFonts w:eastAsiaTheme="minorEastAsia"/>
            <w:smallCaps w:val="0"/>
            <w:kern w:val="2"/>
            <w:sz w:val="24"/>
            <w:szCs w:val="24"/>
            <w14:ligatures w14:val="standardContextual"/>
          </w:rPr>
          <w:tab/>
        </w:r>
        <w:r>
          <w:rPr>
            <w:rStyle w:val="Hyperlink"/>
          </w:rPr>
          <w:t>Infringement Procedure</w:t>
        </w:r>
        <w:r>
          <w:rPr>
            <w:webHidden/>
          </w:rPr>
          <w:tab/>
        </w:r>
        <w:r>
          <w:rPr>
            <w:webHidden/>
          </w:rPr>
          <w:fldChar w:fldCharType="begin"/>
        </w:r>
        <w:r>
          <w:rPr>
            <w:webHidden/>
          </w:rPr>
          <w:instrText xml:space="preserve"> PAGEREF _Toc203035688 \h </w:instrText>
        </w:r>
        <w:r>
          <w:rPr>
            <w:webHidden/>
          </w:rPr>
        </w:r>
        <w:r>
          <w:rPr>
            <w:webHidden/>
          </w:rPr>
          <w:fldChar w:fldCharType="separate"/>
        </w:r>
        <w:r>
          <w:rPr>
            <w:webHidden/>
          </w:rPr>
          <w:t>61</w:t>
        </w:r>
        <w:r>
          <w:rPr>
            <w:webHidden/>
          </w:rPr>
          <w:fldChar w:fldCharType="end"/>
        </w:r>
      </w:hyperlink>
    </w:p>
    <w:p w14:paraId="58AB357B" w14:textId="44F07789">
      <w:pPr>
        <w:pStyle w:val="P68B1DB1-Normal4"/>
        <w:spacing w:line="278" w:lineRule="auto"/>
        <w:rPr>
          <w:rFonts w:ascii="Times New Roman" w:hAnsi="Times New Roman" w:cs="Times New Roman"/>
        </w:rPr>
      </w:pPr>
      <w:r>
        <w:rPr>
          <w:rFonts w:ascii="Times New Roman" w:hAnsi="Times New Roman" w:cs="Times New Roman"/>
        </w:rPr>
        <w:fldChar w:fldCharType="end"/>
      </w:r>
    </w:p>
    <w:p w14:paraId="0EC5AF49" w14:textId="77777777">
      <w:pPr>
        <w:spacing w:line="278" w:lineRule="auto"/>
        <w:rPr>
          <w:sz w:val="20"/>
        </w:rPr>
      </w:pPr>
      <w:r>
        <w:br w:type="page"/>
      </w:r>
    </w:p>
    <w:p w14:paraId="6635D92A" w14:textId="484720D6">
      <w:pPr>
        <w:pStyle w:val="P68B1DB1-Normal4"/>
        <w:spacing w:line="278" w:lineRule="auto"/>
        <w:jc w:val="both"/>
      </w:pPr>
      <w:r>
        <w:rPr>
          <w:rFonts w:ascii="Times New Roman" w:hAnsi="Times New Roman" w:cs="Times New Roman"/>
          <w:sz w:val="24"/>
          <w:szCs w:val="24"/>
        </w:rPr>
        <w:t xml:space="preserve">Lēmumi, no kuriem šajā dokumentā ir apkopoti izvilkumi, attiecas uz secīgām direktīvām, ar kurām nosaka informācijas sniegšanas kārtību tehnisko noteikumu jomā. Turpmāk dotajā atbilstības tabulā ir parādīta to galveno noteikumu nepārtrauktība</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w:t>
      </w:r>
    </w:p>
    <w:p w14:paraId="7EF257CD" w14:textId="77777777">
      <w:pPr>
        <w:spacing w:after="0" w:line="240" w:lineRule="auto"/>
        <w:jc w:val="both"/>
        <w:rPr>
          <w:rFonts w:ascii="Times New Roman" w:hAnsi="Times New Roman" w:cs="Times New Roman"/>
          <w:sz w:val="24"/>
          <w:szCs w:val="24"/>
        </w:rPr>
      </w:pPr>
    </w:p>
    <w:p w14:paraId="31BFF92A" w14:textId="3BC8AB17">
      <w:pPr>
        <w:pStyle w:val="P68B1DB1-Normal5"/>
        <w:spacing w:after="0" w:line="240" w:lineRule="auto"/>
        <w:jc w:val="center"/>
        <w:rPr>
          <w:bCs/>
        </w:rPr>
      </w:pPr>
      <w:r>
        <w:t xml:space="preserve">Galveno noteikumu atbilstības tabula </w:t>
      </w:r>
    </w:p>
    <w:p w14:paraId="74F41B86" w14:textId="7258661E">
      <w:pPr>
        <w:pStyle w:val="P68B1DB1-Normal5"/>
        <w:spacing w:after="0" w:line="240" w:lineRule="auto"/>
        <w:jc w:val="center"/>
        <w:rPr>
          <w:bCs/>
        </w:rPr>
      </w:pPr>
      <w:r>
        <w:t xml:space="preserve">Direktīvas (ES) 2015/1535, 98/34/EK un 83/189/EEK</w:t>
      </w:r>
    </w:p>
    <w:p w14:paraId="3AD91D64" w14:textId="77777777">
      <w:pPr>
        <w:spacing w:after="0" w:line="240" w:lineRule="auto"/>
      </w:pPr>
    </w:p>
    <w:tbl>
      <w:tblPr>
        <w:tblStyle w:val="TableGrid"/>
        <w:tblW w:w="10206" w:type="dxa"/>
        <w:tblInd w:w="-572" w:type="dxa"/>
        <w:tblLook w:val="04A0" w:firstRow="1" w:lastRow="0" w:firstColumn="1" w:lastColumn="0" w:noHBand="0" w:noVBand="1"/>
      </w:tblPr>
      <w:tblGrid>
        <w:gridCol w:w="3119"/>
        <w:gridCol w:w="2457"/>
        <w:gridCol w:w="2315"/>
        <w:gridCol w:w="2315"/>
      </w:tblGrid>
      <w:tr w14:paraId="3A08F315" w14:textId="77777777">
        <w:trPr>
          <w:trHeight w:val="599"/>
        </w:trPr>
        <w:tc>
          <w:tcPr>
            <w:tcW w:w="3119" w:type="dxa"/>
            <w:shd w:val="clear" w:color="auto" w:fill="auto"/>
          </w:tcPr>
          <w:p w14:paraId="364945D8" w14:textId="2E5772D6">
            <w:pPr>
              <w:pStyle w:val="P68B1DB1-Normal6"/>
              <w:spacing w:line="240" w:lineRule="auto"/>
              <w:rPr>
                <w:bCs/>
              </w:rPr>
            </w:pPr>
            <w:r>
              <w:t xml:space="preserve">Noteikumu saturs</w:t>
            </w:r>
          </w:p>
        </w:tc>
        <w:tc>
          <w:tcPr>
            <w:tcW w:w="2457" w:type="dxa"/>
            <w:shd w:val="clear" w:color="auto" w:fill="auto"/>
          </w:tcPr>
          <w:p w14:paraId="34093202" w14:textId="25E58692">
            <w:pPr>
              <w:spacing w:line="240" w:lineRule="auto"/>
              <w:rPr>
                <w:rFonts w:ascii="Times New Roman" w:hAnsi="Times New Roman" w:cs="Times New Roman"/>
                <w:b/>
                <w:bCs/>
                <w:sz w:val="24"/>
                <w:szCs w:val="24"/>
              </w:rPr>
            </w:pPr>
            <w:hyperlink r:id="rId8" w:history="1">
              <w:r>
                <w:rPr>
                  <w:rStyle w:val="Hyperlink"/>
                  <w:rFonts w:ascii="Times New Roman" w:hAnsi="Times New Roman" w:cs="Times New Roman"/>
                  <w:b/>
                  <w:color w:val="0000FF"/>
                  <w:sz w:val="24"/>
                  <w:szCs w:val="24"/>
                </w:rPr>
                <w:t xml:space="preserve">Direktīva (ES) 2015/1535</w:t>
              </w:r>
            </w:hyperlink>
            <w:r>
              <w:rPr>
                <w:rStyle w:val="FootnoteReference"/>
                <w:rFonts w:ascii="Times New Roman" w:hAnsi="Times New Roman" w:cs="Times New Roman"/>
                <w:sz w:val="24"/>
                <w:szCs w:val="24"/>
              </w:rPr>
              <w:footnoteReference w:id="2"/>
            </w:r>
          </w:p>
        </w:tc>
        <w:tc>
          <w:tcPr>
            <w:tcW w:w="2315" w:type="dxa"/>
            <w:shd w:val="clear" w:color="auto" w:fill="auto"/>
          </w:tcPr>
          <w:p w14:paraId="5FD03597" w14:textId="330E7145">
            <w:pPr>
              <w:spacing w:line="240" w:lineRule="auto"/>
              <w:rPr>
                <w:rFonts w:ascii="Times New Roman" w:hAnsi="Times New Roman" w:cs="Times New Roman"/>
                <w:b/>
                <w:bCs/>
                <w:sz w:val="24"/>
                <w:szCs w:val="24"/>
              </w:rPr>
            </w:pPr>
            <w:hyperlink r:id="rId9" w:history="1">
              <w:r>
                <w:rPr>
                  <w:rStyle w:val="Hyperlink"/>
                  <w:rFonts w:ascii="Times New Roman" w:hAnsi="Times New Roman" w:cs="Times New Roman"/>
                  <w:b/>
                  <w:color w:val="0000FF"/>
                  <w:sz w:val="24"/>
                  <w:szCs w:val="24"/>
                </w:rPr>
                <w:t xml:space="preserve">Direktīva 98/34/EK</w:t>
              </w:r>
            </w:hyperlink>
            <w:r>
              <w:rPr>
                <w:rStyle w:val="FootnoteReference"/>
                <w:rFonts w:ascii="Times New Roman" w:hAnsi="Times New Roman" w:cs="Times New Roman"/>
                <w:sz w:val="24"/>
                <w:szCs w:val="24"/>
              </w:rPr>
              <w:footnoteReference w:id="3"/>
            </w:r>
          </w:p>
        </w:tc>
        <w:tc>
          <w:tcPr>
            <w:tcW w:w="2315" w:type="dxa"/>
            <w:shd w:val="clear" w:color="auto" w:fill="auto"/>
          </w:tcPr>
          <w:p w14:paraId="51A4CAE7" w14:textId="73C3CCF3">
            <w:pPr>
              <w:spacing w:line="240" w:lineRule="auto"/>
              <w:rPr>
                <w:rFonts w:ascii="Times New Roman" w:hAnsi="Times New Roman" w:cs="Times New Roman"/>
                <w:b/>
                <w:bCs/>
                <w:sz w:val="24"/>
                <w:szCs w:val="24"/>
              </w:rPr>
            </w:pPr>
            <w:hyperlink r:id="rId10" w:history="1">
              <w:r>
                <w:rPr>
                  <w:rStyle w:val="Hyperlink"/>
                  <w:rFonts w:ascii="Times New Roman" w:hAnsi="Times New Roman" w:cs="Times New Roman"/>
                  <w:b/>
                  <w:color w:val="0000FF"/>
                  <w:sz w:val="24"/>
                  <w:szCs w:val="24"/>
                </w:rPr>
                <w:t xml:space="preserve">Direktīva 83/189/EEK</w:t>
              </w:r>
            </w:hyperlink>
            <w:r>
              <w:rPr>
                <w:rStyle w:val="FootnoteReference"/>
                <w:rFonts w:ascii="Times New Roman" w:hAnsi="Times New Roman" w:cs="Times New Roman"/>
                <w:sz w:val="24"/>
                <w:szCs w:val="24"/>
              </w:rPr>
              <w:footnoteReference w:id="4"/>
            </w:r>
          </w:p>
        </w:tc>
      </w:tr>
      <w:tr w14:paraId="72585BFB" w14:textId="77777777">
        <w:trPr>
          <w:trHeight w:val="599"/>
        </w:trPr>
        <w:tc>
          <w:tcPr>
            <w:tcW w:w="3119" w:type="dxa"/>
          </w:tcPr>
          <w:p w14:paraId="04624D71" w14:textId="77777777">
            <w:pPr>
              <w:pStyle w:val="P68B1DB1-Normal7"/>
              <w:spacing w:line="240" w:lineRule="auto"/>
            </w:pPr>
            <w:r>
              <w:t xml:space="preserve">“Produktu” definīcija</w:t>
            </w:r>
          </w:p>
        </w:tc>
        <w:tc>
          <w:tcPr>
            <w:tcW w:w="2457" w:type="dxa"/>
          </w:tcPr>
          <w:p w14:paraId="4A418F3D" w14:textId="11CADE6C">
            <w:pPr>
              <w:pStyle w:val="P68B1DB1-Normal7"/>
              <w:spacing w:line="240" w:lineRule="auto"/>
            </w:pPr>
            <w:r>
              <w:t xml:space="preserve">1. pants, 1. punkts, a) apakšpunkts</w:t>
            </w:r>
          </w:p>
        </w:tc>
        <w:tc>
          <w:tcPr>
            <w:tcW w:w="2315" w:type="dxa"/>
          </w:tcPr>
          <w:p w14:paraId="5020F0EC" w14:textId="29FBC8B8">
            <w:pPr>
              <w:pStyle w:val="P68B1DB1-Normal7"/>
              <w:spacing w:line="240" w:lineRule="auto"/>
            </w:pPr>
            <w:r>
              <w:t xml:space="preserve">I sadaļa</w:t>
            </w:r>
          </w:p>
        </w:tc>
        <w:tc>
          <w:tcPr>
            <w:tcW w:w="2315" w:type="dxa"/>
          </w:tcPr>
          <w:p w14:paraId="1AC77ECE" w14:textId="6BC392C6">
            <w:pPr>
              <w:pStyle w:val="P68B1DB1-Normal7"/>
              <w:spacing w:line="240" w:lineRule="auto"/>
            </w:pPr>
            <w:r>
              <w:t xml:space="preserve">1. panta pirmā daļa</w:t>
            </w:r>
          </w:p>
        </w:tc>
      </w:tr>
      <w:tr w14:paraId="4F3F95AF" w14:textId="77777777">
        <w:trPr>
          <w:trHeight w:val="599"/>
        </w:trPr>
        <w:tc>
          <w:tcPr>
            <w:tcW w:w="3119" w:type="dxa"/>
          </w:tcPr>
          <w:p w14:paraId="42CDA066" w14:textId="77777777">
            <w:pPr>
              <w:pStyle w:val="P68B1DB1-Normal7"/>
              <w:spacing w:line="240" w:lineRule="auto"/>
            </w:pPr>
            <w:r>
              <w:t xml:space="preserve">“Pakalpojumu” definīcija</w:t>
            </w:r>
          </w:p>
        </w:tc>
        <w:tc>
          <w:tcPr>
            <w:tcW w:w="2457" w:type="dxa"/>
          </w:tcPr>
          <w:p w14:paraId="658F3867" w14:textId="6E2F4A98">
            <w:pPr>
              <w:pStyle w:val="P68B1DB1-Normal7"/>
              <w:spacing w:line="240" w:lineRule="auto"/>
            </w:pPr>
            <w:r>
              <w:t xml:space="preserve">1. pants, 1. punkts, b) apakšpunkts</w:t>
            </w:r>
          </w:p>
        </w:tc>
        <w:tc>
          <w:tcPr>
            <w:tcW w:w="2315" w:type="dxa"/>
          </w:tcPr>
          <w:p w14:paraId="4273AEF8" w14:textId="51C8B937">
            <w:pPr>
              <w:pStyle w:val="P68B1DB1-Normal7"/>
              <w:spacing w:line="240" w:lineRule="auto"/>
            </w:pPr>
            <w:r>
              <w:t xml:space="preserve">1. panta pirmās daļas 2) punkts</w:t>
            </w:r>
          </w:p>
        </w:tc>
        <w:tc>
          <w:tcPr>
            <w:tcW w:w="2315" w:type="dxa"/>
          </w:tcPr>
          <w:p w14:paraId="6B0C3AFB" w14:textId="2BD4E0BD">
            <w:pPr>
              <w:pStyle w:val="P68B1DB1-Normal7"/>
              <w:spacing w:line="240" w:lineRule="auto"/>
              <w:jc w:val="center"/>
            </w:pPr>
            <w:r>
              <w:t>___</w:t>
            </w:r>
          </w:p>
        </w:tc>
      </w:tr>
      <w:tr w14:paraId="576462BF" w14:textId="77777777">
        <w:trPr>
          <w:trHeight w:val="599"/>
        </w:trPr>
        <w:tc>
          <w:tcPr>
            <w:tcW w:w="3119" w:type="dxa"/>
          </w:tcPr>
          <w:p w14:paraId="555E46FF" w14:textId="77777777">
            <w:pPr>
              <w:pStyle w:val="P68B1DB1-Normal7"/>
              <w:spacing w:line="240" w:lineRule="auto"/>
            </w:pPr>
            <w:r>
              <w:t xml:space="preserve">“Tehniskās specifikācijas” definīcija</w:t>
            </w:r>
          </w:p>
        </w:tc>
        <w:tc>
          <w:tcPr>
            <w:tcW w:w="2457" w:type="dxa"/>
          </w:tcPr>
          <w:p w14:paraId="1CD6781C" w14:textId="4816FB95">
            <w:pPr>
              <w:pStyle w:val="P68B1DB1-Normal7"/>
              <w:spacing w:line="240" w:lineRule="auto"/>
            </w:pPr>
            <w:r>
              <w:t xml:space="preserve">1. pants, 1. punkts, c) apakšpunkts</w:t>
            </w:r>
          </w:p>
        </w:tc>
        <w:tc>
          <w:tcPr>
            <w:tcW w:w="2315" w:type="dxa"/>
          </w:tcPr>
          <w:p w14:paraId="6ACA8AFC" w14:textId="5CBBFC47">
            <w:pPr>
              <w:pStyle w:val="P68B1DB1-Normal7"/>
              <w:spacing w:line="240" w:lineRule="auto"/>
            </w:pPr>
            <w:r>
              <w:t xml:space="preserve">1. panta pirmās daļas 3) punkts</w:t>
            </w:r>
          </w:p>
        </w:tc>
        <w:tc>
          <w:tcPr>
            <w:tcW w:w="2315" w:type="dxa"/>
          </w:tcPr>
          <w:p w14:paraId="7742C3F4" w14:textId="668574B6">
            <w:pPr>
              <w:pStyle w:val="P68B1DB1-Normal7"/>
              <w:spacing w:line="240" w:lineRule="auto"/>
            </w:pPr>
            <w:r>
              <w:t xml:space="preserve">I sadaļa</w:t>
            </w:r>
          </w:p>
        </w:tc>
      </w:tr>
      <w:tr w14:paraId="39DCA993" w14:textId="77777777">
        <w:trPr>
          <w:trHeight w:val="599"/>
        </w:trPr>
        <w:tc>
          <w:tcPr>
            <w:tcW w:w="3119" w:type="dxa"/>
          </w:tcPr>
          <w:p w14:paraId="412D2403" w14:textId="77777777">
            <w:pPr>
              <w:pStyle w:val="P68B1DB1-Normal7"/>
              <w:spacing w:line="240" w:lineRule="auto"/>
            </w:pPr>
            <w:r>
              <w:t xml:space="preserve">“Citu prasību” definīcija</w:t>
            </w:r>
          </w:p>
        </w:tc>
        <w:tc>
          <w:tcPr>
            <w:tcW w:w="2457" w:type="dxa"/>
          </w:tcPr>
          <w:p w14:paraId="7BCB4CC5" w14:textId="4C804DFA">
            <w:pPr>
              <w:pStyle w:val="P68B1DB1-Normal7"/>
              <w:spacing w:line="240" w:lineRule="auto"/>
            </w:pPr>
            <w:r>
              <w:t xml:space="preserve">1. panta 1. punkta d) apakšpunkts</w:t>
            </w:r>
          </w:p>
        </w:tc>
        <w:tc>
          <w:tcPr>
            <w:tcW w:w="2315" w:type="dxa"/>
          </w:tcPr>
          <w:p w14:paraId="414D1EEC" w14:textId="18CAA0FE">
            <w:pPr>
              <w:pStyle w:val="P68B1DB1-Normal7"/>
              <w:spacing w:line="240" w:lineRule="auto"/>
            </w:pPr>
            <w:r>
              <w:t xml:space="preserve">1. panta pirmās daļas 4) punkts</w:t>
            </w:r>
          </w:p>
        </w:tc>
        <w:tc>
          <w:tcPr>
            <w:tcW w:w="2315" w:type="dxa"/>
          </w:tcPr>
          <w:p w14:paraId="46A8193A" w14:textId="477D2F0E">
            <w:pPr>
              <w:pStyle w:val="P68B1DB1-Normal7"/>
              <w:spacing w:line="240" w:lineRule="auto"/>
              <w:jc w:val="center"/>
            </w:pPr>
            <w:r>
              <w:t>___</w:t>
            </w:r>
          </w:p>
        </w:tc>
      </w:tr>
      <w:tr w14:paraId="48F0D2A4" w14:textId="77777777">
        <w:trPr>
          <w:trHeight w:val="599"/>
        </w:trPr>
        <w:tc>
          <w:tcPr>
            <w:tcW w:w="3119" w:type="dxa"/>
          </w:tcPr>
          <w:p w14:paraId="61624EA2" w14:textId="77777777">
            <w:pPr>
              <w:pStyle w:val="P68B1DB1-Normal7"/>
              <w:spacing w:line="240" w:lineRule="auto"/>
            </w:pPr>
            <w:r>
              <w:t xml:space="preserve">“Noteikumu par pakalpojumiem” definīcija</w:t>
            </w:r>
          </w:p>
        </w:tc>
        <w:tc>
          <w:tcPr>
            <w:tcW w:w="2457" w:type="dxa"/>
          </w:tcPr>
          <w:p w14:paraId="136F7BB7" w14:textId="4AA67A90">
            <w:pPr>
              <w:pStyle w:val="P68B1DB1-Normal7"/>
              <w:spacing w:line="240" w:lineRule="auto"/>
            </w:pPr>
            <w:r>
              <w:t xml:space="preserve">1. panta 1. punkta e) apakšpunkts</w:t>
            </w:r>
          </w:p>
        </w:tc>
        <w:tc>
          <w:tcPr>
            <w:tcW w:w="2315" w:type="dxa"/>
          </w:tcPr>
          <w:p w14:paraId="36E9CD4F" w14:textId="1B75247A">
            <w:pPr>
              <w:pStyle w:val="P68B1DB1-Normal7"/>
              <w:spacing w:line="240" w:lineRule="auto"/>
            </w:pPr>
            <w:r>
              <w:t xml:space="preserve">1. panta 5.punkts</w:t>
            </w:r>
          </w:p>
        </w:tc>
        <w:tc>
          <w:tcPr>
            <w:tcW w:w="2315" w:type="dxa"/>
          </w:tcPr>
          <w:p w14:paraId="42762185" w14:textId="37A509CA">
            <w:pPr>
              <w:pStyle w:val="P68B1DB1-Normal7"/>
              <w:spacing w:line="240" w:lineRule="auto"/>
              <w:jc w:val="center"/>
            </w:pPr>
            <w:r>
              <w:t>___</w:t>
            </w:r>
          </w:p>
        </w:tc>
      </w:tr>
      <w:tr w14:paraId="4622E632" w14:textId="77777777">
        <w:trPr>
          <w:trHeight w:val="599"/>
        </w:trPr>
        <w:tc>
          <w:tcPr>
            <w:tcW w:w="3119" w:type="dxa"/>
          </w:tcPr>
          <w:p w14:paraId="59CDC9EC" w14:textId="77777777">
            <w:pPr>
              <w:pStyle w:val="P68B1DB1-Normal7"/>
              <w:spacing w:line="240" w:lineRule="auto"/>
            </w:pPr>
            <w:r>
              <w:t xml:space="preserve">“Tehnisko noteikumu” definīcija</w:t>
            </w:r>
          </w:p>
        </w:tc>
        <w:tc>
          <w:tcPr>
            <w:tcW w:w="2457" w:type="dxa"/>
          </w:tcPr>
          <w:p w14:paraId="46C85599" w14:textId="1342B29E">
            <w:pPr>
              <w:pStyle w:val="P68B1DB1-Normal7"/>
              <w:spacing w:line="240" w:lineRule="auto"/>
            </w:pPr>
            <w:r>
              <w:t xml:space="preserve">1. panta 1. punkta f) apakšpunkts</w:t>
            </w:r>
          </w:p>
        </w:tc>
        <w:tc>
          <w:tcPr>
            <w:tcW w:w="2315" w:type="dxa"/>
          </w:tcPr>
          <w:p w14:paraId="0E88B9E2" w14:textId="31F951B8">
            <w:pPr>
              <w:pStyle w:val="P68B1DB1-Normal7"/>
              <w:spacing w:line="240" w:lineRule="auto"/>
            </w:pPr>
            <w:r>
              <w:t xml:space="preserve">1. panta 11. punkts</w:t>
            </w:r>
          </w:p>
        </w:tc>
        <w:tc>
          <w:tcPr>
            <w:tcW w:w="2315" w:type="dxa"/>
          </w:tcPr>
          <w:p w14:paraId="2E4FCAC6" w14:textId="1930FF48">
            <w:pPr>
              <w:pStyle w:val="P68B1DB1-Normal7"/>
              <w:spacing w:line="240" w:lineRule="auto"/>
            </w:pPr>
            <w:r>
              <w:t xml:space="preserve">1. panta 5.punkts</w:t>
            </w:r>
          </w:p>
        </w:tc>
      </w:tr>
      <w:tr w14:paraId="0C829266" w14:textId="77777777">
        <w:trPr>
          <w:trHeight w:val="599"/>
        </w:trPr>
        <w:tc>
          <w:tcPr>
            <w:tcW w:w="3119" w:type="dxa"/>
          </w:tcPr>
          <w:p w14:paraId="2E36B6FC" w14:textId="77777777">
            <w:pPr>
              <w:pStyle w:val="P68B1DB1-Normal7"/>
              <w:spacing w:line="240" w:lineRule="auto"/>
            </w:pPr>
            <w:r>
              <w:t xml:space="preserve">Paziņošanas pienākums</w:t>
            </w:r>
          </w:p>
        </w:tc>
        <w:tc>
          <w:tcPr>
            <w:tcW w:w="2457" w:type="dxa"/>
          </w:tcPr>
          <w:p w14:paraId="04169FF7" w14:textId="77777777">
            <w:pPr>
              <w:pStyle w:val="P68B1DB1-Normal7"/>
              <w:spacing w:line="240" w:lineRule="auto"/>
            </w:pPr>
            <w:r>
              <w:t xml:space="preserve">5. panta 1. punkta pirmais teikums</w:t>
            </w:r>
          </w:p>
        </w:tc>
        <w:tc>
          <w:tcPr>
            <w:tcW w:w="2315" w:type="dxa"/>
          </w:tcPr>
          <w:p w14:paraId="730385F8" w14:textId="77777777">
            <w:pPr>
              <w:pStyle w:val="P68B1DB1-Normal7"/>
              <w:spacing w:line="240" w:lineRule="auto"/>
            </w:pPr>
            <w:r>
              <w:t xml:space="preserve">8. panta 1. punkta pirmais teikums</w:t>
            </w:r>
          </w:p>
        </w:tc>
        <w:tc>
          <w:tcPr>
            <w:tcW w:w="2315" w:type="dxa"/>
          </w:tcPr>
          <w:p w14:paraId="6937609F" w14:textId="5A2377E0">
            <w:pPr>
              <w:pStyle w:val="P68B1DB1-Normal8"/>
              <w:spacing w:line="240" w:lineRule="auto"/>
            </w:pPr>
            <w:r>
              <w:t xml:space="preserve">1. punkts</w:t>
            </w:r>
          </w:p>
        </w:tc>
      </w:tr>
      <w:tr w14:paraId="4472DE96" w14:textId="77777777">
        <w:trPr>
          <w:trHeight w:val="599"/>
        </w:trPr>
        <w:tc>
          <w:tcPr>
            <w:tcW w:w="3119" w:type="dxa"/>
          </w:tcPr>
          <w:p w14:paraId="08371658" w14:textId="2AE2569B">
            <w:pPr>
              <w:pStyle w:val="P68B1DB1-Normal7"/>
              <w:spacing w:line="240" w:lineRule="auto"/>
            </w:pPr>
            <w:r>
              <w:t xml:space="preserve">Paziņojums par pamatnoteikumiem vai attiecīgajiem noteikumiem</w:t>
            </w:r>
          </w:p>
        </w:tc>
        <w:tc>
          <w:tcPr>
            <w:tcW w:w="2457" w:type="dxa"/>
          </w:tcPr>
          <w:p w14:paraId="4460E5CA" w14:textId="77777777">
            <w:pPr>
              <w:pStyle w:val="P68B1DB1-Normal7"/>
              <w:spacing w:line="240" w:lineRule="auto"/>
            </w:pPr>
            <w:r>
              <w:t xml:space="preserve">5. panta 1. punkta otrais teikums</w:t>
            </w:r>
          </w:p>
        </w:tc>
        <w:tc>
          <w:tcPr>
            <w:tcW w:w="2315" w:type="dxa"/>
          </w:tcPr>
          <w:p w14:paraId="545C5C96" w14:textId="77777777">
            <w:pPr>
              <w:pStyle w:val="P68B1DB1-Normal7"/>
              <w:spacing w:line="240" w:lineRule="auto"/>
            </w:pPr>
            <w:r>
              <w:t xml:space="preserve">8. panta 1. punkta otrais teikums</w:t>
            </w:r>
          </w:p>
        </w:tc>
        <w:tc>
          <w:tcPr>
            <w:tcW w:w="2315" w:type="dxa"/>
          </w:tcPr>
          <w:p w14:paraId="7658B70A" w14:textId="43A43C7F">
            <w:pPr>
              <w:pStyle w:val="P68B1DB1-Normal7"/>
              <w:spacing w:line="240" w:lineRule="auto"/>
              <w:jc w:val="center"/>
              <w:rPr>
                <w:rFonts w:eastAsia="Times New Roman"/>
              </w:rPr>
            </w:pPr>
            <w:r>
              <w:t>___</w:t>
            </w:r>
          </w:p>
        </w:tc>
      </w:tr>
      <w:tr w14:paraId="6E207C21" w14:textId="77777777">
        <w:trPr>
          <w:trHeight w:val="599"/>
        </w:trPr>
        <w:tc>
          <w:tcPr>
            <w:tcW w:w="3119" w:type="dxa"/>
          </w:tcPr>
          <w:p w14:paraId="05D20653" w14:textId="1C493645">
            <w:pPr>
              <w:pStyle w:val="P68B1DB1-Normal7"/>
              <w:spacing w:line="240" w:lineRule="auto"/>
            </w:pPr>
            <w:r>
              <w:t xml:space="preserve">Atkārtots paziņojums nogaidīšanas periodā</w:t>
            </w:r>
          </w:p>
        </w:tc>
        <w:tc>
          <w:tcPr>
            <w:tcW w:w="2457" w:type="dxa"/>
          </w:tcPr>
          <w:p w14:paraId="65494BDB" w14:textId="77777777">
            <w:pPr>
              <w:pStyle w:val="P68B1DB1-Normal7"/>
              <w:spacing w:line="240" w:lineRule="auto"/>
            </w:pPr>
            <w:r>
              <w:t xml:space="preserve">5. panta 1. punkta trešais teikums</w:t>
            </w:r>
          </w:p>
        </w:tc>
        <w:tc>
          <w:tcPr>
            <w:tcW w:w="2315" w:type="dxa"/>
          </w:tcPr>
          <w:p w14:paraId="47F0091E" w14:textId="77777777">
            <w:pPr>
              <w:pStyle w:val="P68B1DB1-Normal7"/>
              <w:spacing w:line="240" w:lineRule="auto"/>
            </w:pPr>
            <w:r>
              <w:t xml:space="preserve">8. panta 1. punkta trešais teikums</w:t>
            </w:r>
          </w:p>
        </w:tc>
        <w:tc>
          <w:tcPr>
            <w:tcW w:w="2315" w:type="dxa"/>
          </w:tcPr>
          <w:p w14:paraId="5E9AA7B4" w14:textId="7B61CCCA">
            <w:pPr>
              <w:pStyle w:val="P68B1DB1-Normal7"/>
              <w:spacing w:line="240" w:lineRule="auto"/>
              <w:jc w:val="center"/>
              <w:rPr>
                <w:rFonts w:eastAsia="Times New Roman"/>
              </w:rPr>
            </w:pPr>
            <w:r>
              <w:t>___</w:t>
            </w:r>
          </w:p>
        </w:tc>
      </w:tr>
      <w:tr w14:paraId="7EEDDE8A" w14:textId="77777777">
        <w:trPr>
          <w:trHeight w:val="599"/>
        </w:trPr>
        <w:tc>
          <w:tcPr>
            <w:tcW w:w="3119" w:type="dxa"/>
          </w:tcPr>
          <w:p w14:paraId="6F46F2B9" w14:textId="77777777">
            <w:pPr>
              <w:pStyle w:val="P68B1DB1-Normal7"/>
              <w:spacing w:line="240" w:lineRule="auto"/>
            </w:pPr>
            <w:r>
              <w:t xml:space="preserve">Nogaidīšanas termiņš</w:t>
            </w:r>
          </w:p>
        </w:tc>
        <w:tc>
          <w:tcPr>
            <w:tcW w:w="2457" w:type="dxa"/>
          </w:tcPr>
          <w:p w14:paraId="0FDAA36A" w14:textId="77777777">
            <w:pPr>
              <w:pStyle w:val="P68B1DB1-Normal7"/>
              <w:spacing w:line="240" w:lineRule="auto"/>
            </w:pPr>
            <w:r>
              <w:t>Pankts</w:t>
            </w:r>
          </w:p>
        </w:tc>
        <w:tc>
          <w:tcPr>
            <w:tcW w:w="2315" w:type="dxa"/>
          </w:tcPr>
          <w:p w14:paraId="51BBC4E4" w14:textId="77777777">
            <w:pPr>
              <w:pStyle w:val="P68B1DB1-Normal7"/>
              <w:spacing w:line="240" w:lineRule="auto"/>
            </w:pPr>
            <w:r>
              <w:t xml:space="preserve">Direktīvas 9. pants</w:t>
            </w:r>
          </w:p>
        </w:tc>
        <w:tc>
          <w:tcPr>
            <w:tcW w:w="2315" w:type="dxa"/>
          </w:tcPr>
          <w:p w14:paraId="2B7D3F30" w14:textId="77777777">
            <w:pPr>
              <w:pStyle w:val="P68B1DB1-Normal8"/>
              <w:spacing w:line="240" w:lineRule="auto"/>
            </w:pPr>
            <w:r>
              <w:t xml:space="preserve">Direktīvas 9. pants</w:t>
            </w:r>
          </w:p>
        </w:tc>
      </w:tr>
      <w:tr w14:paraId="31FCCE62" w14:textId="77777777">
        <w:trPr>
          <w:trHeight w:val="599"/>
        </w:trPr>
        <w:tc>
          <w:tcPr>
            <w:tcW w:w="3119" w:type="dxa"/>
          </w:tcPr>
          <w:p w14:paraId="067F46A1" w14:textId="77777777">
            <w:pPr>
              <w:pStyle w:val="P68B1DB1-Normal7"/>
              <w:spacing w:line="240" w:lineRule="auto"/>
            </w:pPr>
            <w:r>
              <w:t xml:space="preserve">Izņēmumi no paziņošanas un nogaidīšanas pienākumiem</w:t>
            </w:r>
          </w:p>
        </w:tc>
        <w:tc>
          <w:tcPr>
            <w:tcW w:w="2457" w:type="dxa"/>
          </w:tcPr>
          <w:p w14:paraId="5BC53094" w14:textId="77777777">
            <w:pPr>
              <w:pStyle w:val="P68B1DB1-Normal7"/>
              <w:spacing w:line="240" w:lineRule="auto"/>
            </w:pPr>
            <w:r>
              <w:t xml:space="preserve">Valdes sastāvs</w:t>
            </w:r>
          </w:p>
        </w:tc>
        <w:tc>
          <w:tcPr>
            <w:tcW w:w="2315" w:type="dxa"/>
          </w:tcPr>
          <w:p w14:paraId="36E59068" w14:textId="77777777">
            <w:pPr>
              <w:pStyle w:val="P68B1DB1-Normal7"/>
              <w:spacing w:line="240" w:lineRule="auto"/>
            </w:pPr>
            <w:r>
              <w:t xml:space="preserve">10. pantā</w:t>
            </w:r>
          </w:p>
        </w:tc>
        <w:tc>
          <w:tcPr>
            <w:tcW w:w="2315" w:type="dxa"/>
          </w:tcPr>
          <w:p w14:paraId="1FE1BC2D" w14:textId="77777777">
            <w:pPr>
              <w:pStyle w:val="P68B1DB1-Normal8"/>
              <w:spacing w:line="240" w:lineRule="auto"/>
            </w:pPr>
            <w:r>
              <w:t xml:space="preserve">10. pantā</w:t>
            </w:r>
          </w:p>
        </w:tc>
      </w:tr>
    </w:tbl>
    <w:p w14:paraId="4A865CBE" w14:textId="77777777">
      <w:pPr>
        <w:spacing w:after="0" w:line="240" w:lineRule="auto"/>
      </w:pPr>
    </w:p>
    <w:p w14:paraId="08C84FAC" w14:textId="77777777">
      <w:pPr>
        <w:spacing w:line="278" w:lineRule="auto"/>
      </w:pPr>
      <w:r>
        <w:br w:type="page"/>
      </w:r>
    </w:p>
    <w:p w14:paraId="0059B666" w14:textId="32BA8B95">
      <w:pPr>
        <w:jc w:val="both"/>
        <w:rPr>
          <w:rFonts w:ascii="Times New Roman" w:hAnsi="Times New Roman" w:cs="Times New Roman"/>
          <w:b/>
          <w:bCs/>
          <w:sz w:val="24"/>
          <w:szCs w:val="24"/>
          <w:u w:val="single"/>
        </w:rPr>
        <w:pStyle w:val="P68B1DB1-Normal5"/>
      </w:pPr>
      <w:r>
        <w:t>Atruna</w:t>
      </w:r>
    </w:p>
    <w:p w14:paraId="0CB71D4E" w14:textId="7BF1CD8D">
      <w:pPr>
        <w:jc w:val="both"/>
        <w:rPr>
          <w:rFonts w:ascii="Times New Roman" w:hAnsi="Times New Roman" w:cs="Times New Roman"/>
          <w:sz w:val="24"/>
          <w:szCs w:val="24"/>
        </w:rPr>
        <w:pStyle w:val="P68B1DB1-Normal7"/>
      </w:pPr>
      <w:r>
        <w:t xml:space="preserve">Šajā dokumentā sniegtā informācija un norādījumi ir paredzēti, lai palīdzētu labāk izprast Direktīvas (ES) 2015/1535 paziņošanas noteikumus.</w:t>
      </w:r>
    </w:p>
    <w:p w14:paraId="67EC004B" w14:textId="434F8650">
      <w:pPr>
        <w:jc w:val="both"/>
        <w:rPr>
          <w:rFonts w:ascii="Times New Roman" w:hAnsi="Times New Roman" w:cs="Times New Roman"/>
          <w:sz w:val="24"/>
          <w:szCs w:val="24"/>
        </w:rPr>
        <w:pStyle w:val="P68B1DB1-Normal7"/>
      </w:pPr>
      <w:r>
        <w:t xml:space="preserve">Tas ir paredzēts tikai kā orientējošs instruments. Tikai direktīvas tekstam ir juridisks spēks, un tas var radīt tiesības un pienākumus privātpersonām un dalībvalstīm. Šis dokuments nerada nekādas īstenojamas tiesības vai cerības.</w:t>
      </w:r>
    </w:p>
    <w:p w14:paraId="63D425FC" w14:textId="2836B58B">
      <w:pPr>
        <w:jc w:val="both"/>
        <w:rPr>
          <w:rFonts w:ascii="Times New Roman" w:hAnsi="Times New Roman" w:cs="Times New Roman"/>
          <w:sz w:val="24"/>
          <w:szCs w:val="24"/>
        </w:rPr>
        <w:pStyle w:val="P68B1DB1-Normal7"/>
      </w:pPr>
      <w:r>
        <w:t xml:space="preserve">Eiropas Savienības tiesību aktu saistošā interpretācija ir Eiropas Savienības Tiesas ekskluzīvā kompetencē. Šajā dokumentā paustie viedokļi neskar nostāju, ko Komisija varētu ieņemt Tiesā.</w:t>
      </w:r>
    </w:p>
    <w:p w14:paraId="5CC222EA" w14:textId="4A13BEE2">
      <w:pPr>
        <w:jc w:val="both"/>
        <w:rPr>
          <w:rFonts w:ascii="Times New Roman" w:hAnsi="Times New Roman" w:cs="Times New Roman"/>
          <w:sz w:val="24"/>
          <w:szCs w:val="24"/>
        </w:rPr>
        <w:pStyle w:val="P68B1DB1-Normal7"/>
      </w:pPr>
      <w:r>
        <w:t xml:space="preserve">Tā kā šis dokuments atspoguļo judikatūras stāvokli tā izstrādes laikā, tas būtu jāuzskata par “dzīvu instrumentu”, ko var uzlabot, un tā saturs var tikt grozīts bez iepriekšēja brīdinājuma.</w:t>
      </w:r>
    </w:p>
    <w:p w14:paraId="00285176" w14:textId="09C940D1">
      <w:pPr>
        <w:spacing w:after="0" w:line="240" w:lineRule="auto"/>
      </w:pPr>
      <w:r>
        <w:br w:type="page"/>
      </w:r>
    </w:p>
    <w:p w14:paraId="16528720" w14:textId="3D5EAE69">
      <w:pPr>
        <w:pStyle w:val="P68B1DB1-Heading13"/>
        <w:numPr>
          <w:ilvl w:val="0"/>
          <w:numId w:val="34"/>
        </w:numPr>
        <w:spacing w:before="0" w:after="0"/>
        <w:jc w:val="center"/>
        <w:rPr>
          <w:color w:val="auto"/>
        </w:rPr>
      </w:pPr>
      <w:bookmarkStart w:id="1" w:name="_Ref194485731"/>
      <w:bookmarkStart w:id="2" w:name="_Toc198043782"/>
      <w:bookmarkStart w:id="3" w:name="_Toc198044080"/>
      <w:bookmarkStart w:id="4" w:name="_Toc203035665"/>
      <w:bookmarkStart w:id="5" w:name="_Ref194484508"/>
      <w:bookmarkEnd w:id="0"/>
      <w:r>
        <w:t xml:space="preserve">Klasifikācija par tehniskiem noteikumiem</w:t>
      </w:r>
      <w:bookmarkEnd w:id="1"/>
      <w:bookmarkEnd w:id="2"/>
      <w:bookmarkEnd w:id="3"/>
      <w:bookmarkEnd w:id="4"/>
    </w:p>
    <w:p w14:paraId="771697CF" w14:textId="77777777">
      <w:pPr>
        <w:pStyle w:val="BodyText"/>
        <w:jc w:val="left"/>
      </w:pPr>
    </w:p>
    <w:p w14:paraId="0A4D39B5" w14:textId="5B89CEFC">
      <w:pPr>
        <w:pStyle w:val="P68B1DB1-Normal12"/>
        <w:spacing w:after="0" w:line="240" w:lineRule="auto"/>
        <w:ind w:left="567"/>
        <w:jc w:val="both"/>
        <w:rPr>
          <w:iCs/>
        </w:rPr>
      </w:pPr>
      <w:r>
        <w:t xml:space="preserve">“[..] jēdziens “tehniskie noteikumi” ietver četras pasākumu kategorijas, proti, i) “tehniskās specifikācijas” Direktīvas 98/34 1. panta 3. punkta izpratnē, ii) “citas prasības”, kā tās definētas šīs direktīvas 1. panta 4. punktā, iii) “noteikumi par pakalpojumiem”, kas minēti šīs direktīvas 1. panta 5. punktā, un iv) “dalībvalstu normatīvie un administratīvie akti [..], kas aizliedz preces ražošanu, importu, tirdzniecību vai izmantošanu vai kas aizliedz pakalpojuma sniegšanu vai izmantošanu, vai uzņēmējdarbību kā pakalpojumu sniedzējam”.”</w:t>
      </w:r>
    </w:p>
    <w:p w14:paraId="4FAB98F0" w14:textId="77777777">
      <w:pPr>
        <w:spacing w:after="0" w:line="240" w:lineRule="auto"/>
        <w:ind w:left="567"/>
        <w:jc w:val="both"/>
        <w:rPr>
          <w:rFonts w:ascii="Times New Roman" w:hAnsi="Times New Roman" w:cs="Times New Roman"/>
          <w:i/>
          <w:iCs/>
          <w:sz w:val="24"/>
          <w:szCs w:val="24"/>
        </w:rPr>
      </w:pPr>
    </w:p>
    <w:p w14:paraId="52EA0CC8" w14:textId="61714FD0">
      <w:pPr>
        <w:pStyle w:val="P68B1DB1-Normal7"/>
        <w:spacing w:after="0" w:line="240" w:lineRule="auto"/>
        <w:ind w:left="567"/>
        <w:jc w:val="right"/>
      </w:pPr>
      <w:r>
        <w:t>(</w:t>
      </w:r>
      <w:hyperlink r:id="rId11" w:history="1">
        <w:r>
          <w:rPr>
            <w:rStyle w:val="Hyperlink"/>
            <w:color w:val="0000FF"/>
          </w:rPr>
          <w:t xml:space="preserve">Spriedums, 2016. gada 2. februāris</w:t>
        </w:r>
      </w:hyperlink>
      <w:r>
        <w:t xml:space="preserve">, </w:t>
      </w:r>
      <w:r>
        <w:rPr>
          <w:i/>
        </w:rPr>
        <w:t>Ince</w:t>
      </w:r>
      <w:r>
        <w:t xml:space="preserve">, C-336/14, EU:C:2016:72, 70. punkts)</w:t>
      </w:r>
    </w:p>
    <w:p w14:paraId="39D1F0E4" w14:textId="77777777">
      <w:pPr>
        <w:pStyle w:val="BodyText"/>
        <w:jc w:val="left"/>
      </w:pPr>
    </w:p>
    <w:p w14:paraId="38CAE174" w14:textId="44091B45">
      <w:pPr>
        <w:pStyle w:val="P68B1DB1-Heading24"/>
        <w:numPr>
          <w:ilvl w:val="0"/>
          <w:numId w:val="35"/>
        </w:numPr>
        <w:spacing w:before="0" w:after="0"/>
        <w:jc w:val="center"/>
        <w:rPr>
          <w:bCs/>
          <w:color w:val="auto"/>
        </w:rPr>
      </w:pPr>
      <w:bookmarkStart w:id="6" w:name="_Ref194479747"/>
      <w:bookmarkStart w:id="7" w:name="_Ref196314191"/>
      <w:bookmarkStart w:id="8" w:name="_Toc198043783"/>
      <w:bookmarkStart w:id="9" w:name="_Toc198044081"/>
      <w:bookmarkStart w:id="10" w:name="_Toc203035666"/>
      <w:r>
        <w:t xml:space="preserve">Kopīgie kritēriji tehniskajiem </w:t>
      </w:r>
      <w:bookmarkEnd w:id="6"/>
      <w:r>
        <w:t>noteikumiem</w:t>
      </w:r>
      <w:bookmarkEnd w:id="7"/>
      <w:bookmarkEnd w:id="8"/>
      <w:bookmarkEnd w:id="9"/>
      <w:bookmarkEnd w:id="10"/>
    </w:p>
    <w:p w14:paraId="5A37DF5A" w14:textId="77777777">
      <w:pPr>
        <w:pStyle w:val="BodyText"/>
      </w:pPr>
    </w:p>
    <w:p w14:paraId="2C807316" w14:textId="77777777">
      <w:pPr>
        <w:pStyle w:val="P68B1DB1-BodyText11"/>
        <w:ind w:left="567"/>
        <w:rPr>
          <w:iCs/>
        </w:rPr>
      </w:pPr>
      <w:r>
        <w:t xml:space="preserve">““Tehniskie noteikumi” ir tehniskas specifikācijas un citas prasības vai noteikumi par pakalpojumiem, ieskaitot attiecīgus administratīvus noteikumus, kuru ievērošana ir obligāta, de jure vai de facto, tirdzniecības, pakalpojumu sniegšanas, pakalpojumu sniedzēja uzņēmējdarbības veikšanas vai izmantošanas gadījumā kādā dalībvalstī vai lielā tās daļā, kā arī dalībvalstu normatīvie un administratīvie akti, izņemot 7. pantā paredzētos, kas aizliedz preces ražošanu, importu, tirdzniecību vai izmantošanu vai kas aizliedz pakalpojuma sniegšanu vai izmantošanu, vai uzņēmējdarbību kā pakalpojumu sniedzējam.”</w:t>
      </w:r>
    </w:p>
    <w:p w14:paraId="56CBE257" w14:textId="77777777">
      <w:pPr>
        <w:pStyle w:val="BodyText"/>
      </w:pPr>
    </w:p>
    <w:p w14:paraId="66B70B28" w14:textId="1278CE54">
      <w:pPr>
        <w:pStyle w:val="P68B1DB1-Normal7"/>
        <w:spacing w:after="0" w:line="240" w:lineRule="auto"/>
        <w:jc w:val="right"/>
      </w:pPr>
      <w:r>
        <w:t xml:space="preserve">(Direktīvas (ES) 2015/1535 1. panta 1. punkta f) apakšpunkta pirmais teikums)</w:t>
      </w:r>
    </w:p>
    <w:p w14:paraId="4D7A236C" w14:textId="77777777">
      <w:pPr>
        <w:spacing w:after="0" w:line="240" w:lineRule="auto"/>
        <w:rPr>
          <w:sz w:val="24"/>
          <w:szCs w:val="24"/>
        </w:rPr>
      </w:pPr>
    </w:p>
    <w:p w14:paraId="61ADC4B8" w14:textId="2F4C951B">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2" w:history="1">
        <w:r>
          <w:rPr>
            <w:rStyle w:val="Hyperlink"/>
            <w:rFonts w:ascii="Times New Roman" w:hAnsi="Times New Roman" w:cs="Times New Roman" w:eastAsia="Times New Roman"/>
            <w:b/>
            <w:i/>
            <w:color w:val="0000FF"/>
            <w:szCs w:val="20"/>
          </w:rPr>
          <w:t xml:space="preserve">Spriedums, 1996. gada 30. aprīlis</w:t>
        </w:r>
      </w:hyperlink>
      <w:r>
        <w:rPr>
          <w:rFonts w:ascii="Times New Roman" w:hAnsi="Times New Roman" w:cs="Times New Roman" w:eastAsia="Times New Roman"/>
          <w:b/>
          <w:i/>
          <w:szCs w:val="20"/>
        </w:rPr>
        <w:t xml:space="preserve">, CIA Security International SA, C-194/94, EU:C:1996:172, 29. punkts.</w:t>
      </w:r>
      <w:bookmarkEnd w:id="11"/>
    </w:p>
    <w:p w14:paraId="6260A28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0490804" w14:textId="77777777">
      <w:pPr>
        <w:pStyle w:val="P68B1DB1-P68B1DB1-Normal135"/>
        <w:widowControl w:val="0"/>
        <w:tabs>
          <w:tab w:val="left" w:pos="393"/>
        </w:tabs>
        <w:autoSpaceDE w:val="0"/>
        <w:autoSpaceDN w:val="0"/>
        <w:spacing w:after="0" w:line="240" w:lineRule="auto"/>
        <w:jc w:val="both"/>
        <w:rPr>
          <w:b w:val="0"/>
          <w:bCs/>
          <w:i w:val="0"/>
          <w:iCs/>
        </w:rPr>
      </w:pPr>
      <w:r>
        <w:t xml:space="preserve">Noteikumu var kvalificēt kā “tehnisku noteikumu” tikai tad, ja tam ir savas tiesiskās sekas. Tas neattiecas uz pamatlikumu, kas privātpersonām nerada tiesiskas sekas.</w:t>
      </w:r>
    </w:p>
    <w:p w14:paraId="7CC5408A" w14:textId="77777777">
      <w:pPr>
        <w:widowControl w:val="0"/>
        <w:tabs>
          <w:tab w:val="left" w:pos="393"/>
        </w:tabs>
        <w:autoSpaceDE w:val="0"/>
        <w:autoSpaceDN w:val="0"/>
        <w:spacing w:after="0" w:line="240" w:lineRule="auto"/>
        <w:jc w:val="both"/>
        <w:rPr>
          <w:rFonts w:ascii="Times New Roman" w:hAnsi="Times New Roman" w:cs="Times New Roman" w:eastAsia="Times New Roman"/>
          <w:sz w:val="20"/>
          <w:szCs w:val="20"/>
        </w:rPr>
      </w:pPr>
    </w:p>
    <w:p w14:paraId="3649EC17" w14:textId="62FD7542">
      <w:pPr>
        <w:pStyle w:val="P68B1DB1-P68B1DB1-Normal146"/>
        <w:widowControl w:val="0"/>
        <w:tabs>
          <w:tab w:val="left" w:pos="393"/>
        </w:tabs>
        <w:autoSpaceDE w:val="0"/>
        <w:autoSpaceDN w:val="0"/>
        <w:spacing w:after="0" w:line="240" w:lineRule="auto"/>
        <w:ind w:left="567"/>
        <w:jc w:val="both"/>
        <w:rPr>
          <w:i/>
          <w:iCs/>
          <w:sz w:val="20"/>
        </w:rPr>
      </w:pPr>
      <w:r>
        <w:t xml:space="preserve">“29. Šajā sakarā ir jānorāda, ka noteikumu var uzskatīt par tehnisku noteikumu Direktīvas 83/189/EEK nozīmē tad, ja tam ir atbilstošas tiesiskās sekas. Ja saskaņā ar valsts tiesībām šis noteikums ir tikai pamats, lai ļautu pieņemt administratīvus noteikumus, kuros ir ietverti noteikumi, kas ir saistoši ieinteresētajām personām, un tādējādi tas pats par sevi nerada tiesiskas sekas attiecībā uz privātpersonām, šis noteikums nav uzskatāms par tehnisku noteikumu šīs direktīvas izpratnē (skat. 1994. gada 1. marta spriedumu lietā C-317/92 Komisija/Vācija, Recueil, 1.-2039. lpp., 26. punkts). Šajā ziņā ir jāatgādina, ka saskaņā ar Direktīvas 83/189 8. panta 1. punkta pirmo daļu dalībvalstīm vienlaikus ar tehnisko noteikumu projektu ir jāpaziņo pilnvarojuma instruments, uz kura pamata tas tika pieņemts, ja šāda teksta pārzināšana ir nepieciešama, lai novērtētu tehnisko noteikumu projekta ietekmi.”</w:t>
      </w:r>
    </w:p>
    <w:p w14:paraId="4CF2EEDE" w14:textId="77777777">
      <w:pPr>
        <w:spacing w:after="0" w:line="240" w:lineRule="auto"/>
      </w:pPr>
    </w:p>
    <w:p w14:paraId="1EC2A38D" w14:textId="4709776B">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3" w:history="1">
        <w:r>
          <w:rPr>
            <w:rStyle w:val="Hyperlink"/>
            <w:rFonts w:ascii="Times New Roman" w:hAnsi="Times New Roman" w:cs="Times New Roman" w:eastAsia="Times New Roman"/>
            <w:b/>
            <w:i/>
            <w:color w:val="0000FF"/>
            <w:szCs w:val="20"/>
          </w:rPr>
          <w:t xml:space="preserve">Spriedums, 1997. gada 20. marts</w:t>
        </w:r>
      </w:hyperlink>
      <w:r>
        <w:rPr>
          <w:rFonts w:ascii="Times New Roman" w:hAnsi="Times New Roman" w:cs="Times New Roman" w:eastAsia="Times New Roman"/>
          <w:b/>
          <w:i/>
          <w:szCs w:val="20"/>
        </w:rPr>
        <w:t xml:space="preserve">, Bic Benelux, C-13/96, EU:C:1997:173, 19. un 20. punkts.</w:t>
      </w:r>
      <w:bookmarkEnd w:id="12"/>
    </w:p>
    <w:p w14:paraId="2C091717" w14:textId="77777777">
      <w:pPr>
        <w:widowControl w:val="0"/>
        <w:tabs>
          <w:tab w:val="left" w:pos="396"/>
          <w:tab w:val="left" w:pos="400"/>
        </w:tabs>
        <w:autoSpaceDE w:val="0"/>
        <w:autoSpaceDN w:val="0"/>
        <w:spacing w:after="0" w:line="240" w:lineRule="auto"/>
        <w:jc w:val="both"/>
        <w:rPr>
          <w:rFonts w:ascii="Times New Roman" w:hAnsi="Times New Roman" w:cs="Times New Roman" w:eastAsia="Times New Roman"/>
          <w:szCs w:val="20"/>
        </w:rPr>
      </w:pPr>
    </w:p>
    <w:p w14:paraId="73C7900A" w14:textId="3F5D68F7">
      <w:pPr>
        <w:pStyle w:val="P68B1DB1-P68B1DB1-Normal135"/>
        <w:widowControl w:val="0"/>
        <w:tabs>
          <w:tab w:val="left" w:pos="396"/>
          <w:tab w:val="left" w:pos="400"/>
        </w:tabs>
        <w:autoSpaceDE w:val="0"/>
        <w:autoSpaceDN w:val="0"/>
        <w:spacing w:after="0" w:line="240" w:lineRule="auto"/>
        <w:jc w:val="both"/>
        <w:rPr>
          <w:b w:val="0"/>
          <w:bCs/>
          <w:i w:val="0"/>
          <w:iCs/>
        </w:rPr>
      </w:pPr>
      <w:r>
        <w:t xml:space="preserve">Valsts pasākuma pieņemšanas iemesliem nav nozīmes, kvalificējot šo pasākumu par “tehniskiem noteikumiem”. Direktīvas mērķis, veicot preventīvu kontroli, ir aizsargāt preču brīvu apriti, kas ir viens no Kopienas pamatiem.</w:t>
      </w:r>
    </w:p>
    <w:p w14:paraId="49EDC2CC" w14:textId="77777777">
      <w:pPr>
        <w:widowControl w:val="0"/>
        <w:autoSpaceDE w:val="0"/>
        <w:autoSpaceDN w:val="0"/>
        <w:spacing w:after="0" w:line="240" w:lineRule="auto"/>
        <w:jc w:val="both"/>
        <w:rPr>
          <w:rFonts w:ascii="Times New Roman" w:hAnsi="Times New Roman" w:cs="Times New Roman" w:eastAsia="Times New Roman"/>
          <w:szCs w:val="20"/>
        </w:rPr>
      </w:pPr>
    </w:p>
    <w:p w14:paraId="4156ECFE" w14:textId="7DEAF419">
      <w:pPr>
        <w:pStyle w:val="P68B1DB1-P68B1DB1-Normal146"/>
        <w:widowControl w:val="0"/>
        <w:autoSpaceDE w:val="0"/>
        <w:autoSpaceDN w:val="0"/>
        <w:spacing w:after="0" w:line="240" w:lineRule="auto"/>
        <w:ind w:left="510"/>
        <w:jc w:val="both"/>
        <w:rPr>
          <w:i/>
          <w:iCs/>
          <w:sz w:val="20"/>
        </w:rPr>
      </w:pPr>
      <w:r>
        <w:t xml:space="preserve">“19. [..] Direktīvā 83/189 nav pamata interpretācijai, kas ierobežotu tās piemērošanu, attiecinot to tikai uz valsts pasākumiem, kurus var saskaņot, tikai pamatojoties uz Līguma 100.a pantu. Šīs direktīvas mērķis, veicot preventīvu uzraudzību, ir aizsargāt preču brīvu apriti, kas ir viens no Kopienas pamatiem. Šāda kontrole ir nepieciešama, jo tehniskie noteikumi, uz kuriem attiecas direktīva, var tieši vai netieši, faktiski vai potenciāli kavēt Kopienas iekšējo preču tirdzniecību. Šādi šķēršļi var rasties, pieņemot valsts tehniskos noteikumus, pat ja šie noteikumi nedublē izcelsmes dalībvalstī piestiprinātos marķējumus un neatkarīgi no to pieņemšanas pamatojuma. </w:t>
      </w:r>
    </w:p>
    <w:p w14:paraId="3ECEA0CB" w14:textId="77777777">
      <w:pPr>
        <w:pStyle w:val="P68B1DB1-Normal14"/>
        <w:widowControl w:val="0"/>
        <w:autoSpaceDE w:val="0"/>
        <w:autoSpaceDN w:val="0"/>
        <w:spacing w:after="0" w:line="240" w:lineRule="auto"/>
        <w:ind w:left="510"/>
        <w:jc w:val="both"/>
        <w:rPr>
          <w:i/>
          <w:iCs/>
          <w:sz w:val="20"/>
        </w:rPr>
      </w:pPr>
    </w:p>
    <w:p w14:paraId="17FB6164" w14:textId="39A34C5B">
      <w:pPr>
        <w:pStyle w:val="P68B1DB1-P68B1DB1-Normal146"/>
        <w:widowControl w:val="0"/>
        <w:autoSpaceDE w:val="0"/>
        <w:autoSpaceDN w:val="0"/>
        <w:spacing w:after="0" w:line="240" w:lineRule="auto"/>
        <w:ind w:left="510"/>
        <w:jc w:val="both"/>
        <w:rPr>
          <w:i/>
          <w:iCs/>
          <w:sz w:val="20"/>
        </w:rPr>
      </w:pPr>
      <w:r>
        <w:t xml:space="preserve">20. Līdz ar to tas, ka valsts pasākums ir pieņemts, lai aizsargātu vidi, vai ka ar to netiek īstenots tehniskais standarts, kas pats par sevi var būt šķērslis brīvai apritei, nenozīmē, ka attiecīgais pasākums nevar būt tehnisks noteikums Direktīvas 83/189 izpratnē.”</w:t>
      </w:r>
    </w:p>
    <w:p w14:paraId="21D40469" w14:textId="77777777">
      <w:pPr>
        <w:spacing w:after="0" w:line="240" w:lineRule="auto"/>
      </w:pPr>
    </w:p>
    <w:p w14:paraId="5DB9E3C5" w14:textId="38D65933">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4" w:history="1">
        <w:r>
          <w:rPr>
            <w:rStyle w:val="Hyperlink"/>
            <w:rFonts w:ascii="Times New Roman" w:hAnsi="Times New Roman" w:cs="Times New Roman" w:eastAsia="Times New Roman"/>
            <w:b/>
            <w:i/>
            <w:color w:val="0000FF"/>
            <w:szCs w:val="20"/>
          </w:rPr>
          <w:t xml:space="preserve">Spriedums, 2000. gada 16. novembris,</w:t>
        </w:r>
      </w:hyperlink>
      <w:r>
        <w:rPr>
          <w:rFonts w:ascii="Times New Roman" w:hAnsi="Times New Roman" w:cs="Times New Roman" w:eastAsia="Times New Roman"/>
          <w:b/>
          <w:i/>
          <w:szCs w:val="20"/>
        </w:rPr>
        <w:t xml:space="preserve"> Donkersteeg, C-37/99, EU:C:2000:636, 30.–34. punkts.</w:t>
      </w:r>
      <w:bookmarkEnd w:id="13"/>
    </w:p>
    <w:p w14:paraId="3F63DC2D" w14:textId="77777777">
      <w:pPr>
        <w:widowControl w:val="0"/>
        <w:autoSpaceDE w:val="0"/>
        <w:autoSpaceDN w:val="0"/>
        <w:spacing w:after="0" w:line="240" w:lineRule="auto"/>
        <w:jc w:val="both"/>
        <w:rPr>
          <w:rFonts w:ascii="Times New Roman" w:hAnsi="Times New Roman" w:cs="Times New Roman" w:eastAsia="Times New Roman"/>
          <w:szCs w:val="20"/>
        </w:rPr>
      </w:pPr>
    </w:p>
    <w:p w14:paraId="75027B7E" w14:textId="22C0CBFC">
      <w:pPr>
        <w:pStyle w:val="P68B1DB1-P68B1DB1-Normal135"/>
        <w:widowControl w:val="0"/>
        <w:autoSpaceDE w:val="0"/>
        <w:autoSpaceDN w:val="0"/>
        <w:spacing w:after="0" w:line="240" w:lineRule="auto"/>
        <w:jc w:val="both"/>
        <w:rPr>
          <w:b w:val="0"/>
          <w:bCs/>
          <w:i w:val="0"/>
          <w:iCs/>
        </w:rPr>
      </w:pPr>
      <w:r>
        <w:t xml:space="preserve">Sīki izstrādāti noteikumi par dzīvnieku vakcināciju ir “tehniskā specifikācija”. Tomēr tie būs “tehniski noteikumi”, par kuriem jāpaziņo, tikai tad, ja to ievērošana ir obligāta de jure vai de facto. Tā tas nav gadījumā, ja tiesību normas pārkāpuma gadījumā netiek noteikti nekādi ierobežojumi attiecīgo produktu laišanai tirgū vai izmantošanai.</w:t>
      </w:r>
    </w:p>
    <w:p w14:paraId="7B48861C" w14:textId="77777777">
      <w:pPr>
        <w:widowControl w:val="0"/>
        <w:autoSpaceDE w:val="0"/>
        <w:autoSpaceDN w:val="0"/>
        <w:spacing w:after="0" w:line="240" w:lineRule="auto"/>
        <w:jc w:val="both"/>
        <w:rPr>
          <w:rFonts w:ascii="Times New Roman" w:hAnsi="Times New Roman" w:cs="Times New Roman" w:eastAsia="Times New Roman"/>
          <w:szCs w:val="20"/>
        </w:rPr>
      </w:pPr>
    </w:p>
    <w:p w14:paraId="284DCB65" w14:textId="72CEBC4F">
      <w:pPr>
        <w:pStyle w:val="P68B1DB1-P68B1DB1-Normal146"/>
        <w:widowControl w:val="0"/>
        <w:autoSpaceDE w:val="0"/>
        <w:autoSpaceDN w:val="0"/>
        <w:spacing w:after="0"/>
        <w:ind w:left="567"/>
        <w:jc w:val="both"/>
        <w:rPr>
          <w:i/>
          <w:iCs/>
          <w:sz w:val="20"/>
        </w:rPr>
      </w:pPr>
      <w:r>
        <w:t xml:space="preserve">“30. [...] saskaņā ar direktīvas 1. panta 1. punktu attiecībā uz lauksaimniecības produktiem “tehniskā specifikācija” ir tāda, kas ietverta dokumentā, kurā noteiktas produkta vai tā ražošanas metožu un procedūru nepieciešamās īpašības.</w:t>
      </w:r>
    </w:p>
    <w:p w14:paraId="4B80B8D5" w14:textId="77777777">
      <w:pPr>
        <w:pStyle w:val="P68B1DB1-Normal14"/>
        <w:widowControl w:val="0"/>
        <w:autoSpaceDE w:val="0"/>
        <w:autoSpaceDN w:val="0"/>
        <w:spacing w:after="0"/>
        <w:ind w:left="567"/>
        <w:jc w:val="both"/>
        <w:rPr>
          <w:i/>
          <w:iCs/>
          <w:sz w:val="20"/>
        </w:rPr>
      </w:pPr>
    </w:p>
    <w:p w14:paraId="243FA6BC" w14:textId="77777777">
      <w:pPr>
        <w:pStyle w:val="P68B1DB1-P68B1DB1-Normal146"/>
        <w:widowControl w:val="0"/>
        <w:autoSpaceDE w:val="0"/>
        <w:autoSpaceDN w:val="0"/>
        <w:spacing w:after="0"/>
        <w:ind w:left="567"/>
        <w:jc w:val="both"/>
        <w:rPr>
          <w:i/>
          <w:iCs/>
          <w:sz w:val="20"/>
        </w:rPr>
      </w:pPr>
      <w:r>
        <w:t xml:space="preserve">31. Tāds noteikums, kāds ir ietverts VBZA 2. panta 1. punktā, ir tehniska specifikācija šīs direktīvas 1. panta 1. punkta izpratnē. Kā pamatoti apgalvo Komisija, tā kā precīzi un detalizēti noteikumi par vakcināciju pret Aujeski slimību ir saistīti ar attiecīgā lauksaimniecības produkta ražošanu šaurā nozīmē un ir jāievēro visā ražošanas ciklā, šis noteikums tādējādi definē “procedūru” šī produkta ražošanā.</w:t>
      </w:r>
    </w:p>
    <w:p w14:paraId="38EC4E98" w14:textId="77777777">
      <w:pPr>
        <w:pStyle w:val="P68B1DB1-Normal14"/>
        <w:widowControl w:val="0"/>
        <w:autoSpaceDE w:val="0"/>
        <w:autoSpaceDN w:val="0"/>
        <w:spacing w:after="0"/>
        <w:ind w:left="567"/>
        <w:jc w:val="both"/>
        <w:rPr>
          <w:i/>
          <w:iCs/>
          <w:sz w:val="20"/>
        </w:rPr>
      </w:pPr>
    </w:p>
    <w:p w14:paraId="5C8FDDF5" w14:textId="77777777">
      <w:pPr>
        <w:pStyle w:val="P68B1DB1-P68B1DB1-Normal146"/>
        <w:widowControl w:val="0"/>
        <w:autoSpaceDE w:val="0"/>
        <w:autoSpaceDN w:val="0"/>
        <w:spacing w:after="0"/>
        <w:ind w:left="567"/>
        <w:jc w:val="both"/>
        <w:rPr>
          <w:i/>
          <w:iCs/>
          <w:sz w:val="20"/>
        </w:rPr>
      </w:pPr>
      <w:r>
        <w:t xml:space="preserve">32. Tomēr, lai pamatlietā aplūkoto noteikumu varētu kvalificēt kā tehnisku noteikumu direktīvas izpratnē, tam saskaņā ar šīs direktīvas 1. panta 5. punktu ir jāietver tehniskās specifikācijas, “kuru ievērošana ir obligāta, de jure vai de facto, ja tirdzniecība vai izmantošana notiek dalībvalstī vai lielā tās daļā, izņemot pašvaldības noteiktās.</w:t>
      </w:r>
    </w:p>
    <w:p w14:paraId="1642D773" w14:textId="77777777">
      <w:pPr>
        <w:pStyle w:val="P68B1DB1-Normal14"/>
        <w:widowControl w:val="0"/>
        <w:autoSpaceDE w:val="0"/>
        <w:autoSpaceDN w:val="0"/>
        <w:spacing w:after="0"/>
        <w:ind w:left="567"/>
        <w:jc w:val="both"/>
        <w:rPr>
          <w:i/>
          <w:iCs/>
          <w:sz w:val="20"/>
        </w:rPr>
      </w:pPr>
    </w:p>
    <w:p w14:paraId="1D500948" w14:textId="77777777">
      <w:pPr>
        <w:pStyle w:val="P68B1DB1-P68B1DB1-Normal146"/>
        <w:widowControl w:val="0"/>
        <w:autoSpaceDE w:val="0"/>
        <w:autoSpaceDN w:val="0"/>
        <w:spacing w:after="0"/>
        <w:ind w:left="567"/>
        <w:jc w:val="both"/>
        <w:rPr>
          <w:i/>
          <w:iCs/>
          <w:sz w:val="20"/>
        </w:rPr>
      </w:pPr>
      <w:r>
        <w:t xml:space="preserve">33. Ir jānorāda, kā to ir darījusi Nīderlandes valdība, ka VBZA 2. panta 1. punktā ietvertais noteikums neparedz nekādus ierobežojumus ne attiecīgo produktu laišanai tirgū, ne izmantošanai, ja, pārkāpjot šo noteikumu, cūkas nav vakcinētas pret Aujeski slimību.</w:t>
      </w:r>
    </w:p>
    <w:p w14:paraId="2280D2F8" w14:textId="77777777">
      <w:pPr>
        <w:pStyle w:val="P68B1DB1-Normal14"/>
        <w:widowControl w:val="0"/>
        <w:autoSpaceDE w:val="0"/>
        <w:autoSpaceDN w:val="0"/>
        <w:spacing w:after="0"/>
        <w:ind w:left="567"/>
        <w:jc w:val="both"/>
        <w:rPr>
          <w:i/>
          <w:iCs/>
          <w:sz w:val="20"/>
        </w:rPr>
      </w:pPr>
    </w:p>
    <w:p w14:paraId="432A3655" w14:textId="77777777">
      <w:pPr>
        <w:pStyle w:val="P68B1DB1-P68B1DB1-Normal146"/>
        <w:widowControl w:val="0"/>
        <w:autoSpaceDE w:val="0"/>
        <w:autoSpaceDN w:val="0"/>
        <w:spacing w:after="0"/>
        <w:ind w:left="567"/>
        <w:jc w:val="both"/>
        <w:rPr>
          <w:i/>
          <w:iCs/>
          <w:sz w:val="20"/>
        </w:rPr>
      </w:pPr>
      <w:r>
        <w:t xml:space="preserve">34. Līdz ar to uz otro jautājumu ir jāatbild, ka tāds noteikums kā pamata lietā, kas paredz, ka katram lauksaimniekam savā saimniecībā jāvakcinē cūkas pret Aujeski slimību, šīs direktīvas izpratnē nav tehniskie noteikumi, par kuriem būtu bijis jāpaziņo Komisijai pirms to pieņemšanas.”</w:t>
      </w:r>
    </w:p>
    <w:p w14:paraId="4573243C" w14:textId="77777777">
      <w:pPr>
        <w:spacing w:after="0" w:line="240" w:lineRule="auto"/>
      </w:pPr>
    </w:p>
    <w:p w14:paraId="6D41E4F7" w14:textId="2DFA6AAE">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5" w:history="1">
        <w:r>
          <w:rPr>
            <w:rStyle w:val="Hyperlink"/>
            <w:rFonts w:ascii="Times New Roman" w:hAnsi="Times New Roman" w:cs="Times New Roman" w:eastAsia="Times New Roman"/>
            <w:b/>
            <w:i/>
            <w:color w:val="0000FF"/>
            <w:szCs w:val="20"/>
          </w:rPr>
          <w:t xml:space="preserve">Spriedums, 2020. gada 3. decembris</w:t>
        </w:r>
      </w:hyperlink>
      <w:r>
        <w:rPr>
          <w:rFonts w:ascii="Times New Roman" w:hAnsi="Times New Roman" w:cs="Times New Roman" w:eastAsia="Times New Roman"/>
          <w:b/>
          <w:i/>
          <w:szCs w:val="20"/>
        </w:rPr>
        <w:t xml:space="preserve">, Star Taxi App, C-62/19, EU:C:2020:980, 60. un 61. punkts.</w:t>
      </w:r>
      <w:bookmarkEnd w:id="14"/>
    </w:p>
    <w:p w14:paraId="13F9C96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0B016A8" w14:textId="595E56D7">
      <w:pPr>
        <w:pStyle w:val="P68B1DB1-P68B1DB1-Normal135"/>
        <w:widowControl w:val="0"/>
        <w:autoSpaceDE w:val="0"/>
        <w:autoSpaceDN w:val="0"/>
        <w:spacing w:after="0" w:line="240" w:lineRule="auto"/>
        <w:jc w:val="both"/>
        <w:rPr>
          <w:b w:val="0"/>
          <w:bCs/>
          <w:i w:val="0"/>
          <w:iCs/>
        </w:rPr>
      </w:pPr>
      <w:r>
        <w:t xml:space="preserve">Lai valsts pasākumu varētu kvalificēt par “tehnisku noteikumu”, tam ir jābūt de jure vai de facto saistošam attiecībā uz attiecīgā pakalpojuma sniegšanu vai izmantošanu dalībvalstī vai lielā tās daļā.</w:t>
      </w:r>
    </w:p>
    <w:p w14:paraId="2E622B9C" w14:textId="77777777">
      <w:pPr>
        <w:widowControl w:val="0"/>
        <w:autoSpaceDE w:val="0"/>
        <w:autoSpaceDN w:val="0"/>
        <w:spacing w:after="0" w:line="240" w:lineRule="auto"/>
        <w:jc w:val="both"/>
        <w:rPr>
          <w:rFonts w:ascii="Times New Roman" w:hAnsi="Times New Roman" w:cs="Times New Roman" w:eastAsia="Times New Roman"/>
          <w:szCs w:val="20"/>
        </w:rPr>
      </w:pPr>
    </w:p>
    <w:p w14:paraId="072FCDD3" w14:textId="5A28BFDE">
      <w:pPr>
        <w:pStyle w:val="P68B1DB1-Normal15"/>
        <w:widowControl w:val="0"/>
        <w:autoSpaceDE w:val="0"/>
        <w:autoSpaceDN w:val="0"/>
        <w:spacing w:after="0" w:line="240" w:lineRule="auto"/>
        <w:ind w:left="567"/>
        <w:jc w:val="both"/>
        <w:rPr>
          <w:i w:val="0"/>
          <w:iCs/>
        </w:rPr>
      </w:pPr>
      <w:r>
        <w:t xml:space="preserve">“60. [..] no Direktīvas 2015/1535 1. panta 1. punkta f) apakšpunkta pirmās daļas izriet, ka “tehniskie noteikumi” ir “tehniskas specifikācijas un citas prasības vai noteikumi par pakalpojumiem, tostarp attiecīgi administratīvie noteikumi, kuru ievērošana ir obligāta, de jure vai de facto, tirdzniecības, pakalpojumu sniegšanas, pakalpojumu sniedzēja uzņēmējdarbības veikšanas vai izmantošanas gadījumā kādā dalībvalstī vai lielā tās daļā, kā arī dalībvalstu normatīvie un administratīvie akti, izņemot 7. pantā paredzētos, kas aizliedz preces ražošanu, importu, tirdzniecību vai izmantošanu vai aizliedz pakalpojuma sniegšanu vai izmantošanu, vai uzņēmumu kā pakalpojumu sniedzēju”.</w:t>
      </w:r>
    </w:p>
    <w:p w14:paraId="4FF7DC70" w14:textId="77777777">
      <w:pPr>
        <w:pStyle w:val="P68B1DB1-Normal15"/>
        <w:widowControl w:val="0"/>
        <w:autoSpaceDE w:val="0"/>
        <w:autoSpaceDN w:val="0"/>
        <w:spacing w:after="0" w:line="240" w:lineRule="auto"/>
        <w:ind w:left="567"/>
        <w:jc w:val="both"/>
        <w:rPr>
          <w:i w:val="0"/>
          <w:iCs/>
        </w:rPr>
      </w:pPr>
    </w:p>
    <w:p w14:paraId="4482F387" w14:textId="50B8F03F">
      <w:pPr>
        <w:pStyle w:val="P68B1DB1-Normal15"/>
        <w:widowControl w:val="0"/>
        <w:autoSpaceDE w:val="0"/>
        <w:autoSpaceDN w:val="0"/>
        <w:spacing w:after="0" w:line="240" w:lineRule="auto"/>
        <w:ind w:left="567"/>
        <w:jc w:val="both"/>
        <w:rPr>
          <w:i w:val="0"/>
          <w:iCs/>
        </w:rPr>
      </w:pPr>
      <w:r>
        <w:t xml:space="preserve">61. No tā izriet, ka, lai valsts tiesību aktus, kas ietekmē informācijas sabiedrības pakalpojumu, varētu kvalificēt kā “tehniskus noteikumus”, tie ir ne tikai jākvalificē kā “noteikumi par pakalpojumiem” Direktīvas 2015/1535 1. panta 1. punkta e) apakšpunkta izpratnē, bet tiem ir jābūt arī obligātiem de jure vai de facto tostarp attiecīgā pakalpojuma sniegšanas vai izmantošanas dalībvalstī vai šīs valsts lielākajā daļā gadījumā.”</w:t>
      </w:r>
    </w:p>
    <w:p w14:paraId="6EC55A15" w14:textId="67024D34">
      <w:pPr>
        <w:pStyle w:val="P68B1DB1-Heading24"/>
        <w:numPr>
          <w:ilvl w:val="0"/>
          <w:numId w:val="35"/>
        </w:numPr>
        <w:spacing w:before="0" w:after="0"/>
        <w:jc w:val="center"/>
        <w:rPr>
          <w:bCs/>
          <w:color w:val="auto"/>
        </w:rPr>
      </w:pPr>
      <w:bookmarkStart w:id="15" w:name="_Ref194481248"/>
      <w:bookmarkStart w:id="16" w:name="_Ref196314204"/>
      <w:bookmarkStart w:id="17" w:name="_Toc203035667"/>
      <w:r>
        <w:t>Tehniskās</w:t>
      </w:r>
      <w:bookmarkEnd w:id="15"/>
      <w:r>
        <w:t xml:space="preserve"> specifikācijas</w:t>
      </w:r>
      <w:bookmarkEnd w:id="16"/>
      <w:bookmarkEnd w:id="17"/>
    </w:p>
    <w:p w14:paraId="241DC1E1" w14:textId="77777777">
      <w:pPr>
        <w:pStyle w:val="BodyText"/>
      </w:pPr>
    </w:p>
    <w:p w14:paraId="24A39E18" w14:textId="77777777">
      <w:pPr>
        <w:pStyle w:val="P68B1DB1-BodyText11"/>
        <w:ind w:left="567"/>
      </w:pPr>
      <w:r>
        <w:t xml:space="preserve">““tehniskā specifikācija” ir specifikācija, kas ietverta dokumentā, kurā noteiktas ražojuma nepieciešamās īpašības, piemēram, kvalitātes līmenis, sniegums, drošums vai izmēri, tostarp prasības, kas piemērojamas ražojumam attiecībā uz nosaukumu, ar kuru ražojumu pārdod, terminoloģiju, simboliem, pārbaudēm un pārbaudes metodēm, iepakojumu, marķēšanu vai etiķetēšanu un atbilstības novērtēšanas procedūrām.</w:t>
      </w:r>
    </w:p>
    <w:p w14:paraId="33F4D1E4" w14:textId="77777777">
      <w:pPr>
        <w:pStyle w:val="P68B1DB1-BodyText11"/>
        <w:ind w:left="567"/>
      </w:pPr>
    </w:p>
    <w:p w14:paraId="5224E321" w14:textId="77777777">
      <w:pPr>
        <w:pStyle w:val="P68B1DB1-BodyText11"/>
        <w:ind w:left="567"/>
        <w:rPr>
          <w:iCs/>
        </w:rPr>
      </w:pPr>
      <w:r>
        <w:t xml:space="preserve">Termins “tehniskā specifikācija” attiecas arī uz ražošanas metodēm un procesiem, ko izmanto attiecībā uz lauksaimniecības produktiem, kā minēts Līguma par Eiropas Savienības darbību (LESD) 38. panta 1. punkta otrajā daļā, produktiem, kas paredzēti lietošanai pārtikā un dzīvnieku barībā, un zālēm, kas definētas Eiropas Parlamenta un Padomes Direktīvas 2001/83/EK (1) 1. pantā, kā arī ražošanas metodēm un procesiem, kas saistīti ar citiem produktiem, ja tie ietekmē to īpašības;”</w:t>
      </w:r>
    </w:p>
    <w:p w14:paraId="6C2A57E1" w14:textId="77777777">
      <w:pPr>
        <w:pStyle w:val="BodyText"/>
        <w:ind w:left="567"/>
        <w:rPr>
          <w:i/>
          <w:iCs/>
        </w:rPr>
      </w:pPr>
    </w:p>
    <w:p w14:paraId="2F7A4C59" w14:textId="62E0EC95">
      <w:pPr>
        <w:pStyle w:val="BodyText"/>
        <w:ind w:left="1440"/>
        <w:jc w:val="right"/>
      </w:pPr>
      <w:r>
        <w:t xml:space="preserve">(Direktīvas (ES) 2015/1535 1. panta 1. punkta c) apakšpunkts)</w:t>
      </w:r>
    </w:p>
    <w:p w14:paraId="01CFC4AF" w14:textId="77777777">
      <w:pPr>
        <w:spacing w:after="0" w:line="240" w:lineRule="auto"/>
      </w:pPr>
    </w:p>
    <w:p w14:paraId="1AB91297" w14:textId="219B80DD">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6" w:history="1">
        <w:r>
          <w:rPr>
            <w:rStyle w:val="Hyperlink"/>
            <w:rFonts w:ascii="Times New Roman" w:hAnsi="Times New Roman" w:cs="Times New Roman" w:eastAsia="Times New Roman"/>
            <w:b/>
            <w:i/>
            <w:color w:val="0000FF"/>
            <w:szCs w:val="20"/>
          </w:rPr>
          <w:t xml:space="preserve">Spriedums, 1996. gada 11. janvāris</w:t>
        </w:r>
      </w:hyperlink>
      <w:r>
        <w:rPr>
          <w:rFonts w:ascii="Times New Roman" w:hAnsi="Times New Roman" w:cs="Times New Roman" w:eastAsia="Times New Roman"/>
          <w:b/>
          <w:i/>
          <w:szCs w:val="20"/>
        </w:rPr>
        <w:t xml:space="preserve">, Komisija/Nīderlande, C-273/94, EU:C:1996:4, 13. punkts.</w:t>
      </w:r>
      <w:bookmarkEnd w:id="18"/>
    </w:p>
    <w:p w14:paraId="490AFA5B"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45335B30" w14:textId="77777777">
      <w:pPr>
        <w:pStyle w:val="P68B1DB1-P68B1DB1-Normal135"/>
        <w:widowControl w:val="0"/>
        <w:tabs>
          <w:tab w:val="left" w:pos="396"/>
          <w:tab w:val="left" w:pos="405"/>
        </w:tabs>
        <w:autoSpaceDE w:val="0"/>
        <w:autoSpaceDN w:val="0"/>
        <w:spacing w:after="0" w:line="240" w:lineRule="auto"/>
        <w:jc w:val="both"/>
        <w:rPr>
          <w:b w:val="0"/>
          <w:bCs/>
          <w:i w:val="0"/>
          <w:iCs/>
        </w:rPr>
      </w:pPr>
      <w:r>
        <w:t xml:space="preserve">Valsts noteikums, ar ko konkrētam ražojumam ievieš atkāpi no spēkā esošiem tehniskiem noteikumiem, ir “tehnisks noteikums”, ja tas nosaka alternatīvas “tehniskās specifikācijas”, kas jāievēro ikvienai personai, kura vēlas izmantot atkāpi. </w:t>
      </w:r>
    </w:p>
    <w:p w14:paraId="5E3E0A04"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0D132388" w14:textId="17D2E715">
      <w:pPr>
        <w:pStyle w:val="P68B1DB1-P68B1DB1-Normal147"/>
        <w:widowControl w:val="0"/>
        <w:tabs>
          <w:tab w:val="left" w:pos="405"/>
        </w:tabs>
        <w:autoSpaceDE w:val="0"/>
        <w:autoSpaceDN w:val="0"/>
        <w:spacing w:after="0" w:line="240" w:lineRule="auto"/>
        <w:ind w:left="567"/>
        <w:jc w:val="both"/>
        <w:rPr>
          <w:i/>
          <w:iCs/>
          <w:sz w:val="20"/>
          <w:szCs w:val="18"/>
        </w:rPr>
      </w:pPr>
      <w:r>
        <w:t xml:space="preserve">“13. Tāda konkrēta produkta kā margarīns piemērošana, atkāpjoties no citiem tehniskiem noteikumiem, kas jau ir spēkā attiecībā uz to pašu preci, ir tehniskie noteikumi šīs direktīvas 1. panta 5. punkta izpratnē, jo ar tiem tiek noteiktas tehniskās specifikācijas 1. panta 1. punkta izpratnē, kuru ievērošana ir obligāta, de jure vai de facto, kad šī prece tiek tirgota vai izmantota. Ja margarīns netiek ražots atbilstoši Margarīnas dekrēta noteikumiem, to var ražot tikai no aizstājējproduktiem, kas atļauti ar apstrīdēto lēmumu. Ne tikai šo aizstājējproduktu izmantošanu ierobežo apstrīdētajā rīkojumā paredzētie nosacījumi, bet tie ir vienīgās alternatīvas produktiem, kurus var izmantot saskaņā ar Margarīnas dekrētu. Tāpēc apstrīdētais rīkojums bija jāpaziņo saskaņā ar direktīvu.”</w:t>
      </w:r>
    </w:p>
    <w:p w14:paraId="3246D759" w14:textId="77777777">
      <w:pPr>
        <w:spacing w:after="0" w:line="240" w:lineRule="auto"/>
      </w:pPr>
    </w:p>
    <w:bookmarkStart w:id="19" w:name="_Hlk193381440"/>
    <w:p w14:paraId="62C03AFC" w14:textId="2795F956">
      <w:pPr>
        <w:pStyle w:val="P68B1DB1-P68B1DB1-Normal168"/>
        <w:widowControl w:val="0"/>
        <w:autoSpaceDE w:val="0"/>
        <w:autoSpaceDN w:val="0"/>
        <w:spacing w:after="0" w:line="240" w:lineRule="auto"/>
        <w:jc w:val="both"/>
        <w:outlineLvl w:val="1"/>
        <w:rPr>
          <w:b/>
          <w:bCs/>
          <w:i/>
          <w:iCs/>
          <w:sz w:val="22"/>
          <w:szCs w:val="18"/>
          <w:u w:val="single"/>
        </w:rPr>
      </w:pPr>
      <w:r>
        <w:rPr>
          <w:u w:val="single"/>
        </w:rPr>
        <w:fldChar w:fldCharType="begin"/>
      </w:r>
      <w:r>
        <w:rPr>
          <w:b/>
          <w:bCs/>
          <w:i/>
          <w:iCs/>
          <w:sz w:val="22"/>
          <w:szCs w:val="18"/>
          <w:u w:val="single"/>
        </w:rPr>
        <w:instrText>HYPERLINK "https://eur-lex.europa.eu/legal-content/EN/TXT/PDF/?uri=CELEX:61994CJ0194"</w:instrText>
      </w:r>
      <w:r>
        <w:rPr>
          <w:b/>
          <w:bCs/>
          <w:i/>
          <w:iCs/>
          <w:sz w:val="22"/>
          <w:szCs w:val="18"/>
          <w:u w:val="single"/>
        </w:rPr>
      </w:r>
      <w:r>
        <w:rPr>
          <w:b/>
          <w:bCs/>
          <w:i/>
          <w:iCs/>
          <w:sz w:val="22"/>
          <w:szCs w:val="18"/>
          <w:u w:val="single"/>
        </w:rPr>
        <w:fldChar w:fldCharType="separate"/>
      </w:r>
      <w:bookmarkStart w:id="20" w:name="_Toc198043789"/>
      <w:r>
        <w:rPr>
          <w:b/>
          <w:bCs/>
          <w:i/>
          <w:iCs/>
          <w:color w:val="0000FF"/>
          <w:sz w:val="22"/>
          <w:szCs w:val="18"/>
          <w:u w:val="single"/>
        </w:rPr>
        <w:t xml:space="preserve">Spriedums, 1996. gada 30.</w:t>
      </w:r>
      <w:r>
        <w:rPr>
          <w:b/>
          <w:bCs/>
          <w:i/>
          <w:iCs/>
          <w:color w:val="0000FF"/>
          <w:sz w:val="22"/>
          <w:szCs w:val="18"/>
          <w:u w:val="single"/>
        </w:rPr>
        <w:fldChar w:fldCharType="end"/>
        <w:t>aprīlis</w:t>
      </w:r>
      <w:r>
        <w:t xml:space="preserve">, CIA Security International SA, C-194/94, EU:C:1996:172, 30. punkts.</w:t>
      </w:r>
      <w:bookmarkEnd w:id="20"/>
    </w:p>
    <w:p w14:paraId="03A3C498"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CB9B60A" w14:textId="77777777">
      <w:pPr>
        <w:pStyle w:val="P68B1DB1-P68B1DB1-Normal135"/>
        <w:widowControl w:val="0"/>
        <w:tabs>
          <w:tab w:val="left" w:pos="393"/>
        </w:tabs>
        <w:autoSpaceDE w:val="0"/>
        <w:autoSpaceDN w:val="0"/>
        <w:spacing w:after="0" w:line="240" w:lineRule="auto"/>
        <w:jc w:val="both"/>
        <w:rPr>
          <w:b w:val="0"/>
          <w:bCs/>
          <w:i w:val="0"/>
          <w:iCs/>
        </w:rPr>
      </w:pPr>
      <w:r>
        <w:t xml:space="preserve">Noteikums ir jākvalificē kā “tehnisks noteikums”, ja tas paredz, ka attiecīgajiem uzņēmumiem ir jāiesniedz pieteikums par savu iekārtu iepriekšēju apstiprināšanu, pat ja paredzētie administratīvie noteikumi nav pieņemti.</w:t>
      </w:r>
    </w:p>
    <w:p w14:paraId="3B8967AA" w14:textId="77777777">
      <w:pPr>
        <w:widowControl w:val="0"/>
        <w:tabs>
          <w:tab w:val="left" w:pos="393"/>
        </w:tabs>
        <w:autoSpaceDE w:val="0"/>
        <w:autoSpaceDN w:val="0"/>
        <w:spacing w:after="0" w:line="240" w:lineRule="auto"/>
        <w:jc w:val="both"/>
        <w:rPr>
          <w:rFonts w:ascii="Times New Roman" w:hAnsi="Times New Roman" w:cs="Times New Roman" w:eastAsia="Times New Roman"/>
          <w:szCs w:val="20"/>
        </w:rPr>
      </w:pPr>
    </w:p>
    <w:p w14:paraId="215AA9EB" w14:textId="10F7CC33">
      <w:pPr>
        <w:pStyle w:val="P68B1DB1-P68B1DB1-Normal147"/>
        <w:widowControl w:val="0"/>
        <w:tabs>
          <w:tab w:val="left" w:pos="396"/>
        </w:tabs>
        <w:autoSpaceDE w:val="0"/>
        <w:autoSpaceDN w:val="0"/>
        <w:spacing w:after="0" w:line="240" w:lineRule="auto"/>
        <w:ind w:left="567"/>
        <w:jc w:val="both"/>
        <w:rPr>
          <w:i/>
          <w:iCs/>
          <w:sz w:val="20"/>
          <w:szCs w:val="18"/>
        </w:rPr>
      </w:pPr>
      <w:r>
        <w:t>“30</w:t>
      </w:r>
      <w:bookmarkEnd w:id="19"/>
      <w:r>
        <w:t xml:space="preserve">. [..] noteikums ir jākvalificē kā tehniskie noteikumi Direktīvas 83/189 izpratnē, ja, kā tiesas sēdē norādīja Beļģijas valdība, ar to attiecīgajiem uzņēmumiem tiek prasīts lūgt iepriekšēju atļauju to aprīkojumam, pat ja paredzētie administratīvie noteikumi nav pieņemti.”</w:t>
      </w:r>
    </w:p>
    <w:p w14:paraId="2E3568F3" w14:textId="77777777">
      <w:pPr>
        <w:spacing w:after="0" w:line="240" w:lineRule="auto"/>
      </w:pPr>
    </w:p>
    <w:bookmarkStart w:id="21" w:name="_Hlk193380849"/>
    <w:p w14:paraId="5207FE2E" w14:textId="5E0891EF">
      <w:pPr>
        <w:pStyle w:val="P68B1DB1-P68B1DB1-Normal169"/>
        <w:widowControl w:val="0"/>
        <w:autoSpaceDE w:val="0"/>
        <w:autoSpaceDN w:val="0"/>
        <w:spacing w:after="0" w:line="240" w:lineRule="auto"/>
        <w:jc w:val="both"/>
        <w:outlineLvl w:val="1"/>
        <w:rPr>
          <w:b/>
          <w:bCs/>
          <w:i/>
          <w:iCs/>
          <w:sz w:val="24"/>
          <w:szCs w:val="20"/>
        </w:rPr>
      </w:pPr>
      <w:r>
        <w:fldChar w:fldCharType="begin"/>
      </w:r>
      <w:r>
        <w:rPr>
          <w:b/>
          <w:bCs/>
          <w:i/>
          <w:iCs/>
          <w:sz w:val="24"/>
          <w:szCs w:val="20"/>
        </w:rPr>
        <w:instrText>HYPERLINK "https://curia.europa.eu/juris/showPdf.jsf?text=&amp;docid=43725&amp;pageIndex=0&amp;doclang=EN&amp;mode=lst&amp;dir=&amp;occ=first&amp;part=1&amp;cid=10811412"</w:instrText>
      </w:r>
      <w:r>
        <w:rPr>
          <w:b/>
          <w:bCs/>
          <w:i/>
          <w:iCs/>
          <w:sz w:val="24"/>
          <w:szCs w:val="20"/>
        </w:rPr>
      </w:r>
      <w:r>
        <w:rPr>
          <w:b/>
          <w:bCs/>
          <w:i/>
          <w:iCs/>
          <w:sz w:val="24"/>
          <w:szCs w:val="20"/>
        </w:rPr>
        <w:fldChar w:fldCharType="separate"/>
      </w:r>
      <w:bookmarkStart w:id="22" w:name="_Toc198043790"/>
      <w:r>
        <w:rPr>
          <w:b/>
          <w:bCs/>
          <w:i/>
          <w:iCs/>
          <w:color w:val="0000FF"/>
          <w:sz w:val="24"/>
          <w:szCs w:val="20"/>
          <w:u w:val="single"/>
        </w:rPr>
        <w:t xml:space="preserve">Spriedums, 1996. gada 16.</w:t>
      </w:r>
      <w:r>
        <w:rPr>
          <w:b/>
          <w:bCs/>
          <w:i/>
          <w:iCs/>
          <w:color w:val="0000FF"/>
          <w:sz w:val="24"/>
          <w:szCs w:val="20"/>
          <w:u w:val="single"/>
        </w:rPr>
        <w:fldChar w:fldCharType="end"/>
        <w:t xml:space="preserve">septembris, Komisija/Itālija, C-279/94, EU:C:1997:396, 34. punkts.</w:t>
      </w:r>
      <w:bookmarkEnd w:id="22"/>
    </w:p>
    <w:p w14:paraId="17AF04A1" w14:textId="77777777">
      <w:pPr>
        <w:widowControl w:val="0"/>
        <w:tabs>
          <w:tab w:val="left" w:pos="396"/>
          <w:tab w:val="left" w:pos="461"/>
        </w:tabs>
        <w:autoSpaceDE w:val="0"/>
        <w:autoSpaceDN w:val="0"/>
        <w:spacing w:after="0" w:line="240" w:lineRule="auto"/>
        <w:ind w:hanging="142"/>
        <w:jc w:val="both"/>
        <w:rPr>
          <w:rFonts w:ascii="Times New Roman" w:hAnsi="Times New Roman" w:cs="Times New Roman" w:eastAsia="Times New Roman"/>
          <w:szCs w:val="20"/>
        </w:rPr>
      </w:pPr>
    </w:p>
    <w:p w14:paraId="305146C4" w14:textId="48041DD6">
      <w:pPr>
        <w:pStyle w:val="P68B1DB1-P68B1DB1-Normal135"/>
        <w:widowControl w:val="0"/>
        <w:tabs>
          <w:tab w:val="left" w:pos="396"/>
          <w:tab w:val="left" w:pos="461"/>
        </w:tabs>
        <w:autoSpaceDE w:val="0"/>
        <w:autoSpaceDN w:val="0"/>
        <w:spacing w:after="0" w:line="240" w:lineRule="auto"/>
        <w:jc w:val="both"/>
        <w:rPr>
          <w:b w:val="0"/>
          <w:bCs/>
          <w:i w:val="0"/>
          <w:iCs/>
        </w:rPr>
      </w:pPr>
      <w:r>
        <w:t xml:space="preserve">Noteikums, kas nosaka ierobežojumus ieelpojamu azbesta šķiedru koncentrācijai darba vietās, nav “tehniskā specifikācija”, jo tajā nav noteiktas izstrādājumam nepieciešamās īpašības.</w:t>
      </w:r>
    </w:p>
    <w:bookmarkEnd w:id="21"/>
    <w:p w14:paraId="3914A279" w14:textId="77777777">
      <w:pPr>
        <w:widowControl w:val="0"/>
        <w:tabs>
          <w:tab w:val="left" w:pos="396"/>
          <w:tab w:val="left" w:pos="461"/>
        </w:tabs>
        <w:autoSpaceDE w:val="0"/>
        <w:autoSpaceDN w:val="0"/>
        <w:spacing w:after="0" w:line="240" w:lineRule="auto"/>
        <w:jc w:val="both"/>
        <w:rPr>
          <w:rFonts w:ascii="Times New Roman" w:hAnsi="Times New Roman" w:cs="Times New Roman" w:eastAsia="Times New Roman"/>
          <w:i/>
          <w:iCs/>
          <w:sz w:val="20"/>
          <w:szCs w:val="16"/>
        </w:rPr>
      </w:pPr>
    </w:p>
    <w:p w14:paraId="67A9CA8E" w14:textId="0D618384">
      <w:pPr>
        <w:pStyle w:val="P68B1DB1-P68B1DB1-Normal147"/>
        <w:widowControl w:val="0"/>
        <w:tabs>
          <w:tab w:val="left" w:pos="396"/>
          <w:tab w:val="left" w:pos="461"/>
        </w:tabs>
        <w:autoSpaceDE w:val="0"/>
        <w:autoSpaceDN w:val="0"/>
        <w:spacing w:after="0" w:line="240" w:lineRule="auto"/>
        <w:ind w:left="567"/>
        <w:jc w:val="both"/>
        <w:rPr>
          <w:i/>
          <w:iCs/>
          <w:sz w:val="20"/>
          <w:szCs w:val="18"/>
        </w:rPr>
      </w:pPr>
      <w:r>
        <w:t xml:space="preserve">“34. Tomēr saskaņā ar direktīvas 1. panta 5. punktu “tehniskie noteikumi” ir jāsaprot kā “tehniskās specifikācijas, tostarp attiecīgie administratīvie noteikumi, kuru ievērošana ir obligāta, de jure vai de facto, ja tirdzniecība vai izmantošana notiek kādā dalībvalstī”. Saskaņā ar direktīvas 1. panta 1. punktu “tehniskā specifikācija” ir specifikācija, kas ietverta dokumentā, kurā noteiktas produkta nepieciešamās īpašības, piemēram, kvalitātes, veiktspējas un drošības līmenis. Likuma Nr. 257/92 3. panta 1. punktā ir noteikti ierobežojumi ieelpojamu azbesta šķiedru koncentrācijai darba vietās. Tā kā šis noteikums nedefinē preces īpašību, uz to principā neattiecas tehniskās specifikācijas definīcija un līdz ar to to nevar uzskatīt par tehniskiem noteikumiem, par kuriem ir jāpaziņo Komisijai saskaņā ar Direktīvas 8. panta 1. punkta pirmo daļu. Lai gan Likuma Nr. 257/92 3. pantā paredzēto ieelpojamo azbesta šķiedru koncentrācijas robežvērtību ievērošana var ietekmēt attiecīgā produkta īpašības, kā tās ir paredzētas direktīvas 1. panta 1. punktā, Komisija nav pierādījusi, kā tas tā varētu būt.”</w:t>
      </w:r>
    </w:p>
    <w:p w14:paraId="77CC982D" w14:textId="77777777">
      <w:pPr>
        <w:spacing w:after="0" w:line="240" w:lineRule="auto"/>
      </w:pPr>
    </w:p>
    <w:p w14:paraId="7EF6FA71" w14:textId="696433A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17" w:history="1">
        <w:r>
          <w:rPr>
            <w:color w:val="0000FF"/>
            <w:u w:val="single"/>
          </w:rPr>
          <w:t xml:space="preserve">Spriedums, 1996. gada 17. septembris</w:t>
        </w:r>
      </w:hyperlink>
      <w:r>
        <w:t xml:space="preserve">, Komisija/Itālija, C-289/94, EU:C:1996:330, 32. punkts.</w:t>
      </w:r>
      <w:bookmarkEnd w:id="23"/>
    </w:p>
    <w:p w14:paraId="63F2CA3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4459CD7" w14:textId="60F96DFC">
      <w:pPr>
        <w:pStyle w:val="P68B1DB1-P68B1DB1-Normal135"/>
        <w:widowControl w:val="0"/>
        <w:tabs>
          <w:tab w:val="left" w:pos="393"/>
          <w:tab w:val="left" w:pos="396"/>
        </w:tabs>
        <w:autoSpaceDE w:val="0"/>
        <w:autoSpaceDN w:val="0"/>
        <w:spacing w:after="0" w:line="240" w:lineRule="auto"/>
        <w:jc w:val="both"/>
        <w:rPr>
          <w:b w:val="0"/>
          <w:bCs/>
          <w:i w:val="0"/>
          <w:iCs/>
        </w:rPr>
      </w:pPr>
      <w:r>
        <w:t xml:space="preserve">Dekrēts, kas reglamentē gliemju audzēšanai paredzētā ūdens kvalitāti, ir “tehnisks noteikums”, par kuru ir jāpaziņo, jo tas tieši ietekmē attiecīgo produktu tirdzniecību. </w:t>
      </w:r>
    </w:p>
    <w:p w14:paraId="2D9EC8A9" w14:textId="77777777">
      <w:pPr>
        <w:widowControl w:val="0"/>
        <w:tabs>
          <w:tab w:val="left" w:pos="393"/>
          <w:tab w:val="left" w:pos="396"/>
        </w:tabs>
        <w:autoSpaceDE w:val="0"/>
        <w:autoSpaceDN w:val="0"/>
        <w:spacing w:after="0" w:line="240" w:lineRule="auto"/>
        <w:jc w:val="both"/>
        <w:rPr>
          <w:rFonts w:ascii="Times New Roman" w:hAnsi="Times New Roman" w:cs="Times New Roman" w:eastAsia="Times New Roman"/>
          <w:szCs w:val="20"/>
        </w:rPr>
      </w:pPr>
    </w:p>
    <w:p w14:paraId="3F84CC3E" w14:textId="06ABFE08">
      <w:pPr>
        <w:pStyle w:val="P68B1DB1-P68B1DB1-Normal147"/>
        <w:widowControl w:val="0"/>
        <w:tabs>
          <w:tab w:val="left" w:pos="393"/>
          <w:tab w:val="left" w:pos="396"/>
        </w:tabs>
        <w:autoSpaceDE w:val="0"/>
        <w:autoSpaceDN w:val="0"/>
        <w:spacing w:after="0" w:line="240" w:lineRule="auto"/>
        <w:ind w:left="567"/>
        <w:jc w:val="both"/>
        <w:rPr>
          <w:i/>
          <w:iCs/>
          <w:sz w:val="20"/>
          <w:szCs w:val="18"/>
        </w:rPr>
      </w:pPr>
      <w:r>
        <w:t xml:space="preserve">“32.  Lai gan Dekrēts Nr. 256 attiecas uz dažiem ūdens kvalitātes aspektiem, kas paredzēti ēdamiem lamiežiem, tomēr tajā, kā to pamatoti ir norādījusi Komisija, ir noteikta ļoti cieša saikne starp ūdens kvalitāti, ko izmanto šādai audzēšanai, un lamellizarnu mīkstmiešu tirdzniecību, kas paredzēti lietošanai pārtikā. Tādējādi var tirgot tikai tādus mīkstmiešus, kas audzēti ūdeņos, kuri atbilst Dekrētā Nr. 256 noteiktajām tehniskajām specifikācijām. Šo saistošo specifikāciju ievērošanai tādējādi ir tieša ietekme uz gliemju tirdzniecību, līdz ar to Dekrēts Nr. 256 ir jāuzskata par tehniskiem noteikumiem, uz kuriem attiecas paziņošanas pienākums saskaņā ar Direktīvas 83/189 8. pantu.”</w:t>
      </w:r>
    </w:p>
    <w:p w14:paraId="649C3FFC" w14:textId="77777777">
      <w:pPr>
        <w:spacing w:after="0" w:line="240" w:lineRule="auto"/>
      </w:pPr>
    </w:p>
    <w:p w14:paraId="594FA21A" w14:textId="5BFD552E">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18" w:history="1">
        <w:r>
          <w:rPr>
            <w:color w:val="0000FF"/>
            <w:u w:val="single"/>
          </w:rPr>
          <w:t xml:space="preserve">Spriedums, 1999. gada 11. maijs</w:t>
        </w:r>
      </w:hyperlink>
      <w:r>
        <w:t xml:space="preserve">, Albers u. c., no C-425/97 līdz 427/97, EU:C:1999:243, 16. un 17. punkts.</w:t>
      </w:r>
      <w:bookmarkEnd w:id="24"/>
    </w:p>
    <w:p w14:paraId="5F0AAD7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7AC9467" w14:textId="6F183D52">
      <w:pPr>
        <w:pStyle w:val="P68B1DB1-P68B1DB1-Normal135"/>
        <w:widowControl w:val="0"/>
        <w:tabs>
          <w:tab w:val="left" w:pos="403"/>
        </w:tabs>
        <w:autoSpaceDE w:val="0"/>
        <w:autoSpaceDN w:val="0"/>
        <w:spacing w:after="0" w:line="240" w:lineRule="auto"/>
        <w:jc w:val="both"/>
        <w:rPr>
          <w:b w:val="0"/>
          <w:bCs/>
          <w:i w:val="0"/>
          <w:iCs/>
        </w:rPr>
      </w:pPr>
      <w:r>
        <w:t xml:space="preserve">Noteikumi, kas aizliedz noteiktu zāļu ievadīšanu liellopiem, ir “tehniskās specifikācijas”, jo tie definē lauksaimniecības produktu ražošanas metodes.</w:t>
      </w:r>
    </w:p>
    <w:p w14:paraId="72C610C7"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337E8892" w14:textId="77777777">
      <w:pPr>
        <w:pStyle w:val="P68B1DB1-P68B1DB1-Normal147"/>
        <w:widowControl w:val="0"/>
        <w:tabs>
          <w:tab w:val="left" w:pos="403"/>
        </w:tabs>
        <w:autoSpaceDE w:val="0"/>
        <w:autoSpaceDN w:val="0"/>
        <w:spacing w:after="0"/>
        <w:ind w:left="567"/>
        <w:jc w:val="both"/>
        <w:rPr>
          <w:i/>
          <w:iCs/>
          <w:sz w:val="20"/>
          <w:szCs w:val="18"/>
        </w:rPr>
      </w:pPr>
      <w:r>
        <w:t xml:space="preserve">“16. [..] noteikumi, kuru mērķis, tāpat kā šajā lietā, ir novērst simpatikomimējošu vielu ievadīšanu nobarojamiem liellopiem, kas vecāki par 14 nedēļām, ir tehniskās specifikācijas Direktīvas 83/189 1. panta 1. punkta izpratnē.</w:t>
      </w:r>
    </w:p>
    <w:p w14:paraId="184A20A2" w14:textId="77777777">
      <w:pPr>
        <w:pStyle w:val="P68B1DB1-Normal14"/>
        <w:widowControl w:val="0"/>
        <w:tabs>
          <w:tab w:val="left" w:pos="403"/>
        </w:tabs>
        <w:autoSpaceDE w:val="0"/>
        <w:autoSpaceDN w:val="0"/>
        <w:spacing w:after="0"/>
        <w:ind w:left="567"/>
        <w:jc w:val="both"/>
        <w:rPr>
          <w:i/>
          <w:iCs/>
          <w:sz w:val="20"/>
          <w:szCs w:val="18"/>
        </w:rPr>
      </w:pPr>
    </w:p>
    <w:p w14:paraId="6ED2A74A" w14:textId="77777777">
      <w:pPr>
        <w:pStyle w:val="P68B1DB1-P68B1DB1-Normal147"/>
        <w:widowControl w:val="0"/>
        <w:tabs>
          <w:tab w:val="left" w:pos="403"/>
        </w:tabs>
        <w:autoSpaceDE w:val="0"/>
        <w:autoSpaceDN w:val="0"/>
        <w:spacing w:after="0"/>
        <w:ind w:left="567"/>
        <w:jc w:val="both"/>
        <w:rPr>
          <w:i/>
          <w:iCs/>
          <w:sz w:val="20"/>
          <w:szCs w:val="18"/>
        </w:rPr>
      </w:pPr>
      <w:r>
        <w:t xml:space="preserve">17. Šādi noteikumi nosaka lauksaimniecības produktu, kas paredzēti lietošanai pārtikā, ražošanas metodes un procedūras EK līguma 38. panta 1. punkta (jaunajā redakcijā pēc grozījumiem — EKL 32. panta 1. punkts) izpratnē.”</w:t>
      </w:r>
    </w:p>
    <w:p w14:paraId="2268A3D1" w14:textId="77777777">
      <w:pPr>
        <w:pStyle w:val="P68B1DB1-Normal14"/>
        <w:widowControl w:val="0"/>
        <w:tabs>
          <w:tab w:val="left" w:pos="403"/>
        </w:tabs>
        <w:autoSpaceDE w:val="0"/>
        <w:autoSpaceDN w:val="0"/>
        <w:spacing w:after="0" w:line="240" w:lineRule="auto"/>
        <w:ind w:left="567"/>
        <w:jc w:val="both"/>
      </w:pPr>
    </w:p>
    <w:p w14:paraId="23614BFD" w14:textId="3A1567C1">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19" w:history="1">
        <w:r>
          <w:rPr>
            <w:color w:val="0000FF"/>
            <w:u w:val="single"/>
          </w:rPr>
          <w:t xml:space="preserve">Spriedums, 2000. gada 22. janvāris</w:t>
        </w:r>
      </w:hyperlink>
      <w:r>
        <w:t xml:space="preserve">, Canal Satélite Digital, C-390/99, EU:C:2002:34, 45.–47. punkts.</w:t>
      </w:r>
      <w:bookmarkEnd w:id="25"/>
    </w:p>
    <w:p w14:paraId="66ACF23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3D40E02" w14:textId="3EBC10F3">
      <w:pPr>
        <w:pStyle w:val="P68B1DB1-P68B1DB1-Normal135"/>
        <w:widowControl w:val="0"/>
        <w:tabs>
          <w:tab w:val="left" w:pos="396"/>
          <w:tab w:val="left" w:pos="405"/>
        </w:tabs>
        <w:autoSpaceDE w:val="0"/>
        <w:autoSpaceDN w:val="0"/>
        <w:spacing w:after="0" w:line="240" w:lineRule="auto"/>
        <w:jc w:val="both"/>
        <w:rPr>
          <w:b w:val="0"/>
          <w:bCs/>
          <w:i w:val="0"/>
          <w:iCs/>
        </w:rPr>
      </w:pPr>
      <w:r>
        <w:t xml:space="preserve">Valsts tiesību norma, kas paredz satelīttelevīzijas signālu ciparu pārraides un uztveršanas iekārtu iepriekšēju reģistrāciju un sertifikāciju pirms to laišanas tirgū, ir “tehnisks noteikums”, jo tajā ir noteiktas attiecīgo preču īpašības. </w:t>
      </w:r>
    </w:p>
    <w:p w14:paraId="492A0BC9"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6D130C89" w14:textId="373E8FE6">
      <w:pPr>
        <w:pStyle w:val="P68B1DB1-P68B1DB1-Normal147"/>
        <w:widowControl w:val="0"/>
        <w:tabs>
          <w:tab w:val="left" w:pos="396"/>
          <w:tab w:val="left" w:pos="405"/>
        </w:tabs>
        <w:autoSpaceDE w:val="0"/>
        <w:autoSpaceDN w:val="0"/>
        <w:spacing w:after="0" w:line="240" w:lineRule="auto"/>
        <w:ind w:left="425"/>
        <w:jc w:val="both"/>
        <w:rPr>
          <w:i/>
          <w:iCs/>
          <w:sz w:val="20"/>
          <w:szCs w:val="18"/>
        </w:rPr>
      </w:pPr>
      <w:r>
        <w:t xml:space="preserve">“45. [..] Tiesa jau ir nospriedusi, ka valsts tiesību normas, kurās ir paredzēti tikai uzņēmumu dibināšanas nosacījumi, piemēram, noteikumi, saskaņā ar kuriem darbības veikšanai ir jāsaņem iepriekšēja atļauja, nav tehniskie noteikumi Direktīvas 83/189 1. panta 9. punkta izpratnē. Tehniskie noteikumi šīs tiesību normas izpratnē ir specifikācijas, kas nosaka produktu īpašības, nevis specifikācijas, kas attiecas uz uzņēmējiem (1996. gada 11. jūlija spriedums lietā C-194/94 CIA Security, Recueil, I-2201. lpp., 25. punkts; 2001. gada 15. marta spriedums lietā C-278/99 Van der Burg (Recueil, I-2015. lpp., 20. punkts).</w:t>
      </w:r>
    </w:p>
    <w:p w14:paraId="0ED4E0E7" w14:textId="77777777">
      <w:pPr>
        <w:pStyle w:val="P68B1DB1-Normal14"/>
        <w:widowControl w:val="0"/>
        <w:tabs>
          <w:tab w:val="left" w:pos="396"/>
          <w:tab w:val="left" w:pos="405"/>
        </w:tabs>
        <w:autoSpaceDE w:val="0"/>
        <w:autoSpaceDN w:val="0"/>
        <w:spacing w:after="0" w:line="240" w:lineRule="auto"/>
        <w:ind w:left="567" w:hanging="142"/>
        <w:jc w:val="both"/>
        <w:rPr>
          <w:i/>
          <w:iCs/>
          <w:sz w:val="20"/>
          <w:szCs w:val="18"/>
        </w:rPr>
      </w:pPr>
    </w:p>
    <w:p w14:paraId="17C4BE95" w14:textId="77777777">
      <w:pPr>
        <w:pStyle w:val="P68B1DB1-P68B1DB1-Normal147"/>
        <w:widowControl w:val="0"/>
        <w:tabs>
          <w:tab w:val="left" w:pos="396"/>
          <w:tab w:val="left" w:pos="405"/>
        </w:tabs>
        <w:autoSpaceDE w:val="0"/>
        <w:autoSpaceDN w:val="0"/>
        <w:spacing w:after="0" w:line="240" w:lineRule="auto"/>
        <w:ind w:left="425"/>
        <w:jc w:val="both"/>
        <w:rPr>
          <w:i/>
          <w:iCs/>
          <w:sz w:val="20"/>
          <w:szCs w:val="18"/>
        </w:rPr>
      </w:pPr>
      <w:r>
        <w:t xml:space="preserve">46. Tomēr valsts tiesību norma ir jākvalificē kā tehnisks noteikums Direktīvas 83/189 1. panta 9. punkta izpratnē, ja tajā attiecīgajiem uzņēmumiem ir noteikts pienākums lūgt iepriekšēju atļauju to aprīkojumam (iepriekš minētais spriedums lietā CIA Security, 30. punkts).</w:t>
      </w:r>
    </w:p>
    <w:p w14:paraId="71D02A99" w14:textId="77777777">
      <w:pPr>
        <w:pStyle w:val="P68B1DB1-Normal14"/>
        <w:widowControl w:val="0"/>
        <w:tabs>
          <w:tab w:val="left" w:pos="396"/>
          <w:tab w:val="left" w:pos="405"/>
        </w:tabs>
        <w:autoSpaceDE w:val="0"/>
        <w:autoSpaceDN w:val="0"/>
        <w:spacing w:after="0" w:line="240" w:lineRule="auto"/>
        <w:ind w:left="567" w:hanging="142"/>
        <w:jc w:val="both"/>
        <w:rPr>
          <w:i/>
          <w:iCs/>
          <w:sz w:val="20"/>
          <w:szCs w:val="18"/>
        </w:rPr>
      </w:pPr>
    </w:p>
    <w:p w14:paraId="59FF32EE" w14:textId="77777777">
      <w:pPr>
        <w:pStyle w:val="P68B1DB1-P68B1DB1-Normal147"/>
        <w:widowControl w:val="0"/>
        <w:tabs>
          <w:tab w:val="left" w:pos="396"/>
          <w:tab w:val="left" w:pos="405"/>
        </w:tabs>
        <w:autoSpaceDE w:val="0"/>
        <w:autoSpaceDN w:val="0"/>
        <w:spacing w:after="0" w:line="240" w:lineRule="auto"/>
        <w:ind w:left="425"/>
        <w:jc w:val="both"/>
        <w:rPr>
          <w:i/>
          <w:iCs/>
          <w:sz w:val="20"/>
          <w:szCs w:val="18"/>
        </w:rPr>
      </w:pPr>
      <w:r>
        <w:t xml:space="preserve">47. No tā izriet, ka valsts tiesiskais regulējums, saskaņā ar kuru nosacītas piekļuves pakalpojumu sniedzējiem ir jāiekļūst iekārtās, dekodētājos vai sistēmās televīzijas signālu digitālai pārraidei un uztveršanai, izmantojot satelītu, ko tie piedāvā laist tirgū reģistrā, un jāsaņem šo preču iepriekšēja sertifikācija pirms to laišanas tirgū, ir “tehnisks noteikums” Direktīvas 83/189 1. panta 9. punkta izpratnē.”</w:t>
      </w:r>
    </w:p>
    <w:p w14:paraId="2E51BE56" w14:textId="77777777">
      <w:pPr>
        <w:spacing w:after="0" w:line="240" w:lineRule="auto"/>
      </w:pPr>
    </w:p>
    <w:p w14:paraId="10FFB5F9" w14:textId="668B4B22">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0" w:history="1">
        <w:r>
          <w:rPr>
            <w:color w:val="0000FF"/>
            <w:u w:val="single"/>
          </w:rPr>
          <w:t xml:space="preserve">Spriedums, 2000. gada 26. septembris</w:t>
        </w:r>
      </w:hyperlink>
      <w:r>
        <w:t xml:space="preserve">, Unilever Italia, C-443/98, EU:C:2000:496, 25. un 26. punkts.</w:t>
      </w:r>
      <w:bookmarkEnd w:id="26"/>
    </w:p>
    <w:p w14:paraId="3CF4C4EF"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533D680" w14:textId="360C593C">
      <w:pPr>
        <w:pStyle w:val="P68B1DB1-P68B1DB1-Normal135"/>
        <w:widowControl w:val="0"/>
        <w:autoSpaceDE w:val="0"/>
        <w:autoSpaceDN w:val="0"/>
        <w:spacing w:after="0" w:line="240" w:lineRule="auto"/>
        <w:jc w:val="both"/>
        <w:rPr>
          <w:b w:val="0"/>
          <w:bCs/>
          <w:i w:val="0"/>
          <w:iCs/>
        </w:rPr>
      </w:pPr>
      <w:r>
        <w:t xml:space="preserve">Noteikums par olīveļļas izcelsmes marķēšanu ir “tehniskā specifikācija”, jo tā ir prasība, kas reglamentē produkta marķēšanu.</w:t>
      </w:r>
    </w:p>
    <w:p w14:paraId="00B89F88" w14:textId="77777777">
      <w:pPr>
        <w:widowControl w:val="0"/>
        <w:autoSpaceDE w:val="0"/>
        <w:autoSpaceDN w:val="0"/>
        <w:spacing w:after="0" w:line="240" w:lineRule="auto"/>
        <w:jc w:val="both"/>
        <w:rPr>
          <w:rFonts w:ascii="Times New Roman" w:hAnsi="Times New Roman" w:cs="Times New Roman" w:eastAsia="Times New Roman"/>
          <w:szCs w:val="20"/>
        </w:rPr>
      </w:pPr>
    </w:p>
    <w:p w14:paraId="45CCCC45" w14:textId="77777777">
      <w:pPr>
        <w:pStyle w:val="P68B1DB1-P68B1DB1-Normal147"/>
        <w:widowControl w:val="0"/>
        <w:autoSpaceDE w:val="0"/>
        <w:autoSpaceDN w:val="0"/>
        <w:spacing w:after="0"/>
        <w:ind w:left="567"/>
        <w:jc w:val="both"/>
        <w:rPr>
          <w:i/>
          <w:iCs/>
          <w:sz w:val="20"/>
          <w:szCs w:val="18"/>
        </w:rPr>
      </w:pPr>
      <w:r>
        <w:t xml:space="preserve">“25. Šajā ziņā pietiek norādīt, ka saskaņā ar Direktīvas 83/189 1. panta 1. punktu par “produktiem” tiek uzskatīti gan rūpniecības, gan lauksaimniecības produkti un ka saskaņā ar tā paša panta 2. punktu Direktīvā 83/189 par “tehnisku specifikāciju” tiek uzskatīta jebkura specifikācija, kas ietverta dokumentā, kurā noteiktas preces nepieciešamās īpašības, tostarp prasības, kas piemērojamas precei attiecībā uz marķēšanu. Valsts tiesību normas, kurās ir ietvertas šādas specifikācijas, ir tehniskās specifikācijas Direktīvas 83/189 izpratnē neatkarīgi no to pieņemšanas pamatojuma (šajā sakarā skat. 1997. gada 17. marta spriedumu lietā C-13/96 Bic Benelux/Beļģija, Recueil, I-1753. lpp., 19. punkts).</w:t>
      </w:r>
    </w:p>
    <w:p w14:paraId="5CC53ED2" w14:textId="77777777">
      <w:pPr>
        <w:pStyle w:val="P68B1DB1-Normal14"/>
        <w:widowControl w:val="0"/>
        <w:autoSpaceDE w:val="0"/>
        <w:autoSpaceDN w:val="0"/>
        <w:spacing w:after="0"/>
        <w:ind w:left="567"/>
        <w:jc w:val="both"/>
        <w:rPr>
          <w:i/>
          <w:iCs/>
          <w:sz w:val="20"/>
          <w:szCs w:val="18"/>
        </w:rPr>
      </w:pPr>
    </w:p>
    <w:p w14:paraId="1607D5BC" w14:textId="596CB8C6">
      <w:pPr>
        <w:pStyle w:val="P68B1DB1-P68B1DB1-Normal147"/>
        <w:widowControl w:val="0"/>
        <w:autoSpaceDE w:val="0"/>
        <w:autoSpaceDN w:val="0"/>
        <w:spacing w:after="0"/>
        <w:ind w:left="567"/>
        <w:jc w:val="both"/>
        <w:rPr>
          <w:i/>
          <w:iCs/>
          <w:sz w:val="20"/>
          <w:szCs w:val="18"/>
        </w:rPr>
      </w:pPr>
      <w:r>
        <w:t xml:space="preserve">26. Tādējādi apstrīdētajā likumā, kas reglamentē olīveļļas izcelsmes norādes marķēšanu, ir ietverti noteikumi, kas ir kvalificējami kā “tehniskās specifikācijas” Direktīvas 83/189 izpratnē.”</w:t>
      </w:r>
    </w:p>
    <w:p w14:paraId="459F3FCC" w14:textId="77777777">
      <w:pPr>
        <w:spacing w:after="0" w:line="240" w:lineRule="auto"/>
      </w:pPr>
    </w:p>
    <w:p w14:paraId="095F5F49" w14:textId="2E38BFC4">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1" w:history="1">
        <w:r>
          <w:rPr>
            <w:color w:val="0000FF"/>
            <w:u w:val="single"/>
          </w:rPr>
          <w:t xml:space="preserve">Spriedums, 2000. gada 12. oktobris,</w:t>
        </w:r>
      </w:hyperlink>
      <w:r>
        <w:t xml:space="preserve"> Snellers, C-314/98, EU:C:2000:557, 37.–39. punkts.</w:t>
      </w:r>
      <w:bookmarkEnd w:id="27"/>
    </w:p>
    <w:p w14:paraId="2AD735C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FFCEA8D" w14:textId="2B0D93B0">
      <w:pPr>
        <w:widowControl w:val="0"/>
        <w:tabs>
          <w:tab w:val="left" w:pos="403"/>
        </w:tabs>
        <w:autoSpaceDE w:val="0"/>
        <w:autoSpaceDN w:val="0"/>
        <w:spacing w:after="0" w:line="240" w:lineRule="auto"/>
        <w:jc w:val="both"/>
        <w:rPr>
          <w:rFonts w:ascii="Times New Roman" w:hAnsi="Times New Roman" w:cs="Times New Roman" w:eastAsia="Times New Roman"/>
          <w:bCs/>
          <w:iCs/>
          <w:szCs w:val="20"/>
        </w:rPr>
        <w:pStyle w:val="P68B1DB1-Normal14"/>
      </w:pPr>
      <w:r>
        <w:t xml:space="preserve">“Tehniskajai specifikācijai” jāattiecas uz pašu ražojumu. Regulā, kurā ir paredzēti kritēriji, lai noteiktu datumu, kurā tiek uzskatīts, ka transportlīdzeklis pirmo reizi ir saņēmis atļauju braukšanai pa koplietošanas ceļiem, lai izsniegtu reģistrācijas apliecību, nav definēta neviena īpašība, kas nepieciešama pašam ražojumam, un tāpēc to nevar kvalificēt kā “tehniskus noteikumus”.</w:t>
      </w:r>
    </w:p>
    <w:p w14:paraId="4B51E0FD"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64BEEE86" w14:textId="77777777">
      <w:pPr>
        <w:pStyle w:val="P68B1DB1-P68B1DB1-Normal147"/>
        <w:widowControl w:val="0"/>
        <w:tabs>
          <w:tab w:val="left" w:pos="403"/>
        </w:tabs>
        <w:autoSpaceDE w:val="0"/>
        <w:autoSpaceDN w:val="0"/>
        <w:spacing w:after="0"/>
        <w:ind w:left="567"/>
        <w:jc w:val="both"/>
        <w:rPr>
          <w:i/>
          <w:iCs/>
          <w:sz w:val="20"/>
          <w:szCs w:val="18"/>
        </w:rPr>
      </w:pPr>
      <w:r>
        <w:t xml:space="preserve">“37. [..] noteikumi, kuru mērķis, tāpat kā pamatlietā aplūkotie, ir noteikt datumu, kurā transportlīdzeklis pirmo reizi ir apstiprināts izmantošanai uz koplietošanas ceļiem, nav tehniskās specifikācijas Direktīvas 83/189 izpratnē, un tādēļ tos nevar kvalificēt kā tehniskos noteikumus, kas ietilpst šīs direktīvas piemērošanas jomā.</w:t>
      </w:r>
    </w:p>
    <w:p w14:paraId="0BD17994" w14:textId="77777777">
      <w:pPr>
        <w:pStyle w:val="P68B1DB1-Normal14"/>
        <w:widowControl w:val="0"/>
        <w:tabs>
          <w:tab w:val="left" w:pos="403"/>
        </w:tabs>
        <w:autoSpaceDE w:val="0"/>
        <w:autoSpaceDN w:val="0"/>
        <w:spacing w:after="0"/>
        <w:ind w:left="567"/>
        <w:jc w:val="both"/>
        <w:rPr>
          <w:i/>
          <w:iCs/>
          <w:sz w:val="20"/>
          <w:szCs w:val="18"/>
        </w:rPr>
      </w:pPr>
    </w:p>
    <w:p w14:paraId="7E31CFA5" w14:textId="094AFB8A">
      <w:pPr>
        <w:pStyle w:val="P68B1DB1-P68B1DB1-Normal147"/>
        <w:widowControl w:val="0"/>
        <w:tabs>
          <w:tab w:val="left" w:pos="403"/>
        </w:tabs>
        <w:autoSpaceDE w:val="0"/>
        <w:autoSpaceDN w:val="0"/>
        <w:spacing w:after="0"/>
        <w:ind w:left="567"/>
        <w:jc w:val="both"/>
        <w:rPr>
          <w:i/>
          <w:iCs/>
          <w:sz w:val="20"/>
          <w:szCs w:val="18"/>
        </w:rPr>
      </w:pPr>
      <w:r>
        <w:t xml:space="preserve">38. Direktīvas 83/189 1. panta 1. punktā ir paredzēts, ka attiecībā uz tādām precēm kā pamata lietā tehniskā specifikācija šīs direktīvas izpratnē ir “specifikācija, kas ietverta dokumentā, kurā noteiktas preces nepieciešamās īpašības. Tādējādi tehniskajās specifikācijās Direktīvas 83/189 izpratnē ir jābūt atsaucei uz produktu kā tādu; to turklāt apstiprina neizsmeļošs attiecīgo specifikāciju saraksts, kas sniegts kā piemērs šīs direktīvas 1. panta 1. punktā.</w:t>
      </w:r>
    </w:p>
    <w:p w14:paraId="231677E0" w14:textId="77777777">
      <w:pPr>
        <w:pStyle w:val="P68B1DB1-Normal14"/>
        <w:widowControl w:val="0"/>
        <w:tabs>
          <w:tab w:val="left" w:pos="403"/>
        </w:tabs>
        <w:autoSpaceDE w:val="0"/>
        <w:autoSpaceDN w:val="0"/>
        <w:spacing w:after="0"/>
        <w:ind w:left="567"/>
        <w:jc w:val="both"/>
        <w:rPr>
          <w:i/>
          <w:iCs/>
          <w:sz w:val="20"/>
          <w:szCs w:val="18"/>
        </w:rPr>
      </w:pPr>
    </w:p>
    <w:p w14:paraId="57F7E593" w14:textId="77777777">
      <w:pPr>
        <w:pStyle w:val="P68B1DB1-P68B1DB1-Normal147"/>
        <w:widowControl w:val="0"/>
        <w:tabs>
          <w:tab w:val="left" w:pos="403"/>
        </w:tabs>
        <w:autoSpaceDE w:val="0"/>
        <w:autoSpaceDN w:val="0"/>
        <w:spacing w:after="0"/>
        <w:ind w:left="567"/>
        <w:jc w:val="both"/>
        <w:rPr>
          <w:i/>
          <w:iCs/>
          <w:sz w:val="20"/>
          <w:szCs w:val="18"/>
        </w:rPr>
      </w:pPr>
      <w:r>
        <w:t xml:space="preserve">39. Noteikumos ir paredzēti vairāki kritēriji, lai noteiktu datumu, kurā transportlīdzeklis Wegenverkeerswet izpratnē tiek uzskatīts par tādu, kas pirmo reizi ir saņēmis atļauju izmantot koplietošanas ceļu, lai sagatavotu reģistrācijas apliecību. Tāpēc regulā nav definētas nekādas īpašības, kas vajadzīgas ražojumam kā tādam.”</w:t>
      </w:r>
    </w:p>
    <w:p w14:paraId="5C2F2353" w14:textId="77777777">
      <w:pPr>
        <w:spacing w:after="0" w:line="240" w:lineRule="auto"/>
      </w:pPr>
    </w:p>
    <w:p w14:paraId="176B08B6" w14:textId="7FC0C140">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22" w:history="1">
        <w:r>
          <w:rPr>
            <w:rStyle w:val="Hyperlink"/>
            <w:rFonts w:ascii="Times New Roman" w:hAnsi="Times New Roman" w:cs="Times New Roman" w:eastAsia="Times New Roman"/>
            <w:b/>
            <w:i/>
            <w:color w:val="0000FF"/>
            <w:szCs w:val="20"/>
          </w:rPr>
          <w:t xml:space="preserve">Spriedums, 2000. gada 16. novembris</w:t>
        </w:r>
      </w:hyperlink>
      <w:r>
        <w:rPr>
          <w:rFonts w:ascii="Times New Roman" w:hAnsi="Times New Roman" w:cs="Times New Roman" w:eastAsia="Times New Roman"/>
          <w:b/>
          <w:i/>
          <w:szCs w:val="20"/>
        </w:rPr>
        <w:t xml:space="preserve">, Donkersteeg, C-37/99, EU:C:2000:636, 30. un 31. punkts.</w:t>
      </w:r>
      <w:bookmarkEnd w:id="28"/>
    </w:p>
    <w:p w14:paraId="0039F4A1" w14:textId="77777777">
      <w:pPr>
        <w:widowControl w:val="0"/>
        <w:autoSpaceDE w:val="0"/>
        <w:autoSpaceDN w:val="0"/>
        <w:spacing w:after="0" w:line="240" w:lineRule="auto"/>
        <w:jc w:val="both"/>
        <w:rPr>
          <w:rFonts w:ascii="Times New Roman" w:hAnsi="Times New Roman" w:cs="Times New Roman" w:eastAsia="Times New Roman"/>
          <w:szCs w:val="20"/>
        </w:rPr>
      </w:pPr>
    </w:p>
    <w:p w14:paraId="4A6A750B" w14:textId="411010F6">
      <w:pPr>
        <w:pStyle w:val="P68B1DB1-P68B1DB1-Normal135"/>
        <w:widowControl w:val="0"/>
        <w:autoSpaceDE w:val="0"/>
        <w:autoSpaceDN w:val="0"/>
        <w:spacing w:after="0" w:line="240" w:lineRule="auto"/>
        <w:jc w:val="both"/>
        <w:rPr>
          <w:b w:val="0"/>
          <w:bCs/>
          <w:i w:val="0"/>
          <w:iCs/>
        </w:rPr>
      </w:pPr>
      <w:r>
        <w:t xml:space="preserve">Attiecībā uz lauksaimniecības produktiem “tehniskā specifikācija” ir teksts, kas nosaka to nepieciešamās īpašības vai ražošanas metodes. Noteikums, kas paredz lauksaimniecības dzīvnieku vakcinācijas nosacījumus, ir ražošanas noteikums un tādējādi kā “tehniskā specifikācija”. </w:t>
      </w:r>
    </w:p>
    <w:p w14:paraId="7118F572" w14:textId="77777777">
      <w:pPr>
        <w:widowControl w:val="0"/>
        <w:autoSpaceDE w:val="0"/>
        <w:autoSpaceDN w:val="0"/>
        <w:spacing w:after="0" w:line="240" w:lineRule="auto"/>
        <w:jc w:val="both"/>
        <w:rPr>
          <w:rFonts w:ascii="Times New Roman" w:hAnsi="Times New Roman" w:cs="Times New Roman" w:eastAsia="Times New Roman"/>
          <w:szCs w:val="20"/>
        </w:rPr>
      </w:pPr>
    </w:p>
    <w:p w14:paraId="658D0575" w14:textId="77777777">
      <w:pPr>
        <w:pStyle w:val="P68B1DB1-P68B1DB1-Normal147"/>
        <w:widowControl w:val="0"/>
        <w:autoSpaceDE w:val="0"/>
        <w:autoSpaceDN w:val="0"/>
        <w:spacing w:after="0" w:line="240" w:lineRule="auto"/>
        <w:ind w:left="567"/>
        <w:jc w:val="both"/>
        <w:rPr>
          <w:i/>
          <w:iCs/>
          <w:sz w:val="20"/>
          <w:szCs w:val="18"/>
        </w:rPr>
      </w:pPr>
      <w:r>
        <w:t xml:space="preserve">“30. Kā atgādināts šī sprieduma 20. punktā, saskaņā ar šīs direktīvas 1. panta 1. punktu attiecībā uz lauksaimniecības produktiem “tehniskā specifikācija” ir tāda, kas ietverta dokumentā, kurā noteiktas preces vai tā ražošanas metožu un procedūru nepieciešamās īpašības.</w:t>
      </w:r>
    </w:p>
    <w:p w14:paraId="6E173AD5" w14:textId="77777777">
      <w:pPr>
        <w:pStyle w:val="P68B1DB1-Normal14"/>
        <w:widowControl w:val="0"/>
        <w:autoSpaceDE w:val="0"/>
        <w:autoSpaceDN w:val="0"/>
        <w:spacing w:after="0" w:line="240" w:lineRule="auto"/>
        <w:ind w:left="567"/>
        <w:jc w:val="both"/>
        <w:rPr>
          <w:i/>
          <w:iCs/>
          <w:sz w:val="20"/>
          <w:szCs w:val="18"/>
        </w:rPr>
      </w:pPr>
    </w:p>
    <w:p w14:paraId="0C38FBB6" w14:textId="77777777">
      <w:pPr>
        <w:pStyle w:val="P68B1DB1-P68B1DB1-Normal147"/>
        <w:widowControl w:val="0"/>
        <w:autoSpaceDE w:val="0"/>
        <w:autoSpaceDN w:val="0"/>
        <w:spacing w:after="0" w:line="240" w:lineRule="auto"/>
        <w:ind w:left="567"/>
        <w:jc w:val="both"/>
        <w:rPr>
          <w:i/>
          <w:iCs/>
          <w:sz w:val="20"/>
          <w:szCs w:val="18"/>
        </w:rPr>
      </w:pPr>
      <w:r>
        <w:t xml:space="preserve">31. Tāds noteikums, kāds ir ietverts VBZA 2. panta 1. punktā, ir tehniska specifikācija šīs direktīvas 1. panta 1. punkta izpratnē. Kā pamatoti apgalvo Komisija, tā kā precīzi un detalizēti noteikumi attiecībā uz vakcināciju pret Aujeski slimību ir saistīti ar attiecīgā lauksaimniecības produkta ražošanu šaurā nozīmē un ir jāievēro visā ražošanas ciklā, šis noteikums tādējādi definē “procedūru” šī produkta ražošanā.”</w:t>
      </w:r>
    </w:p>
    <w:p w14:paraId="011D3230" w14:textId="77777777">
      <w:pPr>
        <w:spacing w:after="0" w:line="240" w:lineRule="auto"/>
      </w:pPr>
    </w:p>
    <w:p w14:paraId="581B1056" w14:textId="6342E1F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3" w:history="1">
        <w:r>
          <w:rPr>
            <w:color w:val="0000FF"/>
            <w:u w:val="single"/>
          </w:rPr>
          <w:t xml:space="preserve">Spriedums, 2001. gada 8. marts</w:t>
        </w:r>
      </w:hyperlink>
      <w:r>
        <w:t xml:space="preserve">, Van der Burg, C-278/99, EU:C:2001:143, 20. punkts.</w:t>
      </w:r>
      <w:bookmarkEnd w:id="29"/>
    </w:p>
    <w:p w14:paraId="214E963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EE5EBFC" w14:textId="4A41B3F9">
      <w:pPr>
        <w:pStyle w:val="P68B1DB1-P68B1DB1-Normal135"/>
        <w:widowControl w:val="0"/>
        <w:tabs>
          <w:tab w:val="left" w:pos="461"/>
        </w:tabs>
        <w:autoSpaceDE w:val="0"/>
        <w:autoSpaceDN w:val="0"/>
        <w:spacing w:after="0" w:line="240" w:lineRule="auto"/>
        <w:jc w:val="both"/>
        <w:rPr>
          <w:b w:val="0"/>
          <w:bCs/>
          <w:i w:val="0"/>
          <w:iCs/>
        </w:rPr>
      </w:pPr>
      <w:r>
        <w:t xml:space="preserve">Regula, kas tikai aizliedz komerciālu reklāmu, bet nenosaka preces nepieciešamās īpašības, nav uzskatāma par “tehnisku specifikāciju”, un tāpēc to nevar uzskatīt par “tehnisku noteikumu”.</w:t>
      </w:r>
    </w:p>
    <w:p w14:paraId="359B163D" w14:textId="77777777">
      <w:pPr>
        <w:widowControl w:val="0"/>
        <w:tabs>
          <w:tab w:val="left" w:pos="461"/>
        </w:tabs>
        <w:autoSpaceDE w:val="0"/>
        <w:autoSpaceDN w:val="0"/>
        <w:spacing w:after="0" w:line="240" w:lineRule="auto"/>
        <w:jc w:val="both"/>
        <w:rPr>
          <w:rFonts w:ascii="Times New Roman" w:hAnsi="Times New Roman" w:cs="Times New Roman" w:eastAsia="Times New Roman"/>
          <w:szCs w:val="20"/>
        </w:rPr>
      </w:pPr>
    </w:p>
    <w:p w14:paraId="19B0E706" w14:textId="76232F90">
      <w:pPr>
        <w:pStyle w:val="P68B1DB1-P68B1DB1-Normal1710"/>
        <w:widowControl w:val="0"/>
        <w:tabs>
          <w:tab w:val="left" w:pos="461"/>
        </w:tabs>
        <w:autoSpaceDE w:val="0"/>
        <w:autoSpaceDN w:val="0"/>
        <w:spacing w:after="0" w:line="240" w:lineRule="auto"/>
        <w:ind w:left="567"/>
        <w:jc w:val="both"/>
        <w:rPr>
          <w:i/>
          <w:iCs/>
          <w:sz w:val="20"/>
          <w:szCs w:val="18"/>
        </w:rPr>
      </w:pPr>
      <w:r>
        <w:t xml:space="preserve">“20. [..] Saskaņā ar Direktīvas 83/189 1. panta 1. punktu šajā direktīvā “tehniskā specifikācija” ir “specifikācija, kas ietverta dokumentā, kurā noteiktas izstrādājumam nepieciešamās īpašības”. Tādējādi tehniskajās specifikācijās Direktīvas 83/189 izpratnē ir jāatsaucas uz pašu produktu (skat. Tiesas 2000. gada 16. decembra spriedumu lietā C-314/98 Snellers Auto’s/Algemeen Directeur van de Dienst Wegverkeer, Recueil, I-0000. lpp., 38. punkts). Tomēr tādi tiesību akti kā dekrēta C.11.1. panta 1. punkts, kas tikai aizliedz tirdzniecības metodi, nenosaka produkta nepieciešamās īpašības.”</w:t>
      </w:r>
    </w:p>
    <w:p w14:paraId="329B81E2" w14:textId="77777777">
      <w:pPr>
        <w:spacing w:after="0" w:line="240" w:lineRule="auto"/>
      </w:pPr>
    </w:p>
    <w:p w14:paraId="12D2977E" w14:textId="6E302773">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4" w:history="1">
        <w:r>
          <w:rPr>
            <w:color w:val="0000FF"/>
            <w:u w:val="single"/>
          </w:rPr>
          <w:t xml:space="preserve">Spriedums, 2002. gada 6. jūnijs,</w:t>
        </w:r>
      </w:hyperlink>
      <w:r>
        <w:t xml:space="preserve"> Sapod Audic, C-159/00, EU:C:2002:343, 30.–33. punkts.</w:t>
      </w:r>
      <w:bookmarkEnd w:id="30"/>
    </w:p>
    <w:p w14:paraId="340A6ED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F4A7B62" w14:textId="77777777">
      <w:pPr>
        <w:pStyle w:val="P68B1DB1-P68B1DB1-Normal135"/>
        <w:widowControl w:val="0"/>
        <w:tabs>
          <w:tab w:val="left" w:pos="443"/>
        </w:tabs>
        <w:autoSpaceDE w:val="0"/>
        <w:autoSpaceDN w:val="0"/>
        <w:spacing w:after="0" w:line="240" w:lineRule="auto"/>
        <w:jc w:val="both"/>
        <w:rPr>
          <w:b w:val="0"/>
          <w:bCs/>
          <w:i w:val="0"/>
          <w:iCs/>
        </w:rPr>
      </w:pPr>
      <w:r>
        <w:t xml:space="preserve">Valsts tiesību norma, kurā ir paredzēts pienākums identificēt iepakojumu, ir “tehnisks noteikums”, par kuru ir jāpaziņo, ciktāl tas ietver pienākumu marķēt vai marķēt šo iepakojumu.</w:t>
      </w:r>
    </w:p>
    <w:p w14:paraId="376C1334" w14:textId="77777777">
      <w:pPr>
        <w:widowControl w:val="0"/>
        <w:tabs>
          <w:tab w:val="left" w:pos="443"/>
        </w:tabs>
        <w:autoSpaceDE w:val="0"/>
        <w:autoSpaceDN w:val="0"/>
        <w:spacing w:after="0" w:line="240" w:lineRule="auto"/>
        <w:jc w:val="both"/>
        <w:rPr>
          <w:rFonts w:ascii="Times New Roman" w:hAnsi="Times New Roman" w:cs="Times New Roman" w:eastAsia="Times New Roman"/>
          <w:szCs w:val="20"/>
        </w:rPr>
      </w:pPr>
    </w:p>
    <w:p w14:paraId="482978FF" w14:textId="77777777">
      <w:pPr>
        <w:pStyle w:val="P68B1DB1-P68B1DB1-Normal147"/>
        <w:widowControl w:val="0"/>
        <w:tabs>
          <w:tab w:val="left" w:pos="443"/>
        </w:tabs>
        <w:autoSpaceDE w:val="0"/>
        <w:autoSpaceDN w:val="0"/>
        <w:spacing w:after="0"/>
        <w:ind w:left="567"/>
        <w:jc w:val="both"/>
        <w:rPr>
          <w:i/>
          <w:iCs/>
          <w:sz w:val="20"/>
          <w:szCs w:val="18"/>
        </w:rPr>
      </w:pPr>
      <w:r>
        <w:t xml:space="preserve">“30. Līdz ar to, tā kā Dekrēta Nr. 92–377 4. panta otrajā daļā paredzētais pienākums identificēt iepakojumu, šķiet, nenozīmē pienākumu marķēt vai marķēt šo iepakojumu, nešķiet, ka šis pienākums obligāti attiecas uz preci vai tās iepakojumu kā tādu. Šādi interpretēta šī tiesību norma nevar tikt uzskatīta par tādu, kurā ir noteiktas preces īpašības Direktīvas 83/189 1. panta 1. punkta izpratnē, un līdz ar to to nevar uzskatīt par tehnisku specifikāciju (skat. it īpaši 2001. gada 15. janvāra spriedumu lietā C-278/99 Van der Burg, Recueil, I-2015. lpp., 20. punkts).</w:t>
      </w:r>
    </w:p>
    <w:p w14:paraId="7A13B6EF" w14:textId="77777777">
      <w:pPr>
        <w:pStyle w:val="P68B1DB1-Normal14"/>
        <w:widowControl w:val="0"/>
        <w:tabs>
          <w:tab w:val="left" w:pos="443"/>
        </w:tabs>
        <w:autoSpaceDE w:val="0"/>
        <w:autoSpaceDN w:val="0"/>
        <w:spacing w:after="0"/>
        <w:ind w:left="567"/>
        <w:jc w:val="both"/>
        <w:rPr>
          <w:i/>
          <w:iCs/>
          <w:sz w:val="20"/>
          <w:szCs w:val="18"/>
        </w:rPr>
      </w:pPr>
    </w:p>
    <w:p w14:paraId="615DE908" w14:textId="77777777">
      <w:pPr>
        <w:pStyle w:val="P68B1DB1-P68B1DB1-Normal147"/>
        <w:widowControl w:val="0"/>
        <w:tabs>
          <w:tab w:val="left" w:pos="443"/>
        </w:tabs>
        <w:autoSpaceDE w:val="0"/>
        <w:autoSpaceDN w:val="0"/>
        <w:spacing w:after="0"/>
        <w:ind w:left="567"/>
        <w:jc w:val="both"/>
        <w:rPr>
          <w:i/>
          <w:iCs/>
          <w:sz w:val="20"/>
          <w:szCs w:val="18"/>
        </w:rPr>
      </w:pPr>
      <w:r>
        <w:t xml:space="preserve">31.Tomēr ir jānorāda, ka saskaņā ar EKL 234. pantā paredzēto kompetenču sadalījumu valsts tiesai ir jāinterpretē valsts tiesības, šajā gadījumā Dekrēta Nr. 92–377 4. panta otrā daļa.</w:t>
      </w:r>
    </w:p>
    <w:p w14:paraId="6AC1BBA2" w14:textId="77777777">
      <w:pPr>
        <w:pStyle w:val="P68B1DB1-Normal14"/>
        <w:widowControl w:val="0"/>
        <w:tabs>
          <w:tab w:val="left" w:pos="443"/>
        </w:tabs>
        <w:autoSpaceDE w:val="0"/>
        <w:autoSpaceDN w:val="0"/>
        <w:spacing w:after="0"/>
        <w:ind w:left="567"/>
        <w:jc w:val="both"/>
        <w:rPr>
          <w:i/>
          <w:iCs/>
          <w:sz w:val="20"/>
          <w:szCs w:val="18"/>
        </w:rPr>
      </w:pPr>
    </w:p>
    <w:p w14:paraId="25482CFD" w14:textId="77777777">
      <w:pPr>
        <w:pStyle w:val="P68B1DB1-P68B1DB1-Normal147"/>
        <w:widowControl w:val="0"/>
        <w:tabs>
          <w:tab w:val="left" w:pos="443"/>
        </w:tabs>
        <w:autoSpaceDE w:val="0"/>
        <w:autoSpaceDN w:val="0"/>
        <w:spacing w:after="0"/>
        <w:ind w:left="567"/>
        <w:jc w:val="both"/>
        <w:rPr>
          <w:i/>
          <w:iCs/>
          <w:sz w:val="20"/>
          <w:szCs w:val="18"/>
        </w:rPr>
      </w:pPr>
      <w:r>
        <w:t xml:space="preserve">32. Līdz ar to Tiesai ir arī jāapsver iespēja, ka, ņemot vērā visus iesniedzējtiesas rīcībā esošos faktiskos un tiesiskos apstākļus, šī tiesa secinās, ka Dekrēta Nr. 92–377 4. panta otrā daļa ir jāinterpretē tādējādi, ka tā uzliek ražotājiem pienākumu marķēt vai marķēt iepakojumu, neprecizējot, kāds apzīmējums ir jāpiestiprina.</w:t>
      </w:r>
    </w:p>
    <w:p w14:paraId="5CF2B868" w14:textId="77777777">
      <w:pPr>
        <w:pStyle w:val="P68B1DB1-Normal14"/>
        <w:widowControl w:val="0"/>
        <w:tabs>
          <w:tab w:val="left" w:pos="443"/>
        </w:tabs>
        <w:autoSpaceDE w:val="0"/>
        <w:autoSpaceDN w:val="0"/>
        <w:spacing w:after="0"/>
        <w:ind w:left="567"/>
        <w:jc w:val="both"/>
        <w:rPr>
          <w:i/>
          <w:iCs/>
          <w:sz w:val="20"/>
          <w:szCs w:val="18"/>
        </w:rPr>
      </w:pPr>
    </w:p>
    <w:p w14:paraId="66994718" w14:textId="77777777">
      <w:pPr>
        <w:pStyle w:val="P68B1DB1-P68B1DB1-Normal147"/>
        <w:widowControl w:val="0"/>
        <w:tabs>
          <w:tab w:val="left" w:pos="443"/>
        </w:tabs>
        <w:autoSpaceDE w:val="0"/>
        <w:autoSpaceDN w:val="0"/>
        <w:spacing w:after="0"/>
        <w:ind w:left="567"/>
        <w:jc w:val="both"/>
        <w:rPr>
          <w:i/>
          <w:iCs/>
          <w:sz w:val="20"/>
          <w:szCs w:val="18"/>
        </w:rPr>
      </w:pPr>
      <w:r>
        <w:t xml:space="preserve">33. Šādā gadījumā būtu jāuzskata, ka šis noteikums faktiski ir tehniska specifikācija Direktīvas 83/189 izpratnē un ka līdz ar to, tā kā šis pienākums ir noteikts ar dekrētu attiecībā uz iepakotu produktu tirdzniecību visā valsts teritorijā, šis noteikums ir tehnisks noteikums.”</w:t>
      </w:r>
    </w:p>
    <w:p w14:paraId="21495157" w14:textId="77777777">
      <w:pPr>
        <w:spacing w:after="0" w:line="240" w:lineRule="auto"/>
      </w:pPr>
    </w:p>
    <w:p w14:paraId="14C2467B" w14:textId="611D9359">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5" w:history="1">
        <w:r>
          <w:rPr>
            <w:color w:val="0000FF"/>
            <w:u w:val="single"/>
          </w:rPr>
          <w:t xml:space="preserve">Spriedums, 2005. gada 8. septembris</w:t>
        </w:r>
      </w:hyperlink>
      <w:r>
        <w:t xml:space="preserve">, C-500/03, Komisija/Portugāle, EU:C:2005:515, 30. punkts.</w:t>
      </w:r>
      <w:bookmarkEnd w:id="31"/>
    </w:p>
    <w:p w14:paraId="7C16A848"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90F33F6" w14:textId="06F84E73">
      <w:pPr>
        <w:spacing w:after="0" w:line="240" w:lineRule="auto"/>
        <w:jc w:val="both"/>
        <w:rPr>
          <w:rFonts w:ascii="Times New Roman" w:hAnsi="Times New Roman" w:cs="Times New Roman" w:eastAsia="Times New Roman"/>
          <w:szCs w:val="20"/>
        </w:rPr>
        <w:pStyle w:val="P68B1DB1-Normal14"/>
      </w:pPr>
      <w:r>
        <w:t xml:space="preserve">Noteikums, kas nosaka atpūtas kuģa maksimālo garumu un augstumu un ierobežo tā dzinējspēku, ir “tehniskā specifikācija”.</w:t>
      </w:r>
    </w:p>
    <w:p w14:paraId="37494660" w14:textId="77777777">
      <w:pPr>
        <w:spacing w:after="0" w:line="240" w:lineRule="auto"/>
        <w:jc w:val="both"/>
        <w:rPr>
          <w:rFonts w:ascii="Times New Roman" w:hAnsi="Times New Roman" w:cs="Times New Roman" w:eastAsia="Times New Roman"/>
          <w:szCs w:val="20"/>
        </w:rPr>
      </w:pPr>
    </w:p>
    <w:p w14:paraId="75D4A043" w14:textId="5A44D1CA">
      <w:pPr>
        <w:widowControl w:val="0"/>
        <w:tabs>
          <w:tab w:val="left" w:pos="467"/>
        </w:tabs>
        <w:autoSpaceDE w:val="0"/>
        <w:autoSpaceDN w:val="0"/>
        <w:spacing w:after="0" w:line="240" w:lineRule="auto"/>
        <w:ind w:left="567"/>
        <w:jc w:val="both"/>
        <w:rPr>
          <w:rFonts w:ascii="Times New Roman" w:hAnsi="Times New Roman" w:cs="Times New Roman" w:eastAsia="Times New Roman"/>
          <w:sz w:val="20"/>
          <w:szCs w:val="18"/>
        </w:rPr>
        <w:pStyle w:val="P68B1DB1-Normal11"/>
      </w:pPr>
      <w:r>
        <w:t xml:space="preserve">(Tā kā spriedums ir pieejams tikai franču un portugāļu valodā, turpmāk minētais teksts ir tulkojums.)</w:t>
      </w:r>
    </w:p>
    <w:p w14:paraId="3C41A5EA" w14:textId="77777777">
      <w:pPr>
        <w:spacing w:after="0" w:line="240" w:lineRule="auto"/>
        <w:jc w:val="both"/>
        <w:rPr>
          <w:rFonts w:ascii="Times New Roman" w:hAnsi="Times New Roman" w:cs="Times New Roman" w:eastAsia="Times New Roman"/>
          <w:sz w:val="20"/>
          <w:szCs w:val="18"/>
        </w:rPr>
      </w:pPr>
    </w:p>
    <w:p w14:paraId="4AAF6423" w14:textId="3EE48C51">
      <w:pPr>
        <w:spacing w:after="0" w:line="240" w:lineRule="auto"/>
        <w:ind w:left="567"/>
        <w:jc w:val="both"/>
        <w:rPr>
          <w:i/>
          <w:iCs/>
          <w:sz w:val="20"/>
          <w:szCs w:val="20"/>
        </w:rPr>
        <w:pStyle w:val="P68B1DB1-Normal19"/>
      </w:pPr>
      <w:r>
        <w:t xml:space="preserve">“30. No šīs regulas 2. panta 1. punkta formulējuma izriet, ka tajā ir ietvertas tehniskās specifikācijas Direktīvas 98/34 1. panta 3. punkta izpratnē, kas ir tehniskie noteikumi šīs direktīvas izpratnē. Šajā regulā ietvertās prasības attiecas uz maksimālo garumu un augstumu, kā arī uz dzinēju jaudas ierobežošanu izpriecu kuģiem, ko izmanto kuģošanai. Šie tehniskie ierobežojumi attiecas uz visām publiskajām ūdens lagūnām Portugāles civildienestā, izņemot Douro upes ūdens lagūnas.”</w:t>
      </w:r>
    </w:p>
    <w:p w14:paraId="45A16E94" w14:textId="77777777">
      <w:pPr>
        <w:spacing w:after="0" w:line="240" w:lineRule="auto"/>
      </w:pPr>
    </w:p>
    <w:p w14:paraId="5D1BF1C4" w14:textId="698AC048">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6" w:history="1">
        <w:r>
          <w:rPr>
            <w:color w:val="0000FF"/>
            <w:u w:val="single"/>
          </w:rPr>
          <w:t xml:space="preserve">Spriedums, 2007. gada 8. novembris,</w:t>
        </w:r>
      </w:hyperlink>
      <w:r>
        <w:t xml:space="preserve"> Schwibbert, C-20/05, EU:C:2007:652, 35.–37. punkts.</w:t>
      </w:r>
      <w:bookmarkEnd w:id="32"/>
    </w:p>
    <w:p w14:paraId="1416C96B"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939BFD9" w14:textId="4D52F64B">
      <w:pPr>
        <w:pStyle w:val="P68B1DB1-P68B1DB1-Normal135"/>
        <w:widowControl w:val="0"/>
        <w:tabs>
          <w:tab w:val="left" w:pos="429"/>
        </w:tabs>
        <w:autoSpaceDE w:val="0"/>
        <w:autoSpaceDN w:val="0"/>
        <w:spacing w:after="0" w:line="240" w:lineRule="auto"/>
        <w:jc w:val="both"/>
        <w:rPr>
          <w:b w:val="0"/>
          <w:bCs/>
          <w:i w:val="0"/>
          <w:iCs/>
        </w:rPr>
      </w:pPr>
      <w:r>
        <w:t xml:space="preserve">Valsts tiesību normas, ar kurām ievieš pienākumu piestiprināt atšķirības zīmi precēm, lai tās tirgotu dalībvalstī, ir “tehniskā specifikācija”, jo tās ir prasības attiecībā uz preču marķēšanu un etiķetēm.</w:t>
      </w:r>
    </w:p>
    <w:p w14:paraId="4781C797" w14:textId="77777777">
      <w:pPr>
        <w:widowControl w:val="0"/>
        <w:tabs>
          <w:tab w:val="left" w:pos="429"/>
        </w:tabs>
        <w:autoSpaceDE w:val="0"/>
        <w:autoSpaceDN w:val="0"/>
        <w:spacing w:after="0" w:line="240" w:lineRule="auto"/>
        <w:jc w:val="both"/>
        <w:rPr>
          <w:rFonts w:ascii="Times New Roman" w:hAnsi="Times New Roman" w:cs="Times New Roman" w:eastAsia="Times New Roman"/>
          <w:szCs w:val="20"/>
        </w:rPr>
      </w:pPr>
    </w:p>
    <w:p w14:paraId="58D2CAF0" w14:textId="38AC6134">
      <w:pPr>
        <w:pStyle w:val="P68B1DB1-Normal15"/>
        <w:widowControl w:val="0"/>
        <w:tabs>
          <w:tab w:val="left" w:pos="429"/>
        </w:tabs>
        <w:autoSpaceDE w:val="0"/>
        <w:autoSpaceDN w:val="0"/>
        <w:spacing w:after="0" w:line="240" w:lineRule="auto"/>
        <w:ind w:left="567"/>
        <w:jc w:val="both"/>
        <w:rPr>
          <w:i w:val="0"/>
          <w:iCs/>
        </w:rPr>
      </w:pPr>
      <w:r>
        <w:t xml:space="preserve">“35. Kā Tiesa ir nospriedusi, tehniskās specifikācijas jēdziens paredz, ka valsts pasākums attiecas uz produktu vai tās iepakojumu kā tādu un tādējādi nosaka vienu no produkta nepieciešamajām īpašībām (šajā sakarā skat. 2001. gada 15. janvāra spriedumu lietā C-278/99 van der Burg, Recueil, I-2015. lpp., 20. punkts; Lieta C-390/99 Canal Satélite Digital, Recueil 2002, I-607. lpp., 45. punkts; kā arī iepriekš minētie spriedumi lietā Sapod Audic, 30. punkts, un lietā Lindberg, 57. punkts).</w:t>
      </w:r>
    </w:p>
    <w:p w14:paraId="29C04649" w14:textId="77777777">
      <w:pPr>
        <w:pStyle w:val="P68B1DB1-Normal15"/>
        <w:widowControl w:val="0"/>
        <w:tabs>
          <w:tab w:val="left" w:pos="429"/>
        </w:tabs>
        <w:autoSpaceDE w:val="0"/>
        <w:autoSpaceDN w:val="0"/>
        <w:spacing w:after="0" w:line="240" w:lineRule="auto"/>
        <w:ind w:left="567"/>
        <w:jc w:val="both"/>
        <w:rPr>
          <w:i w:val="0"/>
          <w:iCs/>
        </w:rPr>
      </w:pPr>
    </w:p>
    <w:p w14:paraId="505523FA" w14:textId="38C71B2C">
      <w:pPr>
        <w:pStyle w:val="P68B1DB1-Normal15"/>
        <w:widowControl w:val="0"/>
        <w:tabs>
          <w:tab w:val="left" w:pos="429"/>
        </w:tabs>
        <w:autoSpaceDE w:val="0"/>
        <w:autoSpaceDN w:val="0"/>
        <w:spacing w:after="0" w:line="240" w:lineRule="auto"/>
        <w:ind w:left="567"/>
        <w:jc w:val="both"/>
        <w:rPr>
          <w:i w:val="0"/>
          <w:iCs/>
        </w:rPr>
      </w:pPr>
      <w:r>
        <w:t xml:space="preserve">36. Šajā gadījumā ir jākonstatē, kā ģenerāladvokāte ir norādījusi secinājumu 46. un 48. punktā, ka atšķirtspējīgais apzīmējums “SIAE”, kura mērķis ir informēt patērētājus un valsts iestādes par reproducēšanas likumību, ir izvietots uz faktiskā datu nesēja, kurā ir intelektuālais darbs, un tātad uz paša produkta. Līdz ar to nevar tieši apgalvot, kā to darīja Società Italiana degli Autori ed Editori un Itālijas valdība, ka šī zīme attiecas tikai uz intelektuālo darbu.</w:t>
      </w:r>
    </w:p>
    <w:p w14:paraId="6D521645" w14:textId="77777777">
      <w:pPr>
        <w:pStyle w:val="P68B1DB1-Normal15"/>
        <w:widowControl w:val="0"/>
        <w:tabs>
          <w:tab w:val="left" w:pos="429"/>
        </w:tabs>
        <w:autoSpaceDE w:val="0"/>
        <w:autoSpaceDN w:val="0"/>
        <w:spacing w:after="0" w:line="240" w:lineRule="auto"/>
        <w:ind w:left="567"/>
        <w:jc w:val="both"/>
        <w:rPr>
          <w:i w:val="0"/>
          <w:iCs/>
        </w:rPr>
      </w:pPr>
    </w:p>
    <w:p w14:paraId="012D36DA" w14:textId="1659A5D5">
      <w:pPr>
        <w:pStyle w:val="P68B1DB1-Normal15"/>
        <w:widowControl w:val="0"/>
        <w:tabs>
          <w:tab w:val="left" w:pos="429"/>
        </w:tabs>
        <w:autoSpaceDE w:val="0"/>
        <w:autoSpaceDN w:val="0"/>
        <w:spacing w:after="0" w:line="240" w:lineRule="auto"/>
        <w:ind w:left="567"/>
        <w:jc w:val="both"/>
      </w:pPr>
      <w:r>
        <w:t xml:space="preserve">37. Šāds atšķirtspējīgs apzīmējums ir “tehniskā specifikācija” Direktīvas 98/34 1. panta 3. punkta izpratnē, jo uz to attiecas attiecīgajām precēm piemērojamās prasības attiecībā uz marķēšanu vai etiķetēm. Līdz ar to, tā kā šīs specifikācijas ievērošana de jure ir obligāta šo produktu tirdzniecībai, šī specifikācija ir “tehnisks noteikums” šīs direktīvas 1. panta 11. punkta izpratnē (šajā sakarā skat. 1997. gada 11. marta spriedumu lietā C-13/96 Bic Benelux, Recueil, I-1753. lpp., 23. punkts).”</w:t>
      </w:r>
    </w:p>
    <w:p w14:paraId="3E9DFE52" w14:textId="77777777">
      <w:pPr>
        <w:pStyle w:val="P68B1DB1-Normal15"/>
        <w:widowControl w:val="0"/>
        <w:tabs>
          <w:tab w:val="left" w:pos="429"/>
        </w:tabs>
        <w:autoSpaceDE w:val="0"/>
        <w:autoSpaceDN w:val="0"/>
        <w:spacing w:after="0" w:line="240" w:lineRule="auto"/>
        <w:ind w:left="567"/>
        <w:jc w:val="both"/>
      </w:pPr>
    </w:p>
    <w:p w14:paraId="4E326150" w14:textId="1B9A65A2">
      <w:pPr>
        <w:widowControl w:val="0"/>
        <w:autoSpaceDE w:val="0"/>
        <w:autoSpaceDN w:val="0"/>
        <w:spacing w:after="0" w:line="240" w:lineRule="auto"/>
        <w:jc w:val="both"/>
        <w:rPr>
          <w:rFonts w:ascii="Times New Roman" w:hAnsi="Times New Roman" w:cs="Times New Roman" w:eastAsia="Times New Roman"/>
          <w:b/>
          <w:i/>
          <w:szCs w:val="20"/>
        </w:rPr>
        <w:pStyle w:val="P68B1DB1-Normal13"/>
      </w:pPr>
      <w:hyperlink r:id="rId27" w:history="1">
        <w:r>
          <w:rPr>
            <w:color w:val="0000FF"/>
            <w:u w:val="single"/>
          </w:rPr>
          <w:t xml:space="preserve">Spriedums, 2011. gada 14. aprīlis</w:t>
        </w:r>
      </w:hyperlink>
      <w:r>
        <w:t xml:space="preserve">, Vlaamse Dierenartsenvereniging un Janssens, C-42/10, C-45/10 un C-57/10, EU:C:2011:253, 68.–70. punkts.</w:t>
      </w:r>
    </w:p>
    <w:p w14:paraId="7DCC10FA"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18B43BA3" w14:textId="6DE800EE">
      <w:pPr>
        <w:pStyle w:val="P68B1DB1-P68B1DB1-Normal135"/>
        <w:widowControl w:val="0"/>
        <w:tabs>
          <w:tab w:val="left" w:pos="431"/>
        </w:tabs>
        <w:autoSpaceDE w:val="0"/>
        <w:autoSpaceDN w:val="0"/>
        <w:spacing w:after="0" w:line="240" w:lineRule="auto"/>
        <w:jc w:val="both"/>
        <w:rPr>
          <w:b w:val="0"/>
          <w:bCs/>
          <w:i w:val="0"/>
          <w:iCs/>
        </w:rPr>
      </w:pPr>
      <w:r>
        <w:t xml:space="preserve">Direktīva neattiecas uz lolojumdzīvnieku pasēm, kuras nevar klasificēt kā “produktus”, jo tās nevar būt komercdarījumu priekšmets. Tāpēc valstu noteikumi par lolojumdzīvnieku pasēm nav “tehniskās specifikācijas”, kas jāpaziņo Komisijai.</w:t>
      </w:r>
    </w:p>
    <w:p w14:paraId="55609695"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757DBF12" w14:textId="28188743">
      <w:pPr>
        <w:pStyle w:val="P68B1DB1-P68B1DB1-Normal147"/>
        <w:widowControl w:val="0"/>
        <w:tabs>
          <w:tab w:val="left" w:pos="403"/>
        </w:tabs>
        <w:autoSpaceDE w:val="0"/>
        <w:autoSpaceDN w:val="0"/>
        <w:spacing w:after="0" w:line="240" w:lineRule="auto"/>
        <w:ind w:left="567"/>
        <w:jc w:val="both"/>
        <w:rPr>
          <w:i/>
          <w:sz w:val="20"/>
          <w:szCs w:val="18"/>
        </w:rPr>
      </w:pPr>
      <w:r>
        <w:t xml:space="preserve">“68. [..] Tiesai ir bijusi iespēja norādīt, ka preču brīva aprite attiecas tikai uz precēm, kuras var tikt novērtētas naudā un kuras pašas par sevi var būt komercdarījumu priekšmets (šajā sakarā skat. it īpaši 1968. gada 14. februāra spriedumu lietā 7/68 Komisija/Itālija, Recueil, 627. lpp., 626. lpp., un 2006. gada 12. decembra spriedumu lietā C-65/05 Komisija/Grieķija, Krājums, I-10341. lpp., 23.–25. punkts).</w:t>
      </w:r>
    </w:p>
    <w:p w14:paraId="741819C9" w14:textId="77777777">
      <w:pPr>
        <w:pStyle w:val="P68B1DB1-Normal14"/>
        <w:widowControl w:val="0"/>
        <w:tabs>
          <w:tab w:val="left" w:pos="403"/>
        </w:tabs>
        <w:autoSpaceDE w:val="0"/>
        <w:autoSpaceDN w:val="0"/>
        <w:spacing w:after="0" w:line="240" w:lineRule="auto"/>
        <w:ind w:left="567"/>
        <w:jc w:val="both"/>
        <w:rPr>
          <w:i/>
          <w:sz w:val="20"/>
          <w:szCs w:val="18"/>
        </w:rPr>
      </w:pPr>
    </w:p>
    <w:p w14:paraId="5BA224C9" w14:textId="68AC5503">
      <w:pPr>
        <w:pStyle w:val="P68B1DB1-P68B1DB1-Normal147"/>
        <w:widowControl w:val="0"/>
        <w:tabs>
          <w:tab w:val="left" w:pos="403"/>
        </w:tabs>
        <w:autoSpaceDE w:val="0"/>
        <w:autoSpaceDN w:val="0"/>
        <w:spacing w:after="0" w:line="240" w:lineRule="auto"/>
        <w:ind w:left="567"/>
        <w:jc w:val="both"/>
        <w:rPr>
          <w:i/>
          <w:sz w:val="20"/>
          <w:szCs w:val="18"/>
        </w:rPr>
      </w:pPr>
      <w:r>
        <w:t xml:space="preserve">69. Nav šaubu, ka mājdzīvnieku pases, ja tajās ir norādīts individuāls numurs un identificēts atsevišķs dzīvnieks, pašas par sevi nevar būt komercdarījumu priekšmets.</w:t>
      </w:r>
    </w:p>
    <w:p w14:paraId="766A1B18" w14:textId="77777777">
      <w:pPr>
        <w:pStyle w:val="P68B1DB1-Normal14"/>
        <w:widowControl w:val="0"/>
        <w:tabs>
          <w:tab w:val="left" w:pos="403"/>
        </w:tabs>
        <w:autoSpaceDE w:val="0"/>
        <w:autoSpaceDN w:val="0"/>
        <w:spacing w:after="0" w:line="240" w:lineRule="auto"/>
        <w:ind w:left="567"/>
        <w:jc w:val="both"/>
        <w:rPr>
          <w:i/>
          <w:sz w:val="20"/>
          <w:szCs w:val="18"/>
        </w:rPr>
      </w:pPr>
    </w:p>
    <w:p w14:paraId="5F9E4D05" w14:textId="4BF6B0DF">
      <w:pPr>
        <w:pStyle w:val="P68B1DB1-P68B1DB1-Normal147"/>
        <w:widowControl w:val="0"/>
        <w:tabs>
          <w:tab w:val="left" w:pos="403"/>
        </w:tabs>
        <w:autoSpaceDE w:val="0"/>
        <w:autoSpaceDN w:val="0"/>
        <w:spacing w:after="0" w:line="240" w:lineRule="auto"/>
        <w:ind w:left="567"/>
        <w:jc w:val="both"/>
        <w:rPr>
          <w:i/>
          <w:sz w:val="20"/>
          <w:szCs w:val="18"/>
        </w:rPr>
      </w:pPr>
      <w:r>
        <w:t xml:space="preserve">70. Līdz ar to šīs pases nevar tikt kvalificētas kā “produkti” Tiesas judikatūras izpratnē; Direktīva 98/34 arī uz tiem nevar attiekties. Līdz ar to tādas specifikācijas, kādas ir ietvertas pamata lietā aplūkotajā Beļģijas tiesiskajā regulējumā, nevar tikt kvalificētas par tehniskām specifikācijām, kas saskaņā ar šīs direktīvas 8. pantu ir iepriekš jāpaziņo Komisijai, un, ja tas tā nav, valsts tiesai tās nav jāpiemēro (šajā sakarā skat. 2007. gada 18. oktobra spriedumu lietā C-20/05 Schwibbert, Krājums, I-9447. lpp., 33. un 44. punkts, kā arī tajos minētā judikatūra).”</w:t>
      </w:r>
    </w:p>
    <w:p w14:paraId="56FDA8D5" w14:textId="77777777">
      <w:pPr>
        <w:spacing w:after="0" w:line="240" w:lineRule="auto"/>
      </w:pPr>
    </w:p>
    <w:p w14:paraId="5C42E26C" w14:textId="7797D2A3">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8" w:history="1">
        <w:r>
          <w:rPr>
            <w:color w:val="0000FF"/>
            <w:u w:val="single"/>
          </w:rPr>
          <w:t xml:space="preserve">Spriedums, 2011. gada 9. jūnijs</w:t>
        </w:r>
      </w:hyperlink>
      <w:r>
        <w:t xml:space="preserve">, Intercommunale Intermosane un Fédération de l’industrie et du gaz, C-361/10, EU:C:2011:382, 14.–18. punkts.</w:t>
      </w:r>
      <w:bookmarkEnd w:id="33"/>
    </w:p>
    <w:p w14:paraId="0CF52A6B"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346914E7" w14:textId="1F11C7F6">
      <w:pPr>
        <w:pStyle w:val="P68B1DB1-P68B1DB1-Normal135"/>
        <w:widowControl w:val="0"/>
        <w:autoSpaceDE w:val="0"/>
        <w:autoSpaceDN w:val="0"/>
        <w:spacing w:after="0" w:line="240" w:lineRule="auto"/>
        <w:jc w:val="both"/>
        <w:rPr>
          <w:b w:val="0"/>
          <w:bCs/>
          <w:i w:val="0"/>
          <w:iCs/>
        </w:rPr>
      </w:pPr>
      <w:r>
        <w:t xml:space="preserve">Valsts noteikumi, kas nosaka minimālās prasības elektroinstalāciju būvniecībai un darba ņēmēju drošībai, nav “tehniskās specifikācijas”, jo tajos ir noteikti vispārīgi drošības un aizsardzības mērķi, tieši neatsaucoties uz ražojumu vai tā iepakojumu un nenosakot tā īpašības. </w:t>
      </w:r>
    </w:p>
    <w:p w14:paraId="3E53A714"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2A3D76D8" w14:textId="3110737E">
      <w:pPr>
        <w:pStyle w:val="P68B1DB1-P68B1DB1-Normal147"/>
        <w:widowControl w:val="0"/>
        <w:autoSpaceDE w:val="0"/>
        <w:autoSpaceDN w:val="0"/>
        <w:spacing w:after="0" w:line="240" w:lineRule="auto"/>
        <w:ind w:left="567"/>
        <w:jc w:val="both"/>
        <w:rPr>
          <w:i/>
          <w:iCs/>
          <w:sz w:val="20"/>
          <w:szCs w:val="18"/>
        </w:rPr>
      </w:pPr>
      <w:r>
        <w:t xml:space="preserve">“14. [..] ir jānosaka, vai pamatlietā aplūkotās valsts tiesību normas ietilpst Direktīvas 98/34 1. panta 11. punktā paredzētajā pirmajā tehnisko noteikumu kategorijā, proti, jēdzienā “tehniskās specifikācijas”.</w:t>
      </w:r>
    </w:p>
    <w:p w14:paraId="13050860" w14:textId="77777777">
      <w:pPr>
        <w:pStyle w:val="P68B1DB1-Normal14"/>
        <w:widowControl w:val="0"/>
        <w:autoSpaceDE w:val="0"/>
        <w:autoSpaceDN w:val="0"/>
        <w:spacing w:after="0" w:line="240" w:lineRule="auto"/>
        <w:ind w:left="567"/>
        <w:jc w:val="both"/>
        <w:rPr>
          <w:i/>
          <w:iCs/>
          <w:sz w:val="20"/>
          <w:szCs w:val="18"/>
        </w:rPr>
      </w:pPr>
    </w:p>
    <w:p w14:paraId="431EFE6D" w14:textId="5A6B8906">
      <w:pPr>
        <w:pStyle w:val="P68B1DB1-P68B1DB1-Normal147"/>
        <w:widowControl w:val="0"/>
        <w:autoSpaceDE w:val="0"/>
        <w:autoSpaceDN w:val="0"/>
        <w:spacing w:after="0" w:line="240" w:lineRule="auto"/>
        <w:ind w:left="567"/>
        <w:jc w:val="both"/>
        <w:rPr>
          <w:i/>
          <w:iCs/>
          <w:sz w:val="20"/>
          <w:szCs w:val="18"/>
        </w:rPr>
      </w:pPr>
      <w:r>
        <w:t xml:space="preserve">15. No judikatūras izriet, ka šis minētajā 1. panta 3. punktā definētais jēdziens nozīmē, ka valsts pasākumā noteikti jābūt atsaucei uz pašu preci vai tās iepakojumu un līdz ar to jānorāda īpašības, kurām jāpiemīt precei (skat. iepriekš minēto spriedumu lietā Schwibbert, 35. punkts un tajā minētā judikatūra).</w:t>
      </w:r>
    </w:p>
    <w:p w14:paraId="1713743E" w14:textId="77777777">
      <w:pPr>
        <w:pStyle w:val="P68B1DB1-Normal14"/>
        <w:widowControl w:val="0"/>
        <w:autoSpaceDE w:val="0"/>
        <w:autoSpaceDN w:val="0"/>
        <w:spacing w:after="0" w:line="240" w:lineRule="auto"/>
        <w:ind w:left="567"/>
        <w:jc w:val="both"/>
        <w:rPr>
          <w:i/>
          <w:iCs/>
          <w:sz w:val="20"/>
          <w:szCs w:val="18"/>
        </w:rPr>
      </w:pPr>
    </w:p>
    <w:p w14:paraId="605F1D6D" w14:textId="72688735">
      <w:pPr>
        <w:pStyle w:val="P68B1DB1-P68B1DB1-Normal147"/>
        <w:widowControl w:val="0"/>
        <w:autoSpaceDE w:val="0"/>
        <w:autoSpaceDN w:val="0"/>
        <w:spacing w:after="0" w:line="240" w:lineRule="auto"/>
        <w:ind w:left="567"/>
        <w:jc w:val="both"/>
        <w:rPr>
          <w:i/>
          <w:iCs/>
          <w:sz w:val="20"/>
          <w:szCs w:val="18"/>
        </w:rPr>
      </w:pPr>
      <w:r>
        <w:t xml:space="preserve">16. Attiecībā uz pamata lietā minētajām valsts tiesību normām ir jānorāda, ka šajās tiesību normās paredzēto minimālo priekšrakstu atsevišķu elektroiekārtu tirdzniecībai mērķis ir nodrošināt šo iekārtu drošību, lai aizsargātu darbiniekus, kuri tās izmanto.</w:t>
      </w:r>
    </w:p>
    <w:p w14:paraId="3BF8D390" w14:textId="77777777">
      <w:pPr>
        <w:pStyle w:val="P68B1DB1-Normal14"/>
        <w:widowControl w:val="0"/>
        <w:autoSpaceDE w:val="0"/>
        <w:autoSpaceDN w:val="0"/>
        <w:spacing w:after="0" w:line="240" w:lineRule="auto"/>
        <w:ind w:left="567"/>
        <w:jc w:val="both"/>
        <w:rPr>
          <w:i/>
          <w:iCs/>
          <w:sz w:val="20"/>
          <w:szCs w:val="18"/>
        </w:rPr>
      </w:pPr>
    </w:p>
    <w:p w14:paraId="53D9038B" w14:textId="44B3180B">
      <w:pPr>
        <w:pStyle w:val="P68B1DB1-P68B1DB1-Normal147"/>
        <w:widowControl w:val="0"/>
        <w:autoSpaceDE w:val="0"/>
        <w:autoSpaceDN w:val="0"/>
        <w:spacing w:after="0" w:line="240" w:lineRule="auto"/>
        <w:ind w:left="567"/>
        <w:jc w:val="both"/>
        <w:rPr>
          <w:i/>
          <w:iCs/>
          <w:sz w:val="20"/>
          <w:szCs w:val="18"/>
        </w:rPr>
      </w:pPr>
      <w:r>
        <w:t xml:space="preserve">17. Tomēr ir jākonstatē, ka šajos minimālajos priekšrakstos ir ietvertas prasības un vispārēji mērķi drošības un aizsardzības jomā un tajos ne vienmēr ir atsauce uz pašu attiecīgo preci vai tās iepakojumu, tādējādi tie nenosaka šīs preces īpašības.</w:t>
      </w:r>
    </w:p>
    <w:p w14:paraId="4769C93B" w14:textId="77777777">
      <w:pPr>
        <w:pStyle w:val="P68B1DB1-Normal14"/>
        <w:widowControl w:val="0"/>
        <w:autoSpaceDE w:val="0"/>
        <w:autoSpaceDN w:val="0"/>
        <w:spacing w:after="0" w:line="240" w:lineRule="auto"/>
        <w:ind w:left="567"/>
        <w:jc w:val="both"/>
        <w:rPr>
          <w:i/>
          <w:iCs/>
          <w:sz w:val="20"/>
          <w:szCs w:val="18"/>
        </w:rPr>
      </w:pPr>
    </w:p>
    <w:p w14:paraId="4059BF30" w14:textId="7521DC11">
      <w:pPr>
        <w:pStyle w:val="P68B1DB1-P68B1DB1-Normal147"/>
        <w:widowControl w:val="0"/>
        <w:autoSpaceDE w:val="0"/>
        <w:autoSpaceDN w:val="0"/>
        <w:spacing w:after="0" w:line="240" w:lineRule="auto"/>
        <w:ind w:left="567"/>
        <w:jc w:val="both"/>
        <w:rPr>
          <w:bCs/>
          <w:i/>
          <w:iCs/>
          <w:sz w:val="20"/>
          <w:szCs w:val="18"/>
        </w:rPr>
      </w:pPr>
      <w:r>
        <w:t xml:space="preserve">18. Līdz ar to valsts tiesību normās, par kurām ir pamata lieta, nav tehnisko specifikāciju Direktīvas 98/34 izpratnē.”</w:t>
      </w:r>
    </w:p>
    <w:p w14:paraId="4E087DB6" w14:textId="77777777">
      <w:pPr>
        <w:widowControl w:val="0"/>
        <w:autoSpaceDE w:val="0"/>
        <w:autoSpaceDN w:val="0"/>
        <w:spacing w:after="0" w:line="240" w:lineRule="auto"/>
        <w:jc w:val="both"/>
        <w:rPr>
          <w:rFonts w:ascii="Times New Roman" w:hAnsi="Times New Roman" w:cs="Times New Roman" w:eastAsia="Times New Roman"/>
          <w:bCs/>
          <w:i/>
          <w:sz w:val="20"/>
          <w:szCs w:val="16"/>
        </w:rPr>
      </w:pPr>
    </w:p>
    <w:p w14:paraId="36CB90D3" w14:textId="0830F120">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29" w:history="1">
        <w:r>
          <w:rPr>
            <w:color w:val="0000FF"/>
            <w:u w:val="single"/>
          </w:rPr>
          <w:t xml:space="preserve">Spriedums, 2012. gada 19. jūlijs</w:t>
        </w:r>
      </w:hyperlink>
      <w:r>
        <w:t xml:space="preserve">, Fortuna u. c., C-213/11, C-214/11 un C-217/11, EU:C:2012:495, 28.–30. punkts.</w:t>
      </w:r>
      <w:bookmarkEnd w:id="34"/>
    </w:p>
    <w:p w14:paraId="3A7FC319"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26C64C2" w14:textId="77777777">
      <w:pPr>
        <w:pStyle w:val="P68B1DB1-P68B1DB1-Normal135"/>
        <w:widowControl w:val="0"/>
        <w:tabs>
          <w:tab w:val="left" w:pos="451"/>
        </w:tabs>
        <w:autoSpaceDE w:val="0"/>
        <w:autoSpaceDN w:val="0"/>
        <w:spacing w:after="0" w:line="240" w:lineRule="auto"/>
        <w:jc w:val="both"/>
        <w:rPr>
          <w:b w:val="0"/>
          <w:bCs/>
          <w:i w:val="0"/>
          <w:iCs/>
        </w:rPr>
      </w:pPr>
      <w:r>
        <w:t xml:space="preserve">Valsts noteikumi, kas ierobežo zemo cenu spēļu automātu ekspluatāciju ārpus kazino, nav “tehniskie noteikumi”, jo tie neattiecas uz spēļu automātu vai to iepakojuma īpašībām.</w:t>
      </w:r>
    </w:p>
    <w:p w14:paraId="236235AE" w14:textId="77777777">
      <w:pPr>
        <w:widowControl w:val="0"/>
        <w:tabs>
          <w:tab w:val="left" w:pos="451"/>
        </w:tabs>
        <w:autoSpaceDE w:val="0"/>
        <w:autoSpaceDN w:val="0"/>
        <w:spacing w:after="0" w:line="240" w:lineRule="auto"/>
        <w:jc w:val="both"/>
        <w:rPr>
          <w:rFonts w:ascii="Times New Roman" w:hAnsi="Times New Roman" w:cs="Times New Roman" w:eastAsia="Times New Roman"/>
          <w:i/>
          <w:iCs/>
          <w:sz w:val="18"/>
          <w:szCs w:val="14"/>
        </w:rPr>
      </w:pPr>
    </w:p>
    <w:p w14:paraId="09B20777" w14:textId="6018D3B7">
      <w:pPr>
        <w:pStyle w:val="P68B1DB1-P68B1DB1-Normal147"/>
        <w:widowControl w:val="0"/>
        <w:autoSpaceDE w:val="0"/>
        <w:autoSpaceDN w:val="0"/>
        <w:spacing w:after="0" w:line="240" w:lineRule="auto"/>
        <w:ind w:left="567"/>
        <w:jc w:val="both"/>
        <w:rPr>
          <w:i/>
          <w:iCs/>
          <w:sz w:val="20"/>
          <w:szCs w:val="18"/>
        </w:rPr>
      </w:pPr>
      <w:r>
        <w:t xml:space="preserve">“28. [..], lai valsts pasākums ietilptu pirmajā tehnisko noteikumu kategorijā, kas minēta Direktīvas 98/34 1. panta 11. punktā, proti, jēdzienā “tehniskās specifikācijas”, šim pasākumam noteikti ir jāattiecas uz preci vai tās iepakojumu kā tādu un tādējādi jānosaka viena no preces nepieciešamajām īpašībām (skat. iepriekš minēto spriedumu lietā Intercommunale Intermosane un Fédération de l’industrie et du gaz, 15. punkts).</w:t>
      </w:r>
    </w:p>
    <w:p w14:paraId="0DD51D00" w14:textId="77777777">
      <w:pPr>
        <w:pStyle w:val="P68B1DB1-Normal14"/>
        <w:widowControl w:val="0"/>
        <w:autoSpaceDE w:val="0"/>
        <w:autoSpaceDN w:val="0"/>
        <w:spacing w:after="0" w:line="240" w:lineRule="auto"/>
        <w:ind w:left="567"/>
        <w:jc w:val="both"/>
        <w:rPr>
          <w:i/>
          <w:iCs/>
          <w:sz w:val="20"/>
          <w:szCs w:val="18"/>
        </w:rPr>
      </w:pPr>
    </w:p>
    <w:p w14:paraId="43C64864" w14:textId="4E72B44D">
      <w:pPr>
        <w:pStyle w:val="P68B1DB1-P68B1DB1-Normal147"/>
        <w:widowControl w:val="0"/>
        <w:autoSpaceDE w:val="0"/>
        <w:autoSpaceDN w:val="0"/>
        <w:spacing w:after="0" w:line="240" w:lineRule="auto"/>
        <w:ind w:left="567"/>
        <w:jc w:val="both"/>
        <w:rPr>
          <w:i/>
          <w:iCs/>
          <w:sz w:val="20"/>
          <w:szCs w:val="18"/>
        </w:rPr>
      </w:pPr>
      <w:r>
        <w:t xml:space="preserve">29. Ir pietiekami konstatēt, ka Azartspēļu likuma pārejas noteikumi attiecas uz atļaujām veikt ar spēļu automātos spēlējamām spēlēm ar maziem laimestiem saistītu darbību. Tie neattiecas uz spēļu ar maziem laimestiem automātiem vai uz to iepakojumu kā tādu un līdz ar to nenosaka to īpašības.</w:t>
      </w:r>
    </w:p>
    <w:p w14:paraId="28D3F16E" w14:textId="77777777">
      <w:pPr>
        <w:pStyle w:val="P68B1DB1-Normal14"/>
        <w:widowControl w:val="0"/>
        <w:autoSpaceDE w:val="0"/>
        <w:autoSpaceDN w:val="0"/>
        <w:spacing w:after="0" w:line="240" w:lineRule="auto"/>
        <w:ind w:left="567"/>
        <w:jc w:val="both"/>
        <w:rPr>
          <w:i/>
          <w:iCs/>
          <w:sz w:val="20"/>
          <w:szCs w:val="18"/>
        </w:rPr>
      </w:pPr>
    </w:p>
    <w:p w14:paraId="65E1DF47" w14:textId="1076F250">
      <w:pPr>
        <w:pStyle w:val="P68B1DB1-P68B1DB1-Normal147"/>
        <w:widowControl w:val="0"/>
        <w:autoSpaceDE w:val="0"/>
        <w:autoSpaceDN w:val="0"/>
        <w:spacing w:after="0" w:line="240" w:lineRule="auto"/>
        <w:ind w:left="567"/>
        <w:jc w:val="both"/>
        <w:rPr>
          <w:bCs/>
          <w:i/>
          <w:iCs/>
          <w:sz w:val="20"/>
          <w:szCs w:val="18"/>
        </w:rPr>
      </w:pPr>
      <w:r>
        <w:t xml:space="preserve">30. Līdz ar to valsts tiesību normās, par kurām ir pamata lieta, nav tehnisko specifikāciju Direktīvas 98/34 izpratnē.”</w:t>
      </w:r>
    </w:p>
    <w:p w14:paraId="253F8A3A" w14:textId="77777777">
      <w:pPr>
        <w:widowControl w:val="0"/>
        <w:autoSpaceDE w:val="0"/>
        <w:autoSpaceDN w:val="0"/>
        <w:spacing w:after="0" w:line="240" w:lineRule="auto"/>
        <w:jc w:val="both"/>
        <w:rPr>
          <w:rFonts w:ascii="Times New Roman" w:hAnsi="Times New Roman" w:cs="Times New Roman" w:eastAsia="Times New Roman"/>
          <w:bCs/>
          <w:i/>
          <w:sz w:val="20"/>
          <w:szCs w:val="16"/>
        </w:rPr>
      </w:pPr>
    </w:p>
    <w:p w14:paraId="11A687F9" w14:textId="7673430B">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4"/>
      </w:pPr>
      <w:hyperlink r:id="rId30" w:history="1">
        <w:r>
          <w:rPr>
            <w:b/>
            <w:i/>
            <w:color w:val="0000FF"/>
            <w:u w:val="single"/>
          </w:rPr>
          <w:t xml:space="preserve">Spriedums, 2014. gada 10. jūlijs,</w:t>
        </w:r>
      </w:hyperlink>
      <w:r>
        <w:rPr>
          <w:b/>
          <w:i/>
        </w:rPr>
        <w:t xml:space="preserve">Ivansson u. c.</w:t>
      </w:r>
      <w:r>
        <w:rPr>
          <w:sz w:val="25"/>
        </w:rPr>
        <w:t xml:space="preserve">, C-307/13, EU:C:2014:2058, 19.–23. punkts.</w:t>
      </w:r>
      <w:r>
        <w:rPr>
          <w:b/>
          <w:i/>
        </w:rPr>
        <w:t xml:space="preserve"> </w:t>
      </w:r>
      <w:bookmarkEnd w:id="35"/>
    </w:p>
    <w:p w14:paraId="3CBB181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09768B7" w14:textId="77777777">
      <w:pPr>
        <w:pStyle w:val="P68B1DB1-P68B1DB1-Normal135"/>
        <w:widowControl w:val="0"/>
        <w:tabs>
          <w:tab w:val="left" w:pos="396"/>
          <w:tab w:val="left" w:pos="407"/>
        </w:tabs>
        <w:autoSpaceDE w:val="0"/>
        <w:autoSpaceDN w:val="0"/>
        <w:spacing w:after="0" w:line="240" w:lineRule="auto"/>
        <w:jc w:val="both"/>
        <w:rPr>
          <w:b w:val="0"/>
          <w:bCs/>
          <w:i w:val="0"/>
          <w:iCs/>
        </w:rPr>
      </w:pPr>
      <w:r>
        <w:t xml:space="preserve">Noteikums, kas nosaka vispārēju mērķi attiecībā uz mājputnu komfortu un audzēšanas telpu kvalitāti, nav “tehniskā specifikācija”, jo tas nenosaka produkta īpašības un nav pietiekami precīzs, lai definētu ražošanas metodi. </w:t>
      </w:r>
    </w:p>
    <w:p w14:paraId="7B99302F" w14:textId="77777777">
      <w:pPr>
        <w:widowControl w:val="0"/>
        <w:autoSpaceDE w:val="0"/>
        <w:autoSpaceDN w:val="0"/>
        <w:spacing w:after="0" w:line="240" w:lineRule="auto"/>
        <w:ind w:left="567"/>
        <w:jc w:val="both"/>
        <w:rPr>
          <w:rFonts w:ascii="Times New Roman" w:hAnsi="Times New Roman" w:cs="Times New Roman" w:eastAsia="Times New Roman"/>
          <w:bCs/>
          <w:i/>
          <w:sz w:val="20"/>
          <w:szCs w:val="16"/>
        </w:rPr>
      </w:pPr>
    </w:p>
    <w:p w14:paraId="3EDA7715" w14:textId="0C493BF1">
      <w:pPr>
        <w:pStyle w:val="P68B1DB1-P68B1DB1-Normal147"/>
        <w:widowControl w:val="0"/>
        <w:autoSpaceDE w:val="0"/>
        <w:autoSpaceDN w:val="0"/>
        <w:spacing w:after="0" w:line="240" w:lineRule="auto"/>
        <w:ind w:left="567"/>
        <w:jc w:val="both"/>
        <w:rPr>
          <w:i/>
          <w:iCs/>
          <w:sz w:val="20"/>
          <w:szCs w:val="18"/>
        </w:rPr>
      </w:pPr>
      <w:r>
        <w:t xml:space="preserve">“19. Ir jāprecizē, ka saskaņā ar judikatūru šis [tehniskās specifikācijas] jēdziens nozīmē, ka valsts pasākumam noteikti ir jāattiecas uz preci vai tās iepakojumu kā tādu un tādējādi jānosaka kāda no nepieciešamajām īpašībām (šajā ziņā skat. spriedumu Fortuna u. c., EU:C:2012:495, 28. punkts).</w:t>
      </w:r>
    </w:p>
    <w:p w14:paraId="5E172BC8" w14:textId="77777777">
      <w:pPr>
        <w:pStyle w:val="P68B1DB1-Normal14"/>
        <w:widowControl w:val="0"/>
        <w:autoSpaceDE w:val="0"/>
        <w:autoSpaceDN w:val="0"/>
        <w:spacing w:after="0" w:line="240" w:lineRule="auto"/>
        <w:ind w:left="567"/>
        <w:jc w:val="both"/>
        <w:rPr>
          <w:i/>
          <w:iCs/>
          <w:sz w:val="20"/>
          <w:szCs w:val="18"/>
        </w:rPr>
      </w:pPr>
    </w:p>
    <w:p w14:paraId="39F7789D" w14:textId="31D50226">
      <w:pPr>
        <w:pStyle w:val="P68B1DB1-P68B1DB1-Normal147"/>
        <w:widowControl w:val="0"/>
        <w:autoSpaceDE w:val="0"/>
        <w:autoSpaceDN w:val="0"/>
        <w:spacing w:after="0" w:line="240" w:lineRule="auto"/>
        <w:ind w:left="567"/>
        <w:jc w:val="both"/>
        <w:rPr>
          <w:i/>
          <w:iCs/>
          <w:sz w:val="20"/>
          <w:szCs w:val="18"/>
        </w:rPr>
      </w:pPr>
      <w:r>
        <w:t xml:space="preserve">20. Tālāk, runājot par lauksaimniecības produktiem, Tiesa norādīja, ka jēdziens “tehniski parametri” nozīmē parametrus, kas atrodami dokumentā, kurā definētas produkta īpašības vai tā ražošanas metodes un tehnika (šajā ziņā skat. spriedumu Donkersteeg, C-37/99, EU:C:2000:636, 30. punkts).</w:t>
      </w:r>
    </w:p>
    <w:p w14:paraId="65DAFA85" w14:textId="77777777">
      <w:pPr>
        <w:pStyle w:val="P68B1DB1-Normal14"/>
        <w:widowControl w:val="0"/>
        <w:autoSpaceDE w:val="0"/>
        <w:autoSpaceDN w:val="0"/>
        <w:spacing w:after="0" w:line="240" w:lineRule="auto"/>
        <w:ind w:left="567"/>
        <w:jc w:val="both"/>
        <w:rPr>
          <w:i/>
          <w:iCs/>
          <w:sz w:val="20"/>
          <w:szCs w:val="18"/>
        </w:rPr>
      </w:pPr>
    </w:p>
    <w:p w14:paraId="1CC9B834" w14:textId="7551980C">
      <w:pPr>
        <w:pStyle w:val="P68B1DB1-P68B1DB1-Normal147"/>
        <w:widowControl w:val="0"/>
        <w:autoSpaceDE w:val="0"/>
        <w:autoSpaceDN w:val="0"/>
        <w:spacing w:after="0" w:line="240" w:lineRule="auto"/>
        <w:ind w:left="567"/>
        <w:jc w:val="both"/>
        <w:rPr>
          <w:i/>
          <w:iCs/>
          <w:sz w:val="20"/>
          <w:szCs w:val="18"/>
        </w:rPr>
      </w:pPr>
      <w:r>
        <w:t xml:space="preserve">21. Taču ir jākonstatē, pirmkārt, ka, lai arī Noteikumu (1988:539) 9. pants attiecas uz tās infrastruktūras ērtībām un kvalitāti, kādā dējējvistas tiek audzētas, proti, īpaši aprīkotiem būriem, šajā tiesību normā tajā pašā laikā — kā to norādījusi Polijas valdība — nav definētas īpašības, kādām ir jābūt tādiem produktiem, kas aplūkoti pamatlietā.</w:t>
      </w:r>
    </w:p>
    <w:p w14:paraId="01AC6E59" w14:textId="77777777">
      <w:pPr>
        <w:pStyle w:val="P68B1DB1-Normal14"/>
        <w:widowControl w:val="0"/>
        <w:autoSpaceDE w:val="0"/>
        <w:autoSpaceDN w:val="0"/>
        <w:spacing w:after="0" w:line="240" w:lineRule="auto"/>
        <w:ind w:left="567"/>
        <w:jc w:val="both"/>
        <w:rPr>
          <w:i/>
          <w:iCs/>
          <w:sz w:val="20"/>
          <w:szCs w:val="18"/>
        </w:rPr>
      </w:pPr>
    </w:p>
    <w:p w14:paraId="4F11FC6F" w14:textId="24A20F05">
      <w:pPr>
        <w:pStyle w:val="P68B1DB1-P68B1DB1-Normal147"/>
        <w:widowControl w:val="0"/>
        <w:autoSpaceDE w:val="0"/>
        <w:autoSpaceDN w:val="0"/>
        <w:spacing w:after="0" w:line="240" w:lineRule="auto"/>
        <w:ind w:left="567"/>
        <w:jc w:val="both"/>
        <w:rPr>
          <w:i/>
          <w:iCs/>
          <w:sz w:val="20"/>
          <w:szCs w:val="18"/>
        </w:rPr>
      </w:pPr>
      <w:r>
        <w:t xml:space="preserve">22. Otrkārt, pieņemot, ka varētu uzskatīt, ka šī tiesību norma attiecas uz ražošanas metodi, jo tā — kā norādīts iepriekšējā punktā — attiecas uz dējējvistu turēšanu īpaši aprīkotos būros, katrā ziņā ir jānorāda, ka minētajā tiesību normā ir vien vispārīgi minēta prasība par perēkļa, laktas un pēršanās smiltīs esamību infrastruktūrā, tomēr īpaši nedefinējot dažādus šī turēšanas veida aspektus. Faktiski Noteikumu (1988:539) 9. pantā nav ietverta nekāda norāde, piemēram, par minēto aprīkojumu apjomu, skaitu, temperatūru, apkopi, funkcionēšanu saistībā ar dējējvistu atrašanos gaismā vai saistībā ar barošanas iekārtām un saīsināšanu. Tā kā Noteikumu (1988:539) 9. pantā nav nekādu precizējumu, to tādējādi nevar uzskatīt par tādu, kurā definēta ražošanas metode un tehnika.</w:t>
      </w:r>
    </w:p>
    <w:p w14:paraId="000E1FB3" w14:textId="77777777">
      <w:pPr>
        <w:pStyle w:val="P68B1DB1-Normal14"/>
        <w:widowControl w:val="0"/>
        <w:autoSpaceDE w:val="0"/>
        <w:autoSpaceDN w:val="0"/>
        <w:spacing w:after="0" w:line="240" w:lineRule="auto"/>
        <w:ind w:left="567"/>
        <w:jc w:val="both"/>
        <w:rPr>
          <w:i/>
          <w:iCs/>
          <w:sz w:val="20"/>
          <w:szCs w:val="18"/>
        </w:rPr>
      </w:pPr>
    </w:p>
    <w:p w14:paraId="38E2B353" w14:textId="549AB11B">
      <w:pPr>
        <w:pStyle w:val="P68B1DB1-P68B1DB1-Normal147"/>
        <w:widowControl w:val="0"/>
        <w:autoSpaceDE w:val="0"/>
        <w:autoSpaceDN w:val="0"/>
        <w:spacing w:after="0" w:line="240" w:lineRule="auto"/>
        <w:ind w:left="567"/>
        <w:jc w:val="both"/>
        <w:rPr>
          <w:i/>
          <w:iCs/>
          <w:sz w:val="20"/>
          <w:szCs w:val="18"/>
        </w:rPr>
      </w:pPr>
      <w:r>
        <w:t xml:space="preserve">23. Turklāt ir jānorāda, ka DSF 9. panta pirmajā daļā, norādot, ka “novietņu sistēma ir tāda, lai vistu mirstība un uzvedības traucējumi tiktu saglabāti zemā līmenī”, bez jebkādām citām norādēm ir tikai noteikti vispārīgi mērķi attiecībā uz vistu labturību olu ražošanai, obligāti neatsaucoties uz attiecīgo produktu un tādējādi nenosakot šī produkta īpašības (pēc analoģijas skat. spriedumu Intercommunale Intermosane un Fédération de l’Industrie et du gaz, C-361/10, EU:C:2011:382, 17. punkts).”</w:t>
      </w:r>
    </w:p>
    <w:p w14:paraId="6C0651D1" w14:textId="77777777">
      <w:pPr>
        <w:pStyle w:val="P68B1DB1-Normal14"/>
        <w:widowControl w:val="0"/>
        <w:autoSpaceDE w:val="0"/>
        <w:autoSpaceDN w:val="0"/>
        <w:spacing w:after="0" w:line="240" w:lineRule="auto"/>
        <w:ind w:left="567"/>
        <w:jc w:val="both"/>
      </w:pPr>
    </w:p>
    <w:p w14:paraId="497D9E29" w14:textId="02A14E4D">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1" w:history="1">
        <w:r>
          <w:rPr>
            <w:color w:val="0000FF"/>
            <w:u w:val="single"/>
          </w:rPr>
          <w:t xml:space="preserve">Spriedums, 2016. gada 27. oktobris</w:t>
        </w:r>
      </w:hyperlink>
      <w:r>
        <w:t xml:space="preserve">, James Elliott Construction, C-613/14, EU:C:2016:821, 67. punkts.</w:t>
      </w:r>
      <w:bookmarkEnd w:id="36"/>
    </w:p>
    <w:p w14:paraId="73295FA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546DAC4" w14:textId="10617266">
      <w:pPr>
        <w:pStyle w:val="P68B1DB1-P68B1DB1-Normal135"/>
        <w:widowControl w:val="0"/>
        <w:tabs>
          <w:tab w:val="left" w:pos="430"/>
        </w:tabs>
        <w:autoSpaceDE w:val="0"/>
        <w:autoSpaceDN w:val="0"/>
        <w:spacing w:after="0" w:line="240" w:lineRule="auto"/>
        <w:jc w:val="both"/>
        <w:rPr>
          <w:b w:val="0"/>
          <w:bCs/>
          <w:i w:val="0"/>
          <w:iCs/>
        </w:rPr>
      </w:pPr>
      <w:r>
        <w:t xml:space="preserve">Valsts tiesību normas, kurās ir paredzēti netieši līguma nosacījumi attiecībā uz pārdoto preču kvalitāti, nav “tehniskās specifikācijas”, jo tajās nav noteiktas attiecīgā ražojuma īpašības.</w:t>
      </w:r>
    </w:p>
    <w:p w14:paraId="6818C835" w14:textId="77777777">
      <w:pPr>
        <w:pStyle w:val="P68B1DB1-Normal14"/>
        <w:widowControl w:val="0"/>
        <w:tabs>
          <w:tab w:val="left" w:pos="430"/>
        </w:tabs>
        <w:autoSpaceDE w:val="0"/>
        <w:autoSpaceDN w:val="0"/>
        <w:spacing w:after="0" w:line="240" w:lineRule="auto"/>
        <w:jc w:val="both"/>
        <w:rPr>
          <w:i/>
          <w:iCs/>
          <w:sz w:val="20"/>
          <w:szCs w:val="18"/>
        </w:rPr>
      </w:pPr>
    </w:p>
    <w:p w14:paraId="63638539" w14:textId="7DA96F1E">
      <w:pPr>
        <w:pStyle w:val="P68B1DB1-P68B1DB1-Normal147"/>
        <w:widowControl w:val="0"/>
        <w:tabs>
          <w:tab w:val="left" w:pos="430"/>
        </w:tabs>
        <w:autoSpaceDE w:val="0"/>
        <w:autoSpaceDN w:val="0"/>
        <w:spacing w:after="0" w:line="240" w:lineRule="auto"/>
        <w:ind w:left="567"/>
        <w:jc w:val="both"/>
        <w:rPr>
          <w:i/>
          <w:iCs/>
          <w:sz w:val="20"/>
          <w:szCs w:val="18"/>
        </w:rPr>
      </w:pPr>
      <w:r>
        <w:t>“</w:t>
      </w:r>
      <w:bookmarkStart w:id="37" w:name="point67"/>
      <w:r>
        <w:t>67</w:t>
      </w:r>
      <w:bookmarkEnd w:id="37"/>
      <w:r>
        <w:t xml:space="preserve">. Šajā gadījumā, pirmkārt, šķiet, ka tādi noteikumi kā pamatlietā aplūkotie ne paši par sevi, ne arī kā tos interpretējušas Īrijas tiesas, neietilpst jēdzienā “tehniskā specifikācija” Direktīvas 98/34 1. panta 3. punkta izpratnē. Šis jēdziens attiecas tikai uz valsts pasākumiem, kuros ir atsauce uz produktu vai tā iepakojumu kā tādu un tādējādi ir noteikta viena no nepieciešamajām īpašībām (spriedums, 2014. gada 10. jūlijs, Ivansson u. c., C 307/13</w:t>
        <w:noBreakHyphen/>
        <w:t xml:space="preserve">, EU:C:2014:2058, 19. punkts, kā arī tajā minētā judikatūra). Tas acīmredzami neattiecas uz prasību, kas vispārīgi attiecas uz visu preču pārdošanu, ja vien puses nav vienojušās citādi.”</w:t>
      </w:r>
    </w:p>
    <w:p w14:paraId="7BFACEDE" w14:textId="77777777">
      <w:pPr>
        <w:spacing w:after="0" w:line="240" w:lineRule="auto"/>
      </w:pPr>
    </w:p>
    <w:p w14:paraId="5FDF21D1" w14:textId="0085E992">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2" w:history="1">
        <w:r>
          <w:rPr>
            <w:color w:val="0000FF"/>
            <w:u w:val="single"/>
          </w:rPr>
          <w:t xml:space="preserve">Spriedums, 2017. gada 1. februāris</w:t>
        </w:r>
      </w:hyperlink>
      <w:r>
        <w:t xml:space="preserve">, Município de Palmela, C-144/16, EU:C:2017:76, 30. punkts.</w:t>
      </w:r>
      <w:bookmarkEnd w:id="38"/>
    </w:p>
    <w:p w14:paraId="0E2142D8" w14:textId="77777777">
      <w:pPr>
        <w:widowControl w:val="0"/>
        <w:tabs>
          <w:tab w:val="left" w:pos="396"/>
          <w:tab w:val="left" w:pos="435"/>
        </w:tabs>
        <w:autoSpaceDE w:val="0"/>
        <w:autoSpaceDN w:val="0"/>
        <w:spacing w:after="0" w:line="240" w:lineRule="auto"/>
        <w:jc w:val="both"/>
        <w:rPr>
          <w:rFonts w:ascii="Times New Roman" w:hAnsi="Times New Roman" w:cs="Times New Roman" w:eastAsia="Times New Roman"/>
          <w:szCs w:val="20"/>
        </w:rPr>
      </w:pPr>
    </w:p>
    <w:p w14:paraId="2D0E0BDF" w14:textId="77777777">
      <w:pPr>
        <w:pStyle w:val="P68B1DB1-P68B1DB1-Normal135"/>
        <w:widowControl w:val="0"/>
        <w:tabs>
          <w:tab w:val="left" w:pos="396"/>
          <w:tab w:val="left" w:pos="399"/>
        </w:tabs>
        <w:autoSpaceDE w:val="0"/>
        <w:autoSpaceDN w:val="0"/>
        <w:spacing w:after="0" w:line="240" w:lineRule="auto"/>
        <w:jc w:val="both"/>
        <w:rPr>
          <w:b w:val="0"/>
          <w:bCs/>
          <w:i w:val="0"/>
          <w:iCs/>
        </w:rPr>
      </w:pPr>
      <w:r>
        <w:t xml:space="preserve">Proti, regula, ar kuru brīvā laika pavadīšanas vietā tiek prasīts norādīt informāciju par šīs zonas maksimālo ietilpību, nav uzskatāma par “tehnisku specifikāciju”, jo tajā nav noteiktas preces īpašības.</w:t>
      </w:r>
    </w:p>
    <w:p w14:paraId="0EEA34B8"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i/>
          <w:iCs/>
          <w:sz w:val="20"/>
          <w:szCs w:val="16"/>
        </w:rPr>
      </w:pPr>
    </w:p>
    <w:p w14:paraId="49F52DFE" w14:textId="22C34708">
      <w:pPr>
        <w:pStyle w:val="P68B1DB1-P68B1DB1-Normal147"/>
        <w:widowControl w:val="0"/>
        <w:autoSpaceDE w:val="0"/>
        <w:autoSpaceDN w:val="0"/>
        <w:spacing w:after="0" w:line="240" w:lineRule="auto"/>
        <w:ind w:left="567"/>
        <w:jc w:val="both"/>
        <w:rPr>
          <w:i/>
          <w:iCs/>
          <w:sz w:val="20"/>
          <w:szCs w:val="18"/>
        </w:rPr>
      </w:pPr>
      <w:r>
        <w:t xml:space="preserve">“30. [...] šāda tiesību norma neietilpst tehnisko specifikāciju kategorijā Direktīvas 98/34 1. panta 3. punkta izpratnē, jo nav strīda par to, ka noteikumi, kuros ir noteiktas prasības un vispārējie mērķi drošības un aizsardzības jomā, obligāti neatsaucoties uz attiecīgo preci vai tās iepakojumu kā tādu un tādējādi nenosakot šīs preces īpašības, nav tehniskās specifikācijas (šajā nozīmē skat. spriedumu, 2011. gada 9. jūnijs, Intercommunale Intermosane un Fédération de l’industrie et du gaz, C-361/10, EU:C:2011:382, 17. un 18. punkts).”</w:t>
      </w:r>
    </w:p>
    <w:p w14:paraId="5DF2371F" w14:textId="77777777">
      <w:pPr>
        <w:spacing w:after="0" w:line="240" w:lineRule="auto"/>
      </w:pPr>
    </w:p>
    <w:p w14:paraId="303995E7" w14:textId="23CEFD0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3" w:history="1">
        <w:r>
          <w:rPr>
            <w:color w:val="0000FF"/>
            <w:u w:val="single"/>
          </w:rPr>
          <w:t xml:space="preserve">Spriedums, 2018. gada 26. septembris</w:t>
        </w:r>
      </w:hyperlink>
      <w:r>
        <w:t xml:space="preserve">, Van Gennip u. c., C-137/17, EU:C:2018:771, 38. punkts.</w:t>
      </w:r>
      <w:bookmarkEnd w:id="39"/>
    </w:p>
    <w:p w14:paraId="2C38792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D8C12BA" w14:textId="71921C3D">
      <w:pPr>
        <w:widowControl w:val="0"/>
        <w:tabs>
          <w:tab w:val="left" w:pos="404"/>
        </w:tabs>
        <w:autoSpaceDE w:val="0"/>
        <w:autoSpaceDN w:val="0"/>
        <w:spacing w:after="0" w:line="240" w:lineRule="auto"/>
        <w:jc w:val="both"/>
        <w:rPr>
          <w:rFonts w:ascii="Times New Roman" w:hAnsi="Times New Roman" w:cs="Times New Roman" w:eastAsia="Times New Roman"/>
          <w:szCs w:val="20"/>
        </w:rPr>
        <w:pStyle w:val="P68B1DB1-Normal14"/>
      </w:pPr>
      <w:r>
        <w:t xml:space="preserve">Valsts tiesību normas, saskaņā ar kurām preču tirdzniecība ir atkarīga no tā, vai pircējam ir atļauja, neietilpst jēdzienā “tehniskā specifikācija”, jo tajās nav definētas paša produkta vai tā iepakojuma īpašības.</w:t>
      </w:r>
    </w:p>
    <w:p w14:paraId="51B72955" w14:textId="77777777">
      <w:pPr>
        <w:widowControl w:val="0"/>
        <w:tabs>
          <w:tab w:val="left" w:pos="404"/>
        </w:tabs>
        <w:autoSpaceDE w:val="0"/>
        <w:autoSpaceDN w:val="0"/>
        <w:spacing w:after="0" w:line="240" w:lineRule="auto"/>
        <w:jc w:val="both"/>
        <w:rPr>
          <w:rFonts w:ascii="Times New Roman" w:hAnsi="Times New Roman" w:cs="Times New Roman" w:eastAsia="Times New Roman"/>
          <w:sz w:val="20"/>
          <w:szCs w:val="18"/>
        </w:rPr>
      </w:pPr>
    </w:p>
    <w:p w14:paraId="7AB991D2" w14:textId="4B88FB97">
      <w:pPr>
        <w:pStyle w:val="P68B1DB1-P68B1DB1-Normal147"/>
        <w:widowControl w:val="0"/>
        <w:tabs>
          <w:tab w:val="left" w:pos="404"/>
        </w:tabs>
        <w:autoSpaceDE w:val="0"/>
        <w:autoSpaceDN w:val="0"/>
        <w:spacing w:after="0" w:line="240" w:lineRule="auto"/>
        <w:ind w:left="567"/>
        <w:jc w:val="both"/>
        <w:rPr>
          <w:i/>
          <w:iCs/>
          <w:sz w:val="20"/>
          <w:szCs w:val="18"/>
        </w:rPr>
      </w:pPr>
      <w:r>
        <w:t>“</w:t>
      </w:r>
      <w:bookmarkStart w:id="40" w:name="point38"/>
      <w:r>
        <w:t>38</w:t>
      </w:r>
      <w:bookmarkEnd w:id="40"/>
      <w:r>
        <w:t xml:space="preserve">. Pirmkārt, attiecībā uz jēdzienu “tehniskā specifikācija” ir jāatgādina, ka šis jēdziens paredz, ka valsts pasākums noteikti attiecas uz preci vai tās iepakojumu kā tādu un līdz ar to tajā ir noteikta kāda no preces nepieciešamajām īpašībām, piemēram, izmēri, tirdzniecības nosaukums, etiķete vai marķējums (spriedums, 2014. gada 10. jūlijs, Ivansson u. c., C 307/13</w:t>
        <w:noBreakHyphen/>
        <w:t xml:space="preserve">, EU:C:2014:2058, 19. punkts, kā arī tajā minētā judikatūra). Kā ģenerāladvokāts ir norādījis secinājumu 74. punktā, Beļģijas tiesiskais regulējums neattiecas uz pašiem pirotehniskajiem izstrādājumiem vai to iepakojumu pašu par sevi un tādējādi ar to nav noteikta kāda no īpašībām, kurai ir jāpiemīt precei. Tādējādi šie tiesību akti nav uzskatāmi par “tehniskiem parametriem” Direktīvas 98/34 1. panta 3. punkta izpratnē.”</w:t>
      </w:r>
    </w:p>
    <w:p w14:paraId="3C1C0D5D" w14:textId="77777777">
      <w:pPr>
        <w:spacing w:after="0" w:line="240" w:lineRule="auto"/>
      </w:pPr>
    </w:p>
    <w:p w14:paraId="1B398E2A" w14:textId="0E921DB9">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4" w:anchor="ctx1" w:history="1">
        <w:r>
          <w:rPr>
            <w:color w:val="0000FF"/>
            <w:u w:val="single"/>
          </w:rPr>
          <w:t xml:space="preserve">Spriedums, 2020. gada 28. maijs</w:t>
        </w:r>
      </w:hyperlink>
      <w:r>
        <w:t xml:space="preserve">, ECO-WIND Construction, C-727/17, EU:C:2020:393, 36. un 37. punkts.</w:t>
      </w:r>
      <w:bookmarkEnd w:id="41"/>
    </w:p>
    <w:p w14:paraId="0A0FB1E2" w14:textId="77777777">
      <w:pPr>
        <w:widowControl w:val="0"/>
        <w:autoSpaceDE w:val="0"/>
        <w:autoSpaceDN w:val="0"/>
        <w:spacing w:after="0" w:line="240" w:lineRule="auto"/>
        <w:jc w:val="both"/>
        <w:rPr>
          <w:rFonts w:ascii="Times New Roman" w:hAnsi="Times New Roman" w:cs="Times New Roman" w:eastAsia="Times New Roman"/>
          <w:szCs w:val="20"/>
        </w:rPr>
      </w:pPr>
    </w:p>
    <w:p w14:paraId="1727EFAA" w14:textId="2501EFD3">
      <w:pPr>
        <w:pStyle w:val="P68B1DB1-P68B1DB1-Normal135"/>
        <w:widowControl w:val="0"/>
        <w:autoSpaceDE w:val="0"/>
        <w:autoSpaceDN w:val="0"/>
        <w:spacing w:after="0" w:line="240" w:lineRule="auto"/>
        <w:jc w:val="both"/>
        <w:rPr>
          <w:b w:val="0"/>
          <w:bCs/>
          <w:i w:val="0"/>
          <w:iCs/>
        </w:rPr>
      </w:pPr>
      <w:r>
        <w:t xml:space="preserve">Regula, ar ko nosaka minimālo attālumu vējturbīnu uzstādīšanai, nav “tehniskā specifikācija”, jo tajā nav noteiktas ražojuma īpašības. </w:t>
      </w:r>
    </w:p>
    <w:p w14:paraId="722207F3" w14:textId="77777777">
      <w:pPr>
        <w:widowControl w:val="0"/>
        <w:autoSpaceDE w:val="0"/>
        <w:autoSpaceDN w:val="0"/>
        <w:spacing w:after="0" w:line="240" w:lineRule="auto"/>
        <w:jc w:val="both"/>
        <w:rPr>
          <w:rFonts w:ascii="Times New Roman" w:hAnsi="Times New Roman" w:cs="Times New Roman" w:eastAsia="Times New Roman"/>
          <w:szCs w:val="20"/>
        </w:rPr>
      </w:pPr>
    </w:p>
    <w:p w14:paraId="1E97E227" w14:textId="71BD8F6B">
      <w:pPr>
        <w:pStyle w:val="P68B1DB1-P68B1DB1-Normal1820"/>
        <w:widowControl w:val="0"/>
        <w:autoSpaceDE w:val="0"/>
        <w:autoSpaceDN w:val="0"/>
        <w:spacing w:after="0" w:line="240" w:lineRule="auto"/>
        <w:ind w:left="567"/>
        <w:jc w:val="both"/>
        <w:rPr>
          <w:sz w:val="18"/>
          <w:szCs w:val="18"/>
        </w:rPr>
      </w:pPr>
      <w:r>
        <w:t xml:space="preserve">“36. [..] attiecībā uz šīs pašas prasības iespējamo kvalificēšanu par tehniskiem noteikumiem, pamatojoties uz to, ka tie ietilpst “tehnisko specifikāciju” kategorijā, ir jānorāda, ka tehniskā specifikācija nozīmē, ka valsts tiesību aktā, ar kuru tā ir paredzēta, ir atsauce uz pašu preci vai tās iepakojumu un ka tādējādi tajā ir noteikta viena no nepieciešamajām īpašībām attiecībā uz šo preci (spriedumi, 2005. gada 21. aprīlis, Lindberg, C-267/03, EU:C:2005:246, 57. punkts, kā arī 2012. gada 19. jūlijs, Fortuna u. c., C-213/11, C-214/11 un C-217/11, EU:C:2012:495, 28. punkts).</w:t>
      </w:r>
    </w:p>
    <w:p w14:paraId="43CBA2CC" w14:textId="77777777">
      <w:pPr>
        <w:pStyle w:val="P68B1DB1-Normal18"/>
        <w:widowControl w:val="0"/>
        <w:autoSpaceDE w:val="0"/>
        <w:autoSpaceDN w:val="0"/>
        <w:spacing w:after="0" w:line="240" w:lineRule="auto"/>
        <w:ind w:left="567"/>
        <w:jc w:val="both"/>
        <w:rPr>
          <w:sz w:val="18"/>
          <w:szCs w:val="18"/>
        </w:rPr>
      </w:pPr>
    </w:p>
    <w:p w14:paraId="76314186" w14:textId="0AD1E5B8">
      <w:pPr>
        <w:pStyle w:val="P68B1DB1-P68B1DB1-Normal1820"/>
        <w:widowControl w:val="0"/>
        <w:autoSpaceDE w:val="0"/>
        <w:autoSpaceDN w:val="0"/>
        <w:spacing w:after="0" w:line="240" w:lineRule="auto"/>
        <w:ind w:left="567"/>
        <w:jc w:val="both"/>
        <w:rPr>
          <w:iCs/>
          <w:sz w:val="18"/>
          <w:szCs w:val="18"/>
        </w:rPr>
      </w:pPr>
      <w:r>
        <w:t xml:space="preserve">37. Šajā gadījumā pamatlietā aplūkotajā tiesiskajā regulējumā ir vienīgi reglamentēta vēja ģeneratoru uzstādīšana, nosakot minimālo attāluma ierobežojumu, kas ir jāievēro to ierīkošanai. Līdz ar to šajos tiesību aktos nav atsauces uz produktu kā tādu, šajā gadījumā — uz vēja ģeneratoru, un līdz ar to tajā nav noteikta kāda no nepieciešamajām īpašībām Direktīvas 2015/1535 1. panta 1. punkta f) apakšpunkta, lasot to šīs direktīvas 1. panta 1. punkta c) apakšpunkta gaismā, izpratnē.”</w:t>
      </w:r>
    </w:p>
    <w:p w14:paraId="5AABB494" w14:textId="77777777">
      <w:pPr>
        <w:spacing w:after="0" w:line="240" w:lineRule="auto"/>
      </w:pPr>
    </w:p>
    <w:p w14:paraId="083B7832" w14:textId="56CC78C4">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5" w:history="1">
        <w:r>
          <w:rPr>
            <w:color w:val="0000FF"/>
            <w:u w:val="single"/>
          </w:rPr>
          <w:t xml:space="preserve">Spriedums, 2020. gada 22. oktobris</w:t>
        </w:r>
      </w:hyperlink>
      <w:r>
        <w:t xml:space="preserve">, Sportingbet un Internet Opportunity Entertainment, C-275/19, EU:C:2020:856, 42. un 43. punkts.</w:t>
      </w:r>
      <w:bookmarkEnd w:id="42"/>
    </w:p>
    <w:p w14:paraId="6C7ED54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8C7F634" w14:textId="48937F16">
      <w:pPr>
        <w:widowControl w:val="0"/>
        <w:autoSpaceDE w:val="0"/>
        <w:autoSpaceDN w:val="0"/>
        <w:spacing w:after="0" w:line="240" w:lineRule="auto"/>
        <w:jc w:val="both"/>
        <w:outlineLvl w:val="1"/>
        <w:rPr>
          <w:rFonts w:ascii="Times New Roman" w:hAnsi="Times New Roman" w:cs="Times New Roman" w:eastAsia="Times New Roman"/>
          <w:szCs w:val="20"/>
        </w:rPr>
        <w:pStyle w:val="P68B1DB1-Normal14"/>
      </w:pPr>
      <w:bookmarkStart w:id="43" w:name="_Toc198043809"/>
      <w:r>
        <w:t xml:space="preserve">Valsts tiesiskais regulējums, kurā azartspēļu rīkošana ir rezervēta valstij un kurā ir prasīts, lai licences tiktu piešķirtas tikai valsts sabiedrībām, nav “tehniskā specifikācija”, jo tajā nav noteiktas preces nepieciešamās īpašības.</w:t>
      </w:r>
      <w:bookmarkEnd w:id="43"/>
    </w:p>
    <w:p w14:paraId="0A3D0FC5" w14:textId="77777777">
      <w:pPr>
        <w:widowControl w:val="0"/>
        <w:autoSpaceDE w:val="0"/>
        <w:autoSpaceDN w:val="0"/>
        <w:spacing w:after="0" w:line="240" w:lineRule="auto"/>
        <w:jc w:val="both"/>
        <w:outlineLvl w:val="1"/>
        <w:rPr>
          <w:rFonts w:ascii="Times New Roman" w:hAnsi="Times New Roman" w:cs="Times New Roman" w:eastAsia="Times New Roman"/>
          <w:szCs w:val="20"/>
        </w:rPr>
      </w:pPr>
    </w:p>
    <w:p w14:paraId="6392BB1A" w14:textId="67B2E488">
      <w:pPr>
        <w:pStyle w:val="P68B1DB1-P68B1DB1-Normal147"/>
        <w:widowControl w:val="0"/>
        <w:autoSpaceDE w:val="0"/>
        <w:autoSpaceDN w:val="0"/>
        <w:spacing w:after="0" w:line="240" w:lineRule="auto"/>
        <w:ind w:left="567"/>
        <w:jc w:val="both"/>
        <w:outlineLvl w:val="1"/>
        <w:rPr>
          <w:i/>
          <w:iCs/>
          <w:sz w:val="20"/>
          <w:szCs w:val="18"/>
        </w:rPr>
      </w:pPr>
      <w:bookmarkStart w:id="44" w:name="_Toc198043810"/>
      <w:r>
        <w:t xml:space="preserve">“42. Direktīvas 83/189 1. panta 1. punktā ir noteikts, ka “tehniskas specifikācijas” ir specifikācijas, kas ietvertas dokumentā, kurš nosaka preces nepieciešamās īpašības, piemēram, kvalitātes līmeni, darbību, drošību vai izmērus, ieskaitot prasības, kas piemērojamas precei attiecībā uz terminoloģiju, simboliem, pārbaudēm un pārbaužu metodēm, iesaiņojumu, marķēšanu vai etiķetēšanu un atbilstības novērtēšanas procedūrām (šajā nozīmē skat. spriedumu, 2001. gada 8. marts, van der Burg, C-278/99, EU:C:2001:143, 20. punkts).</w:t>
      </w:r>
      <w:bookmarkEnd w:id="44"/>
    </w:p>
    <w:p w14:paraId="0F20B9AD" w14:textId="77777777">
      <w:pPr>
        <w:pStyle w:val="P68B1DB1-Normal14"/>
        <w:widowControl w:val="0"/>
        <w:autoSpaceDE w:val="0"/>
        <w:autoSpaceDN w:val="0"/>
        <w:spacing w:after="0" w:line="240" w:lineRule="auto"/>
        <w:ind w:left="567"/>
        <w:jc w:val="both"/>
        <w:outlineLvl w:val="1"/>
        <w:rPr>
          <w:i/>
          <w:iCs/>
          <w:sz w:val="20"/>
          <w:szCs w:val="18"/>
        </w:rPr>
      </w:pPr>
    </w:p>
    <w:p w14:paraId="757FE488" w14:textId="2F0812B7">
      <w:pPr>
        <w:pStyle w:val="P68B1DB1-P68B1DB1-Normal147"/>
        <w:widowControl w:val="0"/>
        <w:autoSpaceDE w:val="0"/>
        <w:autoSpaceDN w:val="0"/>
        <w:spacing w:after="0" w:line="240" w:lineRule="auto"/>
        <w:ind w:left="567"/>
        <w:jc w:val="both"/>
        <w:outlineLvl w:val="1"/>
        <w:rPr>
          <w:i/>
          <w:iCs/>
          <w:sz w:val="20"/>
          <w:szCs w:val="18"/>
        </w:rPr>
      </w:pPr>
      <w:bookmarkStart w:id="45" w:name="_Toc198043811"/>
      <w:r>
        <w:t xml:space="preserve">43. Tā kā Dekrētlikuma Nr. 422/89 3. un 9. pantā ir paredzēti koncesijas noteikumi azartspēļu rīkošanai, kā arī nosacījumi un zonas šīs darbības veikšanai, nešķiet, ka šie noteikumi attiektos uz īpašībām, kas nepieciešamas precei Direktīvas 83/189 1. panta 1. punkta izpratnē, tādējādi tos nevar kvalificēt kā “tehniskos noteikumus” šīs direktīvas 1. panta 5. punkta izpratnē.”</w:t>
      </w:r>
      <w:bookmarkEnd w:id="45"/>
    </w:p>
    <w:p w14:paraId="317449EC" w14:textId="20C2AD43">
      <w:pPr>
        <w:spacing w:after="0" w:line="240" w:lineRule="auto"/>
      </w:pPr>
      <w:r>
        <w:br w:type="page"/>
      </w:r>
    </w:p>
    <w:p w14:paraId="5544B741" w14:textId="1E79FEAA">
      <w:pPr>
        <w:pStyle w:val="P68B1DB1-Heading24"/>
        <w:numPr>
          <w:ilvl w:val="0"/>
          <w:numId w:val="35"/>
        </w:numPr>
        <w:spacing w:before="0" w:after="0"/>
        <w:jc w:val="center"/>
        <w:rPr>
          <w:bCs/>
          <w:color w:val="auto"/>
        </w:rPr>
      </w:pPr>
      <w:bookmarkStart w:id="46" w:name="_Ref194484250"/>
      <w:bookmarkStart w:id="47" w:name="_Toc203035668"/>
      <w:r>
        <w:t xml:space="preserve">Citas prasības</w:t>
      </w:r>
      <w:bookmarkEnd w:id="46"/>
      <w:bookmarkEnd w:id="47"/>
    </w:p>
    <w:p w14:paraId="48370E42" w14:textId="77777777">
      <w:pPr>
        <w:pStyle w:val="BodyText"/>
      </w:pPr>
    </w:p>
    <w:p w14:paraId="032AC50F" w14:textId="77777777">
      <w:pPr>
        <w:pStyle w:val="P68B1DB1-BodyText11"/>
        <w:ind w:left="567"/>
        <w:rPr>
          <w:i/>
        </w:rPr>
      </w:pPr>
      <w:r>
        <w:t xml:space="preserve">““citas prasības” ir prasība, kas nav tehniska specifikācija un ko uzliek ražojumam, lai jo īpaši aizsargātu patērētājus vai vidi, un kas ietekmē tā aprites ciklu pēc tā laišanas tirgū, piemēram, lietošanas, pārstrādes, atkārtotas izmantošanas vai likvidēšanas nosacījumi, ja šādi nosacījumi var būtiski ietekmēt ražojuma sastāvu vai īpašības, vai tā tirdzniecību;”</w:t>
      </w:r>
    </w:p>
    <w:p w14:paraId="1AD68414" w14:textId="77777777">
      <w:pPr>
        <w:pStyle w:val="BodyText"/>
        <w:ind w:left="567"/>
        <w:rPr>
          <w:i/>
          <w:iCs/>
        </w:rPr>
      </w:pPr>
    </w:p>
    <w:p w14:paraId="3295AC84" w14:textId="258D2B2D">
      <w:pPr>
        <w:pStyle w:val="BodyText"/>
        <w:ind w:left="1440"/>
        <w:jc w:val="right"/>
      </w:pPr>
      <w:r>
        <w:t xml:space="preserve">(Direktīvas (ES) 2015/1535 1. panta 1. punkta d) apakšpunkts)</w:t>
      </w:r>
    </w:p>
    <w:p w14:paraId="330805BE" w14:textId="77777777">
      <w:pPr>
        <w:spacing w:after="0" w:line="240" w:lineRule="auto"/>
      </w:pPr>
    </w:p>
    <w:p w14:paraId="55D10FEE" w14:textId="55169F6A">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6" w:history="1">
        <w:r>
          <w:rPr>
            <w:color w:val="0000FF"/>
            <w:u w:val="single"/>
          </w:rPr>
          <w:t xml:space="preserve">Spriedums, 2005. gada 21. aprīlis,</w:t>
        </w:r>
      </w:hyperlink>
      <w:r>
        <w:t xml:space="preserve"> Lindberg, C-267/03, EU:C:2005:246, 68.–78. punkts.</w:t>
      </w:r>
      <w:bookmarkEnd w:id="48"/>
    </w:p>
    <w:p w14:paraId="505D095B"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C3CD77B" w14:textId="14D45A80">
      <w:pPr>
        <w:pStyle w:val="P68B1DB1-P68B1DB1-Normal135"/>
        <w:widowControl w:val="0"/>
        <w:tabs>
          <w:tab w:val="left" w:pos="396"/>
          <w:tab w:val="left" w:pos="425"/>
        </w:tabs>
        <w:autoSpaceDE w:val="0"/>
        <w:autoSpaceDN w:val="0"/>
        <w:spacing w:after="0" w:line="240" w:lineRule="auto"/>
        <w:jc w:val="both"/>
        <w:rPr>
          <w:b w:val="0"/>
          <w:bCs/>
          <w:i w:val="0"/>
          <w:iCs/>
        </w:rPr>
      </w:pPr>
      <w:r>
        <w:t xml:space="preserve">Valsts aizliegums noteiktām azartspēlēm var tikt kvalificēts kā “cita prasība”, ja tas var ietekmēt produkta sastāvu, raksturu vai tirdzniecību. Tomēr, ja aizliegums neatstāj iespēju izmantot ražojumu, tas tiks raksturots kā aizlieguma noteikums (sk. šā dokumenta I daļas e) apakšiedaļu “Aizliegumu noteikumi”).</w:t>
      </w:r>
    </w:p>
    <w:p w14:paraId="652340FB"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1480B8F9" w14:textId="6F01164B">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“68. [..] ir jākonstatē, ka uz tādu valsts pasākumu kā pamata lietā aplūkotais aizliegums, šķiet, konkrēti attiecas jēdziens “citas prasības”, kas Direktīvā 94/10 ir iekļauts Direktīvā 83/189, lai paplašinātu tā piemērošanas jomu, un ka tādējādi tas neietilpst tehnisko specifikāciju kategorijā.</w:t>
      </w:r>
    </w:p>
    <w:p w14:paraId="2944EF7E"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54A46FBE" w14:textId="533DD288">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69. Runa ir par prasībām, kas ir attiecinātas uz preci, proti, spēļu automātiem, ar galveno mērķi aizsargāt patērētājus, šajā gadījumā — attiecīgos spēlētājus.</w:t>
      </w:r>
    </w:p>
    <w:p w14:paraId="435FA3FD"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47230431" w14:textId="24C978CF">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70. Šajos apstākļos tāds aizliegums, ko paredz grozītā Loteriju likuma atbilstošie noteikumi, attiecas uz preces izmantošanu Direktīvas 83/189 1. panta 9. punkta nozīmē.</w:t>
      </w:r>
    </w:p>
    <w:p w14:paraId="25649921"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1F534BDA" w14:textId="11B53D06">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71. Turklāt prasība pamata lietā nav attiecināma uz spēļu automātiem to laišanai tirgū, bet attiecībā uz to dzīves ciklu pēc laišanas tirgū jēdziena “citas prasības” nozīmē, ko paredz Direktīvas 83/189 1. panta 3. punkts.</w:t>
      </w:r>
    </w:p>
    <w:p w14:paraId="59919AE6"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41F045F1" w14:textId="2B5F0180">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72. Lai “citas prasības” kvalificētu Direktīvas 83/189 1. panta 3. punkta nozīmē, tādai prasībai kā aizliegumam pamata lietā izmantot spēļu automātus ir jāveido “nosacījums”, šajā gadījumā — attiecīgās preces izmantošanas nosacījums, kas būtiski var ietekmēt preces saturu, raksturu vai tirdzniecību.</w:t>
      </w:r>
    </w:p>
    <w:p w14:paraId="39B806F8"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63F01875" w14:textId="05AA70B3">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73. Tomēr rodas jautājums, vai minētais aizliegums ir jākvalificē kā attiecīgās preces izmantošanas “nosacījums” vai, tieši pretēji, runa ir par trešajai tehnisko noteikumu kategorijai piederošu valsts pasākumu, ko nosaka Direktīvas 83/189 1. panta 9. punkts un ko tajā ievieš Direktīva 94/10, proti, tāda kategorija, kas ietver “dalībvalstu [..] tiesību aktus [..] par preces izmantošanas [..] aizliegumu”.</w:t>
      </w:r>
    </w:p>
    <w:p w14:paraId="0CE71B78"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191591B4" w14:textId="6B2734B5">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74. Tāda veida valsts pasākumā kā pamata lietā piederība vienai vai otrai no šīm divām tehnisko noteikumu kategorijām ir atkarīga no šī pasākuma ieviestā aizlieguma piemērojamības.</w:t>
      </w:r>
    </w:p>
    <w:p w14:paraId="6B836853"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2B46325D" w14:textId="0B469170">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75. Šajā sakarā ir nozīmīgi, ka minētā, Direktīvas 83/189 1. panta 9. punktā definētā trešā tehnisko noteikumu kategorija atšķirībā no otrās kategorijas, ko regulē citas prasības šī paša panta 3. punkta nozīmē, neietver nosacījumu, saskaņā ar kuru attiecīgajam aizliegumam būtiski jāietekmē preces saturs, raksturs vai tirdzniecība.</w:t>
      </w:r>
    </w:p>
    <w:p w14:paraId="3F06D727"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0478C3F2" w14:textId="527C7CD0">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76. Šai trešajai tehnisko noteikumu kategorijai, kas cita starpā attiecas uz izmantošanas aizliegumu, ir jāattiecas uz pasākumiem ar tādu piemērojamību, kas acīmredzami pārsniedz atsevišķus iespējamos attiecīgās preces izmantošanas ierobežojumus un kas tādējādi nav vienkāršs izmantošanas aizliegums.</w:t>
      </w:r>
    </w:p>
    <w:p w14:paraId="2801C70C"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673DF0AC" w14:textId="160B2A71">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77. Kā norādījis arī ģenerāladvokāts savu secinājumu 70. punktā, šī tehnisko noteikumu kategorija it īpaši attiecas uz valsts pasākumiem, kas pieļauj tikai ļoti ierobežotu izmantošanu, ko var saprātīgi sagaidīt no attiecīgās preces. Iesniedzējtiesai ir jāpārbauda, vai tas tā ir arī tāda aizlieguma gadījumā, ko ietver valsts tiesību akti pamata prāvā.</w:t>
      </w:r>
    </w:p>
    <w:p w14:paraId="4E46E41B" w14:textId="77777777">
      <w:pPr>
        <w:pStyle w:val="P68B1DB1-Normal14"/>
        <w:widowControl w:val="0"/>
        <w:tabs>
          <w:tab w:val="left" w:pos="396"/>
          <w:tab w:val="left" w:pos="425"/>
        </w:tabs>
        <w:autoSpaceDE w:val="0"/>
        <w:autoSpaceDN w:val="0"/>
        <w:spacing w:after="0" w:line="240" w:lineRule="auto"/>
        <w:ind w:left="567"/>
        <w:jc w:val="both"/>
        <w:rPr>
          <w:i/>
          <w:iCs/>
          <w:sz w:val="20"/>
          <w:szCs w:val="18"/>
        </w:rPr>
      </w:pPr>
    </w:p>
    <w:p w14:paraId="10A9AFAF" w14:textId="62EB4C43">
      <w:pPr>
        <w:pStyle w:val="P68B1DB1-P68B1DB1-Normal147"/>
        <w:widowControl w:val="0"/>
        <w:tabs>
          <w:tab w:val="left" w:pos="396"/>
          <w:tab w:val="left" w:pos="425"/>
        </w:tabs>
        <w:autoSpaceDE w:val="0"/>
        <w:autoSpaceDN w:val="0"/>
        <w:spacing w:after="0" w:line="240" w:lineRule="auto"/>
        <w:ind w:left="567"/>
        <w:jc w:val="both"/>
        <w:rPr>
          <w:i/>
          <w:iCs/>
          <w:sz w:val="20"/>
          <w:szCs w:val="18"/>
        </w:rPr>
      </w:pPr>
      <w:r>
        <w:t xml:space="preserve">78. Ja pēc šīs pārbaudes izrādās, ka pamata lietā tas tā nav, tad minētos valsts tiesību aktus no konstatēšanas brīža varēs kvalificēt kā “citas prasības” no brīža, kad ir konstatēts, ka šādas prasības ievērošana ir de jure obligāta, izmantojot preci attiecīgajā dalībvalstī Direktīvas 83/189 1. panta 9. punkta nozīmē. Tomēr šādā gadījumā iesniedzējtiesai ir arī jāpārbauda, vai attiecīgais aizliegums var būtiski ietekmēt produkta sastāvu vai īpašības, vai tā tirdzniecību 1. panta 3. punkta nozīmē.”</w:t>
      </w:r>
    </w:p>
    <w:p w14:paraId="58C5982D" w14:textId="77777777">
      <w:pPr>
        <w:widowControl w:val="0"/>
        <w:autoSpaceDE w:val="0"/>
        <w:autoSpaceDN w:val="0"/>
        <w:spacing w:after="0" w:line="240" w:lineRule="auto"/>
        <w:jc w:val="both"/>
        <w:outlineLvl w:val="1"/>
      </w:pPr>
    </w:p>
    <w:p w14:paraId="2F6BDAC1" w14:textId="2FA8E91B">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7" w:history="1">
        <w:r>
          <w:rPr>
            <w:color w:val="0000FF"/>
            <w:u w:val="single"/>
          </w:rPr>
          <w:t xml:space="preserve">Spriedums, 2011. gada 9. jūnijs</w:t>
        </w:r>
      </w:hyperlink>
      <w:r>
        <w:t xml:space="preserve">, Intercommunale Intermosane un Fédération de l’industrie et du gaz, C-361/10, EU:C:2011:382, 20. un 21. punkts.</w:t>
      </w:r>
      <w:bookmarkEnd w:id="49"/>
    </w:p>
    <w:p w14:paraId="57B3E0E0" w14:textId="77777777">
      <w:pPr>
        <w:widowControl w:val="0"/>
        <w:autoSpaceDE w:val="0"/>
        <w:autoSpaceDN w:val="0"/>
        <w:spacing w:after="0" w:line="240" w:lineRule="auto"/>
        <w:jc w:val="both"/>
        <w:rPr>
          <w:rFonts w:ascii="Times New Roman" w:hAnsi="Times New Roman" w:cs="Times New Roman" w:eastAsia="Times New Roman"/>
          <w:b/>
          <w:i/>
          <w:szCs w:val="20"/>
        </w:rPr>
      </w:pPr>
    </w:p>
    <w:p w14:paraId="2AC6C525" w14:textId="4FA3F43D">
      <w:pPr>
        <w:pStyle w:val="P68B1DB1-P68B1DB1-Normal135"/>
        <w:widowControl w:val="0"/>
        <w:autoSpaceDE w:val="0"/>
        <w:autoSpaceDN w:val="0"/>
        <w:spacing w:after="0" w:line="240" w:lineRule="auto"/>
        <w:jc w:val="both"/>
        <w:rPr>
          <w:b w:val="0"/>
          <w:bCs/>
          <w:i w:val="0"/>
          <w:iCs/>
        </w:rPr>
      </w:pPr>
      <w:r>
        <w:t xml:space="preserve">Valsts tiesību normas, kurās ir paredzētas minimālās prasības elektroinstalāciju būvniecībai un darba ņēmēju drošībai, nevar tikt kvalificētas kā “citas prasības”, jo to vispārīgais raksturs neļauj būtiski ietekmēt attiecīgo produktu sastāvu, raksturu vai tirdzniecību.</w:t>
      </w:r>
    </w:p>
    <w:p w14:paraId="2685F921" w14:textId="77777777">
      <w:pPr>
        <w:pStyle w:val="P68B1DB1-Normal14"/>
        <w:widowControl w:val="0"/>
        <w:autoSpaceDE w:val="0"/>
        <w:autoSpaceDN w:val="0"/>
        <w:spacing w:after="0" w:line="240" w:lineRule="auto"/>
        <w:ind w:left="567"/>
        <w:jc w:val="both"/>
      </w:pPr>
    </w:p>
    <w:p w14:paraId="7CB334E9" w14:textId="5A4E49E5">
      <w:pPr>
        <w:pStyle w:val="P68B1DB1-P68B1DB1-Normal147"/>
        <w:widowControl w:val="0"/>
        <w:autoSpaceDE w:val="0"/>
        <w:autoSpaceDN w:val="0"/>
        <w:spacing w:after="0" w:line="240" w:lineRule="auto"/>
        <w:ind w:left="567"/>
        <w:jc w:val="both"/>
        <w:rPr>
          <w:i/>
          <w:iCs/>
          <w:sz w:val="20"/>
          <w:szCs w:val="18"/>
        </w:rPr>
      </w:pPr>
      <w:r>
        <w:t xml:space="preserve">“20. Saskaņā ar judikatūru, lai minimālos priekšrakstus varētu kvalificēt kā “citas prasības” Direktīvas 98/34 1. panta 4. punkta izpratnē, minētajās tiesību normās ietvertajiem minimālajiem priekšrakstiem ir jāveido “nosacījums”: būtiski var ietekmēt attiecīgās preces saturu, raksturu vai tirdzniecību (šajā ziņā skat. iepriekš minēto spriedumu lietā Lindberg, 72. punkts).</w:t>
      </w:r>
    </w:p>
    <w:p w14:paraId="0201CB41" w14:textId="77777777">
      <w:pPr>
        <w:pStyle w:val="P68B1DB1-Normal14"/>
        <w:widowControl w:val="0"/>
        <w:autoSpaceDE w:val="0"/>
        <w:autoSpaceDN w:val="0"/>
        <w:spacing w:after="0" w:line="240" w:lineRule="auto"/>
        <w:ind w:left="567"/>
        <w:jc w:val="both"/>
        <w:rPr>
          <w:i/>
          <w:iCs/>
          <w:sz w:val="20"/>
          <w:szCs w:val="18"/>
        </w:rPr>
      </w:pPr>
    </w:p>
    <w:p w14:paraId="19DF32CA" w14:textId="1B626E8C">
      <w:pPr>
        <w:pStyle w:val="P68B1DB1-P68B1DB1-Normal147"/>
        <w:widowControl w:val="0"/>
        <w:autoSpaceDE w:val="0"/>
        <w:autoSpaceDN w:val="0"/>
        <w:spacing w:after="0" w:line="240" w:lineRule="auto"/>
        <w:ind w:left="567"/>
        <w:jc w:val="both"/>
        <w:rPr>
          <w:bCs/>
          <w:i/>
          <w:iCs/>
          <w:sz w:val="20"/>
          <w:szCs w:val="18"/>
        </w:rPr>
      </w:pPr>
      <w:r>
        <w:t xml:space="preserve">21. Ņemot vērā minēto prasību vispārējo raksturu, tās nevar tikt uzskatītas par šādiem nosacījumiem un līdz ar to nevar tikt kvalificētas kā “citas prasības” direktīvas 1. panta 4. punkta izpratnē.”</w:t>
      </w:r>
    </w:p>
    <w:p w14:paraId="22AC2F60" w14:textId="77777777">
      <w:pPr>
        <w:spacing w:after="0" w:line="240" w:lineRule="auto"/>
      </w:pPr>
    </w:p>
    <w:p w14:paraId="42A24500" w14:textId="38331ADD">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38" w:history="1">
        <w:r>
          <w:rPr>
            <w:color w:val="0000FF"/>
            <w:u w:val="single"/>
          </w:rPr>
          <w:t xml:space="preserve">Spriedums, 2012. gada 19. jūlijs</w:t>
        </w:r>
      </w:hyperlink>
      <w:r>
        <w:t xml:space="preserve">, Fortuna u. c., C-213/11, C-214/11 un C-217/11, EU:C:2012:495, 35., 36. un 40. punkts.</w:t>
      </w:r>
      <w:bookmarkEnd w:id="50"/>
    </w:p>
    <w:p w14:paraId="663DE3A5"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F531831" w14:textId="1178CA17">
      <w:pPr>
        <w:pStyle w:val="P68B1DB1-P68B1DB1-Normal135"/>
        <w:widowControl w:val="0"/>
        <w:tabs>
          <w:tab w:val="left" w:pos="451"/>
        </w:tabs>
        <w:autoSpaceDE w:val="0"/>
        <w:autoSpaceDN w:val="0"/>
        <w:spacing w:after="0" w:line="240" w:lineRule="auto"/>
        <w:jc w:val="both"/>
        <w:rPr>
          <w:b w:val="0"/>
          <w:bCs/>
          <w:i w:val="0"/>
          <w:iCs/>
        </w:rPr>
      </w:pPr>
      <w:r>
        <w:t xml:space="preserve">Valsts tiesību normas, kas ierobežo spēļu automātu darbību ārpus kazino, var tikt kvalificētas kā “citas prasības” un līdz ar to kā “tehniski noteikumi”, ja tās būtiski ietekmē attiecīgo produktu raksturu vai tirdzniecību. </w:t>
      </w:r>
    </w:p>
    <w:p w14:paraId="61D3F52D" w14:textId="77777777">
      <w:pPr>
        <w:widowControl w:val="0"/>
        <w:tabs>
          <w:tab w:val="left" w:pos="451"/>
        </w:tabs>
        <w:autoSpaceDE w:val="0"/>
        <w:autoSpaceDN w:val="0"/>
        <w:spacing w:after="0" w:line="240" w:lineRule="auto"/>
        <w:jc w:val="both"/>
        <w:rPr>
          <w:rFonts w:ascii="Times New Roman" w:hAnsi="Times New Roman" w:cs="Times New Roman" w:eastAsia="Times New Roman"/>
          <w:i/>
          <w:iCs/>
          <w:sz w:val="20"/>
          <w:szCs w:val="16"/>
        </w:rPr>
      </w:pPr>
    </w:p>
    <w:p w14:paraId="1B71B669" w14:textId="30006E3D">
      <w:pPr>
        <w:pStyle w:val="P68B1DB1-P68B1DB1-Normal147"/>
        <w:widowControl w:val="0"/>
        <w:tabs>
          <w:tab w:val="left" w:pos="451"/>
        </w:tabs>
        <w:autoSpaceDE w:val="0"/>
        <w:autoSpaceDN w:val="0"/>
        <w:spacing w:after="0" w:line="240" w:lineRule="auto"/>
        <w:ind w:left="567"/>
        <w:jc w:val="both"/>
        <w:rPr>
          <w:i/>
          <w:sz w:val="20"/>
          <w:szCs w:val="18"/>
        </w:rPr>
      </w:pPr>
      <w:r>
        <w:t xml:space="preserve">“35. [..] Tiesa ir nospriedusi, ka, lai attiecīgos valsts pasākumus varētu kvalificēt kā “citas prasības” Direktīvas 98/34 1. panta 4. punkta izpratnē, tiem ir jābūt “nosacījumiem”, kas var būtiski ietekmēt attiecīgās preces sastāvu, raksturu vai tirdzniecību (šajā sakarā skat. iepriekš minētos spriedumus lietā Lindberg, 72. punkts, un lietā Intercommunale Intermosane un Fédération de l’industrie et du gaz, 20. punkts).</w:t>
      </w:r>
    </w:p>
    <w:p w14:paraId="746FA5AB" w14:textId="77777777">
      <w:pPr>
        <w:pStyle w:val="P68B1DB1-Normal14"/>
        <w:widowControl w:val="0"/>
        <w:tabs>
          <w:tab w:val="left" w:pos="451"/>
        </w:tabs>
        <w:autoSpaceDE w:val="0"/>
        <w:autoSpaceDN w:val="0"/>
        <w:spacing w:after="0" w:line="240" w:lineRule="auto"/>
        <w:ind w:left="567"/>
        <w:jc w:val="both"/>
        <w:rPr>
          <w:i/>
          <w:sz w:val="20"/>
          <w:szCs w:val="18"/>
        </w:rPr>
      </w:pPr>
    </w:p>
    <w:p w14:paraId="7A3394EB" w14:textId="0B6B76F9">
      <w:pPr>
        <w:pStyle w:val="P68B1DB1-P68B1DB1-Normal147"/>
        <w:widowControl w:val="0"/>
        <w:tabs>
          <w:tab w:val="left" w:pos="451"/>
        </w:tabs>
        <w:autoSpaceDE w:val="0"/>
        <w:autoSpaceDN w:val="0"/>
        <w:spacing w:after="0" w:line="240" w:lineRule="auto"/>
        <w:ind w:left="567"/>
        <w:jc w:val="both"/>
        <w:rPr>
          <w:i/>
          <w:sz w:val="20"/>
          <w:szCs w:val="18"/>
        </w:rPr>
      </w:pPr>
      <w:r>
        <w:t xml:space="preserve">36. Šajā ziņā ir jānorāda, ka Azartspēļu likuma pārejas noteikumi ietver nosacījumus, kuri var ietekmēt spēļu ar maziem laimestiem automātu tirdzniecību. Aizliegums izsniegt, pagarināt vai grozīt atļaujas darbībai saistībā ar spēļu automātiem ar zemu laimestu ārpus kazino ir tāds, kas tieši ietekmē tirdzniecību ar spēļu automātiem ar zemu laimestu.”</w:t>
      </w:r>
    </w:p>
    <w:p w14:paraId="27E4E8B1" w14:textId="77777777">
      <w:pPr>
        <w:widowControl w:val="0"/>
        <w:tabs>
          <w:tab w:val="left" w:pos="451"/>
        </w:tabs>
        <w:autoSpaceDE w:val="0"/>
        <w:autoSpaceDN w:val="0"/>
        <w:spacing w:after="0" w:line="240" w:lineRule="auto"/>
        <w:ind w:left="567"/>
        <w:jc w:val="both"/>
        <w:rPr>
          <w:rFonts w:ascii="Times New Roman" w:hAnsi="Times New Roman" w:cs="Times New Roman" w:eastAsia="Times New Roman"/>
          <w:i/>
          <w:sz w:val="18"/>
          <w:szCs w:val="14"/>
        </w:rPr>
      </w:pPr>
    </w:p>
    <w:p w14:paraId="13BFA8BE" w14:textId="303CF5F4">
      <w:pPr>
        <w:pStyle w:val="P68B1DB1-P68B1DB1-Normal147"/>
        <w:widowControl w:val="0"/>
        <w:tabs>
          <w:tab w:val="left" w:pos="451"/>
        </w:tabs>
        <w:autoSpaceDE w:val="0"/>
        <w:autoSpaceDN w:val="0"/>
        <w:spacing w:after="0" w:line="240" w:lineRule="auto"/>
        <w:ind w:left="567"/>
        <w:jc w:val="both"/>
        <w:rPr>
          <w:i/>
          <w:sz w:val="20"/>
          <w:szCs w:val="18"/>
        </w:rPr>
      </w:pPr>
      <w:r>
        <w:t xml:space="preserve">“40. [..] uz uzdotajiem jautājumiem ir jāatbild, ka Direktīvas 98/34 1. panta 11. punkts ir jāinterpretē tādējādi, ka tādas valsts tiesību normas kā Azartspēļu likuma normas, kas varētu ierobežot vai pat pakāpeniski padarīt neiespējamu spēļu rīkošanu ar spēļu automātiem ar zemu laimestu jebkurā vietā, nevis kazino un spēļu zālēs, var būt “tehniskie noteikumi” šīs tiesību normas izpratnē, kuru projekti ir jāizziņo šīs direktīvas 8. panta 1. punkta pirmās daļas izpratnē, ciktāl ir konstatēts, ka šie noteikumi ir nosacījumi, kas var būtiski ietekmēt attiecīgā produkta raksturu vai tirdzniecību, kas ir jāpārbauda iesniedzējtiesai.”</w:t>
      </w:r>
    </w:p>
    <w:p w14:paraId="3AB93DB7" w14:textId="77777777">
      <w:pPr>
        <w:spacing w:after="0" w:line="240" w:lineRule="auto"/>
      </w:pPr>
    </w:p>
    <w:p w14:paraId="6F817443" w14:textId="50BA543B">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4"/>
      </w:pPr>
      <w:hyperlink r:id="rId39" w:history="1">
        <w:r>
          <w:rPr>
            <w:b/>
            <w:i/>
            <w:color w:val="0000FF"/>
            <w:u w:val="single"/>
          </w:rPr>
          <w:t xml:space="preserve">Spriedums, 2014. gada 10. jūlijs,</w:t>
        </w:r>
      </w:hyperlink>
      <w:r>
        <w:rPr>
          <w:b/>
          <w:i/>
        </w:rPr>
        <w:t xml:space="preserve">Ivansson u. c.</w:t>
      </w:r>
      <w:r>
        <w:rPr>
          <w:sz w:val="25"/>
        </w:rPr>
        <w:t xml:space="preserve">, C-307/13, EU:C:2014:2058, 26.–28. punkts.</w:t>
      </w:r>
      <w:r>
        <w:rPr>
          <w:b/>
          <w:i/>
        </w:rPr>
        <w:t xml:space="preserve"> </w:t>
      </w:r>
      <w:bookmarkEnd w:id="51"/>
    </w:p>
    <w:p w14:paraId="545625E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7F9CB0B" w14:textId="6B35A590">
      <w:pPr>
        <w:pStyle w:val="P68B1DB1-P68B1DB1-Normal135"/>
        <w:widowControl w:val="0"/>
        <w:tabs>
          <w:tab w:val="left" w:pos="396"/>
          <w:tab w:val="left" w:pos="407"/>
        </w:tabs>
        <w:autoSpaceDE w:val="0"/>
        <w:autoSpaceDN w:val="0"/>
        <w:spacing w:after="0" w:line="240" w:lineRule="auto"/>
        <w:jc w:val="both"/>
        <w:rPr>
          <w:b w:val="0"/>
          <w:bCs/>
          <w:i w:val="0"/>
          <w:iCs/>
        </w:rPr>
      </w:pPr>
      <w:r>
        <w:t xml:space="preserve">Noteikums, kas nosaka vispārēju mērķi attiecībā uz mājputnu komfortu un audzēšanas telpu kvalitāti, nav “cita prasība”, jo ir maz ticams, ka tā vispārīgais raksturs ietekmēs galaprodukta sastāvu, īpašības vai tirdzniecību. </w:t>
      </w:r>
    </w:p>
    <w:p w14:paraId="14EF2596" w14:textId="77777777">
      <w:pPr>
        <w:widowControl w:val="0"/>
        <w:autoSpaceDE w:val="0"/>
        <w:autoSpaceDN w:val="0"/>
        <w:spacing w:after="0" w:line="240" w:lineRule="auto"/>
        <w:ind w:left="567"/>
        <w:jc w:val="both"/>
        <w:rPr>
          <w:rFonts w:ascii="Times New Roman" w:hAnsi="Times New Roman" w:cs="Times New Roman" w:eastAsia="Times New Roman"/>
          <w:bCs/>
          <w:i/>
          <w:sz w:val="20"/>
          <w:szCs w:val="16"/>
        </w:rPr>
      </w:pPr>
    </w:p>
    <w:p w14:paraId="3581B4FF" w14:textId="624DB181">
      <w:pPr>
        <w:pStyle w:val="P68B1DB1-P68B1DB1-Normal147"/>
        <w:spacing w:after="0" w:line="240" w:lineRule="auto"/>
        <w:ind w:left="567"/>
        <w:jc w:val="both"/>
        <w:rPr>
          <w:i/>
          <w:iCs/>
          <w:sz w:val="20"/>
          <w:szCs w:val="18"/>
        </w:rPr>
      </w:pPr>
      <w:r>
        <w:t xml:space="preserve">“26. [..] Tiesa jau ir nospriedusi, ka, lai attiecīgos valsts pasākumus varētu kvalificēt kā “citas prasības” Direktīvas 98/34 1. panta 4. punkta izpratnē, tiem ir jābūt “nosacījumiem”, kas var būtiski ietekmēt attiecīgās preces sastāvu, raksturu vai tirdzniecību (skat. spriedumu Fortuna u. c., EU:C:2012:495, 35. punkts, kā arī tajā minētā judikatūra).</w:t>
      </w:r>
    </w:p>
    <w:p w14:paraId="4C097BBE" w14:textId="77777777">
      <w:pPr>
        <w:pStyle w:val="P68B1DB1-Normal14"/>
        <w:spacing w:after="0" w:line="240" w:lineRule="auto"/>
        <w:ind w:left="567"/>
        <w:jc w:val="both"/>
        <w:rPr>
          <w:i/>
          <w:iCs/>
          <w:sz w:val="20"/>
          <w:szCs w:val="18"/>
        </w:rPr>
      </w:pPr>
    </w:p>
    <w:p w14:paraId="22DD1173" w14:textId="5E72285F">
      <w:pPr>
        <w:pStyle w:val="P68B1DB1-P68B1DB1-Normal147"/>
        <w:spacing w:after="0" w:line="240" w:lineRule="auto"/>
        <w:ind w:left="567"/>
        <w:jc w:val="both"/>
        <w:rPr>
          <w:i/>
          <w:iCs/>
          <w:sz w:val="20"/>
          <w:szCs w:val="18"/>
        </w:rPr>
      </w:pPr>
      <w:r>
        <w:t xml:space="preserve">27. Tiesa arī uzskatīja, ka, ja tiesību normā ietvertajiem priekšrakstiem ir vispārējs raksturs, tie nevar veidot šādus nosacījumus, ne arī attiecīgi var tikt kvalificēti kā “citas prasības” minētā 1. panta 4. punkta izpratnē (šajā ziņā skat. spriedumu Intercommunale Intermosaneun Fédération de l’industrie et du gaz, EU:C:2011:382, 21. punkts).</w:t>
      </w:r>
    </w:p>
    <w:p w14:paraId="15F3320F" w14:textId="77777777">
      <w:pPr>
        <w:pStyle w:val="P68B1DB1-Normal14"/>
        <w:spacing w:after="0" w:line="240" w:lineRule="auto"/>
        <w:ind w:left="567"/>
        <w:jc w:val="both"/>
        <w:rPr>
          <w:i/>
          <w:iCs/>
          <w:sz w:val="20"/>
          <w:szCs w:val="18"/>
        </w:rPr>
      </w:pPr>
    </w:p>
    <w:p w14:paraId="2DD435A7" w14:textId="30F8D24A">
      <w:pPr>
        <w:pStyle w:val="P68B1DB1-P68B1DB1-Normal147"/>
        <w:spacing w:after="0" w:line="240" w:lineRule="auto"/>
        <w:ind w:left="567"/>
        <w:jc w:val="both"/>
        <w:rPr>
          <w:bCs/>
          <w:i/>
          <w:iCs/>
          <w:sz w:val="20"/>
          <w:szCs w:val="18"/>
        </w:rPr>
      </w:pPr>
      <w:r>
        <w:t xml:space="preserve">28. DSF 9. punkta ļoti vispārīgais formulējums, kā tas ir norādīts šī sprieduma 22. un 23. punktā, tādējādi liedz uzskatīt, ka šis noteikums rada nosacījumus attiecīgo produktu sastāvam vai īpašībām, vai to tirdzniecībai.”</w:t>
      </w:r>
    </w:p>
    <w:p w14:paraId="411B1718" w14:textId="77777777">
      <w:pPr>
        <w:spacing w:after="0" w:line="240" w:lineRule="auto"/>
        <w:rPr>
          <w:rFonts w:ascii="Times New Roman" w:hAnsi="Times New Roman" w:cs="Times New Roman" w:eastAsia="Times New Roman"/>
          <w:bCs/>
          <w:i/>
          <w:sz w:val="20"/>
          <w:szCs w:val="16"/>
        </w:rPr>
      </w:pPr>
    </w:p>
    <w:p w14:paraId="4751BBE0" w14:textId="22592B08">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0" w:anchor="ctx1" w:history="1">
        <w:r>
          <w:rPr>
            <w:color w:val="0000FF"/>
            <w:u w:val="single"/>
          </w:rPr>
          <w:t xml:space="preserve">Spriedums, 2015. gada 11. jūnijs</w:t>
        </w:r>
      </w:hyperlink>
      <w:r>
        <w:t xml:space="preserve">, Berlington Hungary u. c., C-98/14, EU:C:2015:386, 98. un 99. punkts.</w:t>
      </w:r>
      <w:bookmarkEnd w:id="52"/>
    </w:p>
    <w:p w14:paraId="25A15725"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998E6F5" w14:textId="77777777">
      <w:pPr>
        <w:pStyle w:val="P68B1DB1-P68B1DB1-Normal135"/>
        <w:widowControl w:val="0"/>
        <w:tabs>
          <w:tab w:val="left" w:pos="396"/>
          <w:tab w:val="left" w:pos="449"/>
        </w:tabs>
        <w:autoSpaceDE w:val="0"/>
        <w:autoSpaceDN w:val="0"/>
        <w:spacing w:after="0" w:line="240" w:lineRule="auto"/>
        <w:jc w:val="both"/>
        <w:rPr>
          <w:b w:val="0"/>
          <w:bCs/>
          <w:i w:val="0"/>
          <w:iCs/>
        </w:rPr>
      </w:pPr>
      <w:r>
        <w:t xml:space="preserve">Valsts tiesību normas, kas aizliedz spēļu automātu ekspluatāciju ārpus kazino, ir “citas prasības”, jo tās var būtiski ietekmēt šādu automātu veidu vai tirdzniecību.</w:t>
      </w:r>
    </w:p>
    <w:p w14:paraId="39E1078A" w14:textId="77777777">
      <w:pPr>
        <w:widowControl w:val="0"/>
        <w:tabs>
          <w:tab w:val="left" w:pos="396"/>
          <w:tab w:val="left" w:pos="449"/>
        </w:tabs>
        <w:autoSpaceDE w:val="0"/>
        <w:autoSpaceDN w:val="0"/>
        <w:spacing w:after="0" w:line="240" w:lineRule="auto"/>
        <w:jc w:val="both"/>
        <w:rPr>
          <w:rFonts w:ascii="Times New Roman" w:hAnsi="Times New Roman" w:cs="Times New Roman" w:eastAsia="Times New Roman"/>
          <w:i/>
          <w:iCs/>
          <w:sz w:val="20"/>
          <w:szCs w:val="16"/>
        </w:rPr>
      </w:pPr>
    </w:p>
    <w:p w14:paraId="08EB1E5D" w14:textId="2E1379BD">
      <w:pPr>
        <w:pStyle w:val="P68B1DB1-P68B1DB1-Normal147"/>
        <w:widowControl w:val="0"/>
        <w:tabs>
          <w:tab w:val="left" w:pos="396"/>
          <w:tab w:val="left" w:pos="449"/>
        </w:tabs>
        <w:autoSpaceDE w:val="0"/>
        <w:autoSpaceDN w:val="0"/>
        <w:spacing w:after="0" w:line="240" w:lineRule="auto"/>
        <w:ind w:left="567"/>
        <w:jc w:val="both"/>
        <w:rPr>
          <w:i/>
          <w:iCs/>
          <w:sz w:val="20"/>
          <w:szCs w:val="18"/>
        </w:rPr>
      </w:pPr>
      <w:bookmarkStart w:id="53" w:name="point98"/>
      <w:r>
        <w:t>“</w:t>
      </w:r>
      <w:bookmarkEnd w:id="53"/>
      <w:r>
        <w:t xml:space="preserve">98. [..] Tiesa jau ir nospriedusi, ka valsts pasākums, kas noteiktu azartspēļu organizēšanu attiecina tikai uz kazino, ir “tehnisks noteikums” šīs direktīvas 1. panta 11. punkta izpratnē, ciktāl tas var būtiski ietekmēt šajā kontekstā izmantoto preču raksturu vai tirdzniecību (šajā ziņā skat. spriedumus Komisija/Grieķija, C-65/05, EU:C:2006:673, 61. punkts, kā arī Fortuna u. c., apvienotās lietas C-213/11, C-214/11 un C-217/11, EU:C:2012:495, 24. un 40. punkts).</w:t>
      </w:r>
    </w:p>
    <w:p w14:paraId="3EF89879" w14:textId="77777777">
      <w:pPr>
        <w:pStyle w:val="P68B1DB1-Normal14"/>
        <w:widowControl w:val="0"/>
        <w:tabs>
          <w:tab w:val="left" w:pos="396"/>
          <w:tab w:val="left" w:pos="449"/>
        </w:tabs>
        <w:autoSpaceDE w:val="0"/>
        <w:autoSpaceDN w:val="0"/>
        <w:spacing w:after="0" w:line="240" w:lineRule="auto"/>
        <w:ind w:left="567"/>
        <w:jc w:val="both"/>
        <w:rPr>
          <w:i/>
          <w:iCs/>
          <w:sz w:val="20"/>
          <w:szCs w:val="18"/>
        </w:rPr>
      </w:pPr>
    </w:p>
    <w:p w14:paraId="61FE26C2" w14:textId="47FD8C72">
      <w:pPr>
        <w:pStyle w:val="P68B1DB1-P68B1DB1-Normal147"/>
        <w:widowControl w:val="0"/>
        <w:tabs>
          <w:tab w:val="left" w:pos="396"/>
          <w:tab w:val="left" w:pos="449"/>
        </w:tabs>
        <w:autoSpaceDE w:val="0"/>
        <w:autoSpaceDN w:val="0"/>
        <w:spacing w:after="0" w:line="240" w:lineRule="auto"/>
        <w:ind w:left="567"/>
        <w:jc w:val="both"/>
        <w:rPr>
          <w:i/>
          <w:iCs/>
          <w:sz w:val="20"/>
          <w:szCs w:val="18"/>
        </w:rPr>
      </w:pPr>
      <w:r>
        <w:t xml:space="preserve">99. Tomēr aizliegums izmantot spēļu automātus ārpus kazino, kāds tika ieviests ar 2012. gada Grozījumu likumu, var būtiski ietekmēt šo automātu raksturu vai tirdzniecību, kas ir preces, uz kurām var attiekties LESD 34. pants (skat. spriedumu Läärä u. c., C-124/97, EU:C:1999:435, 20. un 24. punkts), samazinot to izmantošanas iespējas.”</w:t>
      </w:r>
    </w:p>
    <w:p w14:paraId="6E21C148" w14:textId="77777777">
      <w:pPr>
        <w:pStyle w:val="P68B1DB1-Normal14"/>
        <w:widowControl w:val="0"/>
        <w:tabs>
          <w:tab w:val="left" w:pos="396"/>
          <w:tab w:val="left" w:pos="449"/>
        </w:tabs>
        <w:autoSpaceDE w:val="0"/>
        <w:autoSpaceDN w:val="0"/>
        <w:spacing w:after="0" w:line="240" w:lineRule="auto"/>
        <w:ind w:left="567"/>
        <w:jc w:val="both"/>
      </w:pPr>
    </w:p>
    <w:p w14:paraId="2000DB13" w14:textId="27A949A7">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1" w:history="1">
        <w:r>
          <w:rPr>
            <w:color w:val="0000FF"/>
            <w:u w:val="single"/>
          </w:rPr>
          <w:t xml:space="preserve">Spriedums, 2016. gada 13. oktobris</w:t>
        </w:r>
      </w:hyperlink>
      <w:r>
        <w:t xml:space="preserve">, Naczelnik Urzędu Celnego I w Ł., C-303/15, EU:C:2016:771, 25.–30. punkts.</w:t>
      </w:r>
      <w:bookmarkEnd w:id="54"/>
    </w:p>
    <w:p w14:paraId="5BE11B60"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Pr>
    </w:p>
    <w:p w14:paraId="65E429E8"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Style w:val="P68B1DB1-Normal14"/>
      </w:pPr>
      <w:r>
        <w:t xml:space="preserve">Noteikums, saskaņā ar kuru azartspēļu darbību veikšanai ir nepieciešama kazino darbības licence, nav “cita prasība”. Proti, lai gan noteikumi, kas ierobežo azartspēļu organizēšanu, attiecinot tos tikai uz kazino, var būtiski ietekmēt saistīto produktu tirdzniecību, samazinot to izplatīšanas kanālus, noteikumi, kas reglamentē uzņēmumu dibināšanas nosacījumus, visticamāk, būtiski neietekmē izmantoto produktu raksturu vai tirdzniecību.</w:t>
      </w:r>
    </w:p>
    <w:p w14:paraId="7D28A908"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 w:val="20"/>
          <w:szCs w:val="18"/>
        </w:rPr>
      </w:pPr>
    </w:p>
    <w:p w14:paraId="1BE98C7F" w14:textId="7F54B5A4">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“25. Visbeidzot, lai noteiktu, vai Azartspēļu likuma 6. panta 1. punkts ietilpst Direktīvas 98/34 1. panta 4. punkta vai šīs direktīvas 1. panta 11. punkta piemērošanas jomā, ir jāpārbauda, vai šāda tiesību norma var būtiski ietekmēt attiecīgās preces, šajā gadījumā spēļu automātu, sastāvu, raksturu vai tirdzniecību kā attiecīgās preces izmantošanas “nosacījumu”, vai arī tas ir valsts pasākums, kas ietilpst šīs direktīvas 1. panta 11. punktā paredzētajā aizliegumu kategorijā.</w:t>
      </w:r>
    </w:p>
    <w:p w14:paraId="69BFAFE3"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79CB89CD" w14:textId="3DFDE1A5">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26. Šajā ziņā ir jāatgādina, ka ruletes spēļu, kāršu spēļu, kauliņu spēļu un automātu spēļu rīkošana, to atļaujot darīt tikai spēļu kazino, tiek ierobežota ar Azartspēļu likuma 14. panta 1. punktu. Par šo tiesību normu Komisijai tika paziņots kā par “tehniskiem noteikumiem”, ņemot vērā, ka Tiesa ir atzinusi, pirmkārt, ka valsts pasākums, ar kuru noteiktu azartspēļu rīkošana tiek atļauta tikai spēļu kazino, ir “tehniskie noteikumi” Direktīvas 98/34 1. panta 11. punkta izpratnē, ja tie var būtiski ietekmēt šajā kontekstā izmantoto preču sastāvu vai īpašības, vai to realizāciju, un, otrkārt, ka aizliegums ekspluatēt noteiktas preces ārpus kazino var būtiski ietekmēt šo preču realizāciju, samazinot to ekspluatācijas iespējas (šajā ziņā skat. spriedumu, 2015. gada 11. jūnijs, Berlington Hungary u. c., C-98/14, EU:C:2015:386, 98. un 99. punkts).</w:t>
      </w:r>
    </w:p>
    <w:p w14:paraId="107284B9"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145A5B71" w14:textId="6CEF0E10">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27. Turpretim par šī likuma 6. panta 1. punktu, kurā ir paredzēts, ka ar ruletes spēlēm, kāršu spēlēm, kauliņu spēlēm un automātu spēlēm saistītas darbības veikšanai ir vajadzīga spēļu kazino darbības licence, paziņots netika.</w:t>
      </w:r>
    </w:p>
    <w:p w14:paraId="6972B44C"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707BB4ED" w14:textId="2BEC0401">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28 Komisijas arguments, saskaņā ar kuru ciešā saikne starp abām attiecīgajām valsts tiesību normām nozīmē, ka nav iespējams nošķirt Azartspēļu likuma 14. panta 1. punktu no šī likuma 6. panta 1. punkta, nevar tikt atbalstīts. Proti, kā ir norādīts ģenerāladvokāta secinājumu 38.-44. punktā, minētā likuma 6. panta 1. punktam un šī paša likuma 14. panta 1. punktam ir atšķirīgas funkcijas un piemērošanas jomas. Šī likuma 6. panta 1. punktā ietvertais aprakstošais elements, kas tiek izmantots, lai attiecīgo atļauju apzīmētu kā “spēļu kazino darbības” licenci, šo secinājumu nemaina.</w:t>
      </w:r>
    </w:p>
    <w:p w14:paraId="54D8E8D3"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2068C2E4" w14:textId="0FD51152">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29. Līdz ar to ir jākonstatē, ka Azartspēļu likuma 6. panta 1. punkts nevar tikt uzskatīts par “citām prasībām” Direktīvas 98/34 1. panta 4. punkta izpratnē, jo ar šo valsts tiesību normu pieprasītā atļauja azartspēļu rīkošanai ir nosacījums, kas ir paredzēts attiecībā uz šādu spēļu rīkošanas darbību, atšķirībā no šī likuma 14. panta 1. punkta, kurā ir izvirzīti nosacījumi saistībā ar attiecīgajām precēm, aizliedzot to ekspluatāciju ārpus kazino.</w:t>
      </w:r>
    </w:p>
    <w:p w14:paraId="6E096F4E" w14:textId="77777777">
      <w:pPr>
        <w:pStyle w:val="P68B1DB1-Normal14"/>
        <w:widowControl w:val="0"/>
        <w:tabs>
          <w:tab w:val="left" w:pos="396"/>
          <w:tab w:val="left" w:pos="399"/>
        </w:tabs>
        <w:autoSpaceDE w:val="0"/>
        <w:autoSpaceDN w:val="0"/>
        <w:spacing w:after="0" w:line="240" w:lineRule="auto"/>
        <w:ind w:left="567" w:hanging="142"/>
        <w:jc w:val="both"/>
        <w:rPr>
          <w:i/>
          <w:iCs/>
          <w:sz w:val="20"/>
          <w:szCs w:val="18"/>
        </w:rPr>
      </w:pPr>
    </w:p>
    <w:p w14:paraId="7AFFF24D" w14:textId="079610FD">
      <w:pPr>
        <w:pStyle w:val="P68B1DB1-P68B1DB1-Normal147"/>
        <w:widowControl w:val="0"/>
        <w:tabs>
          <w:tab w:val="left" w:pos="396"/>
          <w:tab w:val="left" w:pos="399"/>
        </w:tabs>
        <w:autoSpaceDE w:val="0"/>
        <w:autoSpaceDN w:val="0"/>
        <w:spacing w:after="0" w:line="240" w:lineRule="auto"/>
        <w:ind w:left="567"/>
        <w:jc w:val="both"/>
        <w:rPr>
          <w:i/>
          <w:iCs/>
          <w:sz w:val="20"/>
          <w:szCs w:val="18"/>
        </w:rPr>
      </w:pPr>
      <w:r>
        <w:t xml:space="preserve">30. Turklāt saskaņā ar pastāvīgo judikatūru valsts tiesību normas, kurās ir paredzēti tikai uzņēmumu uzņēmējdarbības veikšanas vai pakalpojumu sniegšanas nosacījumi, piemēram, noteikumi, saskaņā ar kuriem uzņēmējdarbības veikšanai ir jāsaņem iepriekšēja atļauja, nav tehniskie noteikumi Direktīvas 98/34 1. panta 11. punkta izpratnē (šajā nozīmē skat. spriedumu, 2016. gada 4. februāris, Ince, C-336/14, EU:C:2016:72, 76. punkts un tajā minētā judikatūra).”</w:t>
      </w:r>
    </w:p>
    <w:p w14:paraId="47FF74A0" w14:textId="77777777">
      <w:pPr>
        <w:spacing w:after="0" w:line="240" w:lineRule="auto"/>
        <w:rPr>
          <w:sz w:val="20"/>
          <w:szCs w:val="20"/>
        </w:rPr>
      </w:pPr>
    </w:p>
    <w:p w14:paraId="2E29F352" w14:textId="7C1F042C">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2" w:history="1">
        <w:r>
          <w:rPr>
            <w:color w:val="0000FF"/>
            <w:u w:val="single"/>
          </w:rPr>
          <w:t xml:space="preserve">Spriedums, 2016. gada 27. oktobris,</w:t>
        </w:r>
      </w:hyperlink>
      <w:r>
        <w:t xml:space="preserve"> James Elliott Construction, C-613/14, EU:C:2016:821, 67.–69. punkts.</w:t>
      </w:r>
      <w:bookmarkEnd w:id="55"/>
    </w:p>
    <w:p w14:paraId="1A68586C"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ED19EDB" w14:textId="566C76FE">
      <w:pPr>
        <w:widowControl w:val="0"/>
        <w:tabs>
          <w:tab w:val="left" w:pos="430"/>
        </w:tabs>
        <w:autoSpaceDE w:val="0"/>
        <w:autoSpaceDN w:val="0"/>
        <w:spacing w:after="0" w:line="240" w:lineRule="auto"/>
        <w:jc w:val="both"/>
        <w:rPr>
          <w:rFonts w:ascii="Times New Roman" w:hAnsi="Times New Roman" w:cs="Times New Roman" w:eastAsia="Times New Roman"/>
          <w:bCs/>
          <w:iCs/>
          <w:szCs w:val="20"/>
        </w:rPr>
        <w:pStyle w:val="P68B1DB1-Normal14"/>
      </w:pPr>
      <w:r>
        <w:t xml:space="preserve">Valsts tiesību normas, kurās ir paredzēti netieši līguma nosacījumi attiecībā uz pārdodamo produktu kvalitāti, piemērotību lietošanai vai kvalitāti, nav “citas prasības”, jo to vispārīgais raksturs neļauj būtiski ietekmēt attiecīgo produktu sastāvu, raksturu vai tirdzniecību.</w:t>
      </w:r>
    </w:p>
    <w:p w14:paraId="030038CF" w14:textId="77777777">
      <w:pPr>
        <w:widowControl w:val="0"/>
        <w:tabs>
          <w:tab w:val="left" w:pos="430"/>
        </w:tabs>
        <w:autoSpaceDE w:val="0"/>
        <w:autoSpaceDN w:val="0"/>
        <w:spacing w:after="0" w:line="240" w:lineRule="auto"/>
        <w:jc w:val="both"/>
        <w:rPr>
          <w:rFonts w:ascii="Times New Roman" w:hAnsi="Times New Roman" w:cs="Times New Roman" w:eastAsia="Times New Roman"/>
          <w:sz w:val="20"/>
          <w:szCs w:val="18"/>
        </w:rPr>
      </w:pPr>
    </w:p>
    <w:p w14:paraId="3AC7F779" w14:textId="3E2215BE">
      <w:pPr>
        <w:pStyle w:val="P68B1DB1-P68B1DB1-Normal147"/>
        <w:widowControl w:val="0"/>
        <w:tabs>
          <w:tab w:val="left" w:pos="430"/>
        </w:tabs>
        <w:autoSpaceDE w:val="0"/>
        <w:autoSpaceDN w:val="0"/>
        <w:spacing w:after="0" w:line="240" w:lineRule="auto"/>
        <w:ind w:left="567"/>
        <w:jc w:val="both"/>
        <w:rPr>
          <w:i/>
          <w:iCs/>
          <w:sz w:val="20"/>
          <w:szCs w:val="18"/>
        </w:rPr>
      </w:pPr>
      <w:r>
        <w:t xml:space="preserve">“67. Šajā gadījumā, pirmkārt, šķiet, ka tādi noteikumi kā pamatlietā aplūkotie ne paši par sevi, ne arī kā tos interpretējušas Īrijas tiesas, neietilpst jēdzienā “tehniskā specifikācija” Direktīvas 98/34 1. panta 3. punkta izpratnē. Šis jēdziens attiecas tikai uz valsts pasākumiem, kuros ir atsauce uz produktu vai tā iepakojumu kā tādu un tādējādi ir noteikta viena no nepieciešamajām īpašībām (spriedums, 2014. gada 10. jūlijs, Ivansson u. c., C-307/13, EU:C:2014:2058, 19. punkts, kā arī tajā minētā judikatūra). Tas acīmredzami tā nav tādas prasības gadījumā, kura, ja vien puses nav paudušas pretēju gribu, ir vispārēji piemērojama jebkādu preču pārdošanai.</w:t>
      </w:r>
    </w:p>
    <w:p w14:paraId="246DB47A" w14:textId="77777777">
      <w:pPr>
        <w:pStyle w:val="P68B1DB1-Normal14"/>
        <w:widowControl w:val="0"/>
        <w:tabs>
          <w:tab w:val="left" w:pos="430"/>
        </w:tabs>
        <w:autoSpaceDE w:val="0"/>
        <w:autoSpaceDN w:val="0"/>
        <w:spacing w:after="0" w:line="240" w:lineRule="auto"/>
        <w:ind w:left="567"/>
        <w:jc w:val="both"/>
        <w:rPr>
          <w:i/>
          <w:iCs/>
          <w:sz w:val="20"/>
          <w:szCs w:val="18"/>
        </w:rPr>
      </w:pPr>
    </w:p>
    <w:p w14:paraId="1FB165CB" w14:textId="02F7A50F">
      <w:pPr>
        <w:pStyle w:val="P68B1DB1-P68B1DB1-Normal147"/>
        <w:widowControl w:val="0"/>
        <w:tabs>
          <w:tab w:val="left" w:pos="430"/>
        </w:tabs>
        <w:autoSpaceDE w:val="0"/>
        <w:autoSpaceDN w:val="0"/>
        <w:spacing w:after="0" w:line="240" w:lineRule="auto"/>
        <w:ind w:left="567"/>
        <w:jc w:val="both"/>
        <w:rPr>
          <w:i/>
          <w:iCs/>
          <w:sz w:val="20"/>
          <w:szCs w:val="18"/>
        </w:rPr>
      </w:pPr>
      <w:r>
        <w:t xml:space="preserve">68. Otrkārt, šī paša iemesla dēļ šīs tiesību normas nevar tikt kvalificētas kā “citas prasības” Direktīvas 98/34 1. panta 4. punkta izpratnē.</w:t>
      </w:r>
    </w:p>
    <w:p w14:paraId="739ADC6F" w14:textId="77777777">
      <w:pPr>
        <w:pStyle w:val="P68B1DB1-Normal14"/>
        <w:widowControl w:val="0"/>
        <w:tabs>
          <w:tab w:val="left" w:pos="430"/>
        </w:tabs>
        <w:autoSpaceDE w:val="0"/>
        <w:autoSpaceDN w:val="0"/>
        <w:spacing w:after="0" w:line="240" w:lineRule="auto"/>
        <w:ind w:left="567"/>
        <w:jc w:val="both"/>
        <w:rPr>
          <w:i/>
          <w:iCs/>
          <w:sz w:val="20"/>
          <w:szCs w:val="18"/>
        </w:rPr>
      </w:pPr>
    </w:p>
    <w:p w14:paraId="1707774D" w14:textId="76CDFE30">
      <w:pPr>
        <w:pStyle w:val="P68B1DB1-P68B1DB1-Normal147"/>
        <w:widowControl w:val="0"/>
        <w:tabs>
          <w:tab w:val="left" w:pos="430"/>
        </w:tabs>
        <w:autoSpaceDE w:val="0"/>
        <w:autoSpaceDN w:val="0"/>
        <w:spacing w:after="0" w:line="240" w:lineRule="auto"/>
        <w:ind w:left="567"/>
        <w:jc w:val="both"/>
        <w:rPr>
          <w:i/>
          <w:iCs/>
          <w:sz w:val="20"/>
          <w:szCs w:val="18"/>
        </w:rPr>
      </w:pPr>
      <w:r>
        <w:t xml:space="preserve">69. Šajā ziņā Tiesa ir precizējusi, ka, lai attiecīgos valsts pasākumus varētu kvalificēt kā “citas prasības” šīs tiesību normas izpratnē, tiem ir jābūt nosacījumiem, kas var būtiski ietekmēt attiecīgās preces sastāvu, raksturu vai tirdzniecību, jo vispārīga rakstura prasības nevar tikt uzskatītas par šādiem nosacījumiem un līdz ar to nevar tikt kvalificētas kā “citas prasības” (skat. spriedumu, 2014. gada 10. jūlijs, Ivansson u. c., C-307/13, EU:C:2014:2058, 26. un 27. punkts, kā arī tajos minētā judikatūra).”</w:t>
      </w:r>
    </w:p>
    <w:p w14:paraId="14788AE2" w14:textId="77777777">
      <w:pPr>
        <w:pStyle w:val="P68B1DB1-Normal14"/>
        <w:widowControl w:val="0"/>
        <w:tabs>
          <w:tab w:val="left" w:pos="430"/>
        </w:tabs>
        <w:autoSpaceDE w:val="0"/>
        <w:autoSpaceDN w:val="0"/>
        <w:spacing w:after="0" w:line="240" w:lineRule="auto"/>
        <w:ind w:left="567"/>
        <w:jc w:val="both"/>
      </w:pPr>
    </w:p>
    <w:p w14:paraId="6F74C5A2" w14:textId="059511E4">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3" w:history="1">
        <w:r>
          <w:rPr>
            <w:color w:val="0000FF"/>
            <w:u w:val="single"/>
          </w:rPr>
          <w:t xml:space="preserve">Spriedums, 2017. gada 1. februāris</w:t>
        </w:r>
      </w:hyperlink>
      <w:r>
        <w:t xml:space="preserve">, Município de Palmela, C-144/16, EU:C:2017:76, 23. un 33. punkts.</w:t>
      </w:r>
      <w:bookmarkEnd w:id="56"/>
    </w:p>
    <w:p w14:paraId="6DCEC74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0BF7FCE" w14:textId="77777777">
      <w:pPr>
        <w:pStyle w:val="P68B1DB1-P68B1DB1-Normal135"/>
        <w:widowControl w:val="0"/>
        <w:tabs>
          <w:tab w:val="left" w:pos="396"/>
          <w:tab w:val="left" w:pos="435"/>
        </w:tabs>
        <w:autoSpaceDE w:val="0"/>
        <w:autoSpaceDN w:val="0"/>
        <w:spacing w:after="0" w:line="240" w:lineRule="auto"/>
        <w:jc w:val="both"/>
        <w:rPr>
          <w:b w:val="0"/>
          <w:bCs/>
          <w:i w:val="0"/>
          <w:iCs/>
        </w:rPr>
      </w:pPr>
      <w:r>
        <w:t xml:space="preserve">Noteikums, kas nosaka iepakojuma prasības, kas noteiktas produktam, pamatojoties uz patērētāju aizsardzību, ir “cita prasība”, jo tā attiecas uz produktu aprites ciklu pēc to laišanas tirgū un būtiski ietekmē to sastāvu un tirdzniecību.</w:t>
      </w:r>
    </w:p>
    <w:p w14:paraId="3D96BE4E" w14:textId="77777777">
      <w:pPr>
        <w:widowControl w:val="0"/>
        <w:tabs>
          <w:tab w:val="left" w:pos="396"/>
          <w:tab w:val="left" w:pos="435"/>
        </w:tabs>
        <w:autoSpaceDE w:val="0"/>
        <w:autoSpaceDN w:val="0"/>
        <w:spacing w:after="0" w:line="240" w:lineRule="auto"/>
        <w:ind w:hanging="142"/>
        <w:jc w:val="both"/>
        <w:rPr>
          <w:rFonts w:ascii="Times New Roman" w:hAnsi="Times New Roman" w:cs="Times New Roman" w:eastAsia="Times New Roman"/>
          <w:bCs/>
          <w:iCs/>
          <w:szCs w:val="20"/>
        </w:rPr>
      </w:pPr>
    </w:p>
    <w:p w14:paraId="5B0F8037" w14:textId="25CE703A">
      <w:pPr>
        <w:pStyle w:val="P68B1DB1-P68B1DB1-Normal135"/>
        <w:widowControl w:val="0"/>
        <w:tabs>
          <w:tab w:val="left" w:pos="396"/>
          <w:tab w:val="left" w:pos="399"/>
        </w:tabs>
        <w:autoSpaceDE w:val="0"/>
        <w:autoSpaceDN w:val="0"/>
        <w:spacing w:after="0" w:line="240" w:lineRule="auto"/>
        <w:jc w:val="both"/>
        <w:rPr>
          <w:b w:val="0"/>
          <w:bCs/>
          <w:i w:val="0"/>
          <w:iCs/>
        </w:rPr>
      </w:pPr>
      <w:r>
        <w:t xml:space="preserve">No otras puses, regula, kas paredz, ka informācija par brīvā laika pavadīšanas vietas maksimālo ietilpību ir jāizvieto vairākās šīs zonas vietās, nav “cita prasība” tās vispārējā rakstura dēļ.</w:t>
      </w:r>
    </w:p>
    <w:p w14:paraId="7CB69B90" w14:textId="77777777">
      <w:pPr>
        <w:widowControl w:val="0"/>
        <w:tabs>
          <w:tab w:val="left" w:pos="396"/>
          <w:tab w:val="left" w:pos="399"/>
        </w:tabs>
        <w:autoSpaceDE w:val="0"/>
        <w:autoSpaceDN w:val="0"/>
        <w:spacing w:after="0" w:line="240" w:lineRule="auto"/>
        <w:ind w:hanging="142"/>
        <w:jc w:val="both"/>
        <w:rPr>
          <w:rFonts w:ascii="Times New Roman" w:hAnsi="Times New Roman" w:cs="Times New Roman" w:eastAsia="Times New Roman"/>
          <w:szCs w:val="20"/>
        </w:rPr>
      </w:pPr>
    </w:p>
    <w:p w14:paraId="047ADE80" w14:textId="3A89FEEF">
      <w:pPr>
        <w:pStyle w:val="P68B1DB1-P68B1DB1-Normal1421"/>
        <w:widowControl w:val="0"/>
        <w:tabs>
          <w:tab w:val="left" w:pos="396"/>
          <w:tab w:val="left" w:pos="399"/>
        </w:tabs>
        <w:autoSpaceDE w:val="0"/>
        <w:autoSpaceDN w:val="0"/>
        <w:spacing w:after="0" w:line="240" w:lineRule="auto"/>
        <w:ind w:left="567" w:hanging="142"/>
        <w:jc w:val="both"/>
        <w:rPr>
          <w:i/>
          <w:iCs/>
        </w:rPr>
      </w:pPr>
      <w:r>
        <w:tab/>
        <w:t>“</w:t>
      </w:r>
      <w:bookmarkStart w:id="57" w:name="point23"/>
      <w:r>
        <w:t>23</w:t>
      </w:r>
      <w:bookmarkEnd w:id="57"/>
      <w:r>
        <w:t xml:space="preserve">. Attiecībā uz EJR noteikumu, kas grozīti ar Dekrētlikumu Nr. 119/2009, 16. panta 1. un 2. punktu jākonstatē, kā to dara iesniedzējtiesa, ka tas patiešām ir uzskatāms par tehnisko noteikumu Direktīvu 83/189 un 98/34 izpratnē, ciktāl šajā tiesību normā ir paredzētas prasības, kas šajā ziņā ir izvirzītas precei, lai aizsargātu patērētājus, un kas ietekmē tās dzīves ciklu pēc laišanas tirgū un būtiski ietekmē šādas preces sastāvu un realizāciju. Tādējādi šis noteikums ietilpst kategorijā “citas prasības” gan Direktīvas 83/189 1. panta 3. punkta, gan Direktīvas 98/34 1. panta 4. punkta izpratnē.”</w:t>
      </w:r>
    </w:p>
    <w:p w14:paraId="78B67949"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0B57ECD8" w14:textId="7EBBFF11">
      <w:pPr>
        <w:pStyle w:val="P68B1DB1-P68B1DB1-Normal1421"/>
        <w:widowControl w:val="0"/>
        <w:autoSpaceDE w:val="0"/>
        <w:autoSpaceDN w:val="0"/>
        <w:spacing w:after="0" w:line="240" w:lineRule="auto"/>
        <w:ind w:left="567"/>
        <w:jc w:val="both"/>
        <w:rPr>
          <w:i/>
          <w:iCs/>
        </w:rPr>
      </w:pPr>
      <w:r>
        <w:t>“</w:t>
      </w:r>
      <w:bookmarkStart w:id="58" w:name="point33"/>
      <w:r>
        <w:t>33</w:t>
      </w:r>
      <w:bookmarkEnd w:id="58"/>
      <w:r>
        <w:t xml:space="preserve">. [..] tāda tiesību norma kā pamatlietā aplūkotā nav “cita prasība” Direktīvas 98/34 1. panta 4. punkta izpratnē, ņemot vērā tajā paredzēto prasību vispārējo raksturu (šajā nozīmē skat. spriedumu, 2011. gada 9. jūnijs, Intercommunale Intermosane un Fédération de l’industrie et du gaz, C 361/10</w:t>
        <w:noBreakHyphen/>
        <w:t xml:space="preserve">, EU:C:2011:382, 21. punkts). No otras puses, tajā nav ietverti nekādi aizliegumi, kas to varētu iekļaut minētās direktīvas 1. panta 11. punktā minēto aizliegumu kategorijā.”</w:t>
      </w:r>
    </w:p>
    <w:p w14:paraId="4725CFBE" w14:textId="77777777">
      <w:pPr>
        <w:spacing w:after="0" w:line="240" w:lineRule="auto"/>
      </w:pPr>
    </w:p>
    <w:bookmarkStart w:id="59" w:name="_Hlk193299811"/>
    <w:p w14:paraId="109F8B7C" w14:textId="6B0FA9E0">
      <w:pPr>
        <w:pStyle w:val="P68B1DB1-P68B1DB1-Normal1622"/>
        <w:widowControl w:val="0"/>
        <w:autoSpaceDE w:val="0"/>
        <w:autoSpaceDN w:val="0"/>
        <w:spacing w:after="0" w:line="240" w:lineRule="auto"/>
        <w:jc w:val="both"/>
        <w:outlineLvl w:val="1"/>
        <w:rPr>
          <w:b/>
          <w:bCs/>
          <w:i/>
          <w:iCs/>
          <w:sz w:val="22"/>
          <w:szCs w:val="22"/>
        </w:rPr>
      </w:pPr>
      <w:r>
        <w:fldChar w:fldCharType="begin"/>
      </w:r>
      <w:r>
        <w:rPr>
          <w:b/>
          <w:bCs/>
          <w:i/>
          <w:iCs/>
          <w:sz w:val="22"/>
          <w:szCs w:val="22"/>
        </w:rPr>
        <w:instrText>HYPERLINK "https://curia.europa.eu/juris/document/document.jsf?text=&amp;docid=206117&amp;pageIndex=0&amp;doclang=EN&amp;mode=lst&amp;dir=&amp;occ=first&amp;part=1&amp;cid=9777324"</w:instrText>
      </w:r>
      <w:r>
        <w:rPr>
          <w:b/>
          <w:bCs/>
          <w:i/>
          <w:iCs/>
          <w:sz w:val="22"/>
          <w:szCs w:val="22"/>
        </w:rPr>
      </w:r>
      <w:r>
        <w:rPr>
          <w:b/>
          <w:bCs/>
          <w:i/>
          <w:iCs/>
          <w:sz w:val="22"/>
          <w:szCs w:val="22"/>
        </w:rPr>
        <w:fldChar w:fldCharType="separate"/>
      </w:r>
      <w:bookmarkStart w:id="60" w:name="_Toc198043820"/>
      <w:r>
        <w:rPr>
          <w:b/>
          <w:bCs/>
          <w:i/>
          <w:iCs/>
          <w:color w:val="0000FF"/>
          <w:sz w:val="22"/>
          <w:szCs w:val="22"/>
          <w:u w:val="single"/>
        </w:rPr>
        <w:t xml:space="preserve">Spriedums, 2018. gada 26.</w:t>
      </w:r>
      <w:r>
        <w:rPr>
          <w:b/>
          <w:bCs/>
          <w:i/>
          <w:iCs/>
          <w:color w:val="0000FF"/>
          <w:sz w:val="22"/>
          <w:szCs w:val="22"/>
          <w:u w:val="single"/>
        </w:rPr>
        <w:fldChar w:fldCharType="end"/>
        <w:t xml:space="preserve">septembris, Van Gennip u. c., C-137/17, EU:C:2018:771, 39. un 40. punkts.</w:t>
      </w:r>
      <w:bookmarkEnd w:id="60"/>
    </w:p>
    <w:p w14:paraId="53B6D74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86CD632" w14:textId="77777777">
      <w:pPr>
        <w:pStyle w:val="P68B1DB1-P68B1DB1-Normal135"/>
        <w:widowControl w:val="0"/>
        <w:tabs>
          <w:tab w:val="left" w:pos="404"/>
        </w:tabs>
        <w:autoSpaceDE w:val="0"/>
        <w:autoSpaceDN w:val="0"/>
        <w:spacing w:after="0" w:line="240" w:lineRule="auto"/>
        <w:jc w:val="both"/>
        <w:rPr>
          <w:b w:val="0"/>
          <w:bCs/>
          <w:i w:val="0"/>
          <w:iCs/>
        </w:rPr>
      </w:pPr>
      <w:r>
        <w:t xml:space="preserve">Valsts tiesību normas, saskaņā ar kurām produktu tirdzniecība ir pakļauta nosacījumam, ka pircējam ir atļauja, neietilpst jēdzienā “citas prasības”, jo tas ir nosacījums, kas attiecas nevis uz produktiem, bet gan uz pircējiem.</w:t>
      </w:r>
    </w:p>
    <w:bookmarkEnd w:id="59"/>
    <w:p w14:paraId="7262001F" w14:textId="77777777">
      <w:pPr>
        <w:widowControl w:val="0"/>
        <w:tabs>
          <w:tab w:val="left" w:pos="404"/>
        </w:tabs>
        <w:autoSpaceDE w:val="0"/>
        <w:autoSpaceDN w:val="0"/>
        <w:spacing w:after="0" w:line="240" w:lineRule="auto"/>
        <w:jc w:val="both"/>
        <w:rPr>
          <w:rFonts w:ascii="Times New Roman" w:hAnsi="Times New Roman" w:cs="Times New Roman" w:eastAsia="Times New Roman"/>
          <w:i/>
          <w:iCs/>
          <w:sz w:val="20"/>
          <w:szCs w:val="16"/>
        </w:rPr>
      </w:pPr>
    </w:p>
    <w:p w14:paraId="34AB9BCD" w14:textId="723202BE">
      <w:pPr>
        <w:pStyle w:val="P68B1DB1-P68B1DB1-Normal147"/>
        <w:widowControl w:val="0"/>
        <w:tabs>
          <w:tab w:val="left" w:pos="404"/>
        </w:tabs>
        <w:autoSpaceDE w:val="0"/>
        <w:autoSpaceDN w:val="0"/>
        <w:spacing w:after="0" w:line="240" w:lineRule="auto"/>
        <w:ind w:left="567"/>
        <w:jc w:val="both"/>
        <w:rPr>
          <w:i/>
          <w:iCs/>
          <w:sz w:val="20"/>
          <w:szCs w:val="18"/>
        </w:rPr>
      </w:pPr>
      <w:r>
        <w:t xml:space="preserve">“39. [..] attiecībā uz kategoriju “citas prasības” ir jānorāda, ka, lai valsts pasākumu varētu kvalificēt kā “citas prasības” Direktīvas 98/34 1. panta 4. punkta izpratnē, tam ir jābūt “nosacījumam”, kas var būtiski ietekmēt attiecīgās preces sastāvu, raksturu vai tirdzniecību (spriedums, 2016. gada 13. oktobris, M. un S., C-303/15, EU:C:2016:771, 20. punkts, kā arī tajā minētā judikatūra).</w:t>
      </w:r>
    </w:p>
    <w:p w14:paraId="3684C8BC" w14:textId="77777777">
      <w:pPr>
        <w:pStyle w:val="P68B1DB1-Normal14"/>
        <w:widowControl w:val="0"/>
        <w:tabs>
          <w:tab w:val="left" w:pos="404"/>
        </w:tabs>
        <w:autoSpaceDE w:val="0"/>
        <w:autoSpaceDN w:val="0"/>
        <w:spacing w:after="0" w:line="240" w:lineRule="auto"/>
        <w:ind w:left="567"/>
        <w:jc w:val="both"/>
        <w:rPr>
          <w:i/>
          <w:iCs/>
          <w:sz w:val="20"/>
          <w:szCs w:val="18"/>
        </w:rPr>
      </w:pPr>
    </w:p>
    <w:p w14:paraId="1F15B628" w14:textId="0E023F78">
      <w:pPr>
        <w:pStyle w:val="P68B1DB1-P68B1DB1-Normal147"/>
        <w:widowControl w:val="0"/>
        <w:tabs>
          <w:tab w:val="left" w:pos="404"/>
        </w:tabs>
        <w:autoSpaceDE w:val="0"/>
        <w:autoSpaceDN w:val="0"/>
        <w:spacing w:after="0" w:line="240" w:lineRule="auto"/>
        <w:ind w:left="567"/>
        <w:jc w:val="both"/>
        <w:rPr>
          <w:i/>
          <w:iCs/>
          <w:sz w:val="20"/>
          <w:szCs w:val="18"/>
        </w:rPr>
      </w:pPr>
      <w:r>
        <w:t xml:space="preserve">40. Šajā ziņā jānorāda, kā ģenerāladvokāts to ir darījis secinājumu 76. punktā, ka Beļģijas tiesiskajā regulējumā pirotehnisko izstrādājumu pārdošanai, kuru propelenta masa pārsniedz 1 kg, ir paredzēts nosacījums, ka pircējs saņem atļauju. Tādējādi prasītā atļauja nav prasība attiecībā uz attiecīgo preci, bet gan potenciālajiem pircējiem un netieši — tirgus dalībniekiem, kas pārdod pirotehniskos izstrādājumus (šajā nozīmē skat. spriedumus, 2005. gada 21. aprīlis, Lindberg, C-267/03, EU:C:2005:246, 87. punkts, kā arī 2016. gada 13. oktobris, M. un S., C-303/15, EU:C:2016:771, 29. punkts).”</w:t>
      </w:r>
    </w:p>
    <w:p w14:paraId="1EF9D88D" w14:textId="77777777">
      <w:pPr>
        <w:spacing w:after="0" w:line="240" w:lineRule="auto"/>
      </w:pPr>
    </w:p>
    <w:p w14:paraId="71F55FA7" w14:textId="4326F279">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44" w:anchor="ctx1" w:history="1">
        <w:r>
          <w:rPr>
            <w:color w:val="0000FF"/>
            <w:u w:val="single"/>
          </w:rPr>
          <w:t xml:space="preserve">Spriedums, 2020. gada 28. maijs</w:t>
        </w:r>
      </w:hyperlink>
      <w:r>
        <w:t xml:space="preserve">, ECO-WIND Construction, C-727/17, EU:C:2020:393, 40. un 41. punkts.</w:t>
      </w:r>
      <w:bookmarkEnd w:id="61"/>
    </w:p>
    <w:p w14:paraId="6D637FFA" w14:textId="77777777">
      <w:pPr>
        <w:widowControl w:val="0"/>
        <w:autoSpaceDE w:val="0"/>
        <w:autoSpaceDN w:val="0"/>
        <w:spacing w:after="0" w:line="240" w:lineRule="auto"/>
        <w:jc w:val="both"/>
        <w:rPr>
          <w:rFonts w:ascii="Times New Roman" w:hAnsi="Times New Roman" w:cs="Times New Roman" w:eastAsia="Times New Roman"/>
          <w:szCs w:val="20"/>
        </w:rPr>
      </w:pPr>
    </w:p>
    <w:p w14:paraId="1D3192D5" w14:textId="77777777">
      <w:pPr>
        <w:pStyle w:val="P68B1DB1-P68B1DB1-Normal135"/>
        <w:widowControl w:val="0"/>
        <w:autoSpaceDE w:val="0"/>
        <w:autoSpaceDN w:val="0"/>
        <w:spacing w:after="0" w:line="240" w:lineRule="auto"/>
        <w:jc w:val="both"/>
        <w:rPr>
          <w:b w:val="0"/>
          <w:bCs/>
          <w:i w:val="0"/>
          <w:iCs/>
        </w:rPr>
      </w:pPr>
      <w:r>
        <w:t xml:space="preserve">Regula, ar ko nosaka minimālo attālumu vējturbīnu uzstādīšanai, neietilpst kategorijā “citas prasības”, jo tās ietekme uz attiecīgo ražojumu tirdzniecību nav pietiekami tieša.</w:t>
      </w:r>
    </w:p>
    <w:p w14:paraId="11DAB658" w14:textId="77777777">
      <w:pPr>
        <w:widowControl w:val="0"/>
        <w:autoSpaceDE w:val="0"/>
        <w:autoSpaceDN w:val="0"/>
        <w:spacing w:after="0" w:line="240" w:lineRule="auto"/>
        <w:jc w:val="both"/>
        <w:rPr>
          <w:rFonts w:ascii="Times New Roman" w:hAnsi="Times New Roman" w:cs="Times New Roman" w:eastAsia="Times New Roman"/>
          <w:szCs w:val="20"/>
        </w:rPr>
      </w:pPr>
    </w:p>
    <w:p w14:paraId="0E9213F5" w14:textId="153822EB">
      <w:pPr>
        <w:pStyle w:val="P68B1DB1-BodyText19"/>
        <w:ind w:left="567"/>
        <w:rPr>
          <w:iCs/>
        </w:rPr>
      </w:pPr>
      <w:r>
        <w:t xml:space="preserve">“40. [..] no pastāvīgās judikatūras izriet, ka šī kategorija ietver tiesisko regulējumu, kurā ir paredzēts nosacījums, kas var būtiski ietekmēt produkta sastāvu, raksturu vai tirdzniecību (spriedumi, 2005. gada 21. aprīlis, Lindberg, C-267/03, EU:C:2005:246, 69.–72. punkts, kā arī 2012. gada 19. jūlijs, Fortuna u. c., C-213/11, C-214/11 un C-217/11, EU:C:2012:495, 35. punkts), un šīs “citas prasības” attiecas uz prasībām, kas izriet no attiecīgā produkta aprites cikla pēc tā laišanas tirgū un it īpaši attiecas uz tās lietošanu.</w:t>
      </w:r>
    </w:p>
    <w:p w14:paraId="15144425" w14:textId="77777777">
      <w:pPr>
        <w:pStyle w:val="P68B1DB1-BodyText19"/>
        <w:ind w:left="567"/>
        <w:rPr>
          <w:iCs/>
        </w:rPr>
      </w:pPr>
    </w:p>
    <w:p w14:paraId="45870460" w14:textId="6B88BEBE">
      <w:pPr>
        <w:pStyle w:val="P68B1DB1-BodyText19"/>
        <w:ind w:left="567"/>
        <w:rPr>
          <w:iCs/>
        </w:rPr>
      </w:pPr>
      <w:r>
        <w:t xml:space="preserve">41. Šajā gadījumā, tāpat kā šī sprieduma 37. punktā izklāstītajā vērtējumā, ir jānorāda, ka prasībai, saskaņā ar kuru vēja ģeneratora uzstādīšanā ir jāievēro minimālais attālums starp to un ēkām ar dzīvojamo funkciju, nav tiešas saiknes ar tādas preces kā vēja ģenerators sastāvu, raksturu vai tirdzniecību. Šajā ziņā, pat ja šīs prasības rezultātā tiktu ierobežotas vējturbīnu uzstādīšanai piemērotās vietas un tādējādi tiktu ietekmēta vēja ģeneratoru tirdzniecība, šī ietekme nebūtu pietiekami tieša, lai šī prasība ietilptu Direktīvas 2015/1535 1. panta 1. punkta f) apakšpunktā paredzētajā kategorijā “citas prasības”.</w:t>
      </w:r>
    </w:p>
    <w:p w14:paraId="67BFB4E8" w14:textId="77777777">
      <w:pPr>
        <w:spacing w:after="0" w:line="240" w:lineRule="auto"/>
      </w:pPr>
    </w:p>
    <w:p w14:paraId="408C26E9" w14:textId="6A65B075">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45" w:history="1">
        <w:r>
          <w:rPr>
            <w:rStyle w:val="Hyperlink"/>
            <w:rFonts w:ascii="Times New Roman" w:hAnsi="Times New Roman" w:cs="Times New Roman" w:eastAsia="Times New Roman"/>
            <w:b/>
            <w:i/>
            <w:color w:val="0000FF"/>
            <w:szCs w:val="20"/>
          </w:rPr>
          <w:t xml:space="preserve">Spriedums, 2022. gada 4. novembris,</w:t>
        </w:r>
      </w:hyperlink>
      <w:r>
        <w:rPr>
          <w:rFonts w:ascii="Times New Roman" w:hAnsi="Times New Roman" w:cs="Times New Roman" w:eastAsia="Times New Roman"/>
          <w:b/>
          <w:i/>
          <w:szCs w:val="20"/>
        </w:rPr>
        <w:t xml:space="preserve"> Phytofar, C</w:t>
        <w:noBreakHyphen/>
        <w:t xml:space="preserve">658/21, EU:C:2022:925, 36.–42. punkts.</w:t>
      </w:r>
      <w:bookmarkEnd w:id="62"/>
    </w:p>
    <w:p w14:paraId="5BBD916F" w14:textId="77777777">
      <w:pPr>
        <w:widowControl w:val="0"/>
        <w:autoSpaceDE w:val="0"/>
        <w:autoSpaceDN w:val="0"/>
        <w:spacing w:after="0" w:line="240" w:lineRule="auto"/>
        <w:jc w:val="both"/>
        <w:rPr>
          <w:rFonts w:ascii="Times New Roman" w:hAnsi="Times New Roman" w:cs="Times New Roman" w:eastAsia="Times New Roman"/>
          <w:szCs w:val="20"/>
        </w:rPr>
      </w:pPr>
    </w:p>
    <w:p w14:paraId="12813288" w14:textId="64B11198">
      <w:pPr>
        <w:pStyle w:val="P68B1DB1-P68B1DB1-Normal135"/>
        <w:widowControl w:val="0"/>
        <w:autoSpaceDE w:val="0"/>
        <w:autoSpaceDN w:val="0"/>
        <w:spacing w:after="0" w:line="240" w:lineRule="auto"/>
        <w:jc w:val="both"/>
        <w:outlineLvl w:val="1"/>
        <w:rPr>
          <w:b w:val="0"/>
          <w:bCs/>
          <w:i w:val="0"/>
          <w:iCs/>
          <w:sz w:val="20"/>
        </w:rPr>
      </w:pPr>
      <w:bookmarkStart w:id="63" w:name="_Toc198043823"/>
      <w:r>
        <w:t xml:space="preserve">Tiesiskais regulējums, ar kuru personām, kurām nav atļaujas profesionāļiem, ir aizliegts izmantot glifosātu saturošus pesticīdus, var būt “cita prasība”, jo tas varētu būtiski ietekmēt glifosāta tirdzniecību. Šīs ietekmes nozīmīgums tiek novērtēts, ņemot vērā attiecīgo preču pirkumu apjomu un pārdošanas ieradumu izmaiņas.</w:t>
      </w:r>
      <w:bookmarkEnd w:id="63"/>
    </w:p>
    <w:p w14:paraId="017C51C5" w14:textId="77777777">
      <w:pPr>
        <w:widowControl w:val="0"/>
        <w:autoSpaceDE w:val="0"/>
        <w:autoSpaceDN w:val="0"/>
        <w:spacing w:after="0" w:line="240" w:lineRule="auto"/>
        <w:ind w:left="567"/>
        <w:jc w:val="both"/>
        <w:outlineLvl w:val="1"/>
        <w:rPr>
          <w:rFonts w:ascii="Times New Roman" w:hAnsi="Times New Roman" w:cs="Times New Roman"/>
          <w:i/>
          <w:iCs/>
          <w:sz w:val="20"/>
          <w:szCs w:val="20"/>
        </w:rPr>
      </w:pPr>
    </w:p>
    <w:p w14:paraId="19599530" w14:textId="17AE1EBB">
      <w:pPr>
        <w:spacing w:after="0" w:line="240" w:lineRule="auto"/>
        <w:ind w:left="567"/>
        <w:jc w:val="both"/>
        <w:rPr>
          <w:rFonts w:ascii="Times New Roman" w:hAnsi="Times New Roman" w:cs="Times New Roman"/>
          <w:i/>
          <w:sz w:val="20"/>
          <w:szCs w:val="20"/>
        </w:rPr>
        <w:pStyle w:val="P68B1DB1-Normal20"/>
      </w:pPr>
      <w:r>
        <w:t xml:space="preserve">“36. Šajā gadījumā vispirms no 2017. gada 14. jūlija lēmuma preambulas izriet, ka tajā noteiktais aizliegums ir noteikts cilvēku veselības un vides aizsardzībai.</w:t>
      </w:r>
    </w:p>
    <w:p w14:paraId="1CBD02C5" w14:textId="77777777">
      <w:pPr>
        <w:spacing w:after="0" w:line="240" w:lineRule="auto"/>
        <w:ind w:left="567"/>
        <w:jc w:val="both"/>
        <w:rPr>
          <w:rFonts w:ascii="Times New Roman" w:hAnsi="Times New Roman" w:cs="Times New Roman"/>
          <w:i/>
          <w:sz w:val="20"/>
          <w:szCs w:val="20"/>
        </w:rPr>
      </w:pPr>
    </w:p>
    <w:p w14:paraId="1A20049E" w14:textId="08504F01">
      <w:pPr>
        <w:spacing w:after="0" w:line="240" w:lineRule="auto"/>
        <w:ind w:left="567"/>
        <w:jc w:val="both"/>
        <w:rPr>
          <w:rFonts w:ascii="Times New Roman" w:hAnsi="Times New Roman" w:cs="Times New Roman"/>
          <w:i/>
          <w:sz w:val="20"/>
          <w:szCs w:val="20"/>
        </w:rPr>
        <w:pStyle w:val="P68B1DB1-Normal20"/>
      </w:pPr>
      <w:r>
        <w:t xml:space="preserve">37. Turpinājumā jānorāda, ka šis aizliegums attiecas uz pesticīdu, kas satur glifosātu pēc to laišanas tirgū, dzīves ciklu, paredzot nosacījumu saistībā ar šo līdzekļu izmantošanu, jo uz privātām vajadzībām izmantotas zemes tos var lietot tikai un vienīgi profesionāli lietotāji, kuriem ir fitolicence.</w:t>
      </w:r>
    </w:p>
    <w:p w14:paraId="595DD057" w14:textId="77777777">
      <w:pPr>
        <w:spacing w:after="0" w:line="240" w:lineRule="auto"/>
        <w:ind w:left="567"/>
        <w:jc w:val="both"/>
        <w:rPr>
          <w:rFonts w:ascii="Times New Roman" w:hAnsi="Times New Roman" w:cs="Times New Roman"/>
          <w:i/>
          <w:sz w:val="20"/>
          <w:szCs w:val="20"/>
        </w:rPr>
      </w:pPr>
    </w:p>
    <w:p w14:paraId="7F0E7EDE" w14:textId="698ECA01">
      <w:pPr>
        <w:spacing w:after="0" w:line="240" w:lineRule="auto"/>
        <w:ind w:left="567"/>
        <w:jc w:val="both"/>
        <w:rPr>
          <w:rFonts w:ascii="Times New Roman" w:hAnsi="Times New Roman" w:cs="Times New Roman"/>
          <w:i/>
          <w:sz w:val="20"/>
          <w:szCs w:val="20"/>
        </w:rPr>
        <w:pStyle w:val="P68B1DB1-Normal20"/>
      </w:pPr>
      <w:r>
        <w:t xml:space="preserve">38. Visbeidzot jākonstatē, ka šāds aizlieguma pasākums var ietekmēt attiecīgo preču tirdzniecību.</w:t>
      </w:r>
    </w:p>
    <w:p w14:paraId="6A260A53" w14:textId="77777777">
      <w:pPr>
        <w:spacing w:after="0" w:line="240" w:lineRule="auto"/>
        <w:ind w:left="567"/>
        <w:jc w:val="both"/>
        <w:rPr>
          <w:rFonts w:ascii="Times New Roman" w:hAnsi="Times New Roman" w:cs="Times New Roman"/>
          <w:i/>
          <w:sz w:val="20"/>
          <w:szCs w:val="20"/>
        </w:rPr>
      </w:pPr>
    </w:p>
    <w:p w14:paraId="5066FFC6" w14:textId="1BDD0139">
      <w:pPr>
        <w:spacing w:after="0" w:line="240" w:lineRule="auto"/>
        <w:ind w:left="567"/>
        <w:jc w:val="both"/>
        <w:rPr>
          <w:rFonts w:ascii="Times New Roman" w:hAnsi="Times New Roman" w:cs="Times New Roman"/>
          <w:i/>
          <w:sz w:val="20"/>
          <w:szCs w:val="20"/>
        </w:rPr>
        <w:pStyle w:val="P68B1DB1-Normal20"/>
      </w:pPr>
      <w:r>
        <w:t xml:space="preserve">39. Šis pasākums faktiski izraisa to, ka tiek likvidēta potenciālo pesticīdu, kas satur glifosātu, pircēju kategorija, proti, privātpersonas, kas pašas vēlas izmantot šādus pesticīdus, neizmantojot speciālistu, kuri ir prasītās fitolicences īpašnieki, pakalpojumus. Šāds ierobežojums iespējai izmantot glifosātu saturošus pesticīdus ietekmē to tirdzniecību (pēc analoģijas skat. spriedumu, 2016. gada 13. oktobris, M un S, C-303/15, EU:C:2016:771, 26. punkts un tajā minētā judikatūra).</w:t>
      </w:r>
    </w:p>
    <w:p w14:paraId="1A6F1ECE" w14:textId="77777777">
      <w:pPr>
        <w:spacing w:after="0" w:line="240" w:lineRule="auto"/>
        <w:ind w:left="567"/>
        <w:jc w:val="both"/>
        <w:rPr>
          <w:rFonts w:ascii="Times New Roman" w:hAnsi="Times New Roman" w:cs="Times New Roman"/>
          <w:i/>
          <w:sz w:val="20"/>
          <w:szCs w:val="20"/>
        </w:rPr>
      </w:pPr>
    </w:p>
    <w:p w14:paraId="33FD9071" w14:textId="2955C650">
      <w:pPr>
        <w:spacing w:after="0" w:line="240" w:lineRule="auto"/>
        <w:ind w:left="567"/>
        <w:jc w:val="both"/>
        <w:rPr>
          <w:rFonts w:ascii="Times New Roman" w:hAnsi="Times New Roman" w:cs="Times New Roman"/>
          <w:i/>
          <w:sz w:val="20"/>
          <w:szCs w:val="20"/>
        </w:rPr>
        <w:pStyle w:val="P68B1DB1-Normal20"/>
      </w:pPr>
      <w:r>
        <w:t xml:space="preserve">40. Tomēr, kā rakstveida apsvērumos norāda Komisija, lai ar 2017. gada 14. jūlija lēmumu ieviesto pasākumu varētu kvalificēt kā “tehniskos noteikumus”, kas ietilpst kategorijā “citas prasības” Direktīvas 2015/1535 1. panta 1. punkta d) un f) apakšpunkta izpratnē, ir nepieciešams, lai šis pasākums “būtiski” ietekmētu glifosātu saturošu pesticīdu tirdzniecību.</w:t>
      </w:r>
    </w:p>
    <w:p w14:paraId="219AFD18" w14:textId="77777777">
      <w:pPr>
        <w:spacing w:after="0" w:line="240" w:lineRule="auto"/>
        <w:ind w:left="567"/>
        <w:jc w:val="both"/>
        <w:rPr>
          <w:rFonts w:ascii="Times New Roman" w:hAnsi="Times New Roman" w:cs="Times New Roman"/>
          <w:i/>
          <w:sz w:val="20"/>
          <w:szCs w:val="20"/>
        </w:rPr>
      </w:pPr>
    </w:p>
    <w:p w14:paraId="51EC447B" w14:textId="2F0134D7">
      <w:pPr>
        <w:spacing w:after="0" w:line="240" w:lineRule="auto"/>
        <w:ind w:left="567"/>
        <w:jc w:val="both"/>
        <w:rPr>
          <w:rFonts w:ascii="Times New Roman" w:hAnsi="Times New Roman" w:cs="Times New Roman"/>
          <w:i/>
          <w:sz w:val="20"/>
          <w:szCs w:val="20"/>
        </w:rPr>
        <w:pStyle w:val="P68B1DB1-Normal20"/>
      </w:pPr>
      <w:r>
        <w:t xml:space="preserve">41. Iesniedzējtiesas ziņā ir pārbaudīt, vai tā tas patiešām ir šajā gadījumā.</w:t>
      </w:r>
    </w:p>
    <w:p w14:paraId="700BF673" w14:textId="77777777">
      <w:pPr>
        <w:spacing w:after="0" w:line="240" w:lineRule="auto"/>
        <w:ind w:left="567"/>
        <w:jc w:val="both"/>
        <w:rPr>
          <w:rFonts w:ascii="Times New Roman" w:hAnsi="Times New Roman" w:cs="Times New Roman"/>
          <w:i/>
          <w:sz w:val="20"/>
          <w:szCs w:val="20"/>
        </w:rPr>
      </w:pPr>
    </w:p>
    <w:p w14:paraId="15FA9CD4" w14:textId="12DBE6E1">
      <w:pPr>
        <w:spacing w:after="0" w:line="240" w:lineRule="auto"/>
        <w:ind w:left="567"/>
        <w:jc w:val="both"/>
        <w:rPr>
          <w:rFonts w:ascii="Times New Roman" w:hAnsi="Times New Roman" w:cs="Times New Roman"/>
          <w:i/>
          <w:sz w:val="20"/>
          <w:szCs w:val="20"/>
        </w:rPr>
        <w:pStyle w:val="P68B1DB1-Normal20"/>
      </w:pPr>
      <w:r>
        <w:t xml:space="preserve">42. Šajā novērtējumā iesniedzējtiesa tostarp varēs ņemt vērā kopējo glifosāta sastāvā esošo pesticīdu pārdošanas apjomu Flandrijas reģiona teritorijā un izmaiņas katras pircēju kategorijas pirkšanas ieradumos, pamatojoties uz to pirkumu biežumu un nopirktā ražojuma daudzumu, kā arī izmaiņas tirdzniecības vietās un izplatīšanas kanālos. Šajā kontekstā šī tiesa var ņemt vērā to, cik lielā mērā, no vienas puses, profesionālu lietotāju pieprasījums aizstāj to personu pieprasījumu, kuras izmanto profesionālo lietotāju pakalpojumus, un, no otras puses, individuālie lietotāji tagad saņem glifosāta nesaturošus pesticīdus, nevis tos, kas satur šo vielu.”</w:t>
      </w:r>
    </w:p>
    <w:p w14:paraId="4A5F3F04" w14:textId="77777777">
      <w:pPr>
        <w:spacing w:after="0" w:line="240" w:lineRule="auto"/>
        <w:ind w:left="567"/>
        <w:jc w:val="both"/>
      </w:pPr>
    </w:p>
    <w:p w14:paraId="430159AA" w14:textId="501CF887">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46" w:history="1">
        <w:r>
          <w:rPr>
            <w:rStyle w:val="Hyperlink"/>
            <w:rFonts w:ascii="Times New Roman" w:hAnsi="Times New Roman" w:cs="Times New Roman" w:eastAsia="Times New Roman"/>
            <w:b/>
            <w:i/>
            <w:color w:val="0000FF"/>
            <w:szCs w:val="20"/>
          </w:rPr>
          <w:t xml:space="preserve">Spriedums, 2023. gada 9. marts</w:t>
        </w:r>
      </w:hyperlink>
      <w:r>
        <w:rPr>
          <w:rFonts w:ascii="Times New Roman" w:hAnsi="Times New Roman" w:cs="Times New Roman" w:eastAsia="Times New Roman"/>
          <w:b/>
          <w:i/>
          <w:szCs w:val="20"/>
        </w:rPr>
        <w:t xml:space="preserve">, Vapo Atlantic, C-604/21, EU:C:2023:175, 40. un 41. punkts.</w:t>
      </w:r>
      <w:bookmarkEnd w:id="64"/>
    </w:p>
    <w:p w14:paraId="25D9A71A" w14:textId="77777777">
      <w:pPr>
        <w:widowControl w:val="0"/>
        <w:autoSpaceDE w:val="0"/>
        <w:autoSpaceDN w:val="0"/>
        <w:spacing w:after="0" w:line="240" w:lineRule="auto"/>
        <w:jc w:val="both"/>
        <w:rPr>
          <w:rFonts w:ascii="Times New Roman" w:hAnsi="Times New Roman" w:cs="Times New Roman" w:eastAsia="Times New Roman"/>
          <w:szCs w:val="20"/>
        </w:rPr>
      </w:pPr>
    </w:p>
    <w:p w14:paraId="68D99C30" w14:textId="07845CAB">
      <w:pPr>
        <w:widowControl w:val="0"/>
        <w:autoSpaceDE w:val="0"/>
        <w:autoSpaceDN w:val="0"/>
        <w:spacing w:after="0" w:line="240" w:lineRule="auto"/>
        <w:jc w:val="both"/>
        <w:outlineLvl w:val="1"/>
        <w:rPr>
          <w:rFonts w:ascii="Times New Roman" w:hAnsi="Times New Roman" w:cs="Times New Roman" w:eastAsia="Times New Roman"/>
          <w:bCs/>
          <w:iCs/>
          <w:szCs w:val="20"/>
        </w:rPr>
        <w:pStyle w:val="P68B1DB1-Normal14"/>
      </w:pPr>
      <w:bookmarkStart w:id="65" w:name="_Toc198043825"/>
      <w:r>
        <w:t xml:space="preserve">Valsts tiesību akti, kas paredz, ka operatoriem, kuri nodod motordegvielu patēriņam, palīdz sasniegt mērķus attiecībā uz biodegvielas iekļaušanu motordegvielā un kuru pārkāpšana var izraisīt finansiālas sankcijas, var būtiski ietekmēt degvielas tirdzniecību. Tādējādi tā ir “cita prasība”.</w:t>
      </w:r>
      <w:bookmarkEnd w:id="65"/>
    </w:p>
    <w:p w14:paraId="397991CE"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7F49CA88" w14:textId="0C6B3003">
      <w:pPr>
        <w:pStyle w:val="P68B1DB1-Normal20"/>
        <w:widowControl w:val="0"/>
        <w:autoSpaceDE w:val="0"/>
        <w:autoSpaceDN w:val="0"/>
        <w:spacing w:after="0" w:line="240" w:lineRule="auto"/>
        <w:ind w:left="567"/>
        <w:jc w:val="both"/>
        <w:outlineLvl w:val="1"/>
      </w:pPr>
      <w:bookmarkStart w:id="66" w:name="_Toc198043826"/>
      <w:r>
        <w:t xml:space="preserve">“40. Šajā gadījumā iesniedzējtiesas jautājumi attiecas uz valsts tiesisko regulējumu, kurā saimnieciskās darbības subjektiem, kuri nodod patēriņam autotransporta degvielu, izņemot sašķidrināto naftas gāzi vai dabasgāzi, ir prasīts ievērot mērķi attiecībā uz biodegvielas piejaukumu autotransporta degvielas ikgadējiem daudzumiem, ko tie nodod patēriņam, proti, 2020. gadā šis mērķis bija 10 %. Lai arī šajā tiesiskajā regulējumā nav nedz precizēts attiecīgās autotransporta degvielas veids, nedz arī noteikts biodegvielas procentuālais daudzums, kāds jāpievieno autotransporta degvielai, nedz arī noteikts pievienojamās biodegvielas veids, tajā paredzētā prasība, kas ieviesta vides aizsardzības nolūkā, attiecas uz autotransporta degvielas aprites ciklu pēc tās laišanas tirgū un var būtiski ietekmēt minētās preces tirdzniecību, jo tajā paredzētā biodegvielas piejaukuma pienākuma neizpilde var nozīmēt, ka var tikt noteikts pienākums samaksāt finansiālu kompensāciju.</w:t>
      </w:r>
      <w:bookmarkEnd w:id="66"/>
    </w:p>
    <w:p w14:paraId="4CEBAF3A" w14:textId="77777777">
      <w:pPr>
        <w:pStyle w:val="P68B1DB1-Normal20"/>
        <w:widowControl w:val="0"/>
        <w:autoSpaceDE w:val="0"/>
        <w:autoSpaceDN w:val="0"/>
        <w:spacing w:after="0" w:line="240" w:lineRule="auto"/>
        <w:ind w:left="567"/>
        <w:jc w:val="both"/>
        <w:outlineLvl w:val="1"/>
      </w:pPr>
    </w:p>
    <w:p w14:paraId="08AE2C99" w14:textId="38734870">
      <w:pPr>
        <w:pStyle w:val="P68B1DB1-Normal20"/>
        <w:widowControl w:val="0"/>
        <w:autoSpaceDE w:val="0"/>
        <w:autoSpaceDN w:val="0"/>
        <w:spacing w:after="0" w:line="240" w:lineRule="auto"/>
        <w:ind w:left="567"/>
        <w:jc w:val="both"/>
        <w:outlineLvl w:val="1"/>
        <w:rPr>
          <w:iCs/>
        </w:rPr>
      </w:pPr>
      <w:bookmarkStart w:id="67" w:name="_Toc198043827"/>
      <w:r>
        <w:t xml:space="preserve">41. No tā izriet, ka valsts tiesību akts, kurā ir noteikts mērķis līdz 2020. gadam 10 % biodegvielas iekļaut motordegvielā, ko uzņēmējs nodod patēriņam, ietilpst jēdzienā “citas prasības” Direktīvas 98/34 1. panta 4. punkta izpratnē un tādējādi ir “tehniski noteikumi” minētās direktīvas 1. panta 11. punkta izpratnē.”</w:t>
      </w:r>
      <w:bookmarkEnd w:id="67"/>
    </w:p>
    <w:p w14:paraId="6064CE7D" w14:textId="77777777">
      <w:pPr>
        <w:pStyle w:val="P68B1DB1-BodyText10"/>
        <w:rPr>
          <w:bCs/>
        </w:rPr>
      </w:pPr>
    </w:p>
    <w:p w14:paraId="3F05E4B7" w14:textId="77777777">
      <w:pPr>
        <w:spacing w:after="0" w:line="278" w:lineRule="auto"/>
        <w:rPr>
          <w:rFonts w:ascii="Times New Roman" w:hAnsi="Times New Roman" w:cs="Times New Roman" w:eastAsia="Times New Roman"/>
          <w:b/>
          <w:sz w:val="24"/>
          <w:szCs w:val="20"/>
        </w:rPr>
      </w:pPr>
      <w:r>
        <w:br w:type="page"/>
      </w:r>
    </w:p>
    <w:p w14:paraId="39F57DA0" w14:textId="51AFFAF0">
      <w:pPr>
        <w:pStyle w:val="P68B1DB1-Heading24"/>
        <w:numPr>
          <w:ilvl w:val="0"/>
          <w:numId w:val="35"/>
        </w:numPr>
        <w:spacing w:before="0" w:after="0"/>
        <w:jc w:val="center"/>
        <w:rPr>
          <w:bCs/>
          <w:color w:val="auto"/>
        </w:rPr>
      </w:pPr>
      <w:bookmarkStart w:id="68" w:name="_Ref196314214"/>
      <w:bookmarkStart w:id="69" w:name="_Toc203035669"/>
      <w:r>
        <w:t xml:space="preserve">Noteikumi par pakalpojumiem</w:t>
      </w:r>
      <w:bookmarkEnd w:id="5"/>
      <w:bookmarkEnd w:id="68"/>
      <w:bookmarkEnd w:id="69"/>
    </w:p>
    <w:p w14:paraId="19E12A03" w14:textId="77777777">
      <w:pPr>
        <w:pStyle w:val="BodyText"/>
      </w:pPr>
    </w:p>
    <w:p w14:paraId="6D8B2150" w14:textId="77777777">
      <w:pPr>
        <w:pStyle w:val="P68B1DB1-BodyText11"/>
        <w:ind w:left="567"/>
        <w:rPr>
          <w:iCs/>
        </w:rPr>
      </w:pPr>
      <w:r>
        <w:t xml:space="preserve">““noteikumi par pakalpojumiem” ir vispārīga rakstura prasība, kas attiecas uz pakalpojumu darbību sākšanu un veikšanu b) apakšpunkta nozīmē, jo īpaši noteikumi par pakalpojumu sniedzēju, pakalpojumiem un pakalpojumu saņēmēju, izņemot noteikumus, kas nav īpaši paredzēti minētajā punktā definētajiem pakalpojumiem. </w:t>
      </w:r>
    </w:p>
    <w:p w14:paraId="7C9B8AC3" w14:textId="77777777">
      <w:pPr>
        <w:pStyle w:val="P68B1DB1-BodyText11"/>
        <w:ind w:left="567"/>
        <w:rPr>
          <w:iCs/>
        </w:rPr>
      </w:pPr>
    </w:p>
    <w:p w14:paraId="46FCE36C" w14:textId="0D89DACC">
      <w:pPr>
        <w:pStyle w:val="P68B1DB1-BodyText11"/>
        <w:ind w:left="567"/>
        <w:rPr>
          <w:iCs/>
        </w:rPr>
      </w:pPr>
      <w:r>
        <w:t xml:space="preserve">Šajā definīcijā: </w:t>
      </w:r>
    </w:p>
    <w:p w14:paraId="0FA17B64" w14:textId="77777777">
      <w:pPr>
        <w:pStyle w:val="P68B1DB1-BodyText11"/>
        <w:ind w:left="567"/>
        <w:rPr>
          <w:iCs/>
        </w:rPr>
      </w:pPr>
    </w:p>
    <w:p w14:paraId="5287D99C" w14:textId="40B4253E">
      <w:pPr>
        <w:pStyle w:val="P68B1DB1-BodyText11"/>
        <w:numPr>
          <w:ilvl w:val="0"/>
          <w:numId w:val="30"/>
        </w:numPr>
        <w:rPr>
          <w:iCs/>
        </w:rPr>
      </w:pPr>
      <w:r>
        <w:t xml:space="preserve">noteikumi uzskatāmi par īpaši paredzētiem informācijas sabiedrības pakalpojumiem, ja, ņemot vērā tās iemeslu pamatojumu un operatīvo daļu, īpašais mērķis un visu vai daļas individuālo noteikumu priekšmets ir šādu pakalpojumu regulēšana skaidrā un mērķtiecīgā veidā; </w:t>
      </w:r>
    </w:p>
    <w:p w14:paraId="112BC54B" w14:textId="13ACB17B">
      <w:pPr>
        <w:pStyle w:val="P68B1DB1-BodyText11"/>
        <w:numPr>
          <w:ilvl w:val="0"/>
          <w:numId w:val="30"/>
        </w:numPr>
        <w:rPr>
          <w:iCs/>
        </w:rPr>
      </w:pPr>
      <w:r>
        <w:t xml:space="preserve">noteikumu neuzskata par īpaši paredzētu informācijas sabiedrības pakalpojumiem, ja tas ietekmē šādus pakalpojumus tikai netiešā vai gadījuma rakstura veidā;”</w:t>
      </w:r>
    </w:p>
    <w:p w14:paraId="573C811F" w14:textId="77777777">
      <w:pPr>
        <w:pStyle w:val="BodyText"/>
        <w:ind w:left="567"/>
        <w:rPr>
          <w:i/>
          <w:iCs/>
        </w:rPr>
      </w:pPr>
    </w:p>
    <w:p w14:paraId="2735376A" w14:textId="709F0465">
      <w:pPr>
        <w:pStyle w:val="BodyText"/>
        <w:ind w:left="1440"/>
        <w:jc w:val="right"/>
      </w:pPr>
      <w:r>
        <w:t xml:space="preserve">(Direktīvas (ES) 2015/1535 1. panta 1. punkta e) apakšpunkts)</w:t>
      </w:r>
    </w:p>
    <w:p w14:paraId="2412BA9D" w14:textId="7742CFA6">
      <w:pPr>
        <w:spacing w:after="0" w:line="240" w:lineRule="auto"/>
      </w:pPr>
    </w:p>
    <w:p w14:paraId="047B2ADB" w14:textId="17E336C2">
      <w:pPr>
        <w:spacing w:after="0" w:line="240" w:lineRule="auto"/>
        <w:ind w:left="567"/>
        <w:jc w:val="both"/>
        <w:rPr>
          <w:rFonts w:ascii="Times New Roman" w:hAnsi="Times New Roman" w:cs="Times New Roman"/>
          <w:i/>
          <w:sz w:val="24"/>
          <w:szCs w:val="24"/>
        </w:rPr>
        <w:pStyle w:val="P68B1DB1-Normal12"/>
      </w:pPr>
      <w:r>
        <w:t xml:space="preserve">““pakalpojums” ir jebkurš Informācijas sabiedrības pakalpojums, t. i., jebkurš pakalpojums, ko parasti sniedz par atlīdzību no attāluma, ar elektroniskiem līdzekļiem un pēc pakalpojumu saņēmēja individuāla pieprasījuma. </w:t>
      </w:r>
    </w:p>
    <w:p w14:paraId="0A07BEF1" w14:textId="77777777">
      <w:pPr>
        <w:spacing w:after="0" w:line="240" w:lineRule="auto"/>
        <w:ind w:left="567"/>
        <w:jc w:val="both"/>
        <w:rPr>
          <w:rFonts w:ascii="Times New Roman" w:hAnsi="Times New Roman" w:cs="Times New Roman"/>
          <w:i/>
          <w:sz w:val="24"/>
          <w:szCs w:val="24"/>
        </w:rPr>
      </w:pPr>
    </w:p>
    <w:p w14:paraId="0427D520" w14:textId="77777777">
      <w:pPr>
        <w:spacing w:after="0" w:line="240" w:lineRule="auto"/>
        <w:ind w:left="567"/>
        <w:jc w:val="both"/>
        <w:rPr>
          <w:rFonts w:ascii="Times New Roman" w:hAnsi="Times New Roman" w:cs="Times New Roman"/>
          <w:i/>
          <w:sz w:val="24"/>
          <w:szCs w:val="24"/>
        </w:rPr>
        <w:pStyle w:val="P68B1DB1-Normal12"/>
      </w:pPr>
      <w:r>
        <w:t xml:space="preserve">Šajā definīcijā: </w:t>
      </w:r>
    </w:p>
    <w:p w14:paraId="14B11324" w14:textId="77777777">
      <w:pPr>
        <w:spacing w:after="0" w:line="240" w:lineRule="auto"/>
        <w:ind w:left="567"/>
        <w:jc w:val="both"/>
        <w:rPr>
          <w:rFonts w:ascii="Times New Roman" w:hAnsi="Times New Roman" w:cs="Times New Roman"/>
          <w:i/>
          <w:sz w:val="24"/>
          <w:szCs w:val="24"/>
        </w:rPr>
      </w:pPr>
    </w:p>
    <w:p w14:paraId="0727DDA2" w14:textId="77777777">
      <w:pPr>
        <w:spacing w:after="0" w:line="240" w:lineRule="auto"/>
        <w:ind w:left="1440"/>
        <w:jc w:val="both"/>
        <w:rPr>
          <w:rFonts w:ascii="Times New Roman" w:hAnsi="Times New Roman" w:cs="Times New Roman"/>
          <w:i/>
          <w:sz w:val="24"/>
          <w:szCs w:val="24"/>
        </w:rPr>
        <w:pStyle w:val="P68B1DB1-Normal12"/>
      </w:pPr>
      <w:r>
        <w:t xml:space="preserve">I) “no attāluma” nozīmē, ka pakalpojumu sniedz bez pušu vienlaicīgas klātbūtnes; </w:t>
      </w:r>
    </w:p>
    <w:p w14:paraId="21A0956B" w14:textId="56365680">
      <w:pPr>
        <w:spacing w:after="0" w:line="240" w:lineRule="auto"/>
        <w:ind w:left="1440"/>
        <w:jc w:val="both"/>
        <w:rPr>
          <w:rFonts w:ascii="Times New Roman" w:hAnsi="Times New Roman" w:cs="Times New Roman"/>
          <w:i/>
          <w:sz w:val="24"/>
          <w:szCs w:val="24"/>
        </w:rPr>
        <w:pStyle w:val="P68B1DB1-Normal12"/>
      </w:pPr>
      <w:r>
        <w:t xml:space="preserve">II) “ar elektroniskiem līdzekļiem” nozīmē, ka pakalpojumu sākotnēji nosūta un saņem galamērķī, izmantojot elektroniskas iekārtas datu apstrādei (tostarp digitālai kompresijai) un glabāšanai, un pilnībā pārraida, pārraida un saņem pa vadiem, pa radio, ar optiskiem vai citiem elektromagnētiskiem līdzekļiem; </w:t>
      </w:r>
    </w:p>
    <w:p w14:paraId="5C56E529" w14:textId="12F1F1E7">
      <w:pPr>
        <w:spacing w:after="0" w:line="240" w:lineRule="auto"/>
        <w:ind w:left="1440"/>
        <w:jc w:val="both"/>
        <w:rPr>
          <w:rFonts w:ascii="Times New Roman" w:hAnsi="Times New Roman" w:cs="Times New Roman"/>
          <w:i/>
          <w:sz w:val="24"/>
          <w:szCs w:val="24"/>
        </w:rPr>
        <w:pStyle w:val="P68B1DB1-Normal12"/>
      </w:pPr>
      <w:r>
        <w:t xml:space="preserve">III) “pēc pakalpojumu saņēmēja individuāla pieprasījuma” nozīmē, ka pakalpojumu sniedz, pārraidot datus pēc individuāla pieprasījuma. </w:t>
      </w:r>
    </w:p>
    <w:p w14:paraId="514F222E" w14:textId="77777777">
      <w:pPr>
        <w:spacing w:after="0" w:line="240" w:lineRule="auto"/>
        <w:jc w:val="both"/>
        <w:rPr>
          <w:rFonts w:ascii="Times New Roman" w:hAnsi="Times New Roman" w:cs="Times New Roman"/>
          <w:i/>
          <w:sz w:val="24"/>
          <w:szCs w:val="24"/>
        </w:rPr>
      </w:pPr>
    </w:p>
    <w:p w14:paraId="11E4DACC" w14:textId="7501B95E">
      <w:pPr>
        <w:spacing w:after="0" w:line="240" w:lineRule="auto"/>
        <w:ind w:left="567"/>
        <w:jc w:val="both"/>
        <w:rPr>
          <w:rFonts w:ascii="Times New Roman" w:hAnsi="Times New Roman" w:cs="Times New Roman"/>
          <w:i/>
          <w:sz w:val="24"/>
          <w:szCs w:val="24"/>
        </w:rPr>
        <w:pStyle w:val="P68B1DB1-Normal12"/>
      </w:pPr>
      <w:r>
        <w:t xml:space="preserve">Indikatīvs to pakalpojumu saraksts, uz kuriem neattiecas šī definīcija, ir sniegts I pielikumā;”</w:t>
      </w:r>
    </w:p>
    <w:p w14:paraId="1FF17DD0" w14:textId="77777777">
      <w:pPr>
        <w:spacing w:after="0" w:line="240" w:lineRule="auto"/>
        <w:ind w:left="567"/>
        <w:jc w:val="both"/>
        <w:rPr>
          <w:rFonts w:ascii="Times New Roman" w:hAnsi="Times New Roman" w:cs="Times New Roman"/>
          <w:i/>
          <w:iCs/>
          <w:sz w:val="24"/>
          <w:szCs w:val="24"/>
        </w:rPr>
      </w:pPr>
    </w:p>
    <w:p w14:paraId="6EAE1680" w14:textId="066C5520">
      <w:pPr>
        <w:pStyle w:val="BodyText"/>
        <w:ind w:left="1440"/>
        <w:jc w:val="right"/>
      </w:pPr>
      <w:r>
        <w:t xml:space="preserve">(Direktīvas (ES) 2015/1535 1. panta 1. punkta b) apakšpunkts)</w:t>
      </w:r>
    </w:p>
    <w:p w14:paraId="3979F0D8" w14:textId="77777777">
      <w:pPr>
        <w:spacing w:after="0" w:line="240" w:lineRule="auto"/>
        <w:ind w:left="567"/>
        <w:jc w:val="both"/>
        <w:rPr>
          <w:rFonts w:ascii="Times New Roman" w:hAnsi="Times New Roman" w:cs="Times New Roman"/>
          <w:i/>
          <w:iCs/>
          <w:sz w:val="24"/>
          <w:szCs w:val="24"/>
        </w:rPr>
      </w:pPr>
    </w:p>
    <w:p w14:paraId="325579F5" w14:textId="5717D74C">
      <w:pPr>
        <w:pStyle w:val="P68B1DB1-Normal12"/>
        <w:spacing w:after="0" w:line="240" w:lineRule="auto"/>
        <w:ind w:left="567"/>
        <w:jc w:val="both"/>
        <w:rPr>
          <w:iCs/>
        </w:rPr>
      </w:pPr>
      <w:r>
        <w:t xml:space="preserve">“Indikatīvs to pakalpojumu saraksts, uz kuriem neattiecas 1. panta 1. punkta b) apakšpunkta otrā daļa </w:t>
      </w:r>
    </w:p>
    <w:p w14:paraId="2833D888" w14:textId="77777777">
      <w:pPr>
        <w:spacing w:after="0" w:line="240" w:lineRule="auto"/>
        <w:ind w:left="567"/>
        <w:jc w:val="both"/>
        <w:rPr>
          <w:rFonts w:ascii="Times New Roman" w:hAnsi="Times New Roman" w:cs="Times New Roman"/>
          <w:i/>
          <w:iCs/>
          <w:sz w:val="24"/>
          <w:szCs w:val="24"/>
        </w:rPr>
      </w:pPr>
    </w:p>
    <w:p w14:paraId="45BC8C0F" w14:textId="59EDD8A8">
      <w:pPr>
        <w:pStyle w:val="P68B1DB1-ListParagraph21"/>
        <w:numPr>
          <w:ilvl w:val="0"/>
          <w:numId w:val="33"/>
        </w:numPr>
        <w:spacing w:after="0" w:line="240" w:lineRule="auto"/>
        <w:jc w:val="center"/>
        <w:rPr>
          <w:rFonts w:ascii="Times New Roman" w:hAnsi="Times New Roman" w:cs="Times New Roman"/>
          <w:i/>
          <w:sz w:val="24"/>
          <w:szCs w:val="24"/>
        </w:rPr>
      </w:pPr>
      <w:r>
        <w:t xml:space="preserve">Pakalpojumi, ko nesniedz “no attāluma”</w:t>
      </w:r>
    </w:p>
    <w:p w14:paraId="0869B267" w14:textId="77777777">
      <w:pPr>
        <w:pStyle w:val="ListParagraph"/>
        <w:spacing w:after="0" w:line="240" w:lineRule="auto"/>
        <w:ind w:left="927"/>
        <w:rPr>
          <w:rFonts w:ascii="Times New Roman" w:hAnsi="Times New Roman" w:cs="Times New Roman"/>
          <w:i/>
          <w:sz w:val="24"/>
          <w:szCs w:val="24"/>
        </w:rPr>
      </w:pPr>
    </w:p>
    <w:p w14:paraId="15316F3F" w14:textId="637F4A7C">
      <w:pPr>
        <w:spacing w:after="0" w:line="240" w:lineRule="auto"/>
        <w:ind w:left="567"/>
        <w:rPr>
          <w:rFonts w:ascii="Times New Roman" w:hAnsi="Times New Roman" w:cs="Times New Roman"/>
          <w:i/>
          <w:sz w:val="24"/>
          <w:szCs w:val="24"/>
        </w:rPr>
        <w:pStyle w:val="P68B1DB1-Normal12"/>
      </w:pPr>
      <w:r>
        <w:t xml:space="preserve">Pakalpojumi, ko sniedz pakalpojumu sniedzēja un saņēmēja fiziskā klātbūtnē pat tad, ja tie saistīta ar elektronisku ierīču izmantošanu: </w:t>
      </w:r>
    </w:p>
    <w:p w14:paraId="3362CCDE" w14:textId="74A453DA">
      <w:pPr>
        <w:spacing w:after="0" w:line="240" w:lineRule="auto"/>
        <w:ind w:left="1287"/>
        <w:rPr>
          <w:rFonts w:ascii="Times New Roman" w:hAnsi="Times New Roman" w:cs="Times New Roman"/>
          <w:i/>
          <w:sz w:val="24"/>
          <w:szCs w:val="24"/>
        </w:rPr>
        <w:pStyle w:val="P68B1DB1-Normal12"/>
      </w:pPr>
      <w:r>
        <w:t xml:space="preserve">a) medicīniskās pārbaudes vai ārstēšana ārsta ķirurģijā, izmantojot elektronisku aprīkojumu, kurā pacients fiziski atrodas; </w:t>
      </w:r>
    </w:p>
    <w:p w14:paraId="705A25A8" w14:textId="77777777">
      <w:pPr>
        <w:spacing w:after="0" w:line="240" w:lineRule="auto"/>
        <w:ind w:left="567" w:firstLine="720"/>
        <w:rPr>
          <w:rFonts w:ascii="Times New Roman" w:hAnsi="Times New Roman" w:cs="Times New Roman"/>
          <w:i/>
          <w:sz w:val="24"/>
          <w:szCs w:val="24"/>
        </w:rPr>
        <w:pStyle w:val="P68B1DB1-Normal12"/>
      </w:pPr>
      <w:r>
        <w:t xml:space="preserve">elektroniskā kataloga aplūkošana veikalā ar klientu uz vietas; </w:t>
      </w:r>
    </w:p>
    <w:p w14:paraId="7DA6C469" w14:textId="5F31D5B1">
      <w:pPr>
        <w:spacing w:after="0" w:line="240" w:lineRule="auto"/>
        <w:ind w:left="1287"/>
        <w:rPr>
          <w:rFonts w:ascii="Times New Roman" w:hAnsi="Times New Roman" w:cs="Times New Roman"/>
          <w:i/>
          <w:sz w:val="24"/>
          <w:szCs w:val="24"/>
        </w:rPr>
        <w:pStyle w:val="P68B1DB1-Normal12"/>
      </w:pPr>
      <w:r>
        <w:t xml:space="preserve">C) aviobiļetes rezervēšana ceļojumu aģentūrā klienta fiziskā klātbūtnē, izmantojot datoru tīklu; </w:t>
      </w:r>
    </w:p>
    <w:p w14:paraId="01C9EFAD" w14:textId="77777777">
      <w:pPr>
        <w:spacing w:after="0" w:line="240" w:lineRule="auto"/>
        <w:ind w:left="1287"/>
        <w:rPr>
          <w:rFonts w:ascii="Times New Roman" w:hAnsi="Times New Roman" w:cs="Times New Roman"/>
          <w:i/>
          <w:sz w:val="24"/>
          <w:szCs w:val="24"/>
        </w:rPr>
        <w:pStyle w:val="P68B1DB1-Normal12"/>
      </w:pPr>
      <w:r>
        <w:t xml:space="preserve">d) elektroniskās spēles, kas pieejamas video galerijā, kur klients fiziski atrodas. </w:t>
      </w:r>
    </w:p>
    <w:p w14:paraId="487F2005" w14:textId="77777777">
      <w:pPr>
        <w:spacing w:after="0" w:line="240" w:lineRule="auto"/>
        <w:ind w:left="567"/>
        <w:rPr>
          <w:rFonts w:ascii="Times New Roman" w:hAnsi="Times New Roman" w:cs="Times New Roman"/>
          <w:i/>
          <w:sz w:val="24"/>
          <w:szCs w:val="24"/>
        </w:rPr>
      </w:pPr>
    </w:p>
    <w:p w14:paraId="3AFC7951" w14:textId="251CDA9A">
      <w:pPr>
        <w:pStyle w:val="P68B1DB1-ListParagraph21"/>
        <w:numPr>
          <w:ilvl w:val="0"/>
          <w:numId w:val="33"/>
        </w:numPr>
        <w:spacing w:after="0" w:line="240" w:lineRule="auto"/>
        <w:jc w:val="center"/>
        <w:rPr>
          <w:rFonts w:ascii="Times New Roman" w:hAnsi="Times New Roman" w:cs="Times New Roman"/>
          <w:i/>
          <w:sz w:val="24"/>
          <w:szCs w:val="24"/>
        </w:rPr>
      </w:pPr>
      <w:r>
        <w:t xml:space="preserve">Pakalpojumi, ko nesniedz “elektroniskā ceļā”</w:t>
      </w:r>
    </w:p>
    <w:p w14:paraId="7F20B717" w14:textId="77777777">
      <w:pPr>
        <w:pStyle w:val="ListParagraph"/>
        <w:spacing w:after="0" w:line="240" w:lineRule="auto"/>
        <w:ind w:left="927"/>
        <w:rPr>
          <w:rFonts w:ascii="Times New Roman" w:hAnsi="Times New Roman" w:cs="Times New Roman"/>
          <w:i/>
          <w:sz w:val="24"/>
          <w:szCs w:val="24"/>
        </w:rPr>
      </w:pPr>
    </w:p>
    <w:p w14:paraId="02C6FE7C" w14:textId="77777777">
      <w:pPr>
        <w:spacing w:after="0" w:line="240" w:lineRule="auto"/>
        <w:ind w:left="567"/>
        <w:rPr>
          <w:rFonts w:ascii="Times New Roman" w:hAnsi="Times New Roman" w:cs="Times New Roman"/>
          <w:i/>
          <w:sz w:val="24"/>
          <w:szCs w:val="24"/>
        </w:rPr>
        <w:pStyle w:val="P68B1DB1-Normal12"/>
      </w:pPr>
      <w:r>
        <w:t xml:space="preserve">— pakalpojumi ar materiālu saturu, pat ja tos sniedz, izmantojot elektroniskas ierīces: </w:t>
      </w:r>
    </w:p>
    <w:p w14:paraId="271D8E4D" w14:textId="77777777">
      <w:pPr>
        <w:spacing w:after="0" w:line="240" w:lineRule="auto"/>
        <w:ind w:left="567" w:firstLine="720"/>
        <w:rPr>
          <w:rFonts w:ascii="Times New Roman" w:hAnsi="Times New Roman" w:cs="Times New Roman"/>
          <w:i/>
          <w:sz w:val="24"/>
          <w:szCs w:val="24"/>
        </w:rPr>
        <w:pStyle w:val="P68B1DB1-Normal12"/>
      </w:pPr>
      <w:r>
        <w:t xml:space="preserve">a) automāti skaidras naudas vai biļešu izsniegšanai (banknotes, dzelzceļa biļetes); </w:t>
      </w:r>
    </w:p>
    <w:p w14:paraId="07693B6B" w14:textId="1A59726A">
      <w:pPr>
        <w:spacing w:after="0" w:line="240" w:lineRule="auto"/>
        <w:ind w:left="1287"/>
        <w:rPr>
          <w:rFonts w:ascii="Times New Roman" w:hAnsi="Times New Roman" w:cs="Times New Roman"/>
          <w:i/>
          <w:sz w:val="24"/>
          <w:szCs w:val="24"/>
        </w:rPr>
        <w:pStyle w:val="P68B1DB1-Normal12"/>
      </w:pPr>
      <w:r>
        <w:t xml:space="preserve">piekļuvi ceļu tīkliem, autostāvvietām utt., maksu par izmantošanu, pat ja pie ieejas/izejas ir elektroniskas ierīces, kas kontrolē piekļuvi un/vai nodrošina pareizu samaksu, </w:t>
      </w:r>
    </w:p>
    <w:p w14:paraId="6B193BE7" w14:textId="77777777">
      <w:pPr>
        <w:spacing w:after="0" w:line="240" w:lineRule="auto"/>
        <w:ind w:left="567"/>
        <w:rPr>
          <w:rFonts w:ascii="Times New Roman" w:hAnsi="Times New Roman" w:cs="Times New Roman"/>
          <w:i/>
          <w:sz w:val="24"/>
          <w:szCs w:val="24"/>
        </w:rPr>
        <w:pStyle w:val="P68B1DB1-Normal12"/>
      </w:pPr>
      <w:r>
        <w:t xml:space="preserve">—bezsaistes pakalpojumi: CD-ROM vai programmatūras izplatīšana disketēs, </w:t>
      </w:r>
    </w:p>
    <w:p w14:paraId="421C0A6C" w14:textId="77777777">
      <w:pPr>
        <w:spacing w:after="0" w:line="240" w:lineRule="auto"/>
        <w:ind w:left="567"/>
        <w:rPr>
          <w:rFonts w:ascii="Times New Roman" w:hAnsi="Times New Roman" w:cs="Times New Roman"/>
          <w:i/>
          <w:sz w:val="24"/>
          <w:szCs w:val="24"/>
        </w:rPr>
        <w:pStyle w:val="P68B1DB1-Normal12"/>
      </w:pPr>
      <w:r>
        <w:t xml:space="preserve">— pakalpojumi, ko nesniedz, izmantojot elektroniskās apstrādes/uzskaites sistēmas: </w:t>
      </w:r>
    </w:p>
    <w:p w14:paraId="48C8B4AA" w14:textId="77777777">
      <w:pPr>
        <w:spacing w:after="0" w:line="240" w:lineRule="auto"/>
        <w:ind w:left="567" w:firstLine="720"/>
        <w:rPr>
          <w:rFonts w:ascii="Times New Roman" w:hAnsi="Times New Roman" w:cs="Times New Roman"/>
          <w:i/>
          <w:sz w:val="24"/>
          <w:szCs w:val="24"/>
        </w:rPr>
        <w:pStyle w:val="P68B1DB1-Normal12"/>
      </w:pPr>
      <w:r>
        <w:t xml:space="preserve">a) balss telefonijas pakalpojumi; </w:t>
      </w:r>
    </w:p>
    <w:p w14:paraId="56C7B905" w14:textId="77777777">
      <w:pPr>
        <w:spacing w:after="0" w:line="240" w:lineRule="auto"/>
        <w:ind w:left="567" w:firstLine="720"/>
        <w:rPr>
          <w:rFonts w:ascii="Times New Roman" w:hAnsi="Times New Roman" w:cs="Times New Roman"/>
          <w:i/>
          <w:sz w:val="24"/>
          <w:szCs w:val="24"/>
        </w:rPr>
        <w:pStyle w:val="P68B1DB1-Normal12"/>
      </w:pPr>
      <w:r>
        <w:t xml:space="preserve">b) telefaksa/telex pakalpojumi; </w:t>
      </w:r>
    </w:p>
    <w:p w14:paraId="4711D7CC" w14:textId="77777777">
      <w:pPr>
        <w:spacing w:after="0" w:line="240" w:lineRule="auto"/>
        <w:ind w:left="567" w:firstLine="720"/>
        <w:rPr>
          <w:rFonts w:ascii="Times New Roman" w:hAnsi="Times New Roman" w:cs="Times New Roman"/>
          <w:i/>
          <w:sz w:val="24"/>
          <w:szCs w:val="24"/>
        </w:rPr>
        <w:pStyle w:val="P68B1DB1-Normal12"/>
      </w:pPr>
      <w:r>
        <w:t xml:space="preserve">C) pakalpojumi, ko sniedz, izmantojot balss telefoniju vai faksu; </w:t>
      </w:r>
    </w:p>
    <w:p w14:paraId="129084EE" w14:textId="77777777">
      <w:pPr>
        <w:spacing w:after="0" w:line="240" w:lineRule="auto"/>
        <w:ind w:left="567" w:firstLine="720"/>
        <w:rPr>
          <w:rFonts w:ascii="Times New Roman" w:hAnsi="Times New Roman" w:cs="Times New Roman"/>
          <w:i/>
          <w:sz w:val="24"/>
          <w:szCs w:val="24"/>
        </w:rPr>
        <w:pStyle w:val="P68B1DB1-Normal12"/>
      </w:pPr>
      <w:r>
        <w:t xml:space="preserve">d) ārsta konsultācija pa tālruni/telefaksu; </w:t>
      </w:r>
    </w:p>
    <w:p w14:paraId="4D484D71" w14:textId="77777777">
      <w:pPr>
        <w:spacing w:after="0" w:line="240" w:lineRule="auto"/>
        <w:ind w:left="567" w:firstLine="720"/>
        <w:rPr>
          <w:rFonts w:ascii="Times New Roman" w:hAnsi="Times New Roman" w:cs="Times New Roman"/>
          <w:i/>
          <w:sz w:val="24"/>
          <w:szCs w:val="24"/>
        </w:rPr>
        <w:pStyle w:val="P68B1DB1-Normal12"/>
      </w:pPr>
      <w:r>
        <w:t xml:space="preserve">e) konsultācijas ar advokātu pa tālruni/telefaksu; </w:t>
      </w:r>
    </w:p>
    <w:p w14:paraId="69CFBD9E" w14:textId="77777777">
      <w:pPr>
        <w:spacing w:after="0" w:line="240" w:lineRule="auto"/>
        <w:ind w:left="567" w:firstLine="720"/>
        <w:rPr>
          <w:rFonts w:ascii="Times New Roman" w:hAnsi="Times New Roman" w:cs="Times New Roman"/>
          <w:i/>
          <w:sz w:val="24"/>
          <w:szCs w:val="24"/>
        </w:rPr>
        <w:pStyle w:val="P68B1DB1-Normal12"/>
      </w:pPr>
      <w:r>
        <w:t xml:space="preserve">F) tiešā tirgvedība pa tālruni/telefaksu. </w:t>
      </w:r>
    </w:p>
    <w:p w14:paraId="7998BDE8" w14:textId="77777777">
      <w:pPr>
        <w:spacing w:after="0" w:line="240" w:lineRule="auto"/>
        <w:ind w:left="567" w:firstLine="720"/>
        <w:rPr>
          <w:rFonts w:ascii="Times New Roman" w:hAnsi="Times New Roman" w:cs="Times New Roman"/>
          <w:i/>
          <w:sz w:val="24"/>
          <w:szCs w:val="24"/>
        </w:rPr>
      </w:pPr>
    </w:p>
    <w:p w14:paraId="61AA40DF" w14:textId="73BA62B1">
      <w:pPr>
        <w:spacing w:after="0" w:line="240" w:lineRule="auto"/>
        <w:ind w:left="567"/>
        <w:jc w:val="center"/>
        <w:rPr>
          <w:rFonts w:ascii="Times New Roman" w:hAnsi="Times New Roman" w:cs="Times New Roman"/>
          <w:i/>
          <w:sz w:val="24"/>
          <w:szCs w:val="24"/>
        </w:rPr>
        <w:pStyle w:val="P68B1DB1-Normal12"/>
      </w:pPr>
      <w:r>
        <w:t xml:space="preserve">3. Pakalpojumi, ko nesniedz “pēc pakalpojumu saņēmēja individuāla pieprasījuma”</w:t>
      </w:r>
    </w:p>
    <w:p w14:paraId="36C37D64" w14:textId="77777777">
      <w:pPr>
        <w:spacing w:after="0" w:line="240" w:lineRule="auto"/>
        <w:ind w:left="567"/>
        <w:jc w:val="center"/>
        <w:rPr>
          <w:rFonts w:ascii="Times New Roman" w:hAnsi="Times New Roman" w:cs="Times New Roman"/>
          <w:i/>
          <w:sz w:val="24"/>
          <w:szCs w:val="24"/>
        </w:rPr>
      </w:pPr>
    </w:p>
    <w:p w14:paraId="79A4497E" w14:textId="5069126A">
      <w:pPr>
        <w:spacing w:after="0" w:line="240" w:lineRule="auto"/>
        <w:ind w:left="567"/>
        <w:rPr>
          <w:rFonts w:ascii="Times New Roman" w:hAnsi="Times New Roman" w:cs="Times New Roman"/>
          <w:i/>
          <w:sz w:val="24"/>
          <w:szCs w:val="24"/>
        </w:rPr>
        <w:pStyle w:val="P68B1DB1-Normal12"/>
      </w:pPr>
      <w:r>
        <w:t xml:space="preserve">Pakalpojumi, ko sniedz ar datu pārraidi bez individuāla pieprasījuma un ko vienlaicīgi saņem neierobežots skaits individuālu saņēmēju (punkta — vairākpunktu pārraide): </w:t>
      </w:r>
    </w:p>
    <w:p w14:paraId="7348FF90" w14:textId="622E29E3">
      <w:pPr>
        <w:spacing w:after="0" w:line="240" w:lineRule="auto"/>
        <w:ind w:left="1287"/>
        <w:rPr>
          <w:rFonts w:ascii="Times New Roman" w:hAnsi="Times New Roman" w:cs="Times New Roman"/>
          <w:i/>
          <w:sz w:val="24"/>
          <w:szCs w:val="24"/>
        </w:rPr>
        <w:pStyle w:val="P68B1DB1-Normal12"/>
      </w:pPr>
      <w:r>
        <w:t xml:space="preserve">a) televīzijas apraides pakalpojumi (tostarp video pēc pieprasījuma tuvi pakalpojumi), uz kuriem attiecas Direktīvas 2010/13/ES 1. panta 1. punkta e) apakšpunkts; </w:t>
      </w:r>
    </w:p>
    <w:p w14:paraId="52812E73" w14:textId="77777777">
      <w:pPr>
        <w:spacing w:after="0" w:line="240" w:lineRule="auto"/>
        <w:ind w:left="567" w:firstLine="720"/>
        <w:rPr>
          <w:rFonts w:ascii="Times New Roman" w:hAnsi="Times New Roman" w:cs="Times New Roman"/>
          <w:i/>
          <w:sz w:val="24"/>
          <w:szCs w:val="24"/>
        </w:rPr>
        <w:pStyle w:val="P68B1DB1-Normal12"/>
      </w:pPr>
      <w:r>
        <w:t xml:space="preserve">radio apraides pakalpojumi; </w:t>
      </w:r>
    </w:p>
    <w:p w14:paraId="50FD6B17" w14:textId="6C6940F1">
      <w:pPr>
        <w:spacing w:after="0" w:line="240" w:lineRule="auto"/>
        <w:ind w:left="567" w:firstLine="720"/>
        <w:pStyle w:val="P68B1DB1-Normal12"/>
      </w:pPr>
      <w:r>
        <w:t xml:space="preserve">C) (televīzijas) teleteksts.”</w:t>
      </w:r>
    </w:p>
    <w:p w14:paraId="4CB8A09D" w14:textId="49490E91">
      <w:pPr>
        <w:pStyle w:val="BodyText"/>
        <w:ind w:left="1440"/>
        <w:jc w:val="right"/>
      </w:pPr>
      <w:r>
        <w:t xml:space="preserve">(Direktīvas (ES) 2015/1535 I pielikums)</w:t>
      </w:r>
    </w:p>
    <w:p w14:paraId="4AFCA90D" w14:textId="77777777">
      <w:pPr>
        <w:spacing w:after="0" w:line="240" w:lineRule="auto"/>
      </w:pPr>
    </w:p>
    <w:p w14:paraId="27152DAF" w14:textId="403C1BD4">
      <w:pPr>
        <w:widowControl w:val="0"/>
        <w:autoSpaceDE w:val="0"/>
        <w:autoSpaceDN w:val="0"/>
        <w:spacing w:after="0" w:line="240" w:lineRule="auto"/>
        <w:jc w:val="both"/>
        <w:rPr>
          <w:rFonts w:ascii="Times New Roman" w:hAnsi="Times New Roman" w:cs="Times New Roman" w:eastAsia="Times New Roman"/>
          <w:i/>
          <w:iCs/>
          <w:sz w:val="20"/>
          <w:szCs w:val="16"/>
        </w:rPr>
      </w:pPr>
      <w:hyperlink r:id="rId47" w:history="1">
        <w:r>
          <w:rPr>
            <w:rStyle w:val="Hyperlink"/>
            <w:rFonts w:ascii="Times New Roman" w:hAnsi="Times New Roman" w:cs="Times New Roman" w:eastAsia="Times New Roman"/>
            <w:b/>
            <w:i/>
            <w:color w:val="0000FF"/>
            <w:szCs w:val="20"/>
          </w:rPr>
          <w:t xml:space="preserve">Spriedums, 2005. gada 2. jūnijs</w:t>
        </w:r>
      </w:hyperlink>
      <w:r>
        <w:rPr>
          <w:rFonts w:ascii="Times New Roman" w:hAnsi="Times New Roman" w:cs="Times New Roman" w:eastAsia="Times New Roman"/>
          <w:b/>
          <w:i/>
          <w:szCs w:val="20"/>
        </w:rPr>
        <w:t xml:space="preserve">, Mediakabel BV, C-89/04, EU:C:2005:348, 38. un 39. punkts.</w:t>
      </w:r>
    </w:p>
    <w:p w14:paraId="72864DF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0D3FE7F" w14:textId="7CBF6B01">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Televīzijas apraides pakalpojums, kas darīts pieejams pēc abonenta pieprasījuma, bet kam filmu frekvenci un laiku nosaka pakalpojuma sniedzējs, nav “informācijas sabiedrības pakalpojums”, jo saturu izvēlas un plāno pakalpojuma sniedzējs un tāpēc to nesniedz pēc saņēmēja individuāla pieprasījuma.</w:t>
      </w:r>
    </w:p>
    <w:p w14:paraId="35F17E14"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7DC4243A" w14:textId="1EBB386A">
      <w:pPr>
        <w:pStyle w:val="P68B1DB1-Normal15"/>
        <w:widowControl w:val="0"/>
        <w:autoSpaceDE w:val="0"/>
        <w:autoSpaceDN w:val="0"/>
        <w:spacing w:after="0" w:line="240" w:lineRule="auto"/>
        <w:ind w:left="567"/>
        <w:jc w:val="both"/>
      </w:pPr>
      <w:r>
        <w:t xml:space="preserve">“38. Faktiski, lai gan šāds pakalpojums atbilst diviem pirmajiem “informācijas sabiedrības pakalpojuma” jēdziena kritērijiem Direktīvas 98/34 1. panta 2. punkta izpratnē, t. i., to sniedz no attāluma ar elektroniskiem līdzekļiem, tas tomēr neatbilst trešajam minētā jēdziena kritērijam, saskaņā ar kuru attiecīgais pakalpojums jāsniedz “pēc pakalpojumu saņēmēja individuāla pieprasījuma”. Tāda pakalpojuma kā “Filmtime” ietvaros piedāvāto filmu sarakstu nosaka pakalpojuma sniedzējs. Šī filmu izvēle tiek piedāvāta visiem abonentiem ar vienādiem nosacījumiem vai nu ar žurnālu, vai ar televīzijas ekrānā pārraidītas informācijas palīdzību, un minētās filmas ir pieejamas pakalpojumu sniedzēja noteiktos pārraides laikos. Personīga atslēga, kas nodrošina pieeju filmām, ir tikai attēlu, kuru signāls ir adresēts visiem abonentiem vienlaicīgi, dekodēšanas līdzeklis.</w:t>
      </w:r>
    </w:p>
    <w:p w14:paraId="68AEB66F" w14:textId="77777777">
      <w:pPr>
        <w:pStyle w:val="P68B1DB1-Normal15"/>
        <w:widowControl w:val="0"/>
        <w:autoSpaceDE w:val="0"/>
        <w:autoSpaceDN w:val="0"/>
        <w:spacing w:after="0" w:line="240" w:lineRule="auto"/>
        <w:ind w:left="567"/>
        <w:jc w:val="both"/>
      </w:pPr>
    </w:p>
    <w:p w14:paraId="145EEF38" w14:textId="74B1BC98">
      <w:pPr>
        <w:pStyle w:val="P68B1DB1-Normal15"/>
        <w:widowControl w:val="0"/>
        <w:autoSpaceDE w:val="0"/>
        <w:autoSpaceDN w:val="0"/>
        <w:spacing w:after="0" w:line="240" w:lineRule="auto"/>
        <w:ind w:left="567"/>
        <w:jc w:val="both"/>
        <w:rPr>
          <w:iCs/>
        </w:rPr>
      </w:pPr>
      <w:r>
        <w:t xml:space="preserve">39. Tātad tas nav pakalpojums, ko individuāli pasūta atsevišķs tā saņēmējs, kuram būtu brīva raidījumu izvēle interaktīvā vidē. Tas ir jāuzskata par gandrīz video pēc pieprasījuma sniegtu pakalpojumu, ko sniedz, pamatojoties uz principu “no punkta līdz vairākiem punktiem”, nevis “pēc pakalpojumu saņēmēja individuāla pieprasījuma”.</w:t>
      </w:r>
    </w:p>
    <w:p w14:paraId="5E8F8952" w14:textId="190BF10B">
      <w:pPr>
        <w:widowControl w:val="0"/>
        <w:autoSpaceDE w:val="0"/>
        <w:autoSpaceDN w:val="0"/>
        <w:spacing w:after="0" w:line="240" w:lineRule="auto"/>
        <w:ind w:left="567"/>
        <w:jc w:val="both"/>
      </w:pPr>
    </w:p>
    <w:p w14:paraId="6027638F" w14:textId="40792564">
      <w:pPr>
        <w:pStyle w:val="P68B1DB1-Normal13"/>
        <w:widowControl w:val="0"/>
        <w:autoSpaceDE w:val="0"/>
        <w:autoSpaceDN w:val="0"/>
        <w:spacing w:after="0" w:line="240" w:lineRule="auto"/>
        <w:jc w:val="both"/>
        <w:outlineLvl w:val="1"/>
      </w:pPr>
      <w:hyperlink r:id="rId48" w:history="1">
        <w:r>
          <w:rPr>
            <w:color w:val="0000FF"/>
            <w:u w:val="single"/>
          </w:rPr>
          <w:t xml:space="preserve">Spriedums, 2016. gada 2. februāris</w:t>
        </w:r>
      </w:hyperlink>
      <w:r>
        <w:t xml:space="preserve">, Ince, C-336/14, EU:C:2016:72, 75. un 76. punkts.</w:t>
      </w:r>
      <w:bookmarkEnd w:id="70"/>
    </w:p>
    <w:p w14:paraId="62235723" w14:textId="77777777">
      <w:pPr>
        <w:widowControl w:val="0"/>
        <w:tabs>
          <w:tab w:val="left" w:pos="396"/>
          <w:tab w:val="left" w:pos="415"/>
        </w:tabs>
        <w:autoSpaceDE w:val="0"/>
        <w:autoSpaceDN w:val="0"/>
        <w:spacing w:after="0" w:line="240" w:lineRule="auto"/>
        <w:jc w:val="both"/>
        <w:rPr>
          <w:rFonts w:ascii="Times New Roman" w:hAnsi="Times New Roman" w:cs="Times New Roman" w:eastAsia="Times New Roman"/>
          <w:szCs w:val="20"/>
        </w:rPr>
      </w:pPr>
    </w:p>
    <w:p w14:paraId="32F669F1" w14:textId="7D474CDE">
      <w:pPr>
        <w:widowControl w:val="0"/>
        <w:tabs>
          <w:tab w:val="left" w:pos="396"/>
          <w:tab w:val="left" w:pos="415"/>
        </w:tabs>
        <w:autoSpaceDE w:val="0"/>
        <w:autoSpaceDN w:val="0"/>
        <w:spacing w:after="0" w:line="240" w:lineRule="auto"/>
        <w:jc w:val="both"/>
        <w:rPr>
          <w:rFonts w:ascii="Times New Roman" w:hAnsi="Times New Roman" w:cs="Times New Roman" w:eastAsia="Times New Roman"/>
          <w:szCs w:val="20"/>
        </w:rPr>
        <w:pStyle w:val="P68B1DB1-Normal14"/>
      </w:pPr>
      <w:r>
        <w:t xml:space="preserve">Valsts noteikumus, kas ierobežo tiešsaistes azartspēļu piedāvāšanu vai aizliedz šādu spēļu reklāmu tiešsaistē, var uzskatīt par “noteikumiem par pakalpojumiem”, jo tie attiecas uz “informācijas sabiedrības pakalpojumu”. Savukārt noteikumi, kas prasa iepriekšēju atļauju azartspēļu rīkotājiem vai aizliedz piešķirt šādu atļauju privātiem uzņēmumiem, attiecas uz uzņēmumu dibināšanas nosacījumiem un tādējādi nav “noteikumi par pakalpojumiem”.</w:t>
      </w:r>
    </w:p>
    <w:p w14:paraId="156FC50A" w14:textId="77777777">
      <w:pPr>
        <w:widowControl w:val="0"/>
        <w:tabs>
          <w:tab w:val="left" w:pos="396"/>
          <w:tab w:val="left" w:pos="415"/>
        </w:tabs>
        <w:autoSpaceDE w:val="0"/>
        <w:autoSpaceDN w:val="0"/>
        <w:spacing w:after="0" w:line="240" w:lineRule="auto"/>
        <w:jc w:val="both"/>
        <w:rPr>
          <w:rFonts w:ascii="Times New Roman" w:hAnsi="Times New Roman" w:cs="Times New Roman" w:eastAsia="Times New Roman"/>
          <w:szCs w:val="20"/>
        </w:rPr>
      </w:pPr>
    </w:p>
    <w:p w14:paraId="26E8979D" w14:textId="42272F10">
      <w:pPr>
        <w:pStyle w:val="P68B1DB1-Normal15"/>
        <w:widowControl w:val="0"/>
        <w:autoSpaceDE w:val="0"/>
        <w:autoSpaceDN w:val="0"/>
        <w:spacing w:after="0" w:line="240" w:lineRule="auto"/>
        <w:ind w:left="567"/>
        <w:jc w:val="both"/>
      </w:pPr>
      <w:r>
        <w:t xml:space="preserve">“75. [..] dažas Līguma normas par azartspēlēm var tikt kvalificētas kā “noteikumi par pakalpojumiem”, ciktāl tās attiecas uz “informācijas sabiedrības pakalpojumiem” Direktīvas 98/34 1. panta 2. punkta izpratnē. Šīs normas ietver aizliegumu piedāvāt azartspēles internetā atbilstoši Līguma par azartspēlēm 4. panta 4. punktam, izņēmumi no šī aizlieguma ir uzskaitīti šī līguma 25. panta 6. punktā, ierobežojumi piedāvāt sporta derības ar telekomunikāciju iekārtu palīdzību ir ietverti šī līguma 21. panta 2. punktā, un aizliegums pārraidīt azartspēļu reklāmu internetā vai telekomunikāciju līdzekļos atbilstoši ir noteikts šī paša līguma 5. panta 3. punktā.</w:t>
      </w:r>
    </w:p>
    <w:p w14:paraId="440D35CE" w14:textId="77777777">
      <w:pPr>
        <w:pStyle w:val="P68B1DB1-Normal15"/>
        <w:widowControl w:val="0"/>
        <w:autoSpaceDE w:val="0"/>
        <w:autoSpaceDN w:val="0"/>
        <w:spacing w:after="0" w:line="240" w:lineRule="auto"/>
        <w:ind w:left="567"/>
        <w:jc w:val="both"/>
      </w:pPr>
    </w:p>
    <w:p w14:paraId="7CF19AC0" w14:textId="0AA0DFE8">
      <w:pPr>
        <w:pStyle w:val="P68B1DB1-Normal15"/>
        <w:widowControl w:val="0"/>
        <w:autoSpaceDE w:val="0"/>
        <w:autoSpaceDN w:val="0"/>
        <w:spacing w:after="0" w:line="240" w:lineRule="auto"/>
        <w:ind w:left="567"/>
        <w:jc w:val="both"/>
        <w:rPr>
          <w:iCs/>
        </w:rPr>
      </w:pPr>
      <w:r>
        <w:t xml:space="preserve">76. Attiecībā, savukārt, uz Līguma par azartspēlēm normām par “informācijas sabiedrības pakalpojumiem” Direktīvas 98/34 1. panta 2. punkta izpratnē, kā, piemēram, normām par pienākumu saņemt atļauju pieņemt sporta derības, kā arī par neiespējamību šādu atļauju piešķirt privātiem uzņēmumiem, ir jānorāda, ka tās nav “tehniskie noteikumi” šīs direktīvas 1. panta 11. punkta izpratnē. Valsts tiesību normas, kurās ir paredzēti tikai nosacījumi uzņēmumu dibināšanai vai pakalpojumu sniegšanai, piemēram, noteikumi, saskaņā ar kuriem darbības veikšanai ir jāsaņem iepriekšēja atļauja, nav tehniskie noteikumi šīs tiesību normas izpratnē (šajā ziņā skat. spriedumu Lindberg, C-267/03, EU:C:2005:246, 87. punkts).”</w:t>
      </w:r>
    </w:p>
    <w:p w14:paraId="284BC1DD" w14:textId="77777777">
      <w:pPr>
        <w:spacing w:after="0" w:line="240" w:lineRule="auto"/>
      </w:pPr>
    </w:p>
    <w:p w14:paraId="792D1FCB" w14:textId="5D8C5452">
      <w:pPr>
        <w:pStyle w:val="P68B1DB1-Normal13"/>
        <w:widowControl w:val="0"/>
        <w:autoSpaceDE w:val="0"/>
        <w:autoSpaceDN w:val="0"/>
        <w:spacing w:after="0" w:line="240" w:lineRule="auto"/>
        <w:jc w:val="both"/>
        <w:outlineLvl w:val="1"/>
      </w:pPr>
      <w:hyperlink r:id="rId49" w:history="1">
        <w:r>
          <w:rPr>
            <w:color w:val="0000FF"/>
            <w:u w:val="single"/>
          </w:rPr>
          <w:t xml:space="preserve">Tiesas spriedums, 2016. gada 13. oktobris,</w:t>
        </w:r>
      </w:hyperlink>
      <w:r>
        <w:t xml:space="preserve"> Naczelnik Urzędu Celnego I w., C 303/15</w:t>
        <w:noBreakHyphen/>
        <w:t xml:space="preserve">, EU:C:2016:771, 24. punkts.</w:t>
      </w:r>
      <w:bookmarkEnd w:id="71"/>
    </w:p>
    <w:p w14:paraId="5329A61B"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Pr>
    </w:p>
    <w:p w14:paraId="0996FF96" w14:textId="3530BD3E">
      <w:pPr>
        <w:widowControl w:val="0"/>
        <w:tabs>
          <w:tab w:val="left" w:pos="396"/>
          <w:tab w:val="left" w:pos="399"/>
        </w:tabs>
        <w:autoSpaceDE w:val="0"/>
        <w:autoSpaceDN w:val="0"/>
        <w:spacing w:after="0" w:line="240" w:lineRule="auto"/>
        <w:jc w:val="both"/>
        <w:rPr>
          <w:rFonts w:ascii="Times New Roman" w:hAnsi="Times New Roman" w:cs="Times New Roman" w:eastAsia="Times New Roman"/>
          <w:szCs w:val="20"/>
        </w:rPr>
        <w:pStyle w:val="P68B1DB1-Normal14"/>
      </w:pPr>
      <w:r>
        <w:t xml:space="preserve">Noteikums, saskaņā ar kuru azartspēļu darbību veikšanai ir jāsaņem kazino darbības licence, nav “noteikumi par pakalpojumiem”, jo tas neattiecas uz “informācijas sabiedrības pakalpojumu”.</w:t>
      </w:r>
    </w:p>
    <w:p w14:paraId="1E1EAAAB" w14:textId="77777777">
      <w:pPr>
        <w:widowControl w:val="0"/>
        <w:tabs>
          <w:tab w:val="left" w:pos="396"/>
          <w:tab w:val="left" w:pos="399"/>
        </w:tabs>
        <w:autoSpaceDE w:val="0"/>
        <w:autoSpaceDN w:val="0"/>
        <w:spacing w:after="0" w:line="240" w:lineRule="auto"/>
        <w:jc w:val="both"/>
        <w:rPr>
          <w:rFonts w:ascii="Times New Roman" w:hAnsi="Times New Roman" w:cs="Times New Roman" w:eastAsia="Times New Roman"/>
          <w:i/>
          <w:iCs/>
          <w:sz w:val="20"/>
          <w:szCs w:val="16"/>
        </w:rPr>
      </w:pPr>
    </w:p>
    <w:p w14:paraId="7469D564" w14:textId="52BCBAAC">
      <w:pPr>
        <w:pStyle w:val="P68B1DB1-Normal15"/>
        <w:widowControl w:val="0"/>
        <w:tabs>
          <w:tab w:val="left" w:pos="396"/>
          <w:tab w:val="left" w:pos="399"/>
        </w:tabs>
        <w:autoSpaceDE w:val="0"/>
        <w:autoSpaceDN w:val="0"/>
        <w:spacing w:after="0" w:line="240" w:lineRule="auto"/>
        <w:ind w:left="567" w:hanging="142"/>
        <w:jc w:val="both"/>
        <w:rPr>
          <w:iCs/>
        </w:rPr>
      </w:pPr>
      <w:r>
        <w:t>“</w:t>
      </w:r>
      <w:bookmarkStart w:id="72" w:name="point24"/>
      <w:r>
        <w:t>24</w:t>
      </w:r>
      <w:bookmarkEnd w:id="72"/>
      <w:r>
        <w:t xml:space="preserve">. [..] šo tiesību normu nevar iekļaut kategorijā “noteikumi par [informācijas sabiedrības] pakalpojumiem” Direktīvas 98/34 1. panta 5. punkta izpratnē, jo tā neattiecas uz “informācijas sabiedrības pakalpojumu” minētās direktīvas 1. panta 2. punkta izpratnē.”</w:t>
      </w:r>
    </w:p>
    <w:p w14:paraId="2022FC13" w14:textId="77777777">
      <w:pPr>
        <w:spacing w:after="0" w:line="240" w:lineRule="auto"/>
      </w:pPr>
    </w:p>
    <w:bookmarkStart w:id="73" w:name="_Hlk202362486"/>
    <w:p w14:paraId="3ED876F3" w14:textId="767BC230">
      <w:pPr>
        <w:pStyle w:val="P68B1DB1-Normal13"/>
        <w:widowControl w:val="0"/>
        <w:autoSpaceDE w:val="0"/>
        <w:autoSpaceDN w:val="0"/>
        <w:spacing w:after="0" w:line="240" w:lineRule="auto"/>
        <w:jc w:val="both"/>
        <w:outlineLvl w:val="1"/>
      </w:pPr>
      <w:r>
        <w:fldChar w:fldCharType="begin"/>
      </w:r>
      <w:r>
        <w:instrText>HYPERLINK "https://curia.europa.eu/juris/document/document.jsf?text=&amp;docid=198051&amp;pageIndex=0&amp;doclang=EN&amp;mode=lst&amp;dir=&amp;occ=first&amp;part=1&amp;cid=10880021"</w:instrText>
      </w:r>
      <w:r>
        <w:fldChar w:fldCharType="separate"/>
      </w:r>
      <w:bookmarkStart w:id="74" w:name="_Toc198043830"/>
      <w:r>
        <w:rPr>
          <w:color w:val="0000FF"/>
          <w:u w:val="single"/>
        </w:rPr>
        <w:t xml:space="preserve">Spriedums, 2017. gada 20. decembris</w:t>
      </w:r>
      <w:r>
        <w:rPr>
          <w:color w:val="0000FF"/>
          <w:u w:val="single"/>
        </w:rPr>
        <w:fldChar w:fldCharType="end"/>
        <w:t xml:space="preserve">, Falbert u. c., C 255/16</w:t>
        <w:noBreakHyphen/>
        <w:t xml:space="preserve">, EU:C:2017:983, 27.–29., 32. un 33. punkts.</w:t>
      </w:r>
      <w:bookmarkEnd w:id="74"/>
    </w:p>
    <w:bookmarkEnd w:id="73"/>
    <w:p w14:paraId="1158306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6227D8B" w14:textId="4F8DA220">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Valsts noteikumi par azartspēlēm vai reklāmas pakalpojumiem var būt “noteikumi par pakalpojumiem”, ja tie tieši attiecas uz pakalpojumiem, ko sniedz attālināti, elektroniski un pēc saņēmēja individuāla pieprasījuma. Pat ja šādu noteikumu formulējumā netiek nošķirti tiešsaistes un bezsaistes pakalpojumi, to mērķis attiecībā uz “informācijas sabiedrības pakalpojumiem” var tikt izsecināts no to apsvērumiem vai </w:t>
      </w:r>
      <w:r>
        <w:rPr>
          <w:i/>
        </w:rPr>
        <w:t xml:space="preserve">sagatavošanas darbiem</w:t>
      </w:r>
      <w:r>
        <w:t>.</w:t>
      </w:r>
    </w:p>
    <w:p w14:paraId="7F177100" w14:textId="77777777">
      <w:pPr>
        <w:widowControl w:val="0"/>
        <w:autoSpaceDE w:val="0"/>
        <w:autoSpaceDN w:val="0"/>
        <w:spacing w:after="0" w:line="240" w:lineRule="auto"/>
        <w:jc w:val="both"/>
        <w:rPr>
          <w:rFonts w:ascii="Times New Roman" w:hAnsi="Times New Roman" w:cs="Times New Roman" w:eastAsia="Times New Roman"/>
          <w:szCs w:val="20"/>
        </w:rPr>
      </w:pPr>
    </w:p>
    <w:p w14:paraId="7F9B9A73" w14:textId="7410A16D">
      <w:pPr>
        <w:pStyle w:val="P68B1DB1-Normal15"/>
        <w:widowControl w:val="0"/>
        <w:autoSpaceDE w:val="0"/>
        <w:autoSpaceDN w:val="0"/>
        <w:spacing w:after="0" w:line="240" w:lineRule="auto"/>
        <w:ind w:left="567"/>
        <w:jc w:val="both"/>
      </w:pPr>
      <w:r>
        <w:t xml:space="preserve">“27. Punktu šī kategorija “tehniskie noteikumi” attiecas tikai uz noteikumiem par informācijas sabiedrības pakalpojumiem, proti, visiem pakalpojumiem, ko sniedz no attāluma ar elektroniskiem līdzekļiem un pēc pakalpojumu saņēmēja individuāla pieprasījuma (spriedumi, 2016. gada 13. oktobris, M. un S., C-303/15, EU:C:2016:771, 21. punkts, kā arī tajā minētā judikatūra, un 2017. gada 1. februāris, Município de Palmela, C-144/16, EU:C:2017:76, 28. punkts).</w:t>
      </w:r>
    </w:p>
    <w:p w14:paraId="0F8135B3" w14:textId="77777777">
      <w:pPr>
        <w:pStyle w:val="P68B1DB1-Normal15"/>
        <w:widowControl w:val="0"/>
        <w:autoSpaceDE w:val="0"/>
        <w:autoSpaceDN w:val="0"/>
        <w:spacing w:after="0" w:line="240" w:lineRule="auto"/>
        <w:ind w:left="567"/>
        <w:jc w:val="both"/>
      </w:pPr>
    </w:p>
    <w:p w14:paraId="6AF5DAAF" w14:textId="403D67A9">
      <w:pPr>
        <w:pStyle w:val="P68B1DB1-Normal15"/>
        <w:widowControl w:val="0"/>
        <w:autoSpaceDE w:val="0"/>
        <w:autoSpaceDN w:val="0"/>
        <w:spacing w:after="0" w:line="240" w:lineRule="auto"/>
        <w:ind w:left="567"/>
        <w:jc w:val="both"/>
      </w:pPr>
      <w:r>
        <w:t xml:space="preserve">28. Šajā ziņā ir jānorāda, ka Likuma par azartspēlēm 10. panta 3. punkta 3) apakšpunkts principā attiecas uz divu veidu pakalpojumiem, proti, pirmkārt, reklāmas pakalpojumiem, kuri ir šajā tiesību normā paredzēto sankciju tiešais priekšmets, un, otrkārt, azartspēļu pakalpojumiem, uz kuriem attiecas reklāmas aizliegums un kuri ir Likuma par azartspēļu, skatot to kopumā, galvenais priekšmets.</w:t>
      </w:r>
    </w:p>
    <w:p w14:paraId="74D3506D" w14:textId="77777777">
      <w:pPr>
        <w:pStyle w:val="P68B1DB1-Normal15"/>
        <w:widowControl w:val="0"/>
        <w:autoSpaceDE w:val="0"/>
        <w:autoSpaceDN w:val="0"/>
        <w:spacing w:after="0" w:line="240" w:lineRule="auto"/>
        <w:ind w:left="567"/>
        <w:jc w:val="both"/>
      </w:pPr>
    </w:p>
    <w:p w14:paraId="5664402E" w14:textId="11E23D14">
      <w:pPr>
        <w:pStyle w:val="P68B1DB1-Normal15"/>
        <w:widowControl w:val="0"/>
        <w:autoSpaceDE w:val="0"/>
        <w:autoSpaceDN w:val="0"/>
        <w:spacing w:after="0" w:line="240" w:lineRule="auto"/>
        <w:ind w:left="567"/>
        <w:jc w:val="both"/>
        <w:rPr>
          <w:iCs/>
        </w:rPr>
      </w:pPr>
      <w:r>
        <w:t xml:space="preserve">29. Gan reklāmas pakalpojumi, gan azartspēļu pakalpojumi, ciktāl tie tiek sniegti tostarp elektroniski (tiešsaistē), ir “informācijas sabiedrības pakalpojumi” Direktīvas 98/34 1. panta 2. punkta un ar tiem saistīto noteikumu izpratnē, kurus tādējādi var uzskatīt par “noteikumiem par pakalpojumiem” Direktīvas 98/34 1. panta 5. punkta izpratnē.”</w:t>
      </w:r>
    </w:p>
    <w:p w14:paraId="5EFEFCC0" w14:textId="77777777">
      <w:pPr>
        <w:widowControl w:val="0"/>
        <w:autoSpaceDE w:val="0"/>
        <w:autoSpaceDN w:val="0"/>
        <w:spacing w:after="0" w:line="240" w:lineRule="auto"/>
        <w:ind w:left="567"/>
        <w:jc w:val="both"/>
        <w:rPr>
          <w:rFonts w:ascii="Times New Roman" w:hAnsi="Times New Roman" w:cs="Times New Roman" w:eastAsia="Times New Roman"/>
          <w:i/>
          <w:iCs/>
          <w:szCs w:val="20"/>
        </w:rPr>
      </w:pPr>
    </w:p>
    <w:p w14:paraId="41A42BF7" w14:textId="5C64577C">
      <w:pPr>
        <w:pStyle w:val="P68B1DB1-Normal15"/>
        <w:widowControl w:val="0"/>
        <w:autoSpaceDE w:val="0"/>
        <w:autoSpaceDN w:val="0"/>
        <w:spacing w:after="0" w:line="240" w:lineRule="auto"/>
        <w:ind w:left="567"/>
        <w:jc w:val="both"/>
      </w:pPr>
      <w:r>
        <w:t xml:space="preserve">“32. Šajā ziņā ir jānorāda, pirmkārt, ka jautājums par to, vai noteikumi konkrēti attiecas uz informācijas sabiedrības pakalpojumiem, saskaņā ar Direktīvas 98/34 1. panta 5. punkta pirmo ievilkumu, ir jānosaka, ņemot vērā gan šī noteikuma pamatojumu, gan operatīvās daļas tekstu. Turklāt saskaņā ar šo pašu tiesību normu netiek prasīts, lai attiecīgo noteikumu kopumā “īpašais mērķis un priekšmets” būtu reglamentēt informācijas sabiedrības pakalpojumus, jo pietiek, ka šajos noteikumos minētais mērķis vai priekšmets tiek īstenots dažās tiesību normās.</w:t>
      </w:r>
    </w:p>
    <w:p w14:paraId="52376DA8" w14:textId="77777777">
      <w:pPr>
        <w:pStyle w:val="P68B1DB1-Normal15"/>
        <w:widowControl w:val="0"/>
        <w:autoSpaceDE w:val="0"/>
        <w:autoSpaceDN w:val="0"/>
        <w:spacing w:after="0" w:line="240" w:lineRule="auto"/>
        <w:ind w:left="567"/>
        <w:jc w:val="both"/>
      </w:pPr>
    </w:p>
    <w:p w14:paraId="0315D791" w14:textId="4196282E">
      <w:pPr>
        <w:pStyle w:val="P68B1DB1-Normal15"/>
        <w:widowControl w:val="0"/>
        <w:autoSpaceDE w:val="0"/>
        <w:autoSpaceDN w:val="0"/>
        <w:spacing w:after="0" w:line="240" w:lineRule="auto"/>
        <w:ind w:left="567"/>
        <w:jc w:val="both"/>
        <w:rPr>
          <w:iCs/>
        </w:rPr>
      </w:pPr>
      <w:r>
        <w:t xml:space="preserve">33. Līdz ar to, ja tikai no valsts tiesību normas formulējuma neizriet, ka tās mērķis vismaz daļēji ir konkrēti regulēt informācijas sabiedrības pakalpojumus, kā tas ir šajā lietā, kurā bezsaistes pakalpojumi netiek nošķirti no tiešsaistē sniegtajiem pakalpojumiem, šo priekšmetu tomēr var diezgan viegli izsecināt no minētā noteikuma pamatojuma, kā tas ir šajā gadījumā saskaņā ar attiecīgajām valsts interpretācijas normām, kas cita starpā pieļauj normas sagatavošanas darbus.”</w:t>
      </w:r>
    </w:p>
    <w:p w14:paraId="4FC111DB" w14:textId="77777777">
      <w:pPr>
        <w:spacing w:after="0" w:line="240" w:lineRule="auto"/>
      </w:pPr>
    </w:p>
    <w:p w14:paraId="61BC4E90" w14:textId="11306B2B">
      <w:pPr>
        <w:pStyle w:val="P68B1DB1-Normal13"/>
        <w:widowControl w:val="0"/>
        <w:autoSpaceDE w:val="0"/>
        <w:autoSpaceDN w:val="0"/>
        <w:spacing w:after="0" w:line="240" w:lineRule="auto"/>
        <w:jc w:val="both"/>
        <w:outlineLvl w:val="1"/>
      </w:pPr>
      <w:hyperlink r:id="rId50" w:history="1">
        <w:r>
          <w:rPr>
            <w:color w:val="0000FF"/>
            <w:u w:val="single"/>
          </w:rPr>
          <w:t xml:space="preserve">Spriedums, 2017. gada 20. decembris</w:t>
        </w:r>
      </w:hyperlink>
      <w:r>
        <w:t xml:space="preserve">, Asociación Profesional Elite Taxi, C</w:t>
        <w:noBreakHyphen/>
        <w:t xml:space="preserve">434/15, EU:C:2017:981, 37. un 39.–41. punkts.</w:t>
      </w:r>
      <w:bookmarkEnd w:id="75"/>
    </w:p>
    <w:p w14:paraId="101ED87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D7072DE" w14:textId="5D866F13">
      <w:pPr>
        <w:widowControl w:val="0"/>
        <w:tabs>
          <w:tab w:val="left" w:pos="446"/>
        </w:tabs>
        <w:autoSpaceDE w:val="0"/>
        <w:autoSpaceDN w:val="0"/>
        <w:spacing w:after="0" w:line="240" w:lineRule="auto"/>
        <w:jc w:val="both"/>
        <w:rPr>
          <w:rFonts w:ascii="Times New Roman" w:hAnsi="Times New Roman" w:cs="Times New Roman" w:eastAsia="Times New Roman"/>
          <w:szCs w:val="20"/>
        </w:rPr>
        <w:pStyle w:val="P68B1DB1-Normal14"/>
      </w:pPr>
      <w:r>
        <w:t xml:space="preserve">Starpniecības pakalpojums, kas, izmantojot viedtālruņa lietotni un par atlīdzību, neprofesionālus autovadītājus, kuri izmanto savus transportlīdzekļus, savieno ar personām, kas meklē pilsētas transportu, ir jāuzskata par nesaraujami saistītu ar transporta pakalpojumu un līdz ar to jākvalificē kā “pakalpojums transporta jomā” (nevis kā “informācijas sabiedrības pakalpojums”).</w:t>
      </w:r>
    </w:p>
    <w:p w14:paraId="39437988" w14:textId="77777777">
      <w:pPr>
        <w:widowControl w:val="0"/>
        <w:tabs>
          <w:tab w:val="left" w:pos="446"/>
        </w:tabs>
        <w:autoSpaceDE w:val="0"/>
        <w:autoSpaceDN w:val="0"/>
        <w:spacing w:after="0" w:line="240" w:lineRule="auto"/>
        <w:jc w:val="both"/>
        <w:rPr>
          <w:rFonts w:ascii="Times New Roman" w:hAnsi="Times New Roman" w:cs="Times New Roman" w:eastAsia="Times New Roman"/>
          <w:szCs w:val="20"/>
        </w:rPr>
      </w:pPr>
    </w:p>
    <w:p w14:paraId="2DF36F50" w14:textId="0FDBA667">
      <w:pPr>
        <w:pStyle w:val="P68B1DB1-Normal15"/>
        <w:widowControl w:val="0"/>
        <w:tabs>
          <w:tab w:val="left" w:pos="446"/>
        </w:tabs>
        <w:autoSpaceDE w:val="0"/>
        <w:autoSpaceDN w:val="0"/>
        <w:spacing w:after="0" w:line="240" w:lineRule="auto"/>
        <w:ind w:left="567"/>
        <w:jc w:val="both"/>
        <w:rPr>
          <w:iCs/>
        </w:rPr>
      </w:pPr>
      <w:r>
        <w:t>“</w:t>
      </w:r>
      <w:bookmarkStart w:id="76" w:name="point37"/>
      <w:r>
        <w:t>37</w:t>
      </w:r>
      <w:bookmarkEnd w:id="76"/>
      <w:r>
        <w:t xml:space="preserve">. Tomēr ir jānorāda, ka tāds pakalpojums kā pamatlietā aplūkotais ir vairāk nekā starpniecības pakalpojums, kas izpaužas kā neprofesionāla transportlīdzekļa vadītāja, kurš izmanto savu transportlīdzekli, savienošana ar personu, kas vēlas veikt braucienu pilsētā, izmantojot viedtālruņa lietojumprogrammu.”</w:t>
      </w:r>
    </w:p>
    <w:p w14:paraId="6F022088" w14:textId="77777777">
      <w:pPr>
        <w:widowControl w:val="0"/>
        <w:tabs>
          <w:tab w:val="left" w:pos="446"/>
        </w:tabs>
        <w:autoSpaceDE w:val="0"/>
        <w:autoSpaceDN w:val="0"/>
        <w:spacing w:after="0" w:line="240" w:lineRule="auto"/>
        <w:ind w:left="567"/>
        <w:jc w:val="both"/>
        <w:rPr>
          <w:rFonts w:ascii="Times New Roman" w:hAnsi="Times New Roman" w:cs="Times New Roman" w:eastAsia="Times New Roman"/>
          <w:i/>
          <w:iCs/>
          <w:sz w:val="20"/>
          <w:szCs w:val="16"/>
        </w:rPr>
      </w:pPr>
    </w:p>
    <w:p w14:paraId="311F194E" w14:textId="26FAB3A7">
      <w:pPr>
        <w:pStyle w:val="P68B1DB1-Normal15"/>
        <w:widowControl w:val="0"/>
        <w:tabs>
          <w:tab w:val="left" w:pos="446"/>
        </w:tabs>
        <w:autoSpaceDE w:val="0"/>
        <w:autoSpaceDN w:val="0"/>
        <w:spacing w:after="0" w:line="240" w:lineRule="auto"/>
        <w:ind w:left="567"/>
        <w:jc w:val="both"/>
      </w:pPr>
      <w:r>
        <w:t xml:space="preserve">“39. Šajā saistībā no Tiesas rīcībā esošās informācijas izriet, ka Uber starpniecības pakalpojums ir balstīts uz neprofesionālu autovadītāju, kas izmanto savus transportlīdzekļus, atlasi, kuriem šī sabiedrība nodrošina lietotni, bez kuras, pirmkārt, šie autovadītāji nevarētu veikt pārvadājumu pakalpojumus un, otrkārt, personas, kuras vēlas pārvietoties pilsētā, nevarētu izmantot minēto autovadītāju pakalpojumus. Turklāt Uber ir noteicoša ietekme uz šo autovadītāju pakalpojumu sniegšanas kārtību. Runājot par pēdējo minēto aspektu, tostarp ir jākonstatē, ka Uber ar lietotnes, kurai ir tāds pats nosaukums, palīdzību nosaka vismaz augstāko brauciena cenu, šī sabiedrība šo cenu iekasē no klienta pirms daļas pārskaitīšanas neprofesionālajam transportlīdzekļa vadītājam un tā īsteno zināmu kontroli pār transportlīdzekļu un to vadītāju kvalitāti, kā arī pār autovadītāju uzvedību, kuras dēļ attiecīgajā gadījumā šie autovadītāji var tikt izslēgti.</w:t>
      </w:r>
    </w:p>
    <w:p w14:paraId="111A8FD1" w14:textId="77777777">
      <w:pPr>
        <w:pStyle w:val="P68B1DB1-Normal15"/>
        <w:widowControl w:val="0"/>
        <w:tabs>
          <w:tab w:val="left" w:pos="446"/>
        </w:tabs>
        <w:autoSpaceDE w:val="0"/>
        <w:autoSpaceDN w:val="0"/>
        <w:spacing w:after="0" w:line="240" w:lineRule="auto"/>
        <w:ind w:left="567"/>
        <w:jc w:val="both"/>
      </w:pPr>
    </w:p>
    <w:p w14:paraId="430C0D88" w14:textId="0D13D8D2">
      <w:pPr>
        <w:pStyle w:val="P68B1DB1-Normal15"/>
        <w:widowControl w:val="0"/>
        <w:tabs>
          <w:tab w:val="left" w:pos="446"/>
        </w:tabs>
        <w:autoSpaceDE w:val="0"/>
        <w:autoSpaceDN w:val="0"/>
        <w:spacing w:after="0" w:line="240" w:lineRule="auto"/>
        <w:ind w:left="567"/>
        <w:jc w:val="both"/>
      </w:pPr>
      <w:r>
        <w:t xml:space="preserve">40. Tādējādi šis starpniecības pakalpojums ir jāuzskata par tādu, kas ir tāda vispārējā pakalpojuma neatņemama sastāvdaļa, kura galvenais elements ir pārvadājumu pakalpojums, un tātad par pakalpojumu, kas ir kvalificējams nevis kā “informācijas sabiedrības pakalpojums” Direktīvas 98/34 1. panta 2. punkta, uz kuru ir atsauce Direktīvas 2000/31 2. panta a) punktā, izpratnē, bet gan kā “pakalpojums pārvadājumu jomā” Direktīvas 2006/123 2. panta 2. punkta d) apakšpunkta izpratnē.</w:t>
      </w:r>
    </w:p>
    <w:p w14:paraId="406FF49F" w14:textId="77777777">
      <w:pPr>
        <w:pStyle w:val="P68B1DB1-Normal15"/>
        <w:widowControl w:val="0"/>
        <w:tabs>
          <w:tab w:val="left" w:pos="446"/>
        </w:tabs>
        <w:autoSpaceDE w:val="0"/>
        <w:autoSpaceDN w:val="0"/>
        <w:spacing w:after="0" w:line="240" w:lineRule="auto"/>
        <w:ind w:left="567"/>
        <w:jc w:val="both"/>
      </w:pPr>
    </w:p>
    <w:p w14:paraId="048208D6" w14:textId="0944F089">
      <w:pPr>
        <w:pStyle w:val="P68B1DB1-Normal15"/>
        <w:widowControl w:val="0"/>
        <w:tabs>
          <w:tab w:val="left" w:pos="446"/>
        </w:tabs>
        <w:autoSpaceDE w:val="0"/>
        <w:autoSpaceDN w:val="0"/>
        <w:spacing w:after="0" w:line="240" w:lineRule="auto"/>
        <w:ind w:left="567"/>
        <w:jc w:val="both"/>
        <w:rPr>
          <w:iCs/>
        </w:rPr>
      </w:pPr>
      <w:r>
        <w:t xml:space="preserve">41. Šo kvalifikāciju apstiprina Tiesas judikatūra, saskaņā ar kuru jēdziens “pakalpojumi transporta jomā” ietver ne tikai pašus transporta pakalpojumus, bet arī jebkuru pakalpojumu, kas ir cieši saistīts ar jebkādu fizisku personu vai preču pārvietošanu no vienas vietas uz citu, izmantojot transportlīdzekļus (šajā nozīmē skat. spriedumu, 2015. gada 15. oktobris, Grupo Itevelesa u. c., C-168/14, EU:C:2015:685, 45. un 46. punkts, kā arī atzinumu 2/15 (Brīvās tirdzniecības nolīgums ar Singapūru), 2017. gada 16. maijs, EU:C:2017:376, 61. punkts).”</w:t>
      </w:r>
    </w:p>
    <w:p w14:paraId="058FA7B6" w14:textId="77777777">
      <w:pPr>
        <w:spacing w:after="0" w:line="240" w:lineRule="auto"/>
      </w:pPr>
    </w:p>
    <w:p w14:paraId="21433E65" w14:textId="390C959B">
      <w:pPr>
        <w:pStyle w:val="P68B1DB1-Normal13"/>
        <w:widowControl w:val="0"/>
        <w:autoSpaceDE w:val="0"/>
        <w:autoSpaceDN w:val="0"/>
        <w:spacing w:after="0" w:line="240" w:lineRule="auto"/>
        <w:jc w:val="both"/>
        <w:outlineLvl w:val="1"/>
      </w:pPr>
      <w:hyperlink r:id="rId51" w:history="1">
        <w:r>
          <w:rPr>
            <w:color w:val="0000FF"/>
            <w:u w:val="single"/>
          </w:rPr>
          <w:t xml:space="preserve">Spriedums, 2018. gada 10. aprīlis</w:t>
        </w:r>
      </w:hyperlink>
      <w:r>
        <w:t xml:space="preserve">, Uber France, C</w:t>
        <w:noBreakHyphen/>
        <w:t xml:space="preserve">320/16, EU:C:2018:221, 21. un 22. punkts.</w:t>
      </w:r>
      <w:bookmarkEnd w:id="77"/>
    </w:p>
    <w:p w14:paraId="2BBD650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A1778BB" w14:textId="6B5C30AB">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Valsts tiesību norma, kas paredz kriminālsodus par sistēmas organizēšanu, lai savienotu klientus ar autovadītājiem bez nepieciešamās atļaujas, attiecas uz “pakalpojumu transporta jomā” (nevis uz “informācijas sabiedrības pakalpojumu”), ciktāl starpniecības pakalpojums, uz kuru tas attiecas, ir neatņemama daļa kopējā pakalpojumā, kura galvenā sastāvdaļa ir transporta pakalpojums.</w:t>
      </w:r>
    </w:p>
    <w:p w14:paraId="484E7398" w14:textId="77777777">
      <w:pPr>
        <w:widowControl w:val="0"/>
        <w:autoSpaceDE w:val="0"/>
        <w:autoSpaceDN w:val="0"/>
        <w:spacing w:after="0" w:line="240" w:lineRule="auto"/>
        <w:jc w:val="both"/>
        <w:rPr>
          <w:rFonts w:ascii="Times New Roman" w:hAnsi="Times New Roman" w:cs="Times New Roman" w:eastAsia="Times New Roman"/>
          <w:szCs w:val="20"/>
        </w:rPr>
      </w:pPr>
    </w:p>
    <w:p w14:paraId="279EDA7F" w14:textId="32F45CF2">
      <w:pPr>
        <w:pStyle w:val="P68B1DB1-Normal15"/>
        <w:widowControl w:val="0"/>
        <w:autoSpaceDE w:val="0"/>
        <w:autoSpaceDN w:val="0"/>
        <w:spacing w:after="0" w:line="240" w:lineRule="auto"/>
        <w:ind w:left="567"/>
        <w:jc w:val="both"/>
      </w:pPr>
      <w:r>
        <w:t xml:space="preserve">“21. [..] Tiesa konstatēja, ka attiecīgās sabiedrības sniegtais starpniecības pakalpojums ir cieši saistīts ar šīs sabiedrības piedāvājumu sniegt pilsētas transporta pakalpojumus, kas nav sabiedriskie pakalpojumi, ņemot vērā to, ka, pirmkārt, šī sabiedrība iesniedza lietojumprogrammu, bez kuras šie autovadītāji nebūtu saņēmuši transporta pakalpojumus, un personas, kas vēlējās veikt braucienu pilsētā, nebūtu izmantojušas šo transportlīdzekļu vadītāju sniegtos pakalpojumus, un, otrkārt, šī sabiedrība īstenoja izšķirošu ietekmi uz apstākļiem, kādos šie autovadītāji sniedza pakalpojumus, it īpaši nosakot maksimālo braukšanas maksu, iekasējot šo maksu no klienta pirms tās daļas samaksas transportlīdzekļa neprofesionālajam vadītājam un īstenojot zināmu kontroli pār transportlīdzekļu kvalitāti, šoferiem un viņu rīcību, kas attiecīgā gadījumā varētu izraisīt viņu izslēgšanu (šajā nozīmē skat. spriedumu, 2017. gada 20. decembris, Asociación Profesional Elite Taxi, C-434/15, EU:C:2017:981, 38. un 39. punkts).</w:t>
      </w:r>
    </w:p>
    <w:p w14:paraId="14310B36" w14:textId="77777777">
      <w:pPr>
        <w:pStyle w:val="P68B1DB1-Normal15"/>
        <w:widowControl w:val="0"/>
        <w:autoSpaceDE w:val="0"/>
        <w:autoSpaceDN w:val="0"/>
        <w:spacing w:after="0" w:line="240" w:lineRule="auto"/>
        <w:ind w:left="567"/>
        <w:jc w:val="both"/>
      </w:pPr>
    </w:p>
    <w:p w14:paraId="5AB6B3C6" w14:textId="7B9B1FC8">
      <w:pPr>
        <w:pStyle w:val="P68B1DB1-Normal15"/>
        <w:widowControl w:val="0"/>
        <w:autoSpaceDE w:val="0"/>
        <w:autoSpaceDN w:val="0"/>
        <w:spacing w:after="0" w:line="240" w:lineRule="auto"/>
        <w:ind w:left="567"/>
        <w:jc w:val="both"/>
        <w:rPr>
          <w:iCs/>
        </w:rPr>
      </w:pPr>
      <w:r>
        <w:t xml:space="preserve">22. Pamatojoties uz šiem elementiem, Tiesa konstatēja, ka šajā lietā aplūkotais starpniecības pakalpojums ir jāuzskata par tāda pakalpojuma neatņemamu sastāvdaļu, kura galvenā sastāvdaļa ir transporta pakalpojums, un līdz ar to tas ir jākvalificē nevis kā “informācijas sabiedrības pakalpojums” Direktīvas 98/34 1. panta 2. punkta izpratnē, bet kā “pakalpojums transporta jomā” Direktīvas 2006/123 2. panta 2. punkta d) apakšpunkta izpratnē (šajā nozīmē skat. spriedumu, 2017. gada 20. decembris, Asociación Profesional Elite Taxi, C-434/15, EU:C:2017:981, 40. punkts).”</w:t>
      </w:r>
    </w:p>
    <w:p w14:paraId="061F40AB" w14:textId="77777777">
      <w:pPr>
        <w:spacing w:after="0" w:line="240" w:lineRule="auto"/>
      </w:pPr>
    </w:p>
    <w:p w14:paraId="3262279E" w14:textId="468F0EDF">
      <w:pPr>
        <w:pStyle w:val="P68B1DB1-Normal13"/>
        <w:widowControl w:val="0"/>
        <w:autoSpaceDE w:val="0"/>
        <w:autoSpaceDN w:val="0"/>
        <w:spacing w:after="0" w:line="240" w:lineRule="auto"/>
        <w:jc w:val="both"/>
        <w:outlineLvl w:val="1"/>
      </w:pPr>
      <w:hyperlink r:id="rId52" w:history="1">
        <w:r>
          <w:rPr>
            <w:color w:val="0000FF"/>
            <w:u w:val="single"/>
          </w:rPr>
          <w:t xml:space="preserve">Spriedums, 2018. gada 26. septembris</w:t>
        </w:r>
      </w:hyperlink>
      <w:r>
        <w:t xml:space="preserve">, Van Gennip u. c., C-137/17, EU:C:2018:771, 42. un 43. punkts.</w:t>
      </w:r>
      <w:bookmarkEnd w:id="78"/>
    </w:p>
    <w:p w14:paraId="7A96B26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0CD5B8C" w14:textId="4108D99A">
      <w:pPr>
        <w:widowControl w:val="0"/>
        <w:tabs>
          <w:tab w:val="left" w:pos="404"/>
        </w:tabs>
        <w:autoSpaceDE w:val="0"/>
        <w:autoSpaceDN w:val="0"/>
        <w:spacing w:after="0" w:line="240" w:lineRule="auto"/>
        <w:jc w:val="both"/>
        <w:rPr>
          <w:rFonts w:ascii="Times New Roman" w:hAnsi="Times New Roman" w:cs="Times New Roman" w:eastAsia="Times New Roman"/>
          <w:szCs w:val="20"/>
        </w:rPr>
        <w:pStyle w:val="P68B1DB1-Normal14"/>
      </w:pPr>
      <w:r>
        <w:t xml:space="preserve">Valsts tiesību normas, saskaņā ar kurām preču tirdzniecība ir atkarīga no tā, vai pircējam ir atļauja, neietilpst jēdzienā “noteikumi par pakalpojumiem”, jo tās neattiecas uz “informācijas sabiedrības pakalpojumiem”.</w:t>
      </w:r>
    </w:p>
    <w:p w14:paraId="5542E2DA" w14:textId="77777777">
      <w:pPr>
        <w:widowControl w:val="0"/>
        <w:tabs>
          <w:tab w:val="left" w:pos="404"/>
        </w:tabs>
        <w:autoSpaceDE w:val="0"/>
        <w:autoSpaceDN w:val="0"/>
        <w:spacing w:after="0" w:line="240" w:lineRule="auto"/>
        <w:jc w:val="both"/>
        <w:rPr>
          <w:rFonts w:ascii="Times New Roman" w:hAnsi="Times New Roman" w:cs="Times New Roman" w:eastAsia="Times New Roman"/>
          <w:i/>
          <w:iCs/>
          <w:sz w:val="20"/>
          <w:szCs w:val="16"/>
        </w:rPr>
      </w:pPr>
    </w:p>
    <w:p w14:paraId="725B02E1" w14:textId="700F7E6F">
      <w:pPr>
        <w:pStyle w:val="P68B1DB1-Normal15"/>
        <w:widowControl w:val="0"/>
        <w:tabs>
          <w:tab w:val="left" w:pos="404"/>
        </w:tabs>
        <w:autoSpaceDE w:val="0"/>
        <w:autoSpaceDN w:val="0"/>
        <w:spacing w:after="0" w:line="240" w:lineRule="auto"/>
        <w:ind w:left="567"/>
        <w:jc w:val="both"/>
      </w:pPr>
      <w:r>
        <w:t xml:space="preserve">“42. Treškārt, attiecībā uz kategoriju “noteikumi par pakalpojumiem” jāatgādina, ka saskaņā ar Direktīvas 98/34 1. panta 5. punktu šādi noteikumi ir jebkādas vispārīga rakstura prasības attiecībā uz piekļuvi pakalpojumu sniegšanai šīs pašas direktīvas 1. panta 2. punkta izpratnē, kas nozīmē “jebkādu Informācijas sabiedrības pakalpojumu, tas ir, jebkādu pakalpojumu, ko parasti sniedz par atlīdzību no attāluma, ar elektroniskiem līdzekļiem un pēc pakalpojumu saņēmēja individuāla pieprasījuma” (spriedums, 2016. gada 4. februāris, Ince, C-336/14, EU:C:2016:72, 74. punkts).</w:t>
      </w:r>
    </w:p>
    <w:p w14:paraId="288A6CC6" w14:textId="77777777">
      <w:pPr>
        <w:pStyle w:val="P68B1DB1-Normal15"/>
        <w:widowControl w:val="0"/>
        <w:tabs>
          <w:tab w:val="left" w:pos="404"/>
        </w:tabs>
        <w:autoSpaceDE w:val="0"/>
        <w:autoSpaceDN w:val="0"/>
        <w:spacing w:after="0" w:line="240" w:lineRule="auto"/>
        <w:ind w:left="567"/>
        <w:jc w:val="both"/>
      </w:pPr>
    </w:p>
    <w:p w14:paraId="3C78C196" w14:textId="64CBA9D2">
      <w:pPr>
        <w:pStyle w:val="P68B1DB1-Normal15"/>
        <w:widowControl w:val="0"/>
        <w:tabs>
          <w:tab w:val="left" w:pos="404"/>
        </w:tabs>
        <w:autoSpaceDE w:val="0"/>
        <w:autoSpaceDN w:val="0"/>
        <w:spacing w:after="0" w:line="240" w:lineRule="auto"/>
        <w:ind w:left="567"/>
        <w:jc w:val="both"/>
        <w:rPr>
          <w:iCs/>
        </w:rPr>
      </w:pPr>
      <w:r>
        <w:t xml:space="preserve">43. Šajā gadījumā jākonstatē, kā ģenerāladvokāts to ir norādījis secinājumu 73. punktā, ka pamatlietā aplūkotais tiesiskais regulējums neattiecas uz informācijas sabiedrības pakalpojumiem Direktīvas 98/34 1. panta 2. punkta izpratnē. Līdz ar to šie tiesību akti nevar ietilpt informācijas sabiedrības “noteikumu par pakalpojumiem” kategorijā minētās direktīvas 1. panta 5. punkta nozīmē.”</w:t>
      </w:r>
    </w:p>
    <w:p w14:paraId="09A4A6F8" w14:textId="77777777">
      <w:pPr>
        <w:spacing w:after="0" w:line="240" w:lineRule="auto"/>
      </w:pPr>
    </w:p>
    <w:p w14:paraId="037D644A" w14:textId="0A9F4072">
      <w:pPr>
        <w:pStyle w:val="P68B1DB1-Normal13"/>
        <w:widowControl w:val="0"/>
        <w:autoSpaceDE w:val="0"/>
        <w:autoSpaceDN w:val="0"/>
        <w:spacing w:after="0" w:line="240" w:lineRule="auto"/>
        <w:jc w:val="both"/>
        <w:outlineLvl w:val="1"/>
      </w:pPr>
      <w:hyperlink r:id="rId53" w:history="1">
        <w:r>
          <w:rPr>
            <w:color w:val="0000FF"/>
            <w:u w:val="single"/>
          </w:rPr>
          <w:t xml:space="preserve">Spriedums, 2019. gada 12. septembris,</w:t>
        </w:r>
      </w:hyperlink>
      <w:r>
        <w:t xml:space="preserve"> VG Media, C-299/17, EU:C:2019:716, 32., 33. un 36. punkts.</w:t>
      </w:r>
      <w:bookmarkEnd w:id="79"/>
    </w:p>
    <w:p w14:paraId="7C7D0A2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D8C5548" w14:textId="77777777">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Valsts tiesību norma, kas aizliedz komerciālajiem meklētājprogrammu operatoriem un komerciāla satura pakalpojumu sniedzējiem darīt publiski pieejamus laikrakstus, ir “tehnisks noteikums”, un par to ir jāpaziņo Komisijai.</w:t>
      </w:r>
    </w:p>
    <w:p w14:paraId="0BB0ABF6" w14:textId="77777777">
      <w:pPr>
        <w:widowControl w:val="0"/>
        <w:autoSpaceDE w:val="0"/>
        <w:autoSpaceDN w:val="0"/>
        <w:spacing w:after="0" w:line="240" w:lineRule="auto"/>
        <w:jc w:val="both"/>
        <w:rPr>
          <w:rFonts w:ascii="Times New Roman" w:hAnsi="Times New Roman" w:cs="Times New Roman" w:eastAsia="Times New Roman"/>
          <w:szCs w:val="20"/>
        </w:rPr>
      </w:pPr>
    </w:p>
    <w:p w14:paraId="358DF62E" w14:textId="3E77F068">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Tiek uzskatīts, ka noteikums ir īpaši vērsts uz “informācijas sabiedrības pakalpojumiem”, ja dažiem noteikumiem ir šāds mērķis, pat ja tas nav noteikuma vienīgais mērķis. Šis mērķis izriet no minētā noteikuma pamatojuma, kas var būt ietverts sagatavošanas darbos, pat ja tas skaidri neizriet no paša noteikuma formulējuma.</w:t>
      </w:r>
    </w:p>
    <w:p w14:paraId="2BFD5FE9" w14:textId="77777777">
      <w:pPr>
        <w:widowControl w:val="0"/>
        <w:autoSpaceDE w:val="0"/>
        <w:autoSpaceDN w:val="0"/>
        <w:spacing w:after="0" w:line="240" w:lineRule="auto"/>
        <w:jc w:val="both"/>
        <w:rPr>
          <w:rFonts w:ascii="Times New Roman" w:hAnsi="Times New Roman" w:cs="Times New Roman" w:eastAsia="Times New Roman"/>
          <w:szCs w:val="20"/>
        </w:rPr>
      </w:pPr>
    </w:p>
    <w:p w14:paraId="2032E553" w14:textId="2A9A7661">
      <w:pPr>
        <w:pStyle w:val="P68B1DB1-Normal15"/>
        <w:widowControl w:val="0"/>
        <w:autoSpaceDE w:val="0"/>
        <w:autoSpaceDN w:val="0"/>
        <w:spacing w:after="0" w:line="240" w:lineRule="auto"/>
        <w:ind w:left="567"/>
        <w:jc w:val="both"/>
      </w:pPr>
      <w:r>
        <w:t xml:space="preserve">“32. Šajā ziņā ir jānorāda, ka atbilstoši šīs direktīvas 1. panta 5. punkta piektās daļas pirmajam ievilkumam noteikums tiek uzskatīts par tādu, kas īpaši ir paredzēts attiecībā uz informācijas sabiedrības pakalpojumiem, ievērojot gan tā pamatojumu, gan tā operatīvās daļas tekstu. Turklāt saskaņā ar šo pašu tiesību normu netiek prasīts, lai attiecīgo noteikumu kopumā “īpašais mērķis un priekšmets” būtu reglamentēt informācijas sabiedrības pakalpojumus, jo pietiek, ka šajos noteikumos minētais mērķis vai priekšmets tiek īstenots dažās tiesību normās (spriedums, 2017. gada 20. decembris, Falbert u. c., C-255/16, EU:C:2017:983, 32. punkts).</w:t>
      </w:r>
    </w:p>
    <w:p w14:paraId="5B946C01" w14:textId="77777777">
      <w:pPr>
        <w:pStyle w:val="P68B1DB1-Normal15"/>
        <w:widowControl w:val="0"/>
        <w:autoSpaceDE w:val="0"/>
        <w:autoSpaceDN w:val="0"/>
        <w:spacing w:after="0" w:line="240" w:lineRule="auto"/>
        <w:ind w:left="567"/>
        <w:jc w:val="both"/>
      </w:pPr>
    </w:p>
    <w:p w14:paraId="6C09ADB6" w14:textId="15077D61">
      <w:pPr>
        <w:pStyle w:val="P68B1DB1-Normal15"/>
        <w:widowControl w:val="0"/>
        <w:autoSpaceDE w:val="0"/>
        <w:autoSpaceDN w:val="0"/>
        <w:spacing w:after="0" w:line="240" w:lineRule="auto"/>
        <w:ind w:left="567"/>
        <w:jc w:val="both"/>
        <w:rPr>
          <w:iCs/>
        </w:rPr>
      </w:pPr>
      <w:r>
        <w:t xml:space="preserve">33. Turklāt, pat ja tikai no valsts tiesību normas formulējuma neizriet, ka tās mērķis vismaz daļēji ir konkrēti regulēt informācijas sabiedrības pakalpojumus, šis priekšmets tomēr var viegli izrietēt no minētā noteikuma pamatojuma, kā tas izriet no atbilstošajām valsts interpretācijas normām šajā ziņā, it īpaši no normas sagatavošanas darbiem (šajā nozīmē skat. spriedumu, 2017. gada 20. decembris, Falbert u. c., C-255/16, EU:C:2017:983, 33. punkts).”</w:t>
      </w:r>
    </w:p>
    <w:p w14:paraId="4A5A1EDF" w14:textId="77777777">
      <w:pPr>
        <w:widowControl w:val="0"/>
        <w:autoSpaceDE w:val="0"/>
        <w:autoSpaceDN w:val="0"/>
        <w:spacing w:after="0" w:line="240" w:lineRule="auto"/>
        <w:ind w:left="567"/>
        <w:jc w:val="both"/>
        <w:rPr>
          <w:rFonts w:ascii="Times New Roman" w:hAnsi="Times New Roman" w:cs="Times New Roman" w:eastAsia="Times New Roman"/>
          <w:i/>
          <w:iCs/>
          <w:sz w:val="20"/>
          <w:szCs w:val="16"/>
        </w:rPr>
      </w:pPr>
    </w:p>
    <w:p w14:paraId="7E5F1F4F" w14:textId="288395A0">
      <w:pPr>
        <w:pStyle w:val="P68B1DB1-Normal15"/>
        <w:widowControl w:val="0"/>
        <w:autoSpaceDE w:val="0"/>
        <w:autoSpaceDN w:val="0"/>
        <w:spacing w:after="0" w:line="240" w:lineRule="auto"/>
        <w:ind w:left="567"/>
        <w:jc w:val="both"/>
        <w:rPr>
          <w:iCs/>
        </w:rPr>
      </w:pPr>
      <w:r>
        <w:t>“</w:t>
      </w:r>
      <w:bookmarkStart w:id="80" w:name="point36"/>
      <w:r>
        <w:t>36</w:t>
      </w:r>
      <w:bookmarkEnd w:id="80"/>
      <w:r>
        <w:t xml:space="preserve">. Proti, lai gan iesniedzējtiesa nav sniegusi skaidras norādes par pamatlietā aplūkotā valsts tiesiskā regulējuma konkrētajiem mērķiem, no Vācijas valdības Tiesas sēdē sniegtajiem apsvērumiem tomēr izriet, ka sākotnēji UrhG grozījumi konkrēti attiecās uz interneta meklētājprogrammu piedāvātājiem. Turklāt pamatlietas puses un Komisija savos rakstveida apsvērumos norāda, ka šī regulējuma mērķis ir aizsargāt preses izdevēju leģitīmās intereses digitālajā pasaulē. Tādējādi šķiet, ka pamatlietā aplūkotā valsts noteikuma galvenais nolūks un mērķis ir aizsargāt šos izdevējus no autortiesību pārkāpumiem, kas tiek izdarīti ar meklētājprogrammām tiešsaistē. Šajā sakarā šķiet, ka aizsardzība ir nepieciešama tikai tad, ja informācijas sabiedrības pakalpojumu sniedzēji sistemātiski pārkāpj tiešsaistes izdevēju darbus.”</w:t>
      </w:r>
    </w:p>
    <w:p w14:paraId="5918FFD9" w14:textId="77777777">
      <w:pPr>
        <w:spacing w:after="0" w:line="240" w:lineRule="auto"/>
      </w:pPr>
    </w:p>
    <w:p w14:paraId="76F47905" w14:textId="651D9AB2">
      <w:pPr>
        <w:pStyle w:val="P68B1DB1-Normal13"/>
        <w:spacing w:after="0" w:line="240" w:lineRule="auto"/>
      </w:pPr>
      <w:hyperlink r:id="rId54" w:history="1">
        <w:r>
          <w:rPr>
            <w:color w:val="0000FF"/>
            <w:u w:val="single"/>
          </w:rPr>
          <w:t xml:space="preserve">Spriedums, 2019. gada 19. decembris,</w:t>
        </w:r>
      </w:hyperlink>
      <w:r>
        <w:t xml:space="preserve"> Airbnb Ireland, C</w:t>
        <w:noBreakHyphen/>
        <w:t xml:space="preserve">390/18, EU:C:2019:1112, 64.–68. un 99. punkts.</w:t>
      </w:r>
    </w:p>
    <w:p w14:paraId="1BD3BE16" w14:textId="77777777">
      <w:pPr>
        <w:widowControl w:val="0"/>
        <w:autoSpaceDE w:val="0"/>
        <w:autoSpaceDN w:val="0"/>
        <w:spacing w:after="0" w:line="240" w:lineRule="auto"/>
        <w:jc w:val="both"/>
        <w:rPr>
          <w:rFonts w:ascii="Times New Roman" w:hAnsi="Times New Roman" w:cs="Times New Roman" w:eastAsia="Times New Roman"/>
          <w:szCs w:val="20"/>
        </w:rPr>
      </w:pPr>
    </w:p>
    <w:p w14:paraId="5CA625E2" w14:textId="77777777">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Starpniecības pakalpojums, kas savieno klientus ar izmitinātājiem, kuri piedāvā īstermiņa izmitināšanu, izmantojot elektronisku platformu, vienlaikus sniedzot papildpakalpojumus, ir “informācijas sabiedrības pakalpojums”, jo papildpakalpojumi būtiski neietekmē izmitināšanas pakalpojumu sniegšanu.</w:t>
      </w:r>
    </w:p>
    <w:p w14:paraId="6D083E5E" w14:textId="77777777">
      <w:pPr>
        <w:widowControl w:val="0"/>
        <w:autoSpaceDE w:val="0"/>
        <w:autoSpaceDN w:val="0"/>
        <w:spacing w:after="0" w:line="240" w:lineRule="auto"/>
        <w:jc w:val="both"/>
        <w:rPr>
          <w:rFonts w:ascii="Times New Roman" w:hAnsi="Times New Roman" w:cs="Times New Roman" w:eastAsia="Times New Roman"/>
          <w:szCs w:val="20"/>
        </w:rPr>
      </w:pPr>
    </w:p>
    <w:p w14:paraId="42B56B92" w14:textId="704D923C">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Lai pakalpojumu varētu kvalificēt kā “informācijas sabiedrības pakalpojumu”, tam kumulatīvi jāatbilst četriem nosacījumiem: tā jāsniedz par atlīdzību no attāluma, ar elektroniskiem līdzekļiem un pēc saņēmēja individuāla pieprasījuma.</w:t>
      </w:r>
    </w:p>
    <w:p w14:paraId="1136EA60" w14:textId="77777777">
      <w:pPr>
        <w:widowControl w:val="0"/>
        <w:autoSpaceDE w:val="0"/>
        <w:autoSpaceDN w:val="0"/>
        <w:spacing w:after="0" w:line="240" w:lineRule="auto"/>
        <w:jc w:val="both"/>
        <w:rPr>
          <w:rFonts w:ascii="Times New Roman" w:hAnsi="Times New Roman" w:cs="Times New Roman" w:eastAsia="Times New Roman"/>
          <w:szCs w:val="20"/>
        </w:rPr>
      </w:pPr>
    </w:p>
    <w:p w14:paraId="6389A1A6" w14:textId="0A8C6391">
      <w:pPr>
        <w:pStyle w:val="P68B1DB1-Normal15"/>
        <w:widowControl w:val="0"/>
        <w:autoSpaceDE w:val="0"/>
        <w:autoSpaceDN w:val="0"/>
        <w:spacing w:after="0" w:line="240" w:lineRule="auto"/>
        <w:ind w:left="567"/>
        <w:jc w:val="both"/>
      </w:pPr>
      <w:r>
        <w:t xml:space="preserve">“64. Pat kopā ņemti, šie Airbnb Ireland sniegtie un šā sprieduma 59.–63. punktā minētie pakalpojumi, būdami vai nebūdami fakultatīvi, neliek apšaubīt šīs sabiedrības sniegtā starpniecības pakalpojuma neatdalāmību un līdz ar to — kvalificējamību par “informācijas sabiedrības pakalpojumu”, jo tie būtiski nemaina šim pakalpojumam piemītošās raksturiezīmes. Šajā ziņā būtu turklāt paradoksāli, ja — kā savu secinājumu 46. punktā norāda ģenerāladvokāts — šādi pievienotās vērtības papildpakalpojumi, ko saviem klientiem elektroniskā platforma sniedz tostarp tālab, lai atšķirtos no saviem konkurentiem, paši par sevi vien, nepastāvot papildus apstākļiem, izraisītu to, ka mainās šīs platformas darbības iedaba un līdz ar to — juridiskā kvalifikācija.</w:t>
      </w:r>
    </w:p>
    <w:p w14:paraId="320B5232" w14:textId="77777777">
      <w:pPr>
        <w:pStyle w:val="P68B1DB1-Normal15"/>
        <w:widowControl w:val="0"/>
        <w:autoSpaceDE w:val="0"/>
        <w:autoSpaceDN w:val="0"/>
        <w:spacing w:after="0" w:line="240" w:lineRule="auto"/>
        <w:ind w:left="567"/>
        <w:jc w:val="both"/>
      </w:pPr>
    </w:p>
    <w:p w14:paraId="775D096C" w14:textId="35786B0F">
      <w:pPr>
        <w:pStyle w:val="P68B1DB1-Normal15"/>
        <w:widowControl w:val="0"/>
        <w:autoSpaceDE w:val="0"/>
        <w:autoSpaceDN w:val="0"/>
        <w:spacing w:after="0" w:line="240" w:lineRule="auto"/>
        <w:ind w:left="567"/>
        <w:jc w:val="both"/>
      </w:pPr>
      <w:r>
        <w:t xml:space="preserve">65. Turklāt — pretēji tam, ko apgalvo AHTOP un Francijas valdība — tāda starpniecības pakalpojuma kā Airbnb Ireland sniegtais funkcionēšanas kārtība nav pielīdzināma kārtībai, kādā funkcionē starpniecības pakalpojums, par kuru ir runa 2017. gada 20. decembra spriedumā Asociación Profesional Elite Taxi (C-434/15, EU:C:2017:981, 39. punkts) un 2018. gada 10. aprīļa spriedumā Uber France (C-320/16, EU:C:2018:221, 21. punkts).</w:t>
      </w:r>
    </w:p>
    <w:p w14:paraId="473F7C74" w14:textId="77777777">
      <w:pPr>
        <w:pStyle w:val="P68B1DB1-Normal15"/>
        <w:widowControl w:val="0"/>
        <w:autoSpaceDE w:val="0"/>
        <w:autoSpaceDN w:val="0"/>
        <w:spacing w:after="0" w:line="240" w:lineRule="auto"/>
        <w:ind w:left="567"/>
        <w:jc w:val="both"/>
      </w:pPr>
    </w:p>
    <w:p w14:paraId="699650AB" w14:textId="336149BD">
      <w:pPr>
        <w:pStyle w:val="P68B1DB1-Normal15"/>
        <w:widowControl w:val="0"/>
        <w:autoSpaceDE w:val="0"/>
        <w:autoSpaceDN w:val="0"/>
        <w:spacing w:after="0" w:line="240" w:lineRule="auto"/>
        <w:ind w:left="567"/>
        <w:jc w:val="both"/>
      </w:pPr>
      <w:r>
        <w:t xml:space="preserve">66. Papildus tam, ka nupat minētie spriedumi ne tikai attiecās uz pilsētā veikto pasažieru pārvadājumu specifisko kontekstu, kuram ir piemērojams LESD 58. panta 1. punkts, un ka Airbnb Ireland sniegtie pakalpojumi nav salīdzināmi ar tiem, kas tika aplūkoti lietās, kurās tika taisīti iepriekšējā punktā minētie spriedumi, šā sprieduma 59.–63. punktā minētie papildpakalpojumi neliecina par tādu kontroles līmeni, kādu Tiesa ir konstatējusi minētajos spriedumos.</w:t>
      </w:r>
    </w:p>
    <w:p w14:paraId="46A1AADB" w14:textId="77777777">
      <w:pPr>
        <w:pStyle w:val="P68B1DB1-Normal15"/>
        <w:widowControl w:val="0"/>
        <w:autoSpaceDE w:val="0"/>
        <w:autoSpaceDN w:val="0"/>
        <w:spacing w:after="0" w:line="240" w:lineRule="auto"/>
        <w:ind w:left="567"/>
        <w:jc w:val="both"/>
      </w:pPr>
    </w:p>
    <w:p w14:paraId="43245B44" w14:textId="73F9E124">
      <w:pPr>
        <w:pStyle w:val="P68B1DB1-Normal15"/>
        <w:widowControl w:val="0"/>
        <w:autoSpaceDE w:val="0"/>
        <w:autoSpaceDN w:val="0"/>
        <w:spacing w:after="0" w:line="240" w:lineRule="auto"/>
        <w:ind w:left="567"/>
        <w:jc w:val="both"/>
      </w:pPr>
      <w:r>
        <w:t xml:space="preserve">67. Proti, Tiesa tajos ir konstatējusi, ka Uber īsteno noteicošu ietekmi uz nosacījumiem, ar kādiem pārvadājumu pakalpojumus sniedz šīs sabiedrības nodrošināto lietotni izmantojošie neprofesionālie autovadītāji (spriedumi, 2017. gada 20. decembris, Asociación Profesional Elite Taxi, C-434/15, EU:C:2017:981, 39. punkts, un 2018. gada 10. aprīlis, Uber France, C-320/16, EU:C:2018:221, 21. punkts).</w:t>
      </w:r>
    </w:p>
    <w:p w14:paraId="64CE1305" w14:textId="77777777">
      <w:pPr>
        <w:pStyle w:val="P68B1DB1-Normal15"/>
        <w:widowControl w:val="0"/>
        <w:autoSpaceDE w:val="0"/>
        <w:autoSpaceDN w:val="0"/>
        <w:spacing w:after="0" w:line="240" w:lineRule="auto"/>
        <w:ind w:left="567"/>
        <w:jc w:val="both"/>
      </w:pPr>
    </w:p>
    <w:p w14:paraId="44EC953C" w14:textId="0BF6EC00">
      <w:pPr>
        <w:pStyle w:val="P68B1DB1-Normal15"/>
        <w:widowControl w:val="0"/>
        <w:autoSpaceDE w:val="0"/>
        <w:autoSpaceDN w:val="0"/>
        <w:spacing w:after="0" w:line="240" w:lineRule="auto"/>
        <w:ind w:left="567"/>
        <w:jc w:val="both"/>
      </w:pPr>
      <w:r>
        <w:t xml:space="preserve">68. Iesniedzējtiesas minētie un šī sprieduma 19. punktā atgādinātie apstākļi nepierāda, ka Airbnb Ireland īsteno šādu izšķirošu ietekmi uz izmitināšanas pakalpojumu, uz kuriem attiecas tās starpniecības pakalpojums, sniegšanas nosacījumiem, vēl jo vairāk tāpēc, ka Airbnb Ireland tieši vai netieši nenosaka iekasēto īres maksu, kā tas ir konstatēts šī sprieduma 56. un 62. punktā, vēl jo mazāk tā izvēlas izmitinātājus vai izmitināšanas vietu, kas tiek izīrēta tās platformā.”</w:t>
      </w:r>
    </w:p>
    <w:p w14:paraId="4325E66E" w14:textId="77777777">
      <w:pPr>
        <w:widowControl w:val="0"/>
        <w:autoSpaceDE w:val="0"/>
        <w:autoSpaceDN w:val="0"/>
        <w:spacing w:after="0" w:line="240" w:lineRule="auto"/>
        <w:ind w:left="567"/>
        <w:jc w:val="both"/>
        <w:rPr>
          <w:rFonts w:ascii="Times New Roman" w:hAnsi="Times New Roman" w:cs="Times New Roman" w:eastAsia="Times New Roman"/>
          <w:i/>
          <w:iCs/>
          <w:sz w:val="20"/>
          <w:szCs w:val="16"/>
        </w:rPr>
      </w:pPr>
    </w:p>
    <w:p w14:paraId="2005D651" w14:textId="190F88B2">
      <w:pPr>
        <w:pStyle w:val="P68B1DB1-Normal15"/>
        <w:widowControl w:val="0"/>
        <w:autoSpaceDE w:val="0"/>
        <w:autoSpaceDN w:val="0"/>
        <w:spacing w:after="0" w:line="240" w:lineRule="auto"/>
        <w:ind w:left="567"/>
        <w:jc w:val="both"/>
        <w:rPr>
          <w:iCs/>
        </w:rPr>
      </w:pPr>
      <w:r>
        <w:t>“</w:t>
      </w:r>
      <w:bookmarkStart w:id="81" w:name="point99"/>
      <w:r>
        <w:t>99</w:t>
      </w:r>
      <w:bookmarkEnd w:id="81"/>
      <w:r>
        <w:t xml:space="preserve">. Ņemot vērā, ka Francijas Republika nav paziņojusi Hoguet likumu, un ņemot vērā Direktīvas 2000/31 3. panta 4. punktā paredzēto nosacījumu kumulatīvo raksturu, kas atgādināts iepriekš 84. un 85. punktā, ir jāuzskata, ka šis likums katrā ziņā nevar tikt piemērots privātpersonai, kas atrodas tādā situācijā kā Airbnb Ireland pamatlietā, neatkarīgi no tā, vai šis likums atbilst citiem šajā tiesību normā paredzētajiem nosacījumiem.”</w:t>
      </w:r>
    </w:p>
    <w:p w14:paraId="261461B1" w14:textId="77777777">
      <w:pPr>
        <w:spacing w:after="0" w:line="240" w:lineRule="auto"/>
      </w:pPr>
    </w:p>
    <w:p w14:paraId="602C58A9" w14:textId="0E3EBA31">
      <w:pPr>
        <w:pStyle w:val="P68B1DB1-Normal13"/>
        <w:widowControl w:val="0"/>
        <w:autoSpaceDE w:val="0"/>
        <w:autoSpaceDN w:val="0"/>
        <w:spacing w:after="0" w:line="240" w:lineRule="auto"/>
        <w:jc w:val="both"/>
        <w:outlineLvl w:val="1"/>
      </w:pPr>
      <w:hyperlink r:id="rId55" w:history="1">
        <w:r>
          <w:rPr>
            <w:color w:val="0000FF"/>
            <w:u w:val="single"/>
          </w:rPr>
          <w:t xml:space="preserve">Spriedums, 2020. gada 22. oktobris,</w:t>
        </w:r>
      </w:hyperlink>
      <w:r>
        <w:t xml:space="preserve"> Sportingbet un Internet Opportunity Entertainment, C</w:t>
        <w:noBreakHyphen/>
        <w:t xml:space="preserve">275/19, EU:C:2020:856, 47.–49. punkts.</w:t>
      </w:r>
      <w:bookmarkEnd w:id="82"/>
    </w:p>
    <w:p w14:paraId="20524501"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F2E09A3" w14:textId="049CB57F">
      <w:pPr>
        <w:pStyle w:val="P68B1DB1-Normal14"/>
        <w:widowControl w:val="0"/>
        <w:autoSpaceDE w:val="0"/>
        <w:autoSpaceDN w:val="0"/>
        <w:spacing w:after="0" w:line="240" w:lineRule="auto"/>
        <w:jc w:val="both"/>
        <w:outlineLvl w:val="1"/>
      </w:pPr>
      <w:bookmarkStart w:id="83" w:name="_Toc198043836"/>
      <w:r>
        <w:t xml:space="preserve">Tiesiskais regulējums, ar kuru valsts iestādei tiek piešķirtas ekskluzīvas tiesības rīkot noteiktas azartspēles, tostarp internetā, ietilpst jēdzienā “noteikumi par pakalpojumiem”, ciktāl tie attiecas uz informācijas sabiedrības pakalpojumu.</w:t>
      </w:r>
      <w:bookmarkEnd w:id="83"/>
    </w:p>
    <w:p w14:paraId="7434769F" w14:textId="77777777">
      <w:pPr>
        <w:widowControl w:val="0"/>
        <w:autoSpaceDE w:val="0"/>
        <w:autoSpaceDN w:val="0"/>
        <w:spacing w:after="0" w:line="240" w:lineRule="auto"/>
        <w:jc w:val="both"/>
        <w:outlineLvl w:val="1"/>
        <w:rPr>
          <w:rFonts w:ascii="Times New Roman" w:hAnsi="Times New Roman" w:cs="Times New Roman" w:eastAsia="Times New Roman"/>
          <w:szCs w:val="20"/>
        </w:rPr>
      </w:pPr>
    </w:p>
    <w:p w14:paraId="312EA22E" w14:textId="5FE50AED">
      <w:pPr>
        <w:pStyle w:val="P68B1DB1-Normal15"/>
        <w:widowControl w:val="0"/>
        <w:autoSpaceDE w:val="0"/>
        <w:autoSpaceDN w:val="0"/>
        <w:spacing w:after="0" w:line="240" w:lineRule="auto"/>
        <w:ind w:left="567"/>
        <w:jc w:val="both"/>
        <w:outlineLvl w:val="1"/>
        <w:rPr>
          <w:bCs/>
        </w:rPr>
      </w:pPr>
      <w:bookmarkStart w:id="84" w:name="_Toc198043837"/>
      <w:r>
        <w:t xml:space="preserve">“47. Atbilstoši minētās direktīvas 1. panta 5. punktam “noteikumi par pakalpojumiem” ir vispārīga rakstura prasības attiecībā uz pakalpojumu sniegšanas uzsākšanu un veikšanu šīs pašas direktīvas 1. panta 2. punkta izpratnē, kas ir jāsaprot kā “jebkāds informācijas sabiedrības pakalpojums, tas ir, jebkāds pakalpojums, ko parasti sniedz par atlīdzību no attāluma, ar elektroniskiem līdzekļiem un pēc pakalpojumu saņēmēja individuāla pieprasījuma”.</w:t>
      </w:r>
      <w:bookmarkEnd w:id="84"/>
    </w:p>
    <w:p w14:paraId="65107F99" w14:textId="77777777">
      <w:pPr>
        <w:pStyle w:val="P68B1DB1-Normal15"/>
        <w:widowControl w:val="0"/>
        <w:autoSpaceDE w:val="0"/>
        <w:autoSpaceDN w:val="0"/>
        <w:spacing w:after="0" w:line="240" w:lineRule="auto"/>
        <w:ind w:left="567"/>
        <w:jc w:val="both"/>
        <w:outlineLvl w:val="1"/>
        <w:rPr>
          <w:bCs/>
        </w:rPr>
      </w:pPr>
    </w:p>
    <w:p w14:paraId="44FBF5F6" w14:textId="02996DEF">
      <w:pPr>
        <w:pStyle w:val="P68B1DB1-Normal15"/>
        <w:widowControl w:val="0"/>
        <w:autoSpaceDE w:val="0"/>
        <w:autoSpaceDN w:val="0"/>
        <w:spacing w:after="0" w:line="240" w:lineRule="auto"/>
        <w:ind w:left="567"/>
        <w:jc w:val="both"/>
        <w:outlineLvl w:val="1"/>
        <w:rPr>
          <w:bCs/>
        </w:rPr>
      </w:pPr>
      <w:bookmarkStart w:id="85" w:name="_Toc198043838"/>
      <w:r>
        <w:t xml:space="preserve">48. Šajā ziņā Tiesa jau ir nospriedusi, ka tiesību normas par aizliegumu piedāvāt azartspēles internetā, izņēmumus no šā aizlieguma, ierobežojumus, kas noteikti iespējai piedāvāt sporta derības internetā, kā arī aizliegumu pārraidīt azartspēļu reklāmu internetā var kvalificēt kā “noteikumus par pakalpojumiem” Direktīvas 98/34 1. panta 5. punkta izpratnē, jo tie attiecas uz “informācijas sabiedrības pakalpojumu” šīs direktīvas 1. panta 2. punkta izpratnē (pēc analoģijas skat. spriedumu, 2016. gada 4. februāris, Ince, C-336/14, EU:C:2016:72, 75. punkts).</w:t>
      </w:r>
      <w:bookmarkEnd w:id="85"/>
    </w:p>
    <w:p w14:paraId="1117AEFE" w14:textId="77777777">
      <w:pPr>
        <w:pStyle w:val="P68B1DB1-Normal15"/>
        <w:widowControl w:val="0"/>
        <w:autoSpaceDE w:val="0"/>
        <w:autoSpaceDN w:val="0"/>
        <w:spacing w:after="0" w:line="240" w:lineRule="auto"/>
        <w:ind w:left="567"/>
        <w:jc w:val="both"/>
        <w:outlineLvl w:val="1"/>
        <w:rPr>
          <w:bCs/>
        </w:rPr>
      </w:pPr>
    </w:p>
    <w:p w14:paraId="6626E676" w14:textId="509677C9">
      <w:pPr>
        <w:pStyle w:val="P68B1DB1-Normal15"/>
        <w:widowControl w:val="0"/>
        <w:autoSpaceDE w:val="0"/>
        <w:autoSpaceDN w:val="0"/>
        <w:spacing w:after="0" w:line="240" w:lineRule="auto"/>
        <w:ind w:left="567"/>
        <w:jc w:val="both"/>
        <w:outlineLvl w:val="1"/>
        <w:rPr>
          <w:bCs/>
        </w:rPr>
      </w:pPr>
      <w:bookmarkStart w:id="86" w:name="_Toc198043839"/>
      <w:r>
        <w:t xml:space="preserve">49. Šajā gadījumā Dekrētlikuma Nr. 282/2003 2. un 3. pantā paredzētie noteikumi īpaši attiecas uz informācijas sabiedrības pakalpojumiem. Turklāt, piešķirot Santa Casa ekskluzīvas tiesības rīkot azartspēles internetā, šie noteikumi aizliedz visiem saimnieciskās darbības subjektiem sniegt šos pakalpojumus, izņemot Santa Casa.”</w:t>
      </w:r>
      <w:bookmarkEnd w:id="86"/>
    </w:p>
    <w:p w14:paraId="4D056F67" w14:textId="77777777">
      <w:pPr>
        <w:spacing w:after="0" w:line="240" w:lineRule="auto"/>
      </w:pPr>
    </w:p>
    <w:p w14:paraId="07196289" w14:textId="29A89F4E">
      <w:pPr>
        <w:pStyle w:val="P68B1DB1-Normal13"/>
        <w:widowControl w:val="0"/>
        <w:autoSpaceDE w:val="0"/>
        <w:autoSpaceDN w:val="0"/>
        <w:spacing w:after="0" w:line="240" w:lineRule="auto"/>
        <w:jc w:val="both"/>
        <w:outlineLvl w:val="1"/>
      </w:pPr>
      <w:hyperlink r:id="rId56" w:history="1">
        <w:r>
          <w:rPr>
            <w:color w:val="0000FF"/>
            <w:u w:val="single"/>
          </w:rPr>
          <w:t xml:space="preserve">Spriedums, 2020. gada 3. decembris,</w:t>
        </w:r>
      </w:hyperlink>
      <w:r>
        <w:t xml:space="preserve"> Star Taxi App, C 62/19</w:t>
        <w:noBreakHyphen/>
        <w:t xml:space="preserve">, EU:C:2020:980, 52.–54. un 64.–66. punkts.</w:t>
      </w:r>
      <w:bookmarkEnd w:id="87"/>
    </w:p>
    <w:p w14:paraId="73E5D159"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6B75F1E" w14:textId="4E123154">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Starpniecības pakalpojums, kas tikai savieno klientus ar jau pilnvarotiem taksometru vadītājiem, neorganizējot pašu transporta pakalpojumu, neizraugoties autovadītājus, nosakot braukšanas maksu vai kontrolējot transportlīdzekļus vai transportlīdzekļu vadītājus, ietilpst kategorijā “informācijas sabiedrības pakalpojumi”.</w:t>
      </w:r>
    </w:p>
    <w:p w14:paraId="53C8E268" w14:textId="77777777">
      <w:pPr>
        <w:widowControl w:val="0"/>
        <w:tabs>
          <w:tab w:val="left" w:pos="437"/>
        </w:tabs>
        <w:autoSpaceDE w:val="0"/>
        <w:autoSpaceDN w:val="0"/>
        <w:spacing w:after="0" w:line="240" w:lineRule="auto"/>
        <w:ind w:hanging="142"/>
        <w:jc w:val="both"/>
        <w:rPr>
          <w:rFonts w:ascii="Times New Roman" w:hAnsi="Times New Roman" w:cs="Times New Roman" w:eastAsia="Times New Roman"/>
          <w:szCs w:val="20"/>
        </w:rPr>
      </w:pPr>
    </w:p>
    <w:p w14:paraId="6B04D4DF" w14:textId="22C1A495">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Turklāt tiesiskais regulējums, kas nav īpaši vērsts uz šādiem pakalpojumiem, bet ir vienādi piemērojams visiem nosūtīšanas veidiem, tostarp pa tālruni vai izmantojot lietojumprogrammu, nevar tikt kvalificēts kā “noteikumi par pakalpojumiem”.</w:t>
      </w:r>
    </w:p>
    <w:p w14:paraId="03141058"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47BBE402" w14:textId="02641065">
      <w:pPr>
        <w:pStyle w:val="P68B1DB1-Normal15"/>
        <w:widowControl w:val="0"/>
        <w:tabs>
          <w:tab w:val="left" w:pos="437"/>
        </w:tabs>
        <w:autoSpaceDE w:val="0"/>
        <w:autoSpaceDN w:val="0"/>
        <w:spacing w:after="0" w:line="240" w:lineRule="auto"/>
        <w:ind w:left="567"/>
        <w:jc w:val="both"/>
      </w:pPr>
      <w:r>
        <w:t xml:space="preserve">“52. Pirmkārt, no lūguma sniegt prejudiciālu nolēmumu izriet, ka atšķirībā no starpniecības pakalpojuma, par kādu ir runa lietā, kurā tika pasludināts 2017. gada 20. decembra spriedums Asociación Profesional Elite Taxi (C-434/15, EU:C:2017:981), ar ko tika izveidoti un padarīti pieejami pārvietošanās pilsētā pakalpojumi, kurus sniedz neprofesionāli autovadītāji, kas iepriekš nav bijuši tirgus dalībnieki, pamatlietā aplūkotais pakalpojums, kā ģenerāladvokāts ir norādījis secinājumu 49. punktā, ir vienīgi personu, kuras vēlas pārvietoties pilsētā, savienošana tikai ar licencētiem taksometru vadītājiem, kuri jau ir tirgus dalībnieki un kuriem minētais starpniecības pakalpojums ir tikai viens no veidiem, kā iegūt klientus, turklāt tiem nav nekāda pienākuma to izmantot.</w:t>
      </w:r>
    </w:p>
    <w:p w14:paraId="0E270EA6" w14:textId="77777777">
      <w:pPr>
        <w:pStyle w:val="P68B1DB1-Normal15"/>
        <w:widowControl w:val="0"/>
        <w:tabs>
          <w:tab w:val="left" w:pos="437"/>
        </w:tabs>
        <w:autoSpaceDE w:val="0"/>
        <w:autoSpaceDN w:val="0"/>
        <w:spacing w:after="0" w:line="240" w:lineRule="auto"/>
        <w:ind w:left="567"/>
        <w:jc w:val="both"/>
      </w:pPr>
    </w:p>
    <w:p w14:paraId="0B69BBB1" w14:textId="47B62163">
      <w:pPr>
        <w:pStyle w:val="P68B1DB1-Normal15"/>
        <w:widowControl w:val="0"/>
        <w:tabs>
          <w:tab w:val="left" w:pos="437"/>
        </w:tabs>
        <w:autoSpaceDE w:val="0"/>
        <w:autoSpaceDN w:val="0"/>
        <w:spacing w:after="0" w:line="240" w:lineRule="auto"/>
        <w:ind w:left="567"/>
        <w:jc w:val="both"/>
      </w:pPr>
      <w:r>
        <w:t xml:space="preserve">53. Otrkārt, šādu starpniecības pakalpojumu nevar uzskatīt par tādu, ar ko tiek organizēta turpmākā pārvietošanās pilsētā pakalpojuma vispārējā darbība, jo pakalpojumu sniedzējs neizvēlas taksometru vadītājus, nedz arī nosaka vai iekasē brauciena maksu, nedz kontrolē transportlīdzekļu kvalitāti, kā arī to vadītāju izturēšanos.</w:t>
      </w:r>
    </w:p>
    <w:p w14:paraId="7252306B" w14:textId="77777777">
      <w:pPr>
        <w:pStyle w:val="P68B1DB1-Normal15"/>
        <w:widowControl w:val="0"/>
        <w:tabs>
          <w:tab w:val="left" w:pos="437"/>
        </w:tabs>
        <w:autoSpaceDE w:val="0"/>
        <w:autoSpaceDN w:val="0"/>
        <w:spacing w:after="0" w:line="240" w:lineRule="auto"/>
        <w:ind w:left="567"/>
        <w:jc w:val="both"/>
      </w:pPr>
    </w:p>
    <w:p w14:paraId="40C8D3C8" w14:textId="75B913AD">
      <w:pPr>
        <w:pStyle w:val="P68B1DB1-Normal15"/>
        <w:widowControl w:val="0"/>
        <w:tabs>
          <w:tab w:val="left" w:pos="437"/>
        </w:tabs>
        <w:autoSpaceDE w:val="0"/>
        <w:autoSpaceDN w:val="0"/>
        <w:spacing w:after="0" w:line="240" w:lineRule="auto"/>
        <w:ind w:left="567"/>
        <w:jc w:val="both"/>
        <w:rPr>
          <w:iCs/>
        </w:rPr>
      </w:pPr>
      <w:r>
        <w:t xml:space="preserve">54. No tā izriet, ka tādu starpniecības pakalpojumu kā Star Taxi App sniegtais nevar uzskatīt par tāda vispārēja pakalpojuma neatņemamu sastāvdaļu, kura galvenā sastāvdaļa ir transporta pakalpojums, un tādējādi tas ir kvalificējams kā “informācijas sabiedrības pakalpojums” Direktīvas 2000/31 2. panta a) punkta izpratnē.”</w:t>
      </w:r>
    </w:p>
    <w:p w14:paraId="737174FF" w14:textId="77777777">
      <w:pPr>
        <w:widowControl w:val="0"/>
        <w:tabs>
          <w:tab w:val="left" w:pos="437"/>
        </w:tabs>
        <w:autoSpaceDE w:val="0"/>
        <w:autoSpaceDN w:val="0"/>
        <w:spacing w:after="0" w:line="240" w:lineRule="auto"/>
        <w:ind w:left="567" w:hanging="142"/>
        <w:jc w:val="both"/>
        <w:rPr>
          <w:rFonts w:ascii="Times New Roman" w:hAnsi="Times New Roman" w:cs="Times New Roman" w:eastAsia="Times New Roman"/>
          <w:i/>
          <w:iCs/>
          <w:sz w:val="20"/>
          <w:szCs w:val="16"/>
        </w:rPr>
      </w:pPr>
    </w:p>
    <w:p w14:paraId="2D6C8DFE" w14:textId="7A0EB2A0">
      <w:pPr>
        <w:pStyle w:val="P68B1DB1-Normal15"/>
        <w:widowControl w:val="0"/>
        <w:tabs>
          <w:tab w:val="left" w:pos="437"/>
        </w:tabs>
        <w:autoSpaceDE w:val="0"/>
        <w:autoSpaceDN w:val="0"/>
        <w:spacing w:after="0" w:line="240" w:lineRule="auto"/>
        <w:ind w:left="567"/>
        <w:jc w:val="both"/>
      </w:pPr>
      <w:r>
        <w:t xml:space="preserve">“64. Šajā gadījumā no lūguma sniegt prejudiciālu nolēmumu izriet, ka pamatlietā aplūkotajā Rumānijas tiesiskajā regulējumā — neatkarīgi no tā, vai runa ir par Likumu Nr. 38/2003 vai Lēmumu Nr. 178/2008, — nekādi nav minēti informācijas sabiedrības pakalpojumi. Turklāt Lēmuma Nr. 178/2008 1. pielikuma 3. pants, 21. panta 1. un 3.1 punkts, kā arī 41. panta 2.1 punkts vienādi attiecas uz visiem nosūtīšanas pakalpojumu veidiem neatkarīgi no tā, vai tie tiek sniegti pa telefonu vai ar citiem līdzekļiem, piemēram, ar informātikas lietotni.</w:t>
      </w:r>
    </w:p>
    <w:p w14:paraId="38902729" w14:textId="77777777">
      <w:pPr>
        <w:pStyle w:val="P68B1DB1-Normal15"/>
        <w:widowControl w:val="0"/>
        <w:tabs>
          <w:tab w:val="left" w:pos="437"/>
        </w:tabs>
        <w:autoSpaceDE w:val="0"/>
        <w:autoSpaceDN w:val="0"/>
        <w:spacing w:after="0" w:line="240" w:lineRule="auto"/>
        <w:ind w:left="567"/>
        <w:jc w:val="both"/>
      </w:pPr>
    </w:p>
    <w:p w14:paraId="0D3B1A3A" w14:textId="72AECFA4">
      <w:pPr>
        <w:pStyle w:val="P68B1DB1-Normal15"/>
        <w:widowControl w:val="0"/>
        <w:tabs>
          <w:tab w:val="left" w:pos="437"/>
        </w:tabs>
        <w:autoSpaceDE w:val="0"/>
        <w:autoSpaceDN w:val="0"/>
        <w:spacing w:after="0" w:line="240" w:lineRule="auto"/>
        <w:ind w:left="567"/>
        <w:jc w:val="both"/>
      </w:pPr>
      <w:r>
        <w:t xml:space="preserve">65. Turklāt, kā secinājumu 108. punktā ir norādījis ģenerāladvokāts, ar Likumu Nr. 38/2003 nosūtīšanas pakalpojumu sniedzējiem, kuri savu darbību veic ar viedtālruņa lietotnes palīdzību, tāpat kā visiem citiem operatoriem, kas sniedz nosūtīšanas pakalpojumus, ir noteikts pienākums, ka tiem jābūt aprīkojumam — šajā gadījumā radio raiduztvērējiem –, kas šī pakalpojuma sniegšanas tehniskās specifikas dēļ nav noderīgs.</w:t>
      </w:r>
    </w:p>
    <w:p w14:paraId="2F69DDBE" w14:textId="77777777">
      <w:pPr>
        <w:pStyle w:val="P68B1DB1-Normal15"/>
        <w:widowControl w:val="0"/>
        <w:tabs>
          <w:tab w:val="left" w:pos="437"/>
        </w:tabs>
        <w:autoSpaceDE w:val="0"/>
        <w:autoSpaceDN w:val="0"/>
        <w:spacing w:after="0" w:line="240" w:lineRule="auto"/>
        <w:ind w:left="567"/>
        <w:jc w:val="both"/>
      </w:pPr>
    </w:p>
    <w:p w14:paraId="7495A598" w14:textId="143B7510">
      <w:pPr>
        <w:pStyle w:val="P68B1DB1-Normal15"/>
        <w:widowControl w:val="0"/>
        <w:tabs>
          <w:tab w:val="left" w:pos="437"/>
        </w:tabs>
        <w:autoSpaceDE w:val="0"/>
        <w:autoSpaceDN w:val="0"/>
        <w:spacing w:after="0" w:line="240" w:lineRule="auto"/>
        <w:ind w:left="567"/>
        <w:jc w:val="both"/>
        <w:rPr>
          <w:iCs/>
        </w:rPr>
      </w:pPr>
      <w:r>
        <w:t xml:space="preserve">66. Tādējādi, tā kā tāds tiesiskais regulējums kā pamatlietā aplūkotais neattiecas konkrēti uz informācijas sabiedrības pakalpojumiem, tas attiecas uz šiem pakalpojumiem tikai netieši vai gadījuma veidā. Tāpēc šādu noteikumu nevar uzskatīt par “noteikumu par pakalpojumiem” Direktīvas 2015/1535 1. panta 1. punkta e) apakšpunkta izpratnē vai līdz ar to par “tehniskiem noteikumiem” šīs direktīvas 1. panta 1. punkta f) apakšpunkta izpratnē.”</w:t>
      </w:r>
    </w:p>
    <w:p w14:paraId="74769673" w14:textId="77777777">
      <w:pPr>
        <w:widowControl w:val="0"/>
        <w:tabs>
          <w:tab w:val="left" w:pos="437"/>
        </w:tabs>
        <w:autoSpaceDE w:val="0"/>
        <w:autoSpaceDN w:val="0"/>
        <w:spacing w:after="0" w:line="240" w:lineRule="auto"/>
        <w:jc w:val="both"/>
        <w:rPr>
          <w:rFonts w:ascii="Times New Roman" w:hAnsi="Times New Roman" w:cs="Times New Roman" w:eastAsia="Times New Roman"/>
          <w:i/>
          <w:iCs/>
          <w:sz w:val="20"/>
          <w:szCs w:val="16"/>
        </w:rPr>
      </w:pPr>
    </w:p>
    <w:p w14:paraId="4ECE591C" w14:textId="291CA601">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57" w:history="1">
        <w:r>
          <w:rPr>
            <w:rStyle w:val="Hyperlink"/>
            <w:rFonts w:ascii="Times New Roman" w:hAnsi="Times New Roman" w:cs="Times New Roman" w:eastAsia="Times New Roman"/>
            <w:b/>
            <w:i/>
            <w:color w:val="0000FF"/>
            <w:szCs w:val="20"/>
          </w:rPr>
          <w:t xml:space="preserve">Spriedums, 2024. gada 29. februāris,</w:t>
        </w:r>
      </w:hyperlink>
      <w:r>
        <w:rPr>
          <w:rFonts w:ascii="Times New Roman" w:hAnsi="Times New Roman" w:cs="Times New Roman" w:eastAsia="Times New Roman"/>
          <w:b/>
          <w:i/>
          <w:szCs w:val="20"/>
        </w:rPr>
        <w:t xml:space="preserve"> Doctipharma SAS, C-606/21, EU:C:2024:179, 26.–30. un 34.–36. punkts.</w:t>
      </w:r>
      <w:bookmarkEnd w:id="88"/>
    </w:p>
    <w:p w14:paraId="5D3D60EF"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3D0A5D9F" w14:textId="5B25CF88">
      <w:pPr>
        <w:pStyle w:val="P68B1DB1-BodyText22"/>
      </w:pPr>
      <w:r>
        <w:t xml:space="preserve">Atlīdzība par pakalpojumu, ko pakalpojumu sniedzējs sniedzis saimnieciskās darbības ietvaros, ne vienmēr ir jāmaksā saņēmējiem. Tas attiecas uz interneta vietnē sniegtu pakalpojumu, kas ietver farmaceitu un klientu sasaisti zāļu pārdošanai, ja par to atlīdzību maksā farmaceiti, kuri ir abonējuši tās platformu, pamatojoties uz fiksētu maksu.</w:t>
      </w:r>
    </w:p>
    <w:p w14:paraId="60E238C1" w14:textId="77777777">
      <w:pPr>
        <w:pStyle w:val="P68B1DB1-BodyText22"/>
      </w:pPr>
    </w:p>
    <w:p w14:paraId="16BCA1E5" w14:textId="5221BD03">
      <w:pPr>
        <w:pStyle w:val="P68B1DB1-BodyText22"/>
      </w:pPr>
      <w:r>
        <w:t xml:space="preserve">Šāds pakalpojums nav daļa no vispārēja pakalpojuma, kura galvenais elements ir pakļauts citai juridiskajai kvalifikācijai, nevis “informācijas sabiedrības pakalpojumam”.</w:t>
      </w:r>
    </w:p>
    <w:p w14:paraId="5D9B8556" w14:textId="77777777">
      <w:pPr>
        <w:pStyle w:val="BodyText"/>
      </w:pPr>
      <w:r>
        <w:t xml:space="preserve"> </w:t>
      </w:r>
    </w:p>
    <w:p w14:paraId="06EE7590" w14:textId="40E0F47A">
      <w:pPr>
        <w:pStyle w:val="P68B1DB1-Normal20"/>
        <w:widowControl w:val="0"/>
        <w:autoSpaceDE w:val="0"/>
        <w:autoSpaceDN w:val="0"/>
        <w:spacing w:after="0" w:line="240" w:lineRule="auto"/>
        <w:ind w:left="567"/>
        <w:jc w:val="both"/>
        <w:outlineLvl w:val="1"/>
        <w:rPr>
          <w:iCs/>
        </w:rPr>
      </w:pPr>
      <w:bookmarkStart w:id="89" w:name="_Toc198043843"/>
      <w:r>
        <w:t xml:space="preserve">“26. [..] Direktīvas 98/34 1. panta 2. punktā un Direktīvas 2015/1535 1. panta 1. punkta b) apakšpunktā jēdziens “informācijas sabiedrības pakalpojums” ir definēts kā “jebkurš pakalpojums, ko parasti sniedz par atlīdzību no attāluma, ar elektroniskiem līdzekļiem un pēc pakalpojumu saņēmēja individuāla pieprasījuma”.</w:t>
      </w:r>
      <w:bookmarkEnd w:id="89"/>
    </w:p>
    <w:p w14:paraId="0520C499" w14:textId="77777777">
      <w:pPr>
        <w:pStyle w:val="P68B1DB1-Normal20"/>
        <w:widowControl w:val="0"/>
        <w:autoSpaceDE w:val="0"/>
        <w:autoSpaceDN w:val="0"/>
        <w:spacing w:after="0" w:line="240" w:lineRule="auto"/>
        <w:ind w:left="567"/>
        <w:jc w:val="both"/>
        <w:outlineLvl w:val="1"/>
        <w:rPr>
          <w:iCs/>
        </w:rPr>
      </w:pPr>
    </w:p>
    <w:p w14:paraId="5522C64C" w14:textId="2B939575">
      <w:pPr>
        <w:pStyle w:val="P68B1DB1-Normal20"/>
        <w:widowControl w:val="0"/>
        <w:autoSpaceDE w:val="0"/>
        <w:autoSpaceDN w:val="0"/>
        <w:spacing w:after="0" w:line="240" w:lineRule="auto"/>
        <w:ind w:left="567"/>
        <w:jc w:val="both"/>
        <w:outlineLvl w:val="1"/>
        <w:rPr>
          <w:iCs/>
        </w:rPr>
      </w:pPr>
      <w:bookmarkStart w:id="90" w:name="_Toc198043844"/>
      <w:r>
        <w:t xml:space="preserve">27. Šajā gadījumā attiecībā uz šajās tiesību normās paredzēto pirmo nosacījumu ir jāatgādina, ka saskaņā ar pastāvīgo judikatūru atlīdzība par pakalpojumu, ko sniedzis pakalpojumu sniedzējs saimnieciskās darbības ietvaros, nav obligāti jāmaksā personām, kas ir tā saņēmējas (šajā nozīmē skat. spriedumus, 2016. gada 15. septembris, Mc Fadden, C-484/14, EU:C:2016:689, 41. punkts, un 2017. gada 4. maijs, Vanderborght, C-339/15, EU:C:2017:335, 36. punkts).</w:t>
      </w:r>
      <w:bookmarkEnd w:id="90"/>
    </w:p>
    <w:p w14:paraId="321E2B99" w14:textId="77777777">
      <w:pPr>
        <w:pStyle w:val="P68B1DB1-Normal20"/>
        <w:widowControl w:val="0"/>
        <w:autoSpaceDE w:val="0"/>
        <w:autoSpaceDN w:val="0"/>
        <w:spacing w:after="0" w:line="240" w:lineRule="auto"/>
        <w:ind w:left="567"/>
        <w:jc w:val="both"/>
        <w:outlineLvl w:val="1"/>
        <w:rPr>
          <w:iCs/>
        </w:rPr>
      </w:pPr>
    </w:p>
    <w:p w14:paraId="4A7B6C31" w14:textId="12F86ADD">
      <w:pPr>
        <w:pStyle w:val="P68B1DB1-Normal20"/>
        <w:widowControl w:val="0"/>
        <w:autoSpaceDE w:val="0"/>
        <w:autoSpaceDN w:val="0"/>
        <w:spacing w:after="0" w:line="240" w:lineRule="auto"/>
        <w:ind w:left="567"/>
        <w:jc w:val="both"/>
        <w:outlineLvl w:val="1"/>
        <w:rPr>
          <w:iCs/>
        </w:rPr>
      </w:pPr>
      <w:bookmarkStart w:id="91" w:name="_Toc198043845"/>
      <w:r>
        <w:t xml:space="preserve">28. Tādējādi, lai tādu pakalpojumu kā pamatlietā aplūkotais kvalificētu kā tādu, kas ietilpst jēdzienā “informācijas sabiedrības pakalpojums” Direktīvas 98/34 1. panta 2. punkta un Direktīvas 2015/1535 1. panta 1. punkta b) apakšpunkta izpratnē, neesot nozīmes tam, ka šos pakalpojumu sniedz bez maksas personai, kas iegādājas bezrecepšu zāles, jo starp šī pakalpojuma sniedzēju un katru farmaceitu, kurš izmanto minēto pakalpojumu, tiek noslēgts līgums par maksas pakalpojumu sniegšanu.</w:t>
      </w:r>
      <w:bookmarkEnd w:id="91"/>
    </w:p>
    <w:p w14:paraId="7BF264F2" w14:textId="77777777">
      <w:pPr>
        <w:pStyle w:val="P68B1DB1-Normal20"/>
        <w:widowControl w:val="0"/>
        <w:autoSpaceDE w:val="0"/>
        <w:autoSpaceDN w:val="0"/>
        <w:spacing w:after="0" w:line="240" w:lineRule="auto"/>
        <w:ind w:left="567"/>
        <w:jc w:val="both"/>
        <w:outlineLvl w:val="1"/>
        <w:rPr>
          <w:iCs/>
        </w:rPr>
      </w:pPr>
    </w:p>
    <w:p w14:paraId="1D178D41" w14:textId="602A287A">
      <w:pPr>
        <w:pStyle w:val="P68B1DB1-Normal20"/>
        <w:widowControl w:val="0"/>
        <w:autoSpaceDE w:val="0"/>
        <w:autoSpaceDN w:val="0"/>
        <w:spacing w:after="0" w:line="240" w:lineRule="auto"/>
        <w:ind w:left="567"/>
        <w:jc w:val="both"/>
        <w:outlineLvl w:val="1"/>
        <w:rPr>
          <w:iCs/>
        </w:rPr>
      </w:pPr>
      <w:bookmarkStart w:id="92" w:name="_Toc198043846"/>
      <w:r>
        <w:t xml:space="preserve">29. Tāpat šajā ziņā neesot nozīmes tam, kā norādījusi Doctipharma, ka saskaņā ar vispārējiem pārdošanas nosacījumiem farmaceiti, kuri ir tās platformas abonenti, maksāja atlīdzību, pamatojoties uz vienotu likmi, vai arī, kā norādīja Francijas valdība, tam, ka par Doctipharma sniegto pakalpojumu bija jāmaksā ikmēneša abonentmaksa, ko farmaceiti maksā Doctipharma, un vēlāk tika izmaksāti procenti no pārdevumu summas, ko iekasēja platforma.</w:t>
      </w:r>
      <w:bookmarkEnd w:id="92"/>
    </w:p>
    <w:p w14:paraId="2B92BB79" w14:textId="77777777">
      <w:pPr>
        <w:pStyle w:val="P68B1DB1-Normal20"/>
        <w:widowControl w:val="0"/>
        <w:autoSpaceDE w:val="0"/>
        <w:autoSpaceDN w:val="0"/>
        <w:spacing w:after="0" w:line="240" w:lineRule="auto"/>
        <w:ind w:left="567"/>
        <w:jc w:val="both"/>
        <w:outlineLvl w:val="1"/>
        <w:rPr>
          <w:iCs/>
        </w:rPr>
      </w:pPr>
    </w:p>
    <w:p w14:paraId="7E01A0AB" w14:textId="05C25972">
      <w:pPr>
        <w:pStyle w:val="P68B1DB1-Normal20"/>
        <w:widowControl w:val="0"/>
        <w:autoSpaceDE w:val="0"/>
        <w:autoSpaceDN w:val="0"/>
        <w:spacing w:after="0" w:line="240" w:lineRule="auto"/>
        <w:ind w:left="567"/>
        <w:jc w:val="both"/>
        <w:outlineLvl w:val="1"/>
        <w:rPr>
          <w:iCs/>
        </w:rPr>
      </w:pPr>
      <w:bookmarkStart w:id="93" w:name="_Toc198043847"/>
      <w:r>
        <w:t xml:space="preserve">30. No tā izriet, ka, neskarot pārbaudes, kas jāveic iesniedzējtiesai, pamatlietā aplūkotais pakalpojums katrā ziņā ir jāuzskata par tādu, kas sniegts par atlīdzību.”</w:t>
      </w:r>
      <w:bookmarkEnd w:id="93"/>
    </w:p>
    <w:p w14:paraId="1F7DABA5" w14:textId="77777777">
      <w:pPr>
        <w:widowControl w:val="0"/>
        <w:autoSpaceDE w:val="0"/>
        <w:autoSpaceDN w:val="0"/>
        <w:spacing w:after="0" w:line="240" w:lineRule="auto"/>
        <w:ind w:left="567"/>
        <w:jc w:val="both"/>
        <w:outlineLvl w:val="1"/>
        <w:rPr>
          <w:rFonts w:ascii="Times New Roman" w:hAnsi="Times New Roman" w:cs="Times New Roman"/>
          <w:i/>
          <w:iCs/>
          <w:sz w:val="20"/>
          <w:szCs w:val="20"/>
        </w:rPr>
      </w:pPr>
    </w:p>
    <w:p w14:paraId="01B24EB0" w14:textId="2D56DEB8">
      <w:pPr>
        <w:pStyle w:val="P68B1DB1-Normal20"/>
        <w:widowControl w:val="0"/>
        <w:autoSpaceDE w:val="0"/>
        <w:autoSpaceDN w:val="0"/>
        <w:spacing w:after="0" w:line="240" w:lineRule="auto"/>
        <w:ind w:left="567"/>
        <w:jc w:val="both"/>
        <w:outlineLvl w:val="1"/>
      </w:pPr>
      <w:bookmarkStart w:id="94" w:name="_Toc198043848"/>
      <w:r>
        <w:t xml:space="preserve">“34. Šo secinājumu neatspēko Tiesas judikatūra 2017. gada 20. decembra spriedumā Asociación Profesional Elite Taxi (C-434/15, EU:C:2017:981), 2019. gada 19. decembra spriedumā Airbnb Ireland (C-390/18, EU:C:2019:1112) un 2020. gada 3. decembra spriedumā Star Taxi App (C-62/19, EU:C:2020:980).</w:t>
      </w:r>
      <w:bookmarkEnd w:id="94"/>
    </w:p>
    <w:p w14:paraId="30816B83" w14:textId="77777777">
      <w:pPr>
        <w:pStyle w:val="P68B1DB1-Normal20"/>
        <w:widowControl w:val="0"/>
        <w:autoSpaceDE w:val="0"/>
        <w:autoSpaceDN w:val="0"/>
        <w:spacing w:after="0" w:line="240" w:lineRule="auto"/>
        <w:ind w:left="567"/>
        <w:jc w:val="both"/>
        <w:outlineLvl w:val="1"/>
      </w:pPr>
    </w:p>
    <w:p w14:paraId="7006558F" w14:textId="15BDEB5C">
      <w:pPr>
        <w:pStyle w:val="P68B1DB1-Normal20"/>
        <w:widowControl w:val="0"/>
        <w:autoSpaceDE w:val="0"/>
        <w:autoSpaceDN w:val="0"/>
        <w:spacing w:after="0" w:line="240" w:lineRule="auto"/>
        <w:ind w:left="567"/>
        <w:jc w:val="both"/>
        <w:outlineLvl w:val="1"/>
      </w:pPr>
      <w:bookmarkStart w:id="95" w:name="_Toc198043849"/>
      <w:r>
        <w:t xml:space="preserve">35. No šīs judikatūras izriet, ka pakalpojums, kura mērķis ir nodrošināt klientu sasaisti ar cita veida pakalpojumu sniedzējiem un kurš atbilst visiem Direktīvas 98/34 1. panta 2. punktā un Direktīvas (ES) 2015/1535 1. panta 1. punkta b) apakšpunktā paredzētajiem nosacījumiem, ir jākvalificē kā “informācijas sabiedrības pakalpojums”, ja šāds pakalpojums atšķiras no šo pakalpojumu sniedzēju sniegtā cita veida pakalpojuma. Tomēr ir jābūt citādi, ja izrādās, ka šis sasaistes nodibināšanas pakalpojums ir neatņemama daļa no kopējā pakalpojuma, kura galvenais elements juridiski nav kvalificējams kā “informācijas sabiedrības pakalpojums” (spriedums, 2020. gada 3. decembris, Star Taxi App, C-62/19, EU:C:2020:980, 49. punkts un tajā minētā judikatūra).</w:t>
      </w:r>
      <w:bookmarkEnd w:id="95"/>
    </w:p>
    <w:p w14:paraId="3E0D3F0B" w14:textId="77777777">
      <w:pPr>
        <w:pStyle w:val="P68B1DB1-Normal20"/>
        <w:widowControl w:val="0"/>
        <w:autoSpaceDE w:val="0"/>
        <w:autoSpaceDN w:val="0"/>
        <w:spacing w:after="0" w:line="240" w:lineRule="auto"/>
        <w:ind w:left="567"/>
        <w:jc w:val="both"/>
        <w:outlineLvl w:val="1"/>
      </w:pPr>
    </w:p>
    <w:p w14:paraId="236402DB" w14:textId="039485E5">
      <w:pPr>
        <w:pStyle w:val="P68B1DB1-Normal20"/>
        <w:widowControl w:val="0"/>
        <w:autoSpaceDE w:val="0"/>
        <w:autoSpaceDN w:val="0"/>
        <w:spacing w:after="0" w:line="240" w:lineRule="auto"/>
        <w:ind w:left="567"/>
        <w:jc w:val="both"/>
        <w:outlineLvl w:val="1"/>
      </w:pPr>
      <w:bookmarkStart w:id="96" w:name="_Toc198043850"/>
      <w:r>
        <w:t xml:space="preserve">36. Kā ģenerāladvokāts ir norādījis secinājumu 28. un 29. punktā, farmaceitu un klientu sasaistes pakalpojums, lai pārdotu bezrecepšu zāles no to aptieku interneta vietnēm, kuras ir abonējušas šo pakalpojumu, nevar būt neatņemama daļa no kopējā pakalpojuma, kura galvenais elements nav kvalificējams kā “informācijas sabiedrības pakalpojums””.</w:t>
      </w:r>
      <w:bookmarkEnd w:id="96"/>
    </w:p>
    <w:p w14:paraId="066794C6" w14:textId="77777777">
      <w:pPr>
        <w:pStyle w:val="P68B1DB1-Normal20"/>
        <w:widowControl w:val="0"/>
        <w:autoSpaceDE w:val="0"/>
        <w:autoSpaceDN w:val="0"/>
        <w:spacing w:after="0" w:line="240" w:lineRule="auto"/>
        <w:jc w:val="both"/>
        <w:outlineLvl w:val="1"/>
      </w:pPr>
    </w:p>
    <w:p w14:paraId="3456AF7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58" w:history="1">
        <w:r>
          <w:rPr>
            <w:rStyle w:val="Hyperlink"/>
            <w:rFonts w:ascii="Times New Roman" w:hAnsi="Times New Roman" w:cs="Times New Roman" w:eastAsia="Times New Roman"/>
            <w:b/>
            <w:i/>
            <w:color w:val="0000FF"/>
            <w:szCs w:val="20"/>
          </w:rPr>
          <w:t xml:space="preserve">Spriedums, 2025. gada 13. marts,</w:t>
        </w:r>
      </w:hyperlink>
      <w:r>
        <w:rPr>
          <w:rFonts w:ascii="Times New Roman" w:hAnsi="Times New Roman" w:cs="Times New Roman" w:eastAsia="Times New Roman"/>
          <w:b/>
          <w:i/>
          <w:szCs w:val="20"/>
        </w:rPr>
        <w:t xml:space="preserve"> Unigames UAB, C</w:t>
        <w:noBreakHyphen/>
        <w:t xml:space="preserve">120/24, EU:C:2025:174, 38.–42. punkts.</w:t>
      </w:r>
      <w:bookmarkEnd w:id="97"/>
    </w:p>
    <w:p w14:paraId="7C957596" w14:textId="77777777">
      <w:pPr>
        <w:widowControl w:val="0"/>
        <w:tabs>
          <w:tab w:val="left" w:pos="437"/>
        </w:tabs>
        <w:autoSpaceDE w:val="0"/>
        <w:autoSpaceDN w:val="0"/>
        <w:spacing w:after="0" w:line="240" w:lineRule="auto"/>
        <w:jc w:val="both"/>
        <w:rPr>
          <w:rFonts w:ascii="Times New Roman" w:hAnsi="Times New Roman" w:cs="Times New Roman" w:eastAsia="Times New Roman"/>
          <w:b/>
          <w:i/>
          <w:szCs w:val="20"/>
        </w:rPr>
      </w:pPr>
    </w:p>
    <w:p w14:paraId="0CCCFF25"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Aizliegums reklamēt azartspēles spēļu vietnēs neattiecas uz reklāmas pakalpojumu, kas ir neatkarīgs no azartspēļu pakalpojuma, bet gan uz pakalpojumu, kas nav nodalāms no tiešsaistes azartspēļu pakalpojuma. Līdz ar to, lai noteiktu, vai tas ir “noteikumi par pakalpojumiem”, vispirms ir jāizvērtē tiešsaistes azartspēļu pakalpojumu kvalificēšana par “informācijas sabiedrības pakalpojumiem”.</w:t>
      </w:r>
    </w:p>
    <w:p w14:paraId="2F64E777"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4D107C79" w14:textId="74EE0F8E">
      <w:pPr>
        <w:pStyle w:val="P68B1DB1-Normal15"/>
        <w:widowControl w:val="0"/>
        <w:tabs>
          <w:tab w:val="left" w:pos="437"/>
        </w:tabs>
        <w:autoSpaceDE w:val="0"/>
        <w:autoSpaceDN w:val="0"/>
        <w:spacing w:after="0" w:line="240" w:lineRule="auto"/>
        <w:ind w:left="567"/>
        <w:jc w:val="both"/>
        <w:rPr>
          <w:iCs/>
        </w:rPr>
      </w:pPr>
      <w:r>
        <w:t xml:space="preserve">“38. Šī sprieduma 36. un 37. punktā izklāstītos apsvērumus</w:t>
      </w:r>
      <w:r>
        <w:rPr>
          <w:i w:val="0"/>
        </w:rPr>
        <w:t xml:space="preserve"> [saskaņā ar kuriem tiešsaistes azartspēļu pakalpojumi ir uzskatāmi par “informācijas sabiedrības pakalpojumiem”] </w:t>
      </w:r>
      <w:r>
        <w:t xml:space="preserve">neatspēko tas, ka informācija par azartspēlēm, ko azartspēļu rīkotājs ir publicējis savā tīmekļa vietnē, ne vienmēr tiek sniegta “pēc pakalpojumu saņēmēja individuāla pieprasījuma”. Šī informācijas publicēšana tādos apstākļos, kādi ir pamatlietā, nevar tikt uzskatīta par reklāmas pakalpojumu vai citu pakalpojumu, kas tiek sniegts attālināto azartspēļu pakalpojumu saņēmējiem, bet ir papilddarbība, kas nav nodalāma no attiecīgajiem attālinātajiem azartspēļu pakalpojumiem, no kuriem tai ir visa ekonomiskā nozīme (pēc analoģijas skat. spriedumu, 2020. gada 1. oktobris, A (Zāļu reklāma un pārdošana tiešsaistē), C-649/18, EU:C:2020:764, 56. punkts). Tādējādi tikai pašiem azartspēļu pakalpojumiem ir jāatbilst attiecīgajiem nosacījumiem, lai tie ietilptu jēdzienā “pakalpojums” Direktīvas 2015/1535 1. panta 1. punkta b) apakšpunkta izpratnē, un pamatlietā aplūkotajam aizliegumam, kas attiecas uz šādu informācijas publicēšanu, savukārt ir jāatbilst šīs direktīvas 1. panta 1. punkta e) apakšpunktā paredzētajiem īpašajiem kritērijiem, lai tos varētu uzskatīt par “noteikumiem par” šiem pakalpojumiem šīs pēdējās minētās tiesību normas izpratnē.</w:t>
      </w:r>
    </w:p>
    <w:p w14:paraId="0C84094C" w14:textId="77777777">
      <w:pPr>
        <w:pStyle w:val="P68B1DB1-Normal15"/>
        <w:widowControl w:val="0"/>
        <w:tabs>
          <w:tab w:val="left" w:pos="437"/>
        </w:tabs>
        <w:autoSpaceDE w:val="0"/>
        <w:autoSpaceDN w:val="0"/>
        <w:spacing w:after="0" w:line="240" w:lineRule="auto"/>
        <w:ind w:left="567"/>
        <w:jc w:val="both"/>
        <w:rPr>
          <w:iCs/>
        </w:rPr>
      </w:pPr>
    </w:p>
    <w:p w14:paraId="40656C32" w14:textId="179B1E83">
      <w:pPr>
        <w:pStyle w:val="P68B1DB1-Normal15"/>
        <w:widowControl w:val="0"/>
        <w:tabs>
          <w:tab w:val="left" w:pos="437"/>
        </w:tabs>
        <w:autoSpaceDE w:val="0"/>
        <w:autoSpaceDN w:val="0"/>
        <w:spacing w:after="0" w:line="240" w:lineRule="auto"/>
        <w:ind w:left="567"/>
        <w:jc w:val="both"/>
        <w:rPr>
          <w:iCs/>
        </w:rPr>
      </w:pPr>
      <w:r>
        <w:t xml:space="preserve">39. Šajā ziņā, lai gan nav strīda par to, ka pamatlietā aplūkotais aizliegums ir “vispārīga rakstura prasība” Direktīvas 2015/1535 1. panta 1. punkta e) apakšpunkta izpratnē, vēl ir jāpārbauda, pirmkārt, vai to var uzskatīt par tādu, kas “attiecas uz pakalpojumu sniegšanas uzsākšanu un veikšanu”, jo šajā tiesību normā ir precizēts, ka tas tā ir it īpaši attiecībā uz noteikumiem, kas attiecas uz pakalpojumu sniedzēju, pakalpojumiem un pakalpojumu saņēmēju.</w:t>
      </w:r>
    </w:p>
    <w:p w14:paraId="0DF48DDD" w14:textId="77777777">
      <w:pPr>
        <w:pStyle w:val="P68B1DB1-Normal15"/>
        <w:widowControl w:val="0"/>
        <w:tabs>
          <w:tab w:val="left" w:pos="437"/>
        </w:tabs>
        <w:autoSpaceDE w:val="0"/>
        <w:autoSpaceDN w:val="0"/>
        <w:spacing w:after="0" w:line="240" w:lineRule="auto"/>
        <w:ind w:left="567"/>
        <w:jc w:val="both"/>
        <w:rPr>
          <w:iCs/>
        </w:rPr>
      </w:pPr>
    </w:p>
    <w:p w14:paraId="79F306A3" w14:textId="7430EFC3">
      <w:pPr>
        <w:pStyle w:val="P68B1DB1-Normal15"/>
        <w:widowControl w:val="0"/>
        <w:tabs>
          <w:tab w:val="left" w:pos="437"/>
        </w:tabs>
        <w:autoSpaceDE w:val="0"/>
        <w:autoSpaceDN w:val="0"/>
        <w:spacing w:after="0" w:line="240" w:lineRule="auto"/>
        <w:ind w:left="567"/>
        <w:jc w:val="both"/>
        <w:rPr>
          <w:iCs/>
        </w:rPr>
      </w:pPr>
      <w:r>
        <w:t xml:space="preserve">40. Šajā ziņā ir jākonstatē, ka Azartspēļu likuma 10. panta 19. punkts var ietilpt jēdzienā “noteikumi par pakalpojumiem”, ciktāl tajā ir paredzēts aizliegums tostarp veicināt dalību attālinātajās azartspēlēs un it īpaši publicēt informāciju par azartspēlēm azartspēļu operatora tīmekļvietnē vai veikt darbības, kas veicina dalību azartspēlēs (šajā nozīmē skat. spriedumu, 2020. gada 22. oktobris, Sportingbet un Internet Opportunity Entertainment, C-275/19, EU:C:2020:856, 48. punkts, kā arī tajā minētā judikatūra).</w:t>
      </w:r>
    </w:p>
    <w:p w14:paraId="7B52939F" w14:textId="77777777">
      <w:pPr>
        <w:pStyle w:val="P68B1DB1-Normal15"/>
        <w:widowControl w:val="0"/>
        <w:tabs>
          <w:tab w:val="left" w:pos="437"/>
        </w:tabs>
        <w:autoSpaceDE w:val="0"/>
        <w:autoSpaceDN w:val="0"/>
        <w:spacing w:after="0" w:line="240" w:lineRule="auto"/>
        <w:ind w:left="567"/>
        <w:jc w:val="both"/>
        <w:rPr>
          <w:iCs/>
        </w:rPr>
      </w:pPr>
    </w:p>
    <w:p w14:paraId="29F63712" w14:textId="4449F712">
      <w:pPr>
        <w:pStyle w:val="P68B1DB1-Normal15"/>
        <w:widowControl w:val="0"/>
        <w:tabs>
          <w:tab w:val="left" w:pos="437"/>
        </w:tabs>
        <w:autoSpaceDE w:val="0"/>
        <w:autoSpaceDN w:val="0"/>
        <w:spacing w:after="0" w:line="240" w:lineRule="auto"/>
        <w:ind w:left="567"/>
        <w:jc w:val="both"/>
        <w:rPr>
          <w:iCs/>
        </w:rPr>
      </w:pPr>
      <w:r>
        <w:t xml:space="preserve">41. Otrkārt, kā izriet no paša Direktīvas 2015/1535 1. panta 1. punkta e) apakšpunkta formulējuma, lai pamatlietā aplūkoto aizliegumu varētu kvalificēt kā “noteikumu par pakalpojumiem”, tam “īpaši” ir jābūt vērstam uz informācijas sabiedrības pakalpojumiem (šajā nozīmē skat. spriedumu, 2019. gada 12. septembris, VG Media, C-299/17, EU:C:2019:716, 31. punkts).</w:t>
      </w:r>
    </w:p>
    <w:p w14:paraId="65AB6E33" w14:textId="77777777">
      <w:pPr>
        <w:pStyle w:val="P68B1DB1-Normal15"/>
        <w:widowControl w:val="0"/>
        <w:tabs>
          <w:tab w:val="left" w:pos="437"/>
        </w:tabs>
        <w:autoSpaceDE w:val="0"/>
        <w:autoSpaceDN w:val="0"/>
        <w:spacing w:after="0" w:line="240" w:lineRule="auto"/>
        <w:ind w:left="567"/>
        <w:jc w:val="both"/>
        <w:rPr>
          <w:iCs/>
        </w:rPr>
      </w:pPr>
    </w:p>
    <w:p w14:paraId="3176C455" w14:textId="3F47F94F">
      <w:pPr>
        <w:pStyle w:val="P68B1DB1-Normal15"/>
        <w:widowControl w:val="0"/>
        <w:tabs>
          <w:tab w:val="left" w:pos="437"/>
        </w:tabs>
        <w:autoSpaceDE w:val="0"/>
        <w:autoSpaceDN w:val="0"/>
        <w:spacing w:after="0" w:line="240" w:lineRule="auto"/>
        <w:ind w:left="567"/>
        <w:jc w:val="both"/>
        <w:rPr>
          <w:iCs/>
        </w:rPr>
      </w:pPr>
      <w:r>
        <w:t xml:space="preserve">42. Šajā ziņā no Direktīvas 2015/1535 1. panta 1. punkta e) apakšpunkta otrās daļas i) punkta izriet, ka pārbaude, vai noteikums ir īpaši paredzēts informācijas sabiedrības pakalpojumiem, ir jāveic, ņemot vērā gan šī noteikuma formulējumu, gan tā mērķi. Turklāt saskaņā ar šo tiesību normu netiek prasīts, lai visas attiecīgās tiesību normas “īpašais mērķis un priekšmets” būtu regulēt informācijas sabiedrības pakalpojumus, bet pietiek ar to, ka ar to tiek īstenots šis mērķis vai mērķis, izmantojot dažas tās normas (šajā nozīmē skat. spriedumu, 2019. gada 12. septembris, VG Media, C-299/17, EU:C:2019:716, 32. punkts un tajā minētā judikatūra). Visbeidzot, saskaņā ar minētās direktīvas 1. panta 1. punkta e) apakšpunkta otrās daļas ii) punktu noteikumu neuzskata par īpaši paredzētu informācijas sabiedrības pakalpojumiem, ja tas ietekmē šādus pakalpojumus tikai netiešā vai gadījuma rakstura veidā.”</w:t>
      </w:r>
    </w:p>
    <w:p w14:paraId="755B8A78" w14:textId="53DC1D1F">
      <w:pPr>
        <w:spacing w:after="0" w:line="278" w:lineRule="auto"/>
      </w:pPr>
      <w:r>
        <w:br w:type="page"/>
      </w:r>
    </w:p>
    <w:p w14:paraId="66BD9244" w14:textId="7BFF7921">
      <w:pPr>
        <w:pStyle w:val="P68B1DB1-Heading24"/>
        <w:numPr>
          <w:ilvl w:val="0"/>
          <w:numId w:val="35"/>
        </w:numPr>
        <w:spacing w:before="0" w:after="0"/>
        <w:jc w:val="center"/>
        <w:rPr>
          <w:bCs/>
          <w:color w:val="auto"/>
        </w:rPr>
      </w:pPr>
      <w:bookmarkStart w:id="98" w:name="_Ref194484584"/>
      <w:bookmarkStart w:id="99" w:name="_Toc203035670"/>
      <w:r>
        <w:t xml:space="preserve">Aizlieguma noteikumi</w:t>
      </w:r>
      <w:bookmarkEnd w:id="98"/>
      <w:bookmarkEnd w:id="99"/>
    </w:p>
    <w:p w14:paraId="11A12362" w14:textId="77777777">
      <w:pPr>
        <w:pStyle w:val="BodyText"/>
      </w:pPr>
    </w:p>
    <w:p w14:paraId="6DD7108F" w14:textId="22E84863">
      <w:pPr>
        <w:pStyle w:val="P68B1DB1-BodyText11"/>
        <w:ind w:left="567"/>
        <w:rPr>
          <w:iCs/>
        </w:rPr>
      </w:pPr>
      <w:r>
        <w:t xml:space="preserve">““tehniski noteikumi” ir [...] dalībvalstu normatīvie un administratīvie akti, izņemot 7. pantā paredzētos, kas aizliedz ražojuma ražošanu, importu, tirdzniecību vai izmantošanu vai aizliedz pakalpojuma sniegšanu vai izmantošanu, vai uzņēmumu kā pakalpojumu sniedzēju.”</w:t>
      </w:r>
    </w:p>
    <w:p w14:paraId="6EA3335C" w14:textId="77777777">
      <w:pPr>
        <w:pStyle w:val="BodyText"/>
        <w:ind w:left="567"/>
        <w:rPr>
          <w:i/>
          <w:iCs/>
        </w:rPr>
      </w:pPr>
    </w:p>
    <w:p w14:paraId="05F6428B" w14:textId="3C27EE7A">
      <w:pPr>
        <w:pStyle w:val="BodyText"/>
        <w:ind w:left="1440"/>
        <w:jc w:val="right"/>
      </w:pPr>
      <w:r>
        <w:t xml:space="preserve">(Direktīvas (ES) 2015/1535 1. panta 1. punkta f) apakšpunkta pirmais teikums)</w:t>
      </w:r>
    </w:p>
    <w:p w14:paraId="38D8F2AB" w14:textId="77777777">
      <w:pPr>
        <w:spacing w:after="0" w:line="240" w:lineRule="auto"/>
      </w:pPr>
    </w:p>
    <w:p w14:paraId="0D9AB62C" w14:textId="1C629A78">
      <w:pPr>
        <w:pStyle w:val="P68B1DB1-Normal13"/>
        <w:widowControl w:val="0"/>
        <w:autoSpaceDE w:val="0"/>
        <w:autoSpaceDN w:val="0"/>
        <w:spacing w:after="0" w:line="240" w:lineRule="auto"/>
        <w:jc w:val="both"/>
        <w:outlineLvl w:val="1"/>
      </w:pPr>
      <w:hyperlink r:id="rId59" w:history="1">
        <w:r>
          <w:rPr>
            <w:color w:val="0000FF"/>
            <w:u w:val="single"/>
          </w:rPr>
          <w:t xml:space="preserve">Spriedums, 1996. gada 16. septembris</w:t>
        </w:r>
      </w:hyperlink>
      <w:r>
        <w:t xml:space="preserve">, Komisija/Itālija, C-279/94, EU:C:1997:396, 30. punkts.</w:t>
      </w:r>
      <w:bookmarkEnd w:id="100"/>
    </w:p>
    <w:p w14:paraId="034B7933" w14:textId="77777777">
      <w:pPr>
        <w:widowControl w:val="0"/>
        <w:tabs>
          <w:tab w:val="left" w:pos="396"/>
          <w:tab w:val="left" w:pos="461"/>
        </w:tabs>
        <w:autoSpaceDE w:val="0"/>
        <w:autoSpaceDN w:val="0"/>
        <w:spacing w:after="0" w:line="240" w:lineRule="auto"/>
        <w:ind w:hanging="142"/>
        <w:jc w:val="both"/>
        <w:rPr>
          <w:rFonts w:ascii="Times New Roman" w:hAnsi="Times New Roman" w:cs="Times New Roman" w:eastAsia="Times New Roman"/>
          <w:szCs w:val="20"/>
        </w:rPr>
      </w:pPr>
    </w:p>
    <w:p w14:paraId="01754A62" w14:textId="3AFCB111">
      <w:pPr>
        <w:pStyle w:val="P68B1DB1-Normal14"/>
        <w:widowControl w:val="0"/>
        <w:tabs>
          <w:tab w:val="left" w:pos="396"/>
          <w:tab w:val="left" w:pos="461"/>
        </w:tabs>
        <w:autoSpaceDE w:val="0"/>
        <w:autoSpaceDN w:val="0"/>
        <w:spacing w:after="0" w:line="240" w:lineRule="auto"/>
        <w:jc w:val="both"/>
      </w:pPr>
      <w:r>
        <w:t xml:space="preserve">Aizliegums laist tirgū un lietot azbestu ir paziņojams “tehnisks noteikums”, kas jāpaziņo, jo tas aizliedz produkta tirdzniecību un izmantošanu.</w:t>
      </w:r>
    </w:p>
    <w:p w14:paraId="0BB35591" w14:textId="77777777">
      <w:pPr>
        <w:widowControl w:val="0"/>
        <w:tabs>
          <w:tab w:val="left" w:pos="396"/>
          <w:tab w:val="left" w:pos="461"/>
        </w:tabs>
        <w:autoSpaceDE w:val="0"/>
        <w:autoSpaceDN w:val="0"/>
        <w:spacing w:after="0" w:line="240" w:lineRule="auto"/>
        <w:jc w:val="both"/>
        <w:rPr>
          <w:rFonts w:ascii="Times New Roman" w:hAnsi="Times New Roman" w:cs="Times New Roman" w:eastAsia="Times New Roman"/>
          <w:szCs w:val="20"/>
        </w:rPr>
      </w:pPr>
    </w:p>
    <w:p w14:paraId="79E65C7B" w14:textId="4734296F">
      <w:pPr>
        <w:pStyle w:val="P68B1DB1-Normal15"/>
        <w:widowControl w:val="0"/>
        <w:tabs>
          <w:tab w:val="left" w:pos="396"/>
          <w:tab w:val="left" w:pos="461"/>
        </w:tabs>
        <w:autoSpaceDE w:val="0"/>
        <w:autoSpaceDN w:val="0"/>
        <w:spacing w:after="0" w:line="240" w:lineRule="auto"/>
        <w:ind w:left="567"/>
        <w:jc w:val="both"/>
        <w:rPr>
          <w:iCs/>
        </w:rPr>
      </w:pPr>
      <w:r>
        <w:t xml:space="preserve">“30. Attiecībā uz Likuma Nr. 257/92 1. panta 2. punktu šī tiesību norma aizliedz azbesta, azbesta izstrādājumu un azbestu saturošu izstrādājumu ieguvi, importu, eksportu, tirdzniecību un ražošanu vienu gadu pēc šā likuma stāšanās spēkā. Šāds noteikums, aizliedzot azbesta tirdzniecību un izmantošanu, ir tehnisks noteikums, par kuru Itālijas valdībai bija jāpaziņo saskaņā ar Direktīvas 8. panta 1. punkta pirmo daļu.”</w:t>
      </w:r>
    </w:p>
    <w:p w14:paraId="4C0F9A2E" w14:textId="77777777">
      <w:pPr>
        <w:spacing w:after="0" w:line="240" w:lineRule="auto"/>
      </w:pPr>
    </w:p>
    <w:p w14:paraId="6933A43F" w14:textId="3FDFB590">
      <w:pPr>
        <w:pStyle w:val="P68B1DB1-Normal13"/>
        <w:widowControl w:val="0"/>
        <w:autoSpaceDE w:val="0"/>
        <w:autoSpaceDN w:val="0"/>
        <w:spacing w:after="0" w:line="240" w:lineRule="auto"/>
        <w:jc w:val="both"/>
        <w:outlineLvl w:val="1"/>
      </w:pPr>
      <w:hyperlink r:id="rId60" w:history="1">
        <w:r>
          <w:rPr>
            <w:rStyle w:val="Hyperlink"/>
            <w:color w:val="0000FF"/>
          </w:rPr>
          <w:t xml:space="preserve">Spriedums, 2005. gada 21. aprīlis,</w:t>
        </w:r>
      </w:hyperlink>
      <w:r>
        <w:t xml:space="preserve"> Lindberg, C-267/03, EU:C:2005:246, 75.–77. punkts.</w:t>
      </w:r>
      <w:bookmarkEnd w:id="101"/>
    </w:p>
    <w:p w14:paraId="7D30FB0C"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B1BE65B" w14:textId="4B7342F7">
      <w:pPr>
        <w:pStyle w:val="P68B1DB1-Normal14"/>
        <w:widowControl w:val="0"/>
        <w:tabs>
          <w:tab w:val="left" w:pos="396"/>
          <w:tab w:val="left" w:pos="425"/>
        </w:tabs>
        <w:autoSpaceDE w:val="0"/>
        <w:autoSpaceDN w:val="0"/>
        <w:spacing w:after="0" w:line="240" w:lineRule="auto"/>
        <w:jc w:val="both"/>
      </w:pPr>
      <w:r>
        <w:t xml:space="preserve">Valsts aizliegums attiecībā uz noteiktām azartspēlēm var tikt kvalificēts kā aizlieguma noteikums, ja tas neļauj saprātīgi izmantot attiecīgo preci tikai tīri marginālā veidā. No otras puses, kvalificēšana par aizliegumu nav atkarīga no aizlieguma ietekmes uz attiecīgo produktu sastāvu, raksturu vai tirdzniecību.</w:t>
      </w:r>
    </w:p>
    <w:p w14:paraId="58611995"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3EBF5D94" w14:textId="0BC411D8">
      <w:pPr>
        <w:pStyle w:val="P68B1DB1-Normal15"/>
        <w:widowControl w:val="0"/>
        <w:tabs>
          <w:tab w:val="left" w:pos="396"/>
          <w:tab w:val="left" w:pos="425"/>
        </w:tabs>
        <w:autoSpaceDE w:val="0"/>
        <w:autoSpaceDN w:val="0"/>
        <w:spacing w:after="0" w:line="240" w:lineRule="auto"/>
        <w:ind w:left="567"/>
        <w:jc w:val="both"/>
      </w:pPr>
      <w:r>
        <w:t xml:space="preserve">“75. Šajā sakarā ir nozīmīgi, ka minētā, Direktīvas 83/189 1. panta 9. punktā definētā trešā tehnisko noteikumu kategorija atšķirībā no otrās kategorijas, ko regulē citas prasības šī paša panta 3. punkta nozīmē, neietver nosacījumu, saskaņā ar kuru attiecīgajam aizliegumam būtiski jāietekmē preces saturs, raksturs vai tirdzniecība.</w:t>
      </w:r>
    </w:p>
    <w:p w14:paraId="4E75D46D" w14:textId="77777777">
      <w:pPr>
        <w:pStyle w:val="P68B1DB1-Normal15"/>
        <w:widowControl w:val="0"/>
        <w:tabs>
          <w:tab w:val="left" w:pos="396"/>
          <w:tab w:val="left" w:pos="425"/>
        </w:tabs>
        <w:autoSpaceDE w:val="0"/>
        <w:autoSpaceDN w:val="0"/>
        <w:spacing w:after="0" w:line="240" w:lineRule="auto"/>
        <w:ind w:left="567"/>
        <w:jc w:val="both"/>
      </w:pPr>
    </w:p>
    <w:p w14:paraId="19633563" w14:textId="56C5A4E5">
      <w:pPr>
        <w:pStyle w:val="P68B1DB1-Normal15"/>
        <w:widowControl w:val="0"/>
        <w:tabs>
          <w:tab w:val="left" w:pos="396"/>
          <w:tab w:val="left" w:pos="425"/>
        </w:tabs>
        <w:autoSpaceDE w:val="0"/>
        <w:autoSpaceDN w:val="0"/>
        <w:spacing w:after="0" w:line="240" w:lineRule="auto"/>
        <w:ind w:left="567"/>
        <w:jc w:val="both"/>
      </w:pPr>
      <w:r>
        <w:t xml:space="preserve">76. Šai trešajai tehnisko noteikumu kategorijai, kas cita starpā attiecas uz izmantošanas aizliegumu, ir jāattiecas uz pasākumiem ar tādu piemērojamību, kas acīmredzami pārsniedz atsevišķus iespējamos attiecīgās preces izmantošanas ierobežojumus un kas tādējādi nav vienkāršs izmantošanas aizliegums.</w:t>
      </w:r>
    </w:p>
    <w:p w14:paraId="0E03DE00" w14:textId="77777777">
      <w:pPr>
        <w:pStyle w:val="P68B1DB1-Normal15"/>
        <w:widowControl w:val="0"/>
        <w:tabs>
          <w:tab w:val="left" w:pos="396"/>
          <w:tab w:val="left" w:pos="425"/>
        </w:tabs>
        <w:autoSpaceDE w:val="0"/>
        <w:autoSpaceDN w:val="0"/>
        <w:spacing w:after="0" w:line="240" w:lineRule="auto"/>
        <w:ind w:left="567"/>
        <w:jc w:val="both"/>
      </w:pPr>
    </w:p>
    <w:p w14:paraId="2FD32D99" w14:textId="6701B778">
      <w:pPr>
        <w:pStyle w:val="P68B1DB1-Normal15"/>
        <w:widowControl w:val="0"/>
        <w:tabs>
          <w:tab w:val="left" w:pos="396"/>
          <w:tab w:val="left" w:pos="425"/>
        </w:tabs>
        <w:autoSpaceDE w:val="0"/>
        <w:autoSpaceDN w:val="0"/>
        <w:spacing w:after="0" w:line="240" w:lineRule="auto"/>
        <w:ind w:left="567"/>
        <w:jc w:val="both"/>
        <w:rPr>
          <w:iCs/>
        </w:rPr>
      </w:pPr>
      <w:r>
        <w:t xml:space="preserve">77. Kā norādījis arī ģenerāladvokāts savu secinājumu 70. punktā, šī tehnisko noteikumu kategorija it īpaši attiecas uz valsts pasākumiem, kas pieļauj tikai ļoti ierobežotu izmantošanu, ko var saprātīgi sagaidīt no attiecīgās preces. Valsts tiesai ir jāpārbauda, vai aizliegums, kas izriet no valsts tiesību normas, par kuru ir runa pamata prāvā, ir šāds pasākums.”</w:t>
      </w:r>
    </w:p>
    <w:p w14:paraId="67FF74EE"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68FE6490" w14:textId="328430DD">
      <w:pPr>
        <w:pStyle w:val="P68B1DB1-Normal13"/>
        <w:widowControl w:val="0"/>
        <w:autoSpaceDE w:val="0"/>
        <w:autoSpaceDN w:val="0"/>
        <w:spacing w:after="0" w:line="240" w:lineRule="auto"/>
        <w:jc w:val="both"/>
        <w:outlineLvl w:val="1"/>
      </w:pPr>
      <w:hyperlink r:id="rId61" w:history="1">
        <w:r>
          <w:rPr>
            <w:color w:val="0000FF"/>
            <w:u w:val="single"/>
          </w:rPr>
          <w:t xml:space="preserve">Spriedums, 2005. gada 8. septembris</w:t>
        </w:r>
      </w:hyperlink>
      <w:r>
        <w:t xml:space="preserve">, Lidl Italia, C-303/04, EU:C:2005:528, 12. un 13. punkts.</w:t>
      </w:r>
      <w:bookmarkEnd w:id="102"/>
    </w:p>
    <w:p w14:paraId="0264E5E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3D45D27" w14:textId="04452AA9">
      <w:pPr>
        <w:pStyle w:val="P68B1DB1-Normal14"/>
        <w:widowControl w:val="0"/>
        <w:tabs>
          <w:tab w:val="left" w:pos="393"/>
        </w:tabs>
        <w:autoSpaceDE w:val="0"/>
        <w:autoSpaceDN w:val="0"/>
        <w:spacing w:after="0" w:line="240" w:lineRule="auto"/>
        <w:jc w:val="both"/>
      </w:pPr>
      <w:r>
        <w:t xml:space="preserve">Valsts aizliegums tirgot produktus, kas nav ražoti no konkrētiem materiāliem, ir noteikums, kas aizliedz produktu ražošanu un tirdzniecību.</w:t>
      </w:r>
    </w:p>
    <w:p w14:paraId="35068EA4" w14:textId="77777777">
      <w:pPr>
        <w:widowControl w:val="0"/>
        <w:tabs>
          <w:tab w:val="left" w:pos="393"/>
        </w:tabs>
        <w:autoSpaceDE w:val="0"/>
        <w:autoSpaceDN w:val="0"/>
        <w:spacing w:after="0" w:line="240" w:lineRule="auto"/>
        <w:jc w:val="both"/>
        <w:rPr>
          <w:rFonts w:ascii="Times New Roman" w:hAnsi="Times New Roman" w:cs="Times New Roman" w:eastAsia="Times New Roman"/>
          <w:szCs w:val="20"/>
        </w:rPr>
      </w:pPr>
    </w:p>
    <w:p w14:paraId="4997783D" w14:textId="60D54546">
      <w:pPr>
        <w:pStyle w:val="P68B1DB1-Normal15"/>
        <w:widowControl w:val="0"/>
        <w:tabs>
          <w:tab w:val="left" w:pos="393"/>
        </w:tabs>
        <w:autoSpaceDE w:val="0"/>
        <w:autoSpaceDN w:val="0"/>
        <w:spacing w:after="0" w:line="240" w:lineRule="auto"/>
        <w:ind w:left="567"/>
        <w:jc w:val="both"/>
      </w:pPr>
      <w:r>
        <w:t xml:space="preserve">“12. [..] saskaņā ar Direktīvas 98/34 1. panta 11. punktu dalībvalsts tiesību norma, ar kuru ir aizliegta preces ražošana, imports, tirdzniecība vai izmantošana, ir jāuzskata par tehnisku noteikumu kategoriju (skat. 2005. gada 12. decembra spriedumu lietā C-267/03 Lindberg, Krājumā vēl nav publicēts, 54. punkts).</w:t>
      </w:r>
    </w:p>
    <w:p w14:paraId="52ECA4AF" w14:textId="77777777">
      <w:pPr>
        <w:pStyle w:val="P68B1DB1-Normal15"/>
        <w:widowControl w:val="0"/>
        <w:tabs>
          <w:tab w:val="left" w:pos="393"/>
        </w:tabs>
        <w:autoSpaceDE w:val="0"/>
        <w:autoSpaceDN w:val="0"/>
        <w:spacing w:after="0" w:line="240" w:lineRule="auto"/>
        <w:ind w:left="567"/>
        <w:jc w:val="both"/>
      </w:pPr>
    </w:p>
    <w:p w14:paraId="08984434" w14:textId="6B561E58">
      <w:pPr>
        <w:pStyle w:val="P68B1DB1-Normal15"/>
        <w:widowControl w:val="0"/>
        <w:tabs>
          <w:tab w:val="left" w:pos="393"/>
        </w:tabs>
        <w:autoSpaceDE w:val="0"/>
        <w:autoSpaceDN w:val="0"/>
        <w:spacing w:after="0" w:line="240" w:lineRule="auto"/>
        <w:ind w:left="567"/>
        <w:jc w:val="both"/>
        <w:rPr>
          <w:iCs/>
        </w:rPr>
      </w:pPr>
      <w:r>
        <w:t xml:space="preserve">13. Šajā lietā pietiek konstatēt, ka Likuma 93/2001 19. panta 2. punkts ir šāda rakstura tiesību norma. Saskaņā ar šo noteikumu tādu kokvilnas pumpuru ražošana un tirdzniecība, kuriem nav iepriekš minēto īpašību, proti, tādu pumpuru, kas nav ražoti tikai no bioloģiski noārdāmiem materiāliem saskaņā ar UNI 10785 standartiem, ir pārkāpumi, par kuriem piemēro administratīvus sodus.”</w:t>
      </w:r>
    </w:p>
    <w:p w14:paraId="7E80215F"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6717B4ED" w14:textId="65166FE4">
      <w:pPr>
        <w:pStyle w:val="P68B1DB1-Normal13"/>
        <w:widowControl w:val="0"/>
        <w:autoSpaceDE w:val="0"/>
        <w:autoSpaceDN w:val="0"/>
        <w:spacing w:after="0" w:line="240" w:lineRule="auto"/>
        <w:jc w:val="both"/>
        <w:outlineLvl w:val="1"/>
      </w:pPr>
      <w:hyperlink r:id="rId62" w:history="1">
        <w:r>
          <w:rPr>
            <w:color w:val="0000FF"/>
            <w:u w:val="single"/>
          </w:rPr>
          <w:t xml:space="preserve">Spriedums, 2006. gada 26. oktobris</w:t>
        </w:r>
      </w:hyperlink>
      <w:r>
        <w:t xml:space="preserve">, Komisija/Grieķija, C-65/05, EU:C:2006:673, 61. punkts.</w:t>
      </w:r>
      <w:bookmarkEnd w:id="103"/>
    </w:p>
    <w:p w14:paraId="1384E76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CAE2532" w14:textId="2EC175AF">
      <w:pPr>
        <w:pStyle w:val="P68B1DB1-Normal14"/>
        <w:widowControl w:val="0"/>
        <w:tabs>
          <w:tab w:val="left" w:pos="415"/>
        </w:tabs>
        <w:autoSpaceDE w:val="0"/>
        <w:autoSpaceDN w:val="0"/>
        <w:spacing w:after="0" w:line="240" w:lineRule="auto"/>
        <w:jc w:val="both"/>
      </w:pPr>
      <w:r>
        <w:t xml:space="preserve">Par tehniskiem noteikumiem ir jāuzskata pasākumi, ar kuriem ārpus kazino ir aizliegts uzstādīt visas elektriskās vai elektroniskās spēļu ierīces un izmantot datorspēles uzņēmumos, kas sniedz interneta pakalpojumus, kā arī noteikt, ka šādu uzņēmumu darbībai ir jāsaņem īpaša licence.</w:t>
      </w:r>
    </w:p>
    <w:p w14:paraId="6FD5D3A4" w14:textId="77777777">
      <w:pPr>
        <w:widowControl w:val="0"/>
        <w:tabs>
          <w:tab w:val="left" w:pos="415"/>
        </w:tabs>
        <w:autoSpaceDE w:val="0"/>
        <w:autoSpaceDN w:val="0"/>
        <w:spacing w:after="0" w:line="240" w:lineRule="auto"/>
        <w:jc w:val="both"/>
        <w:rPr>
          <w:rFonts w:ascii="Times New Roman" w:hAnsi="Times New Roman" w:cs="Times New Roman" w:eastAsia="Times New Roman"/>
          <w:szCs w:val="20"/>
        </w:rPr>
      </w:pPr>
    </w:p>
    <w:p w14:paraId="79252ABE" w14:textId="0E924053">
      <w:pPr>
        <w:pStyle w:val="P68B1DB1-Normal15"/>
        <w:widowControl w:val="0"/>
        <w:tabs>
          <w:tab w:val="left" w:pos="415"/>
        </w:tabs>
        <w:autoSpaceDE w:val="0"/>
        <w:autoSpaceDN w:val="0"/>
        <w:spacing w:after="0" w:line="240" w:lineRule="auto"/>
        <w:ind w:left="567"/>
        <w:jc w:val="both"/>
        <w:rPr>
          <w:iCs/>
        </w:rPr>
      </w:pPr>
      <w:r>
        <w:t>“</w:t>
      </w:r>
      <w:bookmarkStart w:id="104" w:name="point61"/>
      <w:r>
        <w:t>61</w:t>
      </w:r>
      <w:bookmarkEnd w:id="104"/>
      <w:r>
        <w:t xml:space="preserve">. [...] tādi pasākumi kā tie, kas paredzēti Likuma Nr. 3037/2002 2. panta 1. punktā un 3. pantā, ciktāl ar tiem ir aizliegts Grieķijā uzstādīt visas elektriskās, elektromehāniskās un elektroniskās spēles, tostarp visas datorspēles, visās sabiedriskās un privātās telpās, izņemot kazino, un izmantot spēles uz datoriem uzņēmumos, kas sniedz interneta pakalpojumus, un nosaka, ka šādu uzņēmumu darbībai ir jāsaņem īpaša atļauja, ir jāuzskata par tehniskiem noteikumiem Direktīvas 98/34 1. panta 11. punkta izpratnē (šajā sakarā skat. 2005. gada 15. marta spriedumu lietā C 267/03</w:t>
        <w:noBreakHyphen/>
        <w:t xml:space="preserve">Lindberg, Krājums, I 3247. lpp.</w:t>
        <w:noBreakHyphen/>
        <w:t>).”</w:t>
      </w:r>
    </w:p>
    <w:p w14:paraId="0089E684"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i/>
          <w:iCs/>
          <w:sz w:val="20"/>
          <w:szCs w:val="16"/>
        </w:rPr>
      </w:pPr>
    </w:p>
    <w:p w14:paraId="03A587DA" w14:textId="394DDB7B">
      <w:pPr>
        <w:pStyle w:val="P68B1DB1-Normal13"/>
        <w:widowControl w:val="0"/>
        <w:autoSpaceDE w:val="0"/>
        <w:autoSpaceDN w:val="0"/>
        <w:spacing w:after="0" w:line="240" w:lineRule="auto"/>
        <w:jc w:val="both"/>
        <w:outlineLvl w:val="1"/>
      </w:pPr>
      <w:hyperlink r:id="rId63" w:history="1">
        <w:r>
          <w:rPr>
            <w:color w:val="0000FF"/>
            <w:u w:val="single"/>
          </w:rPr>
          <w:t xml:space="preserve">Spriedums, 2012. gada 19. jūlijs</w:t>
        </w:r>
      </w:hyperlink>
      <w:r>
        <w:t xml:space="preserve">, Fortuna u. c., C-213/11, C-214/11 un C-217/11, EU:C:2012:495, 24. un 25. punkts.</w:t>
      </w:r>
      <w:bookmarkEnd w:id="105"/>
    </w:p>
    <w:p w14:paraId="005978D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37C6309" w14:textId="4A0E435F">
      <w:pPr>
        <w:pStyle w:val="P68B1DB1-Normal14"/>
        <w:widowControl w:val="0"/>
        <w:tabs>
          <w:tab w:val="left" w:pos="451"/>
        </w:tabs>
        <w:autoSpaceDE w:val="0"/>
        <w:autoSpaceDN w:val="0"/>
        <w:spacing w:after="0" w:line="240" w:lineRule="auto"/>
        <w:jc w:val="both"/>
      </w:pPr>
      <w:r>
        <w:t xml:space="preserve">Pasākums, ar kuru ir aizliegts izmantot spēļu automātus ārpus kazino, ir jākvalificē kā “tehnisks noteikums”.</w:t>
      </w:r>
    </w:p>
    <w:p w14:paraId="55F00ED6" w14:textId="77777777">
      <w:pPr>
        <w:widowControl w:val="0"/>
        <w:tabs>
          <w:tab w:val="left" w:pos="451"/>
        </w:tabs>
        <w:autoSpaceDE w:val="0"/>
        <w:autoSpaceDN w:val="0"/>
        <w:spacing w:after="0" w:line="240" w:lineRule="auto"/>
        <w:jc w:val="both"/>
        <w:rPr>
          <w:rFonts w:ascii="Times New Roman" w:hAnsi="Times New Roman" w:cs="Times New Roman" w:eastAsia="Times New Roman"/>
          <w:szCs w:val="20"/>
        </w:rPr>
      </w:pPr>
    </w:p>
    <w:p w14:paraId="4C7F2437" w14:textId="071474DD">
      <w:pPr>
        <w:pStyle w:val="P68B1DB1-Normal15"/>
        <w:widowControl w:val="0"/>
        <w:tabs>
          <w:tab w:val="left" w:pos="451"/>
        </w:tabs>
        <w:autoSpaceDE w:val="0"/>
        <w:autoSpaceDN w:val="0"/>
        <w:spacing w:after="0" w:line="240" w:lineRule="auto"/>
        <w:ind w:left="567"/>
        <w:jc w:val="both"/>
      </w:pPr>
      <w:r>
        <w:t xml:space="preserve">“24. [..] Tiesa jau ir nospriedusi, ka pasākumi, kas aizliedz izmantot visas elektriskās, elektromehāniskās un elektroniskās spēles visās sabiedriskās un privātās telpās, izņemot kazino, ir jāuzskata par tehniskiem noteikumiem Direktīvas 98/34 1. panta 11. punkta izpratnē (2006. gada 12. decembra spriedums lietā C-65/05 Komisija/Grieķija, Krājums, I-10341. lpp., 61. punkts).</w:t>
      </w:r>
    </w:p>
    <w:p w14:paraId="449D41B3" w14:textId="77777777">
      <w:pPr>
        <w:pStyle w:val="P68B1DB1-Normal15"/>
        <w:widowControl w:val="0"/>
        <w:tabs>
          <w:tab w:val="left" w:pos="451"/>
        </w:tabs>
        <w:autoSpaceDE w:val="0"/>
        <w:autoSpaceDN w:val="0"/>
        <w:spacing w:after="0" w:line="240" w:lineRule="auto"/>
        <w:ind w:left="567"/>
        <w:jc w:val="both"/>
      </w:pPr>
    </w:p>
    <w:p w14:paraId="19795D70" w14:textId="79DBEA4A">
      <w:pPr>
        <w:pStyle w:val="P68B1DB1-Normal15"/>
        <w:widowControl w:val="0"/>
        <w:tabs>
          <w:tab w:val="left" w:pos="451"/>
        </w:tabs>
        <w:autoSpaceDE w:val="0"/>
        <w:autoSpaceDN w:val="0"/>
        <w:spacing w:after="0" w:line="240" w:lineRule="auto"/>
        <w:ind w:left="567"/>
        <w:jc w:val="both"/>
        <w:rPr>
          <w:iCs/>
        </w:rPr>
      </w:pPr>
      <w:r>
        <w:t xml:space="preserve">25. Tādējādi tāds pasākums kā Azartspēļu likuma 14. panta 1. punkts, saskaņā ar kuru spēļu automātos spēļu automātos ir atļauts organizēt tikai spēļu kazino, ir jākvalificē kā “tehnisks noteikums” Direktīvas 98/34 1. panta 11. punkta izpratnē.”</w:t>
      </w:r>
    </w:p>
    <w:p w14:paraId="4A0CD426" w14:textId="77777777">
      <w:pPr>
        <w:spacing w:after="0" w:line="240" w:lineRule="auto"/>
      </w:pPr>
    </w:p>
    <w:p w14:paraId="1675A539" w14:textId="6C824499">
      <w:pPr>
        <w:pStyle w:val="P68B1DB1-Normal13"/>
        <w:widowControl w:val="0"/>
        <w:autoSpaceDE w:val="0"/>
        <w:autoSpaceDN w:val="0"/>
        <w:spacing w:after="0" w:line="240" w:lineRule="auto"/>
        <w:jc w:val="both"/>
        <w:outlineLvl w:val="1"/>
      </w:pPr>
      <w:hyperlink r:id="rId64" w:history="1">
        <w:r>
          <w:rPr>
            <w:color w:val="0000FF"/>
            <w:u w:val="single"/>
          </w:rPr>
          <w:t xml:space="preserve">Spriedums, 2016. gada 27. oktobris</w:t>
        </w:r>
      </w:hyperlink>
      <w:r>
        <w:t xml:space="preserve">, James Elliott Construction, C-613/14, EU:C:2016:821, 70. punkts.</w:t>
      </w:r>
      <w:bookmarkEnd w:id="106"/>
    </w:p>
    <w:p w14:paraId="3A50454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3D45187" w14:textId="07CFD998">
      <w:pPr>
        <w:widowControl w:val="0"/>
        <w:tabs>
          <w:tab w:val="left" w:pos="430"/>
        </w:tabs>
        <w:autoSpaceDE w:val="0"/>
        <w:autoSpaceDN w:val="0"/>
        <w:spacing w:after="0" w:line="240" w:lineRule="auto"/>
        <w:jc w:val="both"/>
        <w:rPr>
          <w:rFonts w:ascii="Times New Roman" w:hAnsi="Times New Roman" w:cs="Times New Roman" w:eastAsia="Times New Roman"/>
          <w:szCs w:val="20"/>
        </w:rPr>
        <w:pStyle w:val="P68B1DB1-Normal14"/>
      </w:pPr>
      <w:r>
        <w:t xml:space="preserve">Valsts tiesību normas, kurās ir paredzēti netieši līguma nosacījumi attiecībā uz pārdoto produktu tirdzniecības nosacījumiem, piemērotību lietošanai vai vispārējo kvalitāti, nav aizlieguma noteikumi.</w:t>
      </w:r>
    </w:p>
    <w:p w14:paraId="399B39AC" w14:textId="77777777">
      <w:pPr>
        <w:widowControl w:val="0"/>
        <w:tabs>
          <w:tab w:val="left" w:pos="430"/>
        </w:tabs>
        <w:autoSpaceDE w:val="0"/>
        <w:autoSpaceDN w:val="0"/>
        <w:spacing w:after="0" w:line="240" w:lineRule="auto"/>
        <w:jc w:val="both"/>
        <w:rPr>
          <w:rFonts w:ascii="Times New Roman" w:hAnsi="Times New Roman" w:cs="Times New Roman" w:eastAsia="Times New Roman"/>
          <w:i/>
          <w:iCs/>
          <w:sz w:val="20"/>
          <w:szCs w:val="16"/>
        </w:rPr>
      </w:pPr>
    </w:p>
    <w:p w14:paraId="03484B57" w14:textId="639C0DF2">
      <w:pPr>
        <w:pStyle w:val="P68B1DB1-Normal15"/>
        <w:widowControl w:val="0"/>
        <w:tabs>
          <w:tab w:val="left" w:pos="430"/>
        </w:tabs>
        <w:autoSpaceDE w:val="0"/>
        <w:autoSpaceDN w:val="0"/>
        <w:spacing w:after="0" w:line="240" w:lineRule="auto"/>
        <w:ind w:left="567"/>
        <w:jc w:val="both"/>
        <w:rPr>
          <w:iCs/>
        </w:rPr>
      </w:pPr>
      <w:r>
        <w:t>“</w:t>
      </w:r>
      <w:bookmarkStart w:id="107" w:name="point70"/>
      <w:r>
        <w:t>70</w:t>
      </w:r>
      <w:bookmarkEnd w:id="107"/>
      <w:r>
        <w:t xml:space="preserve">. [..] tiesiskais regulējums, par kuru ir runa pamata lietā, neietilpst Direktīvas 98/34 1. panta 11. punktā minēto tehnisko noteikumu piemērošanas jomā, jo tajos, vienkārši norādot netiešas līgumiskas prasības, nav ietverts nekāds aizliegums šīs direktīvas izpratnē ražot, importēt, tirgot vai izmantot preci, sniegt vai izmantot pakalpojumu vai veikt uzņēmējdarbību kā pakalpojumu sniedzējam.”</w:t>
      </w:r>
    </w:p>
    <w:p w14:paraId="444E99F8" w14:textId="77777777">
      <w:pPr>
        <w:spacing w:after="0" w:line="240" w:lineRule="auto"/>
      </w:pPr>
    </w:p>
    <w:p w14:paraId="178807FF" w14:textId="18545DE8">
      <w:pPr>
        <w:pStyle w:val="P68B1DB1-Normal13"/>
        <w:widowControl w:val="0"/>
        <w:autoSpaceDE w:val="0"/>
        <w:autoSpaceDN w:val="0"/>
        <w:spacing w:after="0" w:line="240" w:lineRule="auto"/>
        <w:jc w:val="both"/>
        <w:outlineLvl w:val="1"/>
      </w:pPr>
      <w:hyperlink r:id="rId65" w:anchor="ctx1" w:history="1">
        <w:r>
          <w:rPr>
            <w:color w:val="0000FF"/>
            <w:u w:val="single"/>
          </w:rPr>
          <w:t xml:space="preserve">Spriedums, 2020. gada 28. maijs,</w:t>
        </w:r>
      </w:hyperlink>
      <w:r>
        <w:t xml:space="preserve"> ECO-WIND Construction, C-727/17, EU:C:2020:393, 45.–47. punkts.</w:t>
      </w:r>
      <w:bookmarkEnd w:id="108"/>
    </w:p>
    <w:p w14:paraId="58A77184" w14:textId="77777777">
      <w:pPr>
        <w:widowControl w:val="0"/>
        <w:autoSpaceDE w:val="0"/>
        <w:autoSpaceDN w:val="0"/>
        <w:spacing w:after="0" w:line="240" w:lineRule="auto"/>
        <w:jc w:val="both"/>
        <w:rPr>
          <w:rFonts w:ascii="Times New Roman" w:hAnsi="Times New Roman" w:cs="Times New Roman" w:eastAsia="Times New Roman"/>
          <w:szCs w:val="20"/>
        </w:rPr>
      </w:pPr>
    </w:p>
    <w:p w14:paraId="2ABAB16B" w14:textId="5B45D2BF">
      <w:pPr>
        <w:pStyle w:val="P68B1DB1-Normal14"/>
        <w:widowControl w:val="0"/>
        <w:autoSpaceDE w:val="0"/>
        <w:autoSpaceDN w:val="0"/>
        <w:spacing w:after="0" w:line="240" w:lineRule="auto"/>
        <w:jc w:val="both"/>
      </w:pPr>
      <w:r>
        <w:t xml:space="preserve">Tiesiskais regulējums, kurā ir noteikts minimālais attālums vējturbīnu uzstādīšanai, nav uzskatāms par produkta ražošanas, importa, tirdzniecības vai izmantošanas aizliegumu, ja vien tas neparedz faktisku vējturbīnu tirdzniecības aizliegumu, neatstājot nekādu iespēju izmantot vēja turbīnas, izņemot pilnīgi marginālu vējturbīnu izmantošanu.</w:t>
      </w:r>
    </w:p>
    <w:p w14:paraId="57350EE4" w14:textId="77777777">
      <w:pPr>
        <w:pStyle w:val="BodyText"/>
        <w:jc w:val="left"/>
      </w:pPr>
    </w:p>
    <w:p w14:paraId="671DACC6" w14:textId="1CB89713">
      <w:pPr>
        <w:pStyle w:val="P68B1DB1-BodyText19"/>
        <w:ind w:left="567"/>
        <w:rPr>
          <w:iCs/>
        </w:rPr>
      </w:pPr>
      <w:r>
        <w:t xml:space="preserve">“45. Šī kategorija paredz, ka attiecīgā pasākuma tvērums acīmredzami pārsniedz noteiktu attiecīgās preces izmantošanas ierobežojumu un ka tas neaprobežojas ar vienkāršu tās izmantošanas ierobežojumu (spriedumi, 2005. gada 21. aprīlis, Lindberg, C-267/03, EU:C:2005:246, 76. punkts, kā arī 2012. gada 19. jūlijs, Fortuna u. c., C-213/11, C-214/11 un C-217/11, EU:C:2012:495, 31. punkts).</w:t>
      </w:r>
    </w:p>
    <w:p w14:paraId="787A0A4F" w14:textId="77777777">
      <w:pPr>
        <w:pStyle w:val="P68B1DB1-BodyText19"/>
        <w:ind w:left="567"/>
        <w:rPr>
          <w:iCs/>
        </w:rPr>
      </w:pPr>
    </w:p>
    <w:p w14:paraId="7CEA657E" w14:textId="35F61E5B">
      <w:pPr>
        <w:pStyle w:val="P68B1DB1-BodyText19"/>
        <w:ind w:left="567"/>
        <w:rPr>
          <w:iCs/>
        </w:rPr>
      </w:pPr>
      <w:r>
        <w:t xml:space="preserve">46. Minētā kategorija it īpaši attiecas uz valsts pasākumiem, kas pieļauj tikai tīri ierobežotu izmantošanu, kādu var saprātīgi sagaidīt no attiecīgās preces (spriedumi, 2005. gada 21. aprīlis, Lindberg, C-267/03, EU:C:2005:246, 77. punkts, kā arī 2012. gada 19. jūlijs, Fortuna u. c., C-213/11, C-214/11 un C-217/11, EU:C:2012:495, 32. punkts).</w:t>
      </w:r>
    </w:p>
    <w:p w14:paraId="47448916" w14:textId="77777777">
      <w:pPr>
        <w:pStyle w:val="P68B1DB1-BodyText19"/>
        <w:ind w:left="567"/>
        <w:rPr>
          <w:iCs/>
        </w:rPr>
      </w:pPr>
    </w:p>
    <w:p w14:paraId="6508CA59" w14:textId="00D7F268">
      <w:pPr>
        <w:pStyle w:val="P68B1DB1-BodyText19"/>
        <w:ind w:left="567"/>
        <w:rPr>
          <w:iCs/>
        </w:rPr>
      </w:pPr>
      <w:r>
        <w:t xml:space="preserve">47. Šajā gadījumā, lai gan prasība, saskaņā ar kuru vēja ģeneratora uzstādīšanai ir jāatbilst nosacījumam par minimālo attālumu starp šo vējturbīnu un ēkām ar dzīvojamo funkciju, kas paredzēta pamatlietā aplūkotajā valsts tiesiskajā regulējumā, protams, ietver aizliegumu uzstādīt vējturbīnu minimālajā attālumā, kas mazāk nekā desmit reizes pārsniedz plānotās iekārtas kopējo augstumu no jebkuras ēkas ar dzīvojamo funkciju, ir jānorāda, ka ar šo tiesisko regulējumu saimnieciskās darbības subjektiem tomēr nav aizliegts turpināt uzstādīt vējturbīnas un līdz ar to izmantot un tirgot vēja ģeneratorus.”</w:t>
      </w:r>
    </w:p>
    <w:p w14:paraId="17B77596" w14:textId="77777777">
      <w:pPr>
        <w:pStyle w:val="P68B1DB1-Normal4"/>
        <w:spacing w:after="0" w:line="240" w:lineRule="auto"/>
        <w:rPr>
          <w:rFonts w:ascii="Times New Roman" w:hAnsi="Times New Roman" w:cs="Times New Roman" w:eastAsia="Times New Roman"/>
          <w:i/>
          <w:iCs/>
          <w:szCs w:val="20"/>
        </w:rPr>
      </w:pPr>
      <w:r>
        <w:br w:type="page"/>
      </w:r>
    </w:p>
    <w:p w14:paraId="235FB3C0" w14:textId="44F6C5C7">
      <w:pPr>
        <w:pStyle w:val="P68B1DB1-Heading24"/>
        <w:numPr>
          <w:ilvl w:val="0"/>
          <w:numId w:val="35"/>
        </w:numPr>
        <w:spacing w:before="0" w:after="0"/>
        <w:jc w:val="center"/>
        <w:rPr>
          <w:bCs/>
          <w:color w:val="auto"/>
        </w:rPr>
      </w:pPr>
      <w:bookmarkStart w:id="109" w:name="_Ref194484603"/>
      <w:bookmarkStart w:id="110" w:name="_Toc203035671"/>
      <w:r>
        <w:t xml:space="preserve">De Facto tehniskie noteikumi</w:t>
      </w:r>
      <w:bookmarkEnd w:id="109"/>
      <w:bookmarkEnd w:id="110"/>
    </w:p>
    <w:p w14:paraId="297F85EC" w14:textId="77777777">
      <w:pPr>
        <w:pStyle w:val="BodyText"/>
      </w:pPr>
    </w:p>
    <w:p w14:paraId="6C908457" w14:textId="3B825828">
      <w:pPr>
        <w:pStyle w:val="P68B1DB1-BodyText11"/>
        <w:ind w:left="567"/>
        <w:rPr>
          <w:i/>
        </w:rPr>
      </w:pPr>
      <w:r>
        <w:t xml:space="preserve">“De facto tehniskie noteikumi ietver: </w:t>
      </w:r>
    </w:p>
    <w:p w14:paraId="277715A6" w14:textId="77777777">
      <w:pPr>
        <w:pStyle w:val="BodyText"/>
        <w:ind w:left="567"/>
        <w:rPr>
          <w:i/>
        </w:rPr>
      </w:pPr>
    </w:p>
    <w:p w14:paraId="28BCD2BD" w14:textId="757EEC79">
      <w:pPr>
        <w:pStyle w:val="P68B1DB1-BodyText11"/>
        <w:numPr>
          <w:ilvl w:val="0"/>
          <w:numId w:val="31"/>
        </w:numPr>
        <w:rPr>
          <w:i/>
        </w:rPr>
      </w:pPr>
      <w:r>
        <w:t xml:space="preserve">dalībvalsts normatīvos un administratīvos aktus, kas attiecas vai nu uz tehniskām specifikācijām, vai citām prasībām, vai uz noteikumiem par pakalpojumiem, vai uz profesionāliem kodeksiem vai praksi, kas savukārt attiecas uz tehniskām specifikācijām vai citām prasībām, vai uz noteikumiem par pakalpojumiem, atbilstība kuriem tiek pielīdzināta atbilstības prezumpcijai iepriekšminēto normatīvo un administratīvo aktu noteikumiem; </w:t>
      </w:r>
    </w:p>
    <w:p w14:paraId="32E4257D" w14:textId="77777777">
      <w:pPr>
        <w:pStyle w:val="BodyText"/>
        <w:ind w:left="1287"/>
        <w:rPr>
          <w:i/>
        </w:rPr>
      </w:pPr>
    </w:p>
    <w:p w14:paraId="5E0B6B62" w14:textId="2D5EF06C">
      <w:pPr>
        <w:pStyle w:val="P68B1DB1-BodyText11"/>
        <w:numPr>
          <w:ilvl w:val="0"/>
          <w:numId w:val="31"/>
        </w:numPr>
        <w:rPr>
          <w:i/>
        </w:rPr>
      </w:pPr>
      <w:r>
        <w:t xml:space="preserve">brīvprātīgus nolīgumus, kuros valsts iestāde ir līgumslēdzēja puse un kas vispārīgās interesēs paredz atbilstību tehniskām specifikācijām vai citām prasībām, vai noteikumiem par pakalpojumiem, izņemot publisko iepirkumu konkursu noteikumus; </w:t>
      </w:r>
    </w:p>
    <w:p w14:paraId="4BEF10A9" w14:textId="77777777">
      <w:pPr>
        <w:pStyle w:val="BodyText"/>
        <w:rPr>
          <w:i/>
        </w:rPr>
      </w:pPr>
    </w:p>
    <w:p w14:paraId="5C79F6B1" w14:textId="7967F579">
      <w:pPr>
        <w:pStyle w:val="P68B1DB1-BodyText11"/>
        <w:numPr>
          <w:ilvl w:val="0"/>
          <w:numId w:val="31"/>
        </w:numPr>
        <w:rPr>
          <w:i/>
        </w:rPr>
      </w:pPr>
      <w:r>
        <w:t xml:space="preserve">tehniskas specifikācijas vai citas prasības, vai pakalpojumu noteikumus, kas saistīti ar fiskāliem vai finansiāliem pasākumiem, kas ietekmē produktu vai pakalpojumu patēriņu, veicinot atbilstību šīm tehniskām specifikācijām vai citām prasībām, vai pakalpojumu noteikumiem; tehniskas specifikācijas vai citas prasības, vai noteikumi par pakalpojumiem, kas saistīti ar valstu sociālā nodrošinājuma sistēmām, nav ietverti. </w:t>
      </w:r>
    </w:p>
    <w:p w14:paraId="712A28B1" w14:textId="77777777">
      <w:pPr>
        <w:pStyle w:val="BodyText"/>
        <w:rPr>
          <w:i/>
        </w:rPr>
      </w:pPr>
    </w:p>
    <w:p w14:paraId="24545D3F" w14:textId="615DFC82">
      <w:pPr>
        <w:pStyle w:val="P68B1DB1-BodyText11"/>
        <w:ind w:left="567"/>
        <w:rPr>
          <w:i/>
        </w:rPr>
      </w:pPr>
      <w:r>
        <w:t xml:space="preserve">Tas ietver tehniskos noteikumus, ko nosaka dalībvalstu izraudzītās iestādes un kas ir iekļautas sarakstā, kuru vajadzības gadījumā sastādījusi un atjauninājusi Komisija 2. pantā minētās komitejas ietvaros.”</w:t>
      </w:r>
    </w:p>
    <w:p w14:paraId="5E87FB40" w14:textId="77777777">
      <w:pPr>
        <w:pStyle w:val="BodyText"/>
        <w:ind w:left="567"/>
        <w:rPr>
          <w:i/>
        </w:rPr>
      </w:pPr>
    </w:p>
    <w:p w14:paraId="5389ED96" w14:textId="0CBC1966">
      <w:pPr>
        <w:pStyle w:val="BodyText"/>
        <w:jc w:val="right"/>
      </w:pPr>
      <w:r>
        <w:t xml:space="preserve">(Direktīvas (ES) 2015/1535 1. panta 1. punkta f) apakšpunkta otrais un trešais teikums)</w:t>
      </w:r>
    </w:p>
    <w:p w14:paraId="1343FCC6" w14:textId="77777777">
      <w:pPr>
        <w:pStyle w:val="BodyText"/>
        <w:ind w:left="567"/>
        <w:rPr>
          <w:i/>
          <w:iCs/>
          <w:sz w:val="20"/>
        </w:rPr>
      </w:pPr>
    </w:p>
    <w:p w14:paraId="46B01CEE" w14:textId="37C6A676">
      <w:pPr>
        <w:pStyle w:val="P68B1DB1-Normal13"/>
        <w:widowControl w:val="0"/>
        <w:autoSpaceDE w:val="0"/>
        <w:autoSpaceDN w:val="0"/>
        <w:spacing w:after="0" w:line="240" w:lineRule="auto"/>
        <w:jc w:val="both"/>
        <w:outlineLvl w:val="1"/>
      </w:pPr>
      <w:hyperlink r:id="rId66" w:history="1">
        <w:r>
          <w:rPr>
            <w:color w:val="0000FF"/>
            <w:u w:val="single"/>
          </w:rPr>
          <w:t xml:space="preserve">Spriedums, 1997. gada 20. marts,</w:t>
        </w:r>
      </w:hyperlink>
      <w:r>
        <w:t xml:space="preserve"> Bic Benelux, C-13/96, EU:C:1997:173, 23.–25. punkts.</w:t>
      </w:r>
      <w:bookmarkEnd w:id="111"/>
    </w:p>
    <w:p w14:paraId="6D52B9D0" w14:textId="77777777">
      <w:pPr>
        <w:widowControl w:val="0"/>
        <w:tabs>
          <w:tab w:val="left" w:pos="396"/>
          <w:tab w:val="left" w:pos="400"/>
        </w:tabs>
        <w:autoSpaceDE w:val="0"/>
        <w:autoSpaceDN w:val="0"/>
        <w:spacing w:after="0" w:line="240" w:lineRule="auto"/>
        <w:jc w:val="both"/>
        <w:rPr>
          <w:rFonts w:ascii="Times New Roman" w:hAnsi="Times New Roman" w:cs="Times New Roman" w:eastAsia="Times New Roman"/>
          <w:szCs w:val="20"/>
        </w:rPr>
      </w:pPr>
    </w:p>
    <w:p w14:paraId="19AF5B39" w14:textId="5DD94CEA">
      <w:pPr>
        <w:pStyle w:val="P68B1DB1-Normal14"/>
        <w:widowControl w:val="0"/>
        <w:tabs>
          <w:tab w:val="left" w:pos="396"/>
          <w:tab w:val="left" w:pos="400"/>
        </w:tabs>
        <w:autoSpaceDE w:val="0"/>
        <w:autoSpaceDN w:val="0"/>
        <w:spacing w:after="0" w:line="240" w:lineRule="auto"/>
        <w:jc w:val="both"/>
      </w:pPr>
      <w:r>
        <w:t xml:space="preserve">Marķēšanas prasība, kuras mērķis ir informēt patērētāju par konkrētu produktu vidisko pēdu un kura ir saistīta ar nodokli, bet ir tehniska specifikācija. To nevar uzskatīt par tādu, kas ir “saistīts tikai ar nodokļu pasākumu”, un tāpēc uz to neattiecas “de facto tehnisko noteikumu” definīcija.</w:t>
      </w:r>
    </w:p>
    <w:p w14:paraId="34416FD0" w14:textId="77777777">
      <w:pPr>
        <w:pStyle w:val="P68B1DB1-Normal15"/>
        <w:widowControl w:val="0"/>
        <w:autoSpaceDE w:val="0"/>
        <w:autoSpaceDN w:val="0"/>
        <w:spacing w:after="0" w:line="240" w:lineRule="auto"/>
        <w:jc w:val="both"/>
      </w:pPr>
    </w:p>
    <w:p w14:paraId="308DB606" w14:textId="777B30B5">
      <w:pPr>
        <w:pStyle w:val="P68B1DB1-Normal15"/>
        <w:widowControl w:val="0"/>
        <w:autoSpaceDE w:val="0"/>
        <w:autoSpaceDN w:val="0"/>
        <w:spacing w:after="0" w:line="240" w:lineRule="auto"/>
        <w:ind w:left="510"/>
        <w:jc w:val="both"/>
      </w:pPr>
      <w:r>
        <w:t xml:space="preserve">“23. [..] pirmkārt, pamata lietā aplūkotā marķēšanas prasība saskaņā ar Direktīvas 83/189 1. panta 5. punktā sniegto definīciju ir de jure tehnisks noteikums, jo tā “ievērošana [..] ir obligāta attiecīgās preces tirdzniecības gadījumā” un tā kā saskaņā ar 1. panta 1. punktā sniegto definīciju tā ir tehniska specifikācija, jo tajā ir definētas “preces vajadzīgās īpašības, piemēram, [..] preces prasības attiecībā uz marķēšanu vai etiķetēm”. </w:t>
      </w:r>
    </w:p>
    <w:p w14:paraId="05172C30" w14:textId="77777777">
      <w:pPr>
        <w:pStyle w:val="P68B1DB1-Normal15"/>
        <w:widowControl w:val="0"/>
        <w:autoSpaceDE w:val="0"/>
        <w:autoSpaceDN w:val="0"/>
        <w:spacing w:after="0" w:line="240" w:lineRule="auto"/>
        <w:ind w:left="510"/>
        <w:jc w:val="both"/>
      </w:pPr>
    </w:p>
    <w:p w14:paraId="136F7452" w14:textId="4C08810C">
      <w:pPr>
        <w:pStyle w:val="P68B1DB1-Normal15"/>
        <w:widowControl w:val="0"/>
        <w:autoSpaceDE w:val="0"/>
        <w:autoSpaceDN w:val="0"/>
        <w:spacing w:after="0" w:line="240" w:lineRule="auto"/>
        <w:ind w:left="510"/>
        <w:jc w:val="both"/>
      </w:pPr>
      <w:r>
        <w:t xml:space="preserve">24. Otrkārt, attiecīgā marķējuma mērķis it īpaši ir informēt sabiedrību par preču ietekmi uz vidi, un Beļģijas valdība ir apstiprinājusi, ka šim marķējuma noteikumu aspektam ir piešķirama nozīme. Tādējādi vides nodokļa mērķi, kas ir aizsargāt vidi, pastiprina marķējums, kas, tāpat kā cits vides marķējums, neatkarīgi no tā, vai tas ir saistīts ar vides nodokli vai bez tā, patērētājiem atgādina par attiecīgo produktu kaitīgo ietekmi uz vidi. </w:t>
      </w:r>
    </w:p>
    <w:p w14:paraId="630640E3" w14:textId="77777777">
      <w:pPr>
        <w:pStyle w:val="P68B1DB1-Normal15"/>
        <w:widowControl w:val="0"/>
        <w:autoSpaceDE w:val="0"/>
        <w:autoSpaceDN w:val="0"/>
        <w:spacing w:after="0" w:line="240" w:lineRule="auto"/>
        <w:ind w:left="510"/>
        <w:jc w:val="both"/>
      </w:pPr>
    </w:p>
    <w:p w14:paraId="2F553F93" w14:textId="7D4B80F2">
      <w:pPr>
        <w:pStyle w:val="P68B1DB1-Normal15"/>
        <w:widowControl w:val="0"/>
        <w:autoSpaceDE w:val="0"/>
        <w:autoSpaceDN w:val="0"/>
        <w:spacing w:after="0" w:line="240" w:lineRule="auto"/>
        <w:ind w:left="510"/>
        <w:jc w:val="both"/>
      </w:pPr>
      <w:r>
        <w:t xml:space="preserve">25. Tā kā attiecīgo marķēšanas prasību nekādā gadījumā nevar uzskatīt tikai par papildu nodokļu pasākumu, tā nav prasība, kas saistīta ar nodokļu pasākumu Direktīvas 83/189, kas grozīta ar Direktīvu 94/10, 1. panta 9. punkta otrās daļas trešā ievilkuma izpratnē.”</w:t>
      </w:r>
    </w:p>
    <w:p w14:paraId="2A051963" w14:textId="77777777">
      <w:pPr>
        <w:pStyle w:val="BodyText"/>
        <w:rPr>
          <w:i/>
          <w:iCs/>
          <w:sz w:val="20"/>
        </w:rPr>
      </w:pPr>
    </w:p>
    <w:p w14:paraId="0C96C56C" w14:textId="48164FB1">
      <w:pPr>
        <w:pStyle w:val="P68B1DB1-Normal14"/>
        <w:widowControl w:val="0"/>
        <w:autoSpaceDE w:val="0"/>
        <w:autoSpaceDN w:val="0"/>
        <w:spacing w:after="0" w:line="240" w:lineRule="auto"/>
        <w:jc w:val="both"/>
        <w:outlineLvl w:val="1"/>
        <w:rPr>
          <w:b/>
          <w:i/>
        </w:rPr>
      </w:pPr>
      <w:hyperlink r:id="rId67" w:history="1">
        <w:r>
          <w:rPr>
            <w:b/>
            <w:i/>
            <w:color w:val="0000FF"/>
            <w:u w:val="single"/>
          </w:rPr>
          <w:t xml:space="preserve">Spriedums, 2014. gada 10. jūlijs,</w:t>
        </w:r>
      </w:hyperlink>
      <w:r>
        <w:rPr>
          <w:b/>
          <w:i/>
        </w:rPr>
        <w:t xml:space="preserve"> Ivansson u. c.</w:t>
      </w:r>
      <w:r>
        <w:rPr>
          <w:sz w:val="25"/>
        </w:rPr>
        <w:t xml:space="preserve">, C-307/13, EU:C:2014:2058, 30. un 31. punkts.</w:t>
      </w:r>
      <w:r>
        <w:rPr>
          <w:b/>
          <w:i/>
        </w:rPr>
        <w:t xml:space="preserve"> </w:t>
      </w:r>
      <w:bookmarkEnd w:id="112"/>
    </w:p>
    <w:p w14:paraId="0F2071D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ABC0205" w14:textId="0A761A08">
      <w:pPr>
        <w:pStyle w:val="P68B1DB1-Normal14"/>
        <w:widowControl w:val="0"/>
        <w:tabs>
          <w:tab w:val="left" w:pos="396"/>
          <w:tab w:val="left" w:pos="407"/>
        </w:tabs>
        <w:autoSpaceDE w:val="0"/>
        <w:autoSpaceDN w:val="0"/>
        <w:spacing w:after="0" w:line="240" w:lineRule="auto"/>
        <w:jc w:val="both"/>
      </w:pPr>
      <w:r>
        <w:t xml:space="preserve">Atsauce uz sīki izstrādātiem administratīviem noteikumiem, kas ietver “tehniskos parametrus” vai “citas prasības”, var piešķirt likumprojektam “de facto tehnisku noteikumu” statusu.</w:t>
      </w:r>
    </w:p>
    <w:p w14:paraId="49A66D81" w14:textId="77777777">
      <w:pPr>
        <w:widowControl w:val="0"/>
        <w:tabs>
          <w:tab w:val="left" w:pos="396"/>
          <w:tab w:val="left" w:pos="407"/>
        </w:tabs>
        <w:autoSpaceDE w:val="0"/>
        <w:autoSpaceDN w:val="0"/>
        <w:spacing w:after="0" w:line="240" w:lineRule="auto"/>
        <w:jc w:val="both"/>
        <w:rPr>
          <w:rFonts w:ascii="Times New Roman" w:hAnsi="Times New Roman" w:cs="Times New Roman" w:eastAsia="Times New Roman"/>
          <w:szCs w:val="20"/>
        </w:rPr>
      </w:pPr>
    </w:p>
    <w:p w14:paraId="5AA4573D" w14:textId="6BC7CE32">
      <w:pPr>
        <w:pStyle w:val="P68B1DB1-Normal15"/>
        <w:widowControl w:val="0"/>
        <w:tabs>
          <w:tab w:val="left" w:pos="396"/>
          <w:tab w:val="left" w:pos="407"/>
        </w:tabs>
        <w:autoSpaceDE w:val="0"/>
        <w:autoSpaceDN w:val="0"/>
        <w:spacing w:after="0" w:line="240" w:lineRule="auto"/>
        <w:ind w:left="567"/>
        <w:jc w:val="both"/>
        <w:rPr>
          <w:iCs/>
        </w:rPr>
      </w:pPr>
      <w:r>
        <w:t xml:space="preserve">“30. [..] ir jākonstatē, ka, lai gan šis </w:t>
      </w:r>
      <w:r>
        <w:rPr>
          <w:i w:val="0"/>
        </w:rPr>
        <w:t xml:space="preserve">[valsts likuma]</w:t>
      </w:r>
      <w:r>
        <w:t xml:space="preserve"> punkts pats par sevi nav tehnisks noteikums, tā otrajā daļā ir atsauce uz papildu noteikumiem par vistu audzēšanu, kurus Lauksaimniecības padome paziņos vēlāk.</w:t>
      </w:r>
    </w:p>
    <w:p w14:paraId="6DB3B6F8" w14:textId="77777777">
      <w:pPr>
        <w:pStyle w:val="P68B1DB1-Normal15"/>
        <w:widowControl w:val="0"/>
        <w:tabs>
          <w:tab w:val="left" w:pos="396"/>
          <w:tab w:val="left" w:pos="407"/>
        </w:tabs>
        <w:autoSpaceDE w:val="0"/>
        <w:autoSpaceDN w:val="0"/>
        <w:spacing w:after="0" w:line="240" w:lineRule="auto"/>
        <w:ind w:left="567"/>
        <w:jc w:val="both"/>
        <w:rPr>
          <w:iCs/>
        </w:rPr>
      </w:pPr>
    </w:p>
    <w:p w14:paraId="7D1833D5" w14:textId="7451C7D7">
      <w:pPr>
        <w:pStyle w:val="P68B1DB1-Normal15"/>
        <w:widowControl w:val="0"/>
        <w:tabs>
          <w:tab w:val="left" w:pos="396"/>
          <w:tab w:val="left" w:pos="407"/>
        </w:tabs>
        <w:autoSpaceDE w:val="0"/>
        <w:autoSpaceDN w:val="0"/>
        <w:spacing w:after="0" w:line="240" w:lineRule="auto"/>
        <w:ind w:left="567"/>
        <w:jc w:val="both"/>
        <w:rPr>
          <w:iCs/>
        </w:rPr>
      </w:pPr>
      <w:r>
        <w:t xml:space="preserve">31. Šāda atsauce uz sīkāk izstrādātiem administratīviem noteikumiem, ja vien tos var uzskatīt par “tehniskiem parametriem” vai “citām prasībām”, var piešķirt DSF 9. pantam “de facto tehnisku noteikumu” statusu saskaņā ar Direktīvas 98/34 1. panta 11. punkta pirmo ievilkumu.”</w:t>
      </w:r>
    </w:p>
    <w:p w14:paraId="770077A5" w14:textId="77777777">
      <w:pPr>
        <w:pStyle w:val="BodyText"/>
        <w:rPr>
          <w:i/>
          <w:iCs/>
          <w:sz w:val="20"/>
        </w:rPr>
      </w:pPr>
    </w:p>
    <w:p w14:paraId="0CF29864" w14:textId="5F056C69">
      <w:pPr>
        <w:pStyle w:val="P68B1DB1-Normal13"/>
        <w:widowControl w:val="0"/>
        <w:autoSpaceDE w:val="0"/>
        <w:autoSpaceDN w:val="0"/>
        <w:spacing w:after="0" w:line="240" w:lineRule="auto"/>
        <w:jc w:val="both"/>
        <w:outlineLvl w:val="1"/>
      </w:pPr>
      <w:hyperlink r:id="rId68" w:anchor="ctx1" w:history="1">
        <w:r>
          <w:rPr>
            <w:color w:val="0000FF"/>
            <w:u w:val="single"/>
          </w:rPr>
          <w:t xml:space="preserve">Spriedums, 2015. gada 11. jūnijs,</w:t>
        </w:r>
      </w:hyperlink>
      <w:r>
        <w:t xml:space="preserve"> Berlington Hungary u. c., C-98/14, EU:C:2015:386, 95.–97. punkts.</w:t>
      </w:r>
      <w:bookmarkEnd w:id="113"/>
    </w:p>
    <w:p w14:paraId="51CCE70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CC8DCCD" w14:textId="152D2442">
      <w:pPr>
        <w:pStyle w:val="P68B1DB1-Normal14"/>
        <w:widowControl w:val="0"/>
        <w:tabs>
          <w:tab w:val="left" w:pos="396"/>
          <w:tab w:val="left" w:pos="398"/>
        </w:tabs>
        <w:autoSpaceDE w:val="0"/>
        <w:autoSpaceDN w:val="0"/>
        <w:spacing w:after="0" w:line="240" w:lineRule="auto"/>
        <w:jc w:val="both"/>
      </w:pPr>
      <w:r>
        <w:t xml:space="preserve">Valsts tiesību normas, kas ar pieciem reizina nodokli, kurš jāmaksā par spēļu zālēs ekspluatētiem spēļu automātiem, kā arī ievieš proporcionālu nodokli par šo darbību, nav “de facto tehniskie noteikumi”, jo tie ir nodokļu noteikumi, nevis “tehniskās specifikācijas, kas saistītas ar nodokļu noteikumu” direktīvas izpratnē.</w:t>
      </w:r>
    </w:p>
    <w:p w14:paraId="00CB80B7" w14:textId="77777777">
      <w:pPr>
        <w:widowControl w:val="0"/>
        <w:tabs>
          <w:tab w:val="left" w:pos="396"/>
          <w:tab w:val="left" w:pos="449"/>
        </w:tabs>
        <w:autoSpaceDE w:val="0"/>
        <w:autoSpaceDN w:val="0"/>
        <w:spacing w:after="0" w:line="240" w:lineRule="auto"/>
        <w:jc w:val="both"/>
        <w:rPr>
          <w:rFonts w:ascii="Times New Roman" w:hAnsi="Times New Roman" w:cs="Times New Roman" w:eastAsia="Times New Roman"/>
          <w:i/>
          <w:iCs/>
          <w:sz w:val="20"/>
          <w:szCs w:val="16"/>
        </w:rPr>
      </w:pPr>
    </w:p>
    <w:p w14:paraId="5DBF183B" w14:textId="70A7203F">
      <w:pPr>
        <w:pStyle w:val="P68B1DB1-Normal15"/>
        <w:widowControl w:val="0"/>
        <w:tabs>
          <w:tab w:val="left" w:pos="396"/>
          <w:tab w:val="left" w:pos="449"/>
        </w:tabs>
        <w:autoSpaceDE w:val="0"/>
        <w:autoSpaceDN w:val="0"/>
        <w:spacing w:after="0" w:line="240" w:lineRule="auto"/>
        <w:ind w:left="567"/>
        <w:jc w:val="both"/>
      </w:pPr>
      <w:r>
        <w:t xml:space="preserve">“95. Saskaņā ar šīs direktīvas 1. panta 11. punkta trešo ievilkumu “de facto tehniskie noteikumi” šīs tiesību normas izpratnē ir “tehniskās specifikācijas vai citas prasības, vai noteikumi par pakalpojumiem, kas saistīti ar fiskāliem vai finansiāliem pasākumiem, kuri ietekmē preču vai pakalpojumu patēriņu, veicinot atbilstību šādām tehniskajām specifikācijām vai citām prasībām, vai noteikumiem par pakalpojumiem”.</w:t>
      </w:r>
    </w:p>
    <w:p w14:paraId="07116B99" w14:textId="77777777">
      <w:pPr>
        <w:pStyle w:val="P68B1DB1-Normal15"/>
        <w:widowControl w:val="0"/>
        <w:tabs>
          <w:tab w:val="left" w:pos="396"/>
          <w:tab w:val="left" w:pos="449"/>
        </w:tabs>
        <w:autoSpaceDE w:val="0"/>
        <w:autoSpaceDN w:val="0"/>
        <w:spacing w:after="0" w:line="240" w:lineRule="auto"/>
        <w:ind w:left="567"/>
        <w:jc w:val="both"/>
      </w:pPr>
    </w:p>
    <w:p w14:paraId="42599018" w14:textId="2DFE2CF5">
      <w:pPr>
        <w:pStyle w:val="P68B1DB1-Normal15"/>
        <w:widowControl w:val="0"/>
        <w:tabs>
          <w:tab w:val="left" w:pos="396"/>
          <w:tab w:val="left" w:pos="449"/>
        </w:tabs>
        <w:autoSpaceDE w:val="0"/>
        <w:autoSpaceDN w:val="0"/>
        <w:spacing w:after="0" w:line="240" w:lineRule="auto"/>
        <w:ind w:left="567"/>
        <w:jc w:val="both"/>
      </w:pPr>
      <w:r>
        <w:t xml:space="preserve">96. No šī formulējuma izriet, ka jēdziens “de facto tehniskie noteikumi” nozīmē nevis pašus nodokļu pasākumus, bet gan ar to saistītās tehniskās specifikācijas vai citas prasības.</w:t>
      </w:r>
    </w:p>
    <w:p w14:paraId="00F9B573" w14:textId="77777777">
      <w:pPr>
        <w:pStyle w:val="P68B1DB1-Normal15"/>
        <w:widowControl w:val="0"/>
        <w:tabs>
          <w:tab w:val="left" w:pos="396"/>
          <w:tab w:val="left" w:pos="449"/>
        </w:tabs>
        <w:autoSpaceDE w:val="0"/>
        <w:autoSpaceDN w:val="0"/>
        <w:spacing w:after="0" w:line="240" w:lineRule="auto"/>
        <w:ind w:left="567"/>
        <w:jc w:val="both"/>
      </w:pPr>
    </w:p>
    <w:p w14:paraId="60E2105A" w14:textId="6B2A54B5">
      <w:pPr>
        <w:pStyle w:val="P68B1DB1-Normal15"/>
        <w:widowControl w:val="0"/>
        <w:tabs>
          <w:tab w:val="left" w:pos="396"/>
          <w:tab w:val="left" w:pos="449"/>
        </w:tabs>
        <w:autoSpaceDE w:val="0"/>
        <w:autoSpaceDN w:val="0"/>
        <w:spacing w:after="0" w:line="240" w:lineRule="auto"/>
        <w:ind w:left="567"/>
        <w:jc w:val="both"/>
        <w:rPr>
          <w:iCs/>
        </w:rPr>
      </w:pPr>
      <w:r>
        <w:t xml:space="preserve">97. Līdz ar to tādus nodokļu tiesību aktus kā pamata lietā aplūkotie, kuriem nav pievienotas nekādas tehniskas specifikācijas vai citas prasības, kuru izpildei tie, iespējams, ir paredzēti, lai nodrošinātu atbilstību, nevar kvalificēt kā “de facto tehniskus noteikumus”.</w:t>
      </w:r>
    </w:p>
    <w:p w14:paraId="37BAFBC9" w14:textId="77777777">
      <w:pPr>
        <w:pStyle w:val="BodyText"/>
        <w:rPr>
          <w:i/>
          <w:iCs/>
          <w:sz w:val="20"/>
        </w:rPr>
      </w:pPr>
    </w:p>
    <w:p w14:paraId="7274149C" w14:textId="5D545442">
      <w:pPr>
        <w:pStyle w:val="P68B1DB1-Normal13"/>
        <w:widowControl w:val="0"/>
        <w:autoSpaceDE w:val="0"/>
        <w:autoSpaceDN w:val="0"/>
        <w:spacing w:after="0" w:line="240" w:lineRule="auto"/>
        <w:jc w:val="both"/>
        <w:outlineLvl w:val="1"/>
      </w:pPr>
      <w:hyperlink r:id="rId69" w:history="1">
        <w:r>
          <w:rPr>
            <w:color w:val="0000FF"/>
            <w:u w:val="single"/>
          </w:rPr>
          <w:t xml:space="preserve">Spriedums, 2020. gada 8. oktobris</w:t>
        </w:r>
      </w:hyperlink>
      <w:r>
        <w:t xml:space="preserve">, Admiral Sportwetten u. c., EU:C:2020:812, 38. un 41. punkts.</w:t>
      </w:r>
      <w:bookmarkEnd w:id="114"/>
    </w:p>
    <w:p w14:paraId="6A479E47"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szCs w:val="20"/>
        </w:rPr>
      </w:pPr>
    </w:p>
    <w:p w14:paraId="58900280" w14:textId="5B06B273">
      <w:pPr>
        <w:pStyle w:val="P68B1DB1-Normal14"/>
        <w:widowControl w:val="0"/>
        <w:tabs>
          <w:tab w:val="left" w:pos="537"/>
          <w:tab w:val="left" w:pos="539"/>
        </w:tabs>
        <w:autoSpaceDE w:val="0"/>
        <w:autoSpaceDN w:val="0"/>
        <w:spacing w:after="0" w:line="240" w:lineRule="auto"/>
        <w:jc w:val="both"/>
      </w:pPr>
      <w:r>
        <w:t xml:space="preserve">Nodokļu tiesību aktus, kuriem nav pievienotas “tehniskās specifikācijas” vai citas prasības, kuru ievērošanai tie ir paredzēti, nevar kvalificēt kā “de facto tehniskus noteikumus”. Tādējādi valsts nodokļu tiesiskais regulējums, kurā ir paredzēta sporta derību automātu ekspluatācijas aplikšana ar nodokli, nav “tehnisks noteikums”.</w:t>
      </w:r>
    </w:p>
    <w:p w14:paraId="27BCDA3E"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i/>
          <w:iCs/>
          <w:sz w:val="20"/>
          <w:szCs w:val="16"/>
        </w:rPr>
      </w:pPr>
    </w:p>
    <w:p w14:paraId="130D4C07" w14:textId="276A8931">
      <w:pPr>
        <w:pStyle w:val="P68B1DB1-Normal15"/>
        <w:widowControl w:val="0"/>
        <w:tabs>
          <w:tab w:val="left" w:pos="537"/>
          <w:tab w:val="left" w:pos="539"/>
        </w:tabs>
        <w:autoSpaceDE w:val="0"/>
        <w:autoSpaceDN w:val="0"/>
        <w:spacing w:after="0" w:line="240" w:lineRule="auto"/>
        <w:ind w:left="567"/>
        <w:jc w:val="both"/>
        <w:rPr>
          <w:iCs/>
        </w:rPr>
      </w:pPr>
      <w:r>
        <w:t xml:space="preserve">“38. [..] attiecībā uz de facto tehniskajiem noteikumiem Direktīvas 2015/1535 1. panta 1. punkta f) apakšpunkta iii) punkta izpratnē Tiesa jau ir nospriedusi, ka nodokļu tiesību akti, kuriem nav pievienotas nekādas tehniskas specifikācijas vai citas prasības, kuru ievērošanai, iespējams, ir jānodrošina atbilstība, nevar tikt kvalificēti kā “de facto tehniskie noteikumi” (šajā nozīmē skat. spriedumu, 2015. gada 11. jūnijs, Berlington Hungary u. c., C 98/14</w:t>
        <w:noBreakHyphen/>
        <w:t xml:space="preserve">, EU:C:2015:386, 97. punkts).”</w:t>
      </w:r>
    </w:p>
    <w:p w14:paraId="002A514F" w14:textId="77777777">
      <w:pPr>
        <w:widowControl w:val="0"/>
        <w:tabs>
          <w:tab w:val="left" w:pos="537"/>
          <w:tab w:val="left" w:pos="539"/>
        </w:tabs>
        <w:autoSpaceDE w:val="0"/>
        <w:autoSpaceDN w:val="0"/>
        <w:spacing w:after="0" w:line="240" w:lineRule="auto"/>
        <w:ind w:left="567"/>
        <w:jc w:val="both"/>
        <w:rPr>
          <w:rFonts w:ascii="Times New Roman" w:hAnsi="Times New Roman" w:cs="Times New Roman" w:eastAsia="Times New Roman"/>
          <w:i/>
          <w:iCs/>
          <w:sz w:val="20"/>
          <w:szCs w:val="16"/>
        </w:rPr>
      </w:pPr>
    </w:p>
    <w:p w14:paraId="727DEFFB" w14:textId="18B04311">
      <w:pPr>
        <w:pStyle w:val="P68B1DB1-Normal15"/>
        <w:widowControl w:val="0"/>
        <w:tabs>
          <w:tab w:val="left" w:pos="537"/>
          <w:tab w:val="left" w:pos="539"/>
        </w:tabs>
        <w:autoSpaceDE w:val="0"/>
        <w:autoSpaceDN w:val="0"/>
        <w:spacing w:after="0" w:line="240" w:lineRule="auto"/>
        <w:ind w:left="567"/>
        <w:jc w:val="both"/>
        <w:rPr>
          <w:iCs/>
        </w:rPr>
      </w:pPr>
      <w:r>
        <w:t>“</w:t>
      </w:r>
      <w:bookmarkStart w:id="115" w:name="point41"/>
      <w:r>
        <w:t>41</w:t>
      </w:r>
      <w:bookmarkEnd w:id="115"/>
      <w:r>
        <w:t xml:space="preserve">. Līdz ar to, ņemot vērā visus iepriekš minētos apsvērumus, uz pirmo jautājumu ir jāatbild, ka Direktīvas 2015/1535 1. pants ir jāinterpretē tādējādi, ka valsts nodokļu tiesību norma, kurā ir paredzēta derību termināļu ekspluatācijas aplikšana ar nodokli, nav “tehnisks noteikums” šī panta izpratnē.”</w:t>
      </w:r>
    </w:p>
    <w:p w14:paraId="5C076B9C" w14:textId="77777777">
      <w:pPr>
        <w:pStyle w:val="BodyText"/>
        <w:rPr>
          <w:i/>
          <w:iCs/>
          <w:sz w:val="20"/>
        </w:rPr>
      </w:pPr>
    </w:p>
    <w:p w14:paraId="5F483606" w14:textId="4F0BCA00">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70" w:history="1">
        <w:r>
          <w:rPr>
            <w:rStyle w:val="Hyperlink"/>
            <w:rFonts w:ascii="Times New Roman" w:hAnsi="Times New Roman" w:cs="Times New Roman" w:eastAsia="Times New Roman"/>
            <w:b/>
            <w:i/>
            <w:color w:val="0000FF"/>
            <w:szCs w:val="20"/>
          </w:rPr>
          <w:t xml:space="preserve">Spriedums, 2022. gada 22. decembris</w:t>
        </w:r>
      </w:hyperlink>
      <w:r>
        <w:rPr>
          <w:rFonts w:ascii="Times New Roman" w:hAnsi="Times New Roman" w:cs="Times New Roman" w:eastAsia="Times New Roman"/>
          <w:b/>
          <w:i/>
          <w:szCs w:val="20"/>
        </w:rPr>
        <w:t xml:space="preserve">, Airbnb Ireland un Airbnb Payments UK, C</w:t>
        <w:noBreakHyphen/>
        <w:t xml:space="preserve">83/21, EU:C:2022:1018, 29. un 30. punkts.</w:t>
      </w:r>
      <w:bookmarkEnd w:id="116"/>
    </w:p>
    <w:p w14:paraId="704D5C25"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szCs w:val="20"/>
        </w:rPr>
      </w:pPr>
    </w:p>
    <w:p w14:paraId="1AD7B89C" w14:textId="00C14D39">
      <w:pPr>
        <w:widowControl w:val="0"/>
        <w:tabs>
          <w:tab w:val="left" w:pos="537"/>
          <w:tab w:val="left" w:pos="539"/>
        </w:tabs>
        <w:autoSpaceDE w:val="0"/>
        <w:autoSpaceDN w:val="0"/>
        <w:spacing w:after="0" w:line="240" w:lineRule="auto"/>
        <w:jc w:val="both"/>
        <w:rPr>
          <w:rFonts w:ascii="Times New Roman" w:hAnsi="Times New Roman" w:cs="Times New Roman" w:eastAsia="Times New Roman"/>
          <w:szCs w:val="20"/>
        </w:rPr>
        <w:pStyle w:val="P68B1DB1-Normal14"/>
      </w:pPr>
      <w:r>
        <w:t xml:space="preserve">Nodokļu tiesību aktus kā tādus nevar kvalificēt kā “de facto tehniskus noteikumus”.</w:t>
      </w:r>
    </w:p>
    <w:p w14:paraId="19FFADF5" w14:textId="77777777">
      <w:pPr>
        <w:widowControl w:val="0"/>
        <w:tabs>
          <w:tab w:val="left" w:pos="537"/>
          <w:tab w:val="left" w:pos="539"/>
        </w:tabs>
        <w:autoSpaceDE w:val="0"/>
        <w:autoSpaceDN w:val="0"/>
        <w:spacing w:after="0" w:line="240" w:lineRule="auto"/>
        <w:jc w:val="both"/>
        <w:rPr>
          <w:rFonts w:ascii="Times New Roman" w:hAnsi="Times New Roman" w:cs="Times New Roman" w:eastAsia="Times New Roman"/>
          <w:i/>
          <w:iCs/>
          <w:sz w:val="20"/>
          <w:szCs w:val="16"/>
        </w:rPr>
      </w:pPr>
    </w:p>
    <w:p w14:paraId="7EE5EF44" w14:textId="19450D26">
      <w:pPr>
        <w:pStyle w:val="P68B1DB1-BodyText19"/>
        <w:ind w:left="567"/>
      </w:pPr>
      <w:r>
        <w:t xml:space="preserve">“29. Trešām kārtām, par Direktīvu 2015/1535 jānorāda, ka tā attiecas uz “[LESD] un jo īpaši tā 114., 337. un 43. pantu”. Tādējādi vispirms jāatzīmē, ka LESD 114. panta 2. punktā paredzētā izslēgšana attiecībā uz “fiskāliem noteikumiem” ir piemērojama arī attiecībā uz šo direktīvu šā sprieduma 25. punktā izklāstīto iemeslu dēļ.</w:t>
      </w:r>
    </w:p>
    <w:p w14:paraId="5619063A" w14:textId="77777777">
      <w:pPr>
        <w:pStyle w:val="P68B1DB1-BodyText19"/>
        <w:ind w:left="567"/>
      </w:pPr>
    </w:p>
    <w:p w14:paraId="43BD732D" w14:textId="6B6E6B11">
      <w:pPr>
        <w:pStyle w:val="P68B1DB1-BodyText19"/>
        <w:ind w:left="567"/>
        <w:rPr>
          <w:iCs/>
        </w:rPr>
      </w:pPr>
      <w:r>
        <w:t xml:space="preserve">30. Turklāt Direktīvas 2015/1535 saturs netieši apstiprina “fiskālo noteikumu” izslēgšanu no tās darbības jomas, jo šīs direktīvas 1. panta 1. punkta f) apakšpunkta iii) punkta formulējumā starp de facto tehniskajiem noteikumiem ir minētas tehniskās specifikācijas vai citas prasības vai noteikumi par pakalpojumiem, kas “saistīti ar fiskāliem vai finansiāliem pasākumiem”. Tātad runa ir nevis par faktiskiem nodokļu pasākumiem, bet tikai par pasākumiem, kas saistīti ar nodokļu pasākumiem (šajā nozīmē skat. spriedumu, 2020. gada 8. oktobris, Admiral Sportwetten u. c., C-711/19, EU:C:2020:812, 38. punkts); tādējādi pēdējie minētie kā tādi paliek ārpus minētās direktīvas darbības jomas.”</w:t>
      </w:r>
    </w:p>
    <w:p w14:paraId="5775DA65" w14:textId="01ED6DBB">
      <w:pPr>
        <w:pStyle w:val="P68B1DB1-Normal4"/>
        <w:spacing w:after="0" w:line="240" w:lineRule="auto"/>
        <w:rPr>
          <w:rFonts w:ascii="Times New Roman" w:hAnsi="Times New Roman" w:cs="Times New Roman" w:eastAsia="Times New Roman"/>
          <w:i/>
          <w:iCs/>
          <w:szCs w:val="20"/>
        </w:rPr>
      </w:pPr>
      <w:r>
        <w:br w:type="page"/>
      </w:r>
    </w:p>
    <w:p w14:paraId="5F7E7C6E" w14:textId="032BD921">
      <w:pPr>
        <w:pStyle w:val="P68B1DB1-Heading24"/>
        <w:numPr>
          <w:ilvl w:val="0"/>
          <w:numId w:val="35"/>
        </w:numPr>
        <w:spacing w:before="0" w:after="0"/>
        <w:jc w:val="center"/>
        <w:rPr>
          <w:bCs/>
          <w:color w:val="auto"/>
        </w:rPr>
      </w:pPr>
      <w:bookmarkStart w:id="117" w:name="_Ref196314231"/>
      <w:bookmarkStart w:id="118" w:name="_Ref194484613"/>
      <w:bookmarkStart w:id="119" w:name="_Toc203035672"/>
      <w:r>
        <w:t xml:space="preserve">Izslēgtie jautājumi</w:t>
      </w:r>
      <w:bookmarkEnd w:id="117"/>
      <w:bookmarkEnd w:id="118"/>
      <w:bookmarkEnd w:id="119"/>
    </w:p>
    <w:p w14:paraId="1278603B" w14:textId="77777777">
      <w:pPr>
        <w:pStyle w:val="BodyText"/>
        <w:rPr>
          <w:b/>
          <w:bCs/>
        </w:rPr>
      </w:pPr>
    </w:p>
    <w:p w14:paraId="1B32B976" w14:textId="77777777">
      <w:pPr>
        <w:pStyle w:val="P68B1DB1-BodyText11"/>
        <w:ind w:left="567"/>
      </w:pPr>
      <w:r>
        <w:t xml:space="preserve">“2. Šī direktīva neattiecas uz: </w:t>
      </w:r>
    </w:p>
    <w:p w14:paraId="04019AF2" w14:textId="77777777">
      <w:pPr>
        <w:pStyle w:val="P68B1DB1-BodyText11"/>
        <w:ind w:left="1287" w:firstLine="153"/>
      </w:pPr>
      <w:r>
        <w:t xml:space="preserve">a) radio apraides pakalpojumi; </w:t>
      </w:r>
    </w:p>
    <w:p w14:paraId="1EADA741" w14:textId="108B47F0">
      <w:pPr>
        <w:pStyle w:val="P68B1DB1-BodyText11"/>
        <w:ind w:left="1440"/>
      </w:pPr>
      <w:r>
        <w:t xml:space="preserve">televīzijas apraides pakalpojumi, uz kuriem attiecas Eiropas Parlamenta un Padomes Direktīvas 2010/13/ES (1) 1. panta 1. punkta e) apakšpunkts. </w:t>
      </w:r>
    </w:p>
    <w:p w14:paraId="7DD31811" w14:textId="77777777">
      <w:pPr>
        <w:pStyle w:val="P68B1DB1-BodyText11"/>
        <w:ind w:left="567"/>
      </w:pPr>
    </w:p>
    <w:p w14:paraId="21C04911" w14:textId="0885ED27">
      <w:pPr>
        <w:pStyle w:val="P68B1DB1-BodyText11"/>
        <w:ind w:left="567"/>
      </w:pPr>
      <w:r>
        <w:t xml:space="preserve">3. Šo direktīvu nepiemēro noteikumiem, kas attiecas uz jautājumiem, uz kuriem attiecas Savienības tiesību akti telekomunikāciju pakalpojumu jomā, uz ko attiecas Eiropas Parlamenta un Padomes Direktīva 2002/21/EK [2]. </w:t>
      </w:r>
    </w:p>
    <w:p w14:paraId="14E66827" w14:textId="77777777">
      <w:pPr>
        <w:pStyle w:val="P68B1DB1-BodyText11"/>
        <w:ind w:left="567"/>
      </w:pPr>
    </w:p>
    <w:p w14:paraId="21D3AD3B" w14:textId="663656A4">
      <w:pPr>
        <w:pStyle w:val="P68B1DB1-BodyText11"/>
        <w:ind w:left="567"/>
      </w:pPr>
      <w:r>
        <w:t xml:space="preserve">4. Šo direktīvu nepiemēro noteikumiem, kas attiecas uz jautājumiem, uz kuriem attiecas Savienības tiesību akti finanšu pakalpojumu jomā, kā uzskaitīts neizsmeļoši šīs direktīvas II pielikumā. </w:t>
      </w:r>
    </w:p>
    <w:p w14:paraId="0E58960E" w14:textId="77777777">
      <w:pPr>
        <w:pStyle w:val="P68B1DB1-BodyText11"/>
        <w:ind w:left="567"/>
      </w:pPr>
    </w:p>
    <w:p w14:paraId="66AEA247" w14:textId="77777777">
      <w:pPr>
        <w:pStyle w:val="P68B1DB1-BodyText11"/>
        <w:ind w:left="567"/>
      </w:pPr>
      <w:r>
        <w:t xml:space="preserve">5. Izņemot 5. panta 3. punktu, šo direktīvu nepiemēro noteikumiem, ko pieņēmuši regulēti tirgi Eiropas Parlamenta un Padomes Direktīvas 2004/39/EK (3) nozīmē vai kas pieņemti attiecībā uz regulētiem tirgiem (3), vai ko pieņēmuši citi tirgi vai struktūras, kuras veic klīringa vai norēķinu funkcijas šajos tirgos.</w:t>
      </w:r>
    </w:p>
    <w:p w14:paraId="5D510CB9" w14:textId="77777777">
      <w:pPr>
        <w:pStyle w:val="P68B1DB1-BodyText11"/>
        <w:ind w:left="567"/>
      </w:pPr>
    </w:p>
    <w:p w14:paraId="70E3F74F" w14:textId="117D7E99">
      <w:pPr>
        <w:pStyle w:val="P68B1DB1-BodyText11"/>
        <w:ind w:left="567"/>
      </w:pPr>
      <w:r>
        <w:t xml:space="preserve">6. Šī direktīva neattiecas uz tiem pasākumiem, ko dalībvalstis saskaņā ar līgumiem uzskata par nepieciešamiem personu, jo īpaši strādnieku aizsardzībai, preču izmantošanā ar nosacījumu, ka šie pasākumi neietekmē preces.</w:t>
      </w:r>
    </w:p>
    <w:p w14:paraId="24FE75EA" w14:textId="77777777">
      <w:pPr>
        <w:pStyle w:val="P68B1DB1-BodyText11"/>
        <w:ind w:left="567"/>
      </w:pPr>
    </w:p>
    <w:p w14:paraId="74938EC0" w14:textId="5965F3C9">
      <w:pPr>
        <w:pStyle w:val="BodyText"/>
        <w:ind w:left="1080"/>
        <w:jc w:val="right"/>
      </w:pPr>
      <w:r>
        <w:t xml:space="preserve">(Direktīvas (ES) 2015/1535 1. panta 2.–6. punkts)</w:t>
      </w:r>
    </w:p>
    <w:p w14:paraId="2BAD670C" w14:textId="77777777">
      <w:pPr>
        <w:pStyle w:val="BodyText"/>
        <w:rPr>
          <w:i/>
          <w:iCs/>
          <w:sz w:val="20"/>
        </w:rPr>
      </w:pPr>
    </w:p>
    <w:p w14:paraId="0C974BBF" w14:textId="3B58908A">
      <w:pPr>
        <w:pStyle w:val="P68B1DB1-BodyText23"/>
        <w:ind w:left="567"/>
        <w:rPr>
          <w:iCs/>
        </w:rPr>
      </w:pPr>
      <w:r>
        <w:t xml:space="preserve">““televīzijas apraide” vai “televīzijas apraide” (t. i., lineārs audiovizuālo mediju pakalpojums) ir audiovizuālo mediju pakalpojums, ko sniedz mediju pakalpojumu sniedzējs raidījumu vienlaicīgai skatīšanai, pamatojoties uz raidījumu programmu;”</w:t>
      </w:r>
    </w:p>
    <w:p w14:paraId="68D48BC5" w14:textId="77777777">
      <w:pPr>
        <w:pStyle w:val="BodyText"/>
        <w:ind w:left="567"/>
        <w:rPr>
          <w:i/>
          <w:iCs/>
          <w:szCs w:val="24"/>
        </w:rPr>
      </w:pPr>
    </w:p>
    <w:p w14:paraId="1E9F9AD6" w14:textId="648E8643">
      <w:pPr>
        <w:pStyle w:val="BodyText"/>
        <w:ind w:left="1080"/>
        <w:jc w:val="right"/>
      </w:pPr>
      <w:r>
        <w:t xml:space="preserve">(Direktīvas 2010/13/ES 1. panta 1. punkta e) apakšpunkts)</w:t>
      </w:r>
    </w:p>
    <w:p w14:paraId="13E3D11F" w14:textId="77777777">
      <w:pPr>
        <w:pStyle w:val="BodyText"/>
        <w:ind w:left="1080"/>
        <w:jc w:val="right"/>
      </w:pPr>
    </w:p>
    <w:p w14:paraId="6E0ADBB8" w14:textId="55100584">
      <w:pPr>
        <w:pStyle w:val="P68B1DB1-BodyText11"/>
        <w:jc w:val="center"/>
        <w:rPr>
          <w:i/>
        </w:rPr>
      </w:pPr>
      <w:r>
        <w:t xml:space="preserve">Norādošs finansiālo pakalpojumu saraksts, uz ko attiecas 1. panta 4. punkts</w:t>
      </w:r>
    </w:p>
    <w:p w14:paraId="25F72A02" w14:textId="77777777">
      <w:pPr>
        <w:pStyle w:val="BodyText"/>
        <w:jc w:val="center"/>
        <w:rPr>
          <w:i/>
        </w:rPr>
      </w:pPr>
    </w:p>
    <w:p w14:paraId="319C26B1" w14:textId="77777777">
      <w:pPr>
        <w:pStyle w:val="P68B1DB1-BodyText11"/>
        <w:ind w:left="567"/>
        <w:rPr>
          <w:i/>
        </w:rPr>
      </w:pPr>
      <w:r>
        <w:t xml:space="preserve">— Ieguldījumu pakalpojumi, </w:t>
      </w:r>
    </w:p>
    <w:p w14:paraId="4E853016" w14:textId="77777777">
      <w:pPr>
        <w:pStyle w:val="P68B1DB1-BodyText11"/>
        <w:ind w:left="567"/>
        <w:rPr>
          <w:i/>
        </w:rPr>
      </w:pPr>
      <w:r>
        <w:t xml:space="preserve">— apdrošināšanas un pārapdrošināšanas operācijas, </w:t>
      </w:r>
    </w:p>
    <w:p w14:paraId="6692A963" w14:textId="77777777">
      <w:pPr>
        <w:pStyle w:val="P68B1DB1-BodyText11"/>
        <w:ind w:left="567"/>
        <w:rPr>
          <w:i/>
        </w:rPr>
      </w:pPr>
      <w:r>
        <w:t xml:space="preserve">— banku pakalpojumi, </w:t>
      </w:r>
    </w:p>
    <w:p w14:paraId="23791C4C" w14:textId="77777777">
      <w:pPr>
        <w:pStyle w:val="P68B1DB1-BodyText11"/>
        <w:ind w:left="567"/>
        <w:rPr>
          <w:i/>
        </w:rPr>
      </w:pPr>
      <w:r>
        <w:t xml:space="preserve">— ar pensiju fondiem saistītas operācijas, </w:t>
      </w:r>
    </w:p>
    <w:p w14:paraId="783F6792" w14:textId="77777777">
      <w:pPr>
        <w:pStyle w:val="P68B1DB1-BodyText11"/>
        <w:ind w:left="567"/>
        <w:rPr>
          <w:i/>
        </w:rPr>
      </w:pPr>
      <w:r>
        <w:t xml:space="preserve">— pakalpojumi, kas saistīti ar darījumiem ar regulētā tirgū tirgotiem nākotnes līgumiem vai iespēju līgumiem. </w:t>
      </w:r>
    </w:p>
    <w:p w14:paraId="2DCD1B55" w14:textId="77777777">
      <w:pPr>
        <w:pStyle w:val="BodyText"/>
        <w:ind w:left="567"/>
        <w:rPr>
          <w:i/>
        </w:rPr>
      </w:pPr>
    </w:p>
    <w:p w14:paraId="337555AF" w14:textId="77777777">
      <w:pPr>
        <w:pStyle w:val="P68B1DB1-BodyText11"/>
        <w:ind w:left="567"/>
        <w:rPr>
          <w:i/>
        </w:rPr>
      </w:pPr>
      <w:r>
        <w:t xml:space="preserve">Šādi pakalpojumi īpaši iekļauj: </w:t>
      </w:r>
    </w:p>
    <w:p w14:paraId="3764E7FA" w14:textId="7CA8CD82">
      <w:pPr>
        <w:pStyle w:val="P68B1DB1-BodyText11"/>
        <w:ind w:left="567"/>
        <w:rPr>
          <w:i/>
        </w:rPr>
      </w:pPr>
      <w:r>
        <w:t xml:space="preserve">a) ieguldījumu pakalpojumi, kas minēti Direktīvas 2004/39/EK pielikumā; kolektīvo ieguldījumu uzņēmumu pakalpojumi; </w:t>
      </w:r>
    </w:p>
    <w:p w14:paraId="5E0AD7FB" w14:textId="67C20460">
      <w:pPr>
        <w:pStyle w:val="P68B1DB1-BodyText11"/>
        <w:ind w:left="567"/>
        <w:rPr>
          <w:i/>
        </w:rPr>
      </w:pPr>
      <w:r>
        <w:t xml:space="preserve">b) pakalpojumi, uz kuriem attiecas darbības, uz kurām attiecas savstarpējā atzīšana, kā minēts Eiropas Parlamenta un Padomes Direktīvas 2013/36/ES (1) I pielikumā; </w:t>
      </w:r>
    </w:p>
    <w:p w14:paraId="48C2F22B" w14:textId="3B1B8A48">
      <w:pPr>
        <w:pStyle w:val="P68B1DB1-BodyText11"/>
        <w:ind w:left="567"/>
        <w:rPr>
          <w:i/>
        </w:rPr>
      </w:pPr>
      <w:r>
        <w:t xml:space="preserve">C) operācijas, uz kurām attiecas Eiropas Parlamenta un Padomes Direktīvā 2009/138/EK (2) minētās apdrošināšanas un pārapdrošināšanas darbības.</w:t>
      </w:r>
    </w:p>
    <w:p w14:paraId="29E9A8E3" w14:textId="77777777">
      <w:pPr>
        <w:pStyle w:val="BodyText"/>
        <w:ind w:left="720"/>
        <w:rPr>
          <w:i/>
        </w:rPr>
      </w:pPr>
    </w:p>
    <w:p w14:paraId="79D13F1F" w14:textId="142C9AC5">
      <w:pPr>
        <w:pStyle w:val="BodyText"/>
        <w:ind w:left="1080"/>
        <w:jc w:val="right"/>
      </w:pPr>
      <w:r>
        <w:t xml:space="preserve">(Direktīvas (ES) 2015/1535 II pielikums)</w:t>
      </w:r>
    </w:p>
    <w:p w14:paraId="0C95D790" w14:textId="77777777">
      <w:pPr>
        <w:pStyle w:val="BodyText"/>
        <w:ind w:left="567"/>
        <w:rPr>
          <w:i/>
          <w:iCs/>
          <w:szCs w:val="24"/>
        </w:rPr>
      </w:pPr>
    </w:p>
    <w:p w14:paraId="7A47117F" w14:textId="7E196DE2">
      <w:pPr>
        <w:pStyle w:val="P68B1DB1-BodyText23"/>
        <w:ind w:left="567"/>
        <w:rPr>
          <w:iCs/>
        </w:rPr>
      </w:pPr>
      <w:r>
        <w:t xml:space="preserve">““regulēts tirgus” ir daudzpusēja sistēma, kuru vada un/vai pārvalda tirgus dalībnieks un kura apvieno vai veicina vairāku trešo personu pirkšanas un pārdošanas interešu apvienošanu attiecībā uz finanšu instrumentiem — sistēmā un saskaņā ar tās nediskrecionārajiem noteikumiem — tā, ka rezultātā tiek noslēgts līgums attiecībā uz finanšu instrumentiem, kurus atļauts tirgot saskaņā ar tā noteikumiem un/vai sistēmām, un kura ir atļauta un darbojas regulāri un saskaņā ar šīs direktīvas III sadaļu;”</w:t>
      </w:r>
    </w:p>
    <w:p w14:paraId="326B89D5" w14:textId="77777777">
      <w:pPr>
        <w:pStyle w:val="BodyText"/>
        <w:ind w:left="567"/>
        <w:rPr>
          <w:i/>
          <w:iCs/>
          <w:szCs w:val="24"/>
        </w:rPr>
      </w:pPr>
    </w:p>
    <w:p w14:paraId="2EE59DAD" w14:textId="7FE2F68F">
      <w:pPr>
        <w:pStyle w:val="P68B1DB1-BodyText24"/>
        <w:ind w:left="567"/>
        <w:jc w:val="right"/>
      </w:pPr>
      <w:r>
        <w:t xml:space="preserve">(Direktīvas (ES) 2014/65 4. panta 21. punkts, </w:t>
      </w:r>
    </w:p>
    <w:p w14:paraId="510D994F" w14:textId="6EE676DC">
      <w:pPr>
        <w:pStyle w:val="P68B1DB1-BodyText24"/>
        <w:ind w:left="567"/>
        <w:jc w:val="right"/>
      </w:pPr>
      <w:r>
        <w:t xml:space="preserve">Direktīvas 2004/39/EK pārstrādāšana) </w:t>
      </w:r>
    </w:p>
    <w:p w14:paraId="4A6FAABA" w14:textId="77777777">
      <w:pPr>
        <w:pStyle w:val="BodyText"/>
        <w:rPr>
          <w:i/>
          <w:iCs/>
          <w:sz w:val="20"/>
        </w:rPr>
      </w:pPr>
    </w:p>
    <w:p w14:paraId="0469372E" w14:textId="4281AF71">
      <w:pPr>
        <w:widowControl w:val="0"/>
        <w:autoSpaceDE w:val="0"/>
        <w:autoSpaceDN w:val="0"/>
        <w:spacing w:after="0" w:line="240" w:lineRule="auto"/>
        <w:jc w:val="both"/>
        <w:rPr>
          <w:rFonts w:ascii="Times New Roman" w:hAnsi="Times New Roman" w:cs="Times New Roman" w:eastAsia="Times New Roman"/>
          <w:i/>
          <w:iCs/>
          <w:sz w:val="20"/>
          <w:szCs w:val="16"/>
        </w:rPr>
      </w:pPr>
      <w:hyperlink r:id="rId71" w:history="1">
        <w:r>
          <w:rPr>
            <w:rStyle w:val="Hyperlink"/>
            <w:rFonts w:ascii="Times New Roman" w:hAnsi="Times New Roman" w:cs="Times New Roman" w:eastAsia="Times New Roman"/>
            <w:b/>
            <w:i/>
            <w:color w:val="0000FF"/>
            <w:szCs w:val="20"/>
          </w:rPr>
          <w:t xml:space="preserve">Spriedums, 2005. gada 2. jūnijs</w:t>
        </w:r>
      </w:hyperlink>
      <w:r>
        <w:rPr>
          <w:rFonts w:ascii="Times New Roman" w:hAnsi="Times New Roman" w:cs="Times New Roman" w:eastAsia="Times New Roman"/>
          <w:b/>
          <w:i/>
          <w:szCs w:val="20"/>
        </w:rPr>
        <w:t xml:space="preserve">, Mediakabel BV, C-89/04, EU:C:2005:348, 22. un 23. punkts.</w:t>
      </w:r>
    </w:p>
    <w:p w14:paraId="5376935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5F56159" w14:textId="0FDB95BE">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Televīzijas apraides pakalpojums, kas ir pieejams pēc abonenta pieprasījuma un ko veido filmas, kuru frekvenci un laiku nosaka pakalpojuma sniedzējs, ir pakalpojums “gandrīz pieprasījumvideo”, uz kuru attiecas jēdziens “televīzijas apraides pakalpojumi”. Šis jēdziens ir autonomi definēts Direktīvā 2010/13/ES (iepriekš — Direktīva 89/552/EEK) neatkarīgi no jēdziena “informācijas sabiedrības pakalpojums”.</w:t>
      </w:r>
    </w:p>
    <w:p w14:paraId="558582FC"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2B878292" w14:textId="6F6E7A42">
      <w:pPr>
        <w:pStyle w:val="P68B1DB1-Normal15"/>
        <w:widowControl w:val="0"/>
        <w:autoSpaceDE w:val="0"/>
        <w:autoSpaceDN w:val="0"/>
        <w:spacing w:after="0" w:line="240" w:lineRule="auto"/>
        <w:ind w:left="567"/>
        <w:jc w:val="both"/>
      </w:pPr>
      <w:r>
        <w:t xml:space="preserve">“22. [..] jēdziena “televīzijas apraide” tvērumu noteikti nevar izsecināt no jēdziena “informācijas sabiedrības pakalpojums” piemērošanas jomas. Direktīvas 98/34 1. panta 2. punktā un V pielikumā ir minēti pakalpojumi, uz kuriem neattiecas “informācijas sabiedrības pakalpojumu” jēdziens, bet kas tāpēc nav arī televīzijas apraides pakalpojumi. It īpaši tas ir piemērojams radio skaņas pārraižu pakalpojumiem. Tāpat televīzijas apraides pakalpojumi neaprobežojas tikai ar Direktīvas 98/34 V pielikuma 3. punktā norādītajiem pakalpojumiem, ko “sniedz ar datu pārraidi bez individuāla pieprasījuma un ko vienlaicīgi saņem neierobežots skaits individuālu saņēmēju”. Šīs interpretācijas izmantošanas rezultātā tādi pakalpojumi kā abonentu televīzija, ko izplata neierobežotam individuālu saņēmēju skaitam, tiktu izslēgti no “televīzijas apraides” pakalpojumu jēdziena, lai gan tie šajā jēdzienā ietilpst uz Direktīvas 89/552 1. panta a) punktā noteikto kritēriju pamata.</w:t>
      </w:r>
    </w:p>
    <w:p w14:paraId="08A8E406" w14:textId="77777777">
      <w:pPr>
        <w:pStyle w:val="P68B1DB1-Normal15"/>
        <w:widowControl w:val="0"/>
        <w:autoSpaceDE w:val="0"/>
        <w:autoSpaceDN w:val="0"/>
        <w:spacing w:after="0" w:line="240" w:lineRule="auto"/>
        <w:ind w:left="567"/>
        <w:jc w:val="both"/>
      </w:pPr>
    </w:p>
    <w:p w14:paraId="1DB468BF" w14:textId="6C9EEDEF">
      <w:pPr>
        <w:pStyle w:val="P68B1DB1-Normal15"/>
        <w:widowControl w:val="0"/>
        <w:autoSpaceDE w:val="0"/>
        <w:autoSpaceDN w:val="0"/>
        <w:spacing w:after="0" w:line="240" w:lineRule="auto"/>
        <w:ind w:left="567"/>
        <w:jc w:val="both"/>
        <w:rPr>
          <w:iCs/>
        </w:rPr>
      </w:pPr>
      <w:r>
        <w:t xml:space="preserve">23. Visbeidzot, pieņemot Direktīvu 98/34 un Direktīvu 98/48, Kopienu likumdevējam nebija nodoma veikt grozījumus Direktīvā 89/552, kura pirms gada tika grozīta ar Direktīvu 97/36. Tādējādi Direktīvas 98/48, ar ko grozīja Direktīvu 98/34, preambulas 20. apsvērumā ir noteikts, ka Direktīva 98/48 “neskar [..] Direktīvas 89/552 darbības jomu”.</w:t>
      </w:r>
    </w:p>
    <w:p w14:paraId="044761EE" w14:textId="77777777">
      <w:pPr>
        <w:widowControl w:val="0"/>
        <w:autoSpaceDE w:val="0"/>
        <w:autoSpaceDN w:val="0"/>
        <w:spacing w:after="0" w:line="240" w:lineRule="auto"/>
        <w:jc w:val="both"/>
        <w:outlineLvl w:val="1"/>
      </w:pPr>
    </w:p>
    <w:p w14:paraId="52CB59CA" w14:textId="489ADDC7">
      <w:pPr>
        <w:pStyle w:val="P68B1DB1-Normal13"/>
        <w:widowControl w:val="0"/>
        <w:autoSpaceDE w:val="0"/>
        <w:autoSpaceDN w:val="0"/>
        <w:spacing w:after="0" w:line="240" w:lineRule="auto"/>
        <w:jc w:val="both"/>
        <w:outlineLvl w:val="1"/>
      </w:pPr>
      <w:hyperlink r:id="rId72" w:history="1">
        <w:r>
          <w:rPr>
            <w:color w:val="0000FF"/>
            <w:u w:val="single"/>
          </w:rPr>
          <w:t xml:space="preserve">Spriedums, 2019. gada 12. septembris</w:t>
        </w:r>
      </w:hyperlink>
      <w:r>
        <w:t xml:space="preserve">, VG Media, C-299/17, EU:C:2019:716, 38. punkts.</w:t>
      </w:r>
      <w:bookmarkEnd w:id="120"/>
    </w:p>
    <w:p w14:paraId="5E406CB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8980D4F" w14:textId="59AFD09D">
      <w:pPr>
        <w:pStyle w:val="P68B1DB1-Normal14"/>
        <w:widowControl w:val="0"/>
        <w:autoSpaceDE w:val="0"/>
        <w:autoSpaceDN w:val="0"/>
        <w:spacing w:after="0" w:line="240" w:lineRule="auto"/>
        <w:jc w:val="both"/>
      </w:pPr>
      <w:r>
        <w:t xml:space="preserve">“Tehniskie noteikumi” intelektuālā īpašuma jomā atšķirībā no tiem, kas attiecas uz telekomunikācijām vai finanšu pakalpojumiem, nav izslēgti no direktīvas piemērošanas jomas.</w:t>
      </w:r>
    </w:p>
    <w:p w14:paraId="2C438590"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5A61B68C" w14:textId="2AD8E891">
      <w:pPr>
        <w:pStyle w:val="P68B1DB1-Normal15"/>
        <w:widowControl w:val="0"/>
        <w:autoSpaceDE w:val="0"/>
        <w:autoSpaceDN w:val="0"/>
        <w:spacing w:after="0" w:line="240" w:lineRule="auto"/>
        <w:ind w:left="567"/>
        <w:jc w:val="both"/>
        <w:rPr>
          <w:iCs/>
        </w:rPr>
      </w:pPr>
      <w:r>
        <w:t>“</w:t>
      </w:r>
      <w:r>
        <w:t xml:space="preserve">38. [..] tas, ka UrhG 87.g panta 4. punkts ir daļa no valsts tiesiskā regulējuma autortiesību vai blakustiesību jomā, nevar likt apšaubīt šo vērtējumu. Proti, tehniskie noteikumi intelektuālā īpašuma jomā nav tieši izslēgti no Direktīvas 98/34 1. panta 5. punkta piemērošanas jomas atšķirībā no tiem noteikumiem, kuri veido Eiropas regulējumu telekomunikāciju vai finanšu pakalpojumu jomā. Turklāt no 2007. gada 8. novembra sprieduma Schwibbert (C 20/05,</w:t>
        <w:noBreakHyphen/>
        <w:t xml:space="preserve">EU:C:2007:652) izriet, ka valsts intelektuālā īpašuma tiesību normas var būt “tehniski noteikumi”, par kuriem ir jāpaziņo saskaņā ar šīs direktīvas 8. panta 1. punktu.”</w:t>
      </w:r>
    </w:p>
    <w:p w14:paraId="0BCBB4FB" w14:textId="0520F280">
      <w:pPr>
        <w:pStyle w:val="P68B1DB1-Normal16"/>
        <w:spacing w:after="0" w:line="240" w:lineRule="auto"/>
        <w:rPr>
          <w:i/>
          <w:iCs/>
        </w:rPr>
      </w:pPr>
      <w:r>
        <w:br w:type="page"/>
      </w:r>
    </w:p>
    <w:p w14:paraId="2B0FDBC5" w14:textId="7963B447">
      <w:pPr>
        <w:pStyle w:val="P68B1DB1-Heading13"/>
        <w:numPr>
          <w:ilvl w:val="0"/>
          <w:numId w:val="34"/>
        </w:numPr>
        <w:spacing w:before="0" w:after="0"/>
        <w:jc w:val="center"/>
        <w:rPr>
          <w:color w:val="auto"/>
        </w:rPr>
      </w:pPr>
      <w:bookmarkStart w:id="121" w:name="_Ref194485776"/>
      <w:bookmarkStart w:id="122" w:name="_Toc203035673"/>
      <w:r>
        <w:t xml:space="preserve">Paziņošanas pienākums</w:t>
      </w:r>
      <w:bookmarkEnd w:id="121"/>
      <w:bookmarkEnd w:id="122"/>
    </w:p>
    <w:p w14:paraId="29E2BE4E" w14:textId="77777777">
      <w:pPr>
        <w:pStyle w:val="BodyText"/>
      </w:pPr>
    </w:p>
    <w:p w14:paraId="480A7F64" w14:textId="46AC3047">
      <w:pPr>
        <w:pStyle w:val="P68B1DB1-Heading24"/>
        <w:numPr>
          <w:ilvl w:val="0"/>
          <w:numId w:val="36"/>
        </w:numPr>
        <w:spacing w:before="0" w:after="0"/>
        <w:jc w:val="center"/>
        <w:rPr>
          <w:bCs/>
          <w:color w:val="auto"/>
        </w:rPr>
      </w:pPr>
      <w:bookmarkStart w:id="123" w:name="_Ref194942628"/>
      <w:bookmarkStart w:id="124" w:name="_Toc203035674"/>
      <w:bookmarkStart w:id="125" w:name="_Ref194484702"/>
      <w:r>
        <w:t xml:space="preserve">Paziņojums projekta posmā</w:t>
      </w:r>
      <w:bookmarkEnd w:id="123"/>
      <w:bookmarkEnd w:id="124"/>
    </w:p>
    <w:p w14:paraId="27EBED2C" w14:textId="3CCBF668">
      <w:pPr>
        <w:pStyle w:val="BodyText"/>
        <w:rPr>
          <w:b/>
          <w:bCs/>
        </w:rPr>
      </w:pPr>
    </w:p>
    <w:p w14:paraId="58135D0C" w14:textId="021350D1">
      <w:pPr>
        <w:pStyle w:val="P68B1DB1-BodyText11"/>
        <w:ind w:left="567"/>
        <w:rPr>
          <w:iCs/>
        </w:rPr>
      </w:pPr>
      <w:r>
        <w:t xml:space="preserve">“Ievērojot 7. pantu, dalībvalstis nekavējoties dara Komisijai zināmu jebkuru tehnisko noteikumu projektu, izņemot gadījumus, kad tas tikai transponē visu starptautiskā vai Eiropas standarta tekstu, un tādā gadījumā pietiek ar informāciju par attiecīgo standartu; tās arī dara Komisijai zināmu pamatojumu, kāpēc šādu tehnisku noteikumu pieņemšana ir nepieciešama, ja šie iemesli jau nav skaidri izklāstīti projektā.”</w:t>
      </w:r>
    </w:p>
    <w:p w14:paraId="79E57C28" w14:textId="77777777">
      <w:pPr>
        <w:pStyle w:val="BodyText"/>
        <w:ind w:left="567"/>
        <w:rPr>
          <w:i/>
          <w:iCs/>
        </w:rPr>
      </w:pPr>
    </w:p>
    <w:p w14:paraId="4348B9F9" w14:textId="1F348A6E">
      <w:pPr>
        <w:pStyle w:val="BodyText"/>
        <w:jc w:val="right"/>
      </w:pPr>
      <w:r>
        <w:t xml:space="preserve">(Direktīvas (ES) 2015/1535 5. panta 1. punkta pirmais teikums)</w:t>
      </w:r>
    </w:p>
    <w:p w14:paraId="41A26F8C" w14:textId="77777777">
      <w:pPr>
        <w:pStyle w:val="BodyText"/>
        <w:rPr>
          <w:b/>
          <w:bCs/>
        </w:rPr>
      </w:pPr>
    </w:p>
    <w:p w14:paraId="39D0E534" w14:textId="627C2341">
      <w:pPr>
        <w:pStyle w:val="P68B1DB1-Normal13"/>
        <w:widowControl w:val="0"/>
        <w:autoSpaceDE w:val="0"/>
        <w:autoSpaceDN w:val="0"/>
        <w:spacing w:after="0" w:line="240" w:lineRule="auto"/>
        <w:jc w:val="both"/>
        <w:outlineLvl w:val="1"/>
      </w:pPr>
      <w:hyperlink r:id="rId73" w:history="1">
        <w:r>
          <w:rPr>
            <w:color w:val="0000FF"/>
            <w:u w:val="single"/>
          </w:rPr>
          <w:t xml:space="preserve">Spriedums, 1993. gada 2. augusts</w:t>
        </w:r>
      </w:hyperlink>
      <w:r>
        <w:t xml:space="preserve">, Komisija/Itālija, C-139/92, EU:C:1993:346, 8. un 9. punkts.</w:t>
      </w:r>
      <w:bookmarkEnd w:id="126"/>
    </w:p>
    <w:p w14:paraId="1DF5BE21"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7852024" w14:textId="67891414">
      <w:pPr>
        <w:widowControl w:val="0"/>
        <w:tabs>
          <w:tab w:val="left" w:pos="413"/>
        </w:tabs>
        <w:autoSpaceDE w:val="0"/>
        <w:autoSpaceDN w:val="0"/>
        <w:spacing w:after="0" w:line="240" w:lineRule="auto"/>
        <w:jc w:val="both"/>
        <w:rPr>
          <w:rFonts w:ascii="Times New Roman" w:hAnsi="Times New Roman" w:cs="Times New Roman" w:eastAsia="Times New Roman"/>
          <w:szCs w:val="20"/>
        </w:rPr>
        <w:pStyle w:val="P68B1DB1-Normal14"/>
      </w:pPr>
      <w:r>
        <w:t xml:space="preserve">Projekta stadijā nepaziņojot ministrijas dekrētu par maksimālās jaudas noteikšanu un pārbaudi, kā arī izpriecu kuģu dzinēju būvniecību un uzstādīšanu, Itālija nav izpildījusi savu pienākumu paziņot tehnisko noteikumu projektu.</w:t>
      </w:r>
    </w:p>
    <w:p w14:paraId="478B471D" w14:textId="77777777">
      <w:pPr>
        <w:widowControl w:val="0"/>
        <w:tabs>
          <w:tab w:val="left" w:pos="413"/>
        </w:tabs>
        <w:autoSpaceDE w:val="0"/>
        <w:autoSpaceDN w:val="0"/>
        <w:spacing w:after="0" w:line="240" w:lineRule="auto"/>
        <w:jc w:val="both"/>
        <w:rPr>
          <w:rFonts w:ascii="Times New Roman" w:hAnsi="Times New Roman" w:cs="Times New Roman" w:eastAsia="Times New Roman"/>
          <w:szCs w:val="20"/>
        </w:rPr>
      </w:pPr>
    </w:p>
    <w:p w14:paraId="622C52BD" w14:textId="5E5EDE3D">
      <w:pPr>
        <w:pStyle w:val="P68B1DB1-Normal15"/>
        <w:widowControl w:val="0"/>
        <w:tabs>
          <w:tab w:val="left" w:pos="413"/>
        </w:tabs>
        <w:autoSpaceDE w:val="0"/>
        <w:autoSpaceDN w:val="0"/>
        <w:spacing w:after="0" w:line="240" w:lineRule="auto"/>
        <w:ind w:left="567"/>
        <w:jc w:val="both"/>
      </w:pPr>
      <w:r>
        <w:t xml:space="preserve">“8. Itālijas valdība neapstrīd, ka tā nav paziņojusi Komisijai attiecīgo ministrijas dekrētu projekta stadijā. </w:t>
      </w:r>
    </w:p>
    <w:p w14:paraId="7A672690" w14:textId="77777777">
      <w:pPr>
        <w:pStyle w:val="P68B1DB1-Normal15"/>
        <w:widowControl w:val="0"/>
        <w:tabs>
          <w:tab w:val="left" w:pos="413"/>
        </w:tabs>
        <w:autoSpaceDE w:val="0"/>
        <w:autoSpaceDN w:val="0"/>
        <w:spacing w:after="0" w:line="240" w:lineRule="auto"/>
        <w:ind w:left="567"/>
        <w:jc w:val="both"/>
      </w:pPr>
    </w:p>
    <w:p w14:paraId="29BAA761" w14:textId="7880A2A6">
      <w:pPr>
        <w:pStyle w:val="P68B1DB1-Normal15"/>
        <w:widowControl w:val="0"/>
        <w:tabs>
          <w:tab w:val="left" w:pos="413"/>
        </w:tabs>
        <w:autoSpaceDE w:val="0"/>
        <w:autoSpaceDN w:val="0"/>
        <w:spacing w:after="0" w:line="240" w:lineRule="auto"/>
        <w:ind w:left="567"/>
        <w:jc w:val="both"/>
      </w:pPr>
      <w:r>
        <w:t xml:space="preserve">9. Tā kā ir konstatēts, ka ir pārkāpts direktīvas 8. un 9. pants, Komisijas prasītajā redakcijā ir jākonstatē pienākumu neizpilde.”</w:t>
      </w:r>
    </w:p>
    <w:p w14:paraId="78B40755" w14:textId="77777777">
      <w:pPr>
        <w:widowControl w:val="0"/>
        <w:tabs>
          <w:tab w:val="left" w:pos="413"/>
        </w:tabs>
        <w:autoSpaceDE w:val="0"/>
        <w:autoSpaceDN w:val="0"/>
        <w:spacing w:after="0" w:line="240" w:lineRule="auto"/>
        <w:ind w:left="567"/>
        <w:jc w:val="both"/>
        <w:rPr>
          <w:rFonts w:ascii="Times New Roman" w:hAnsi="Times New Roman" w:cs="Times New Roman" w:eastAsia="Times New Roman"/>
          <w:i/>
          <w:iCs/>
          <w:sz w:val="20"/>
          <w:szCs w:val="16"/>
        </w:rPr>
      </w:pPr>
    </w:p>
    <w:p w14:paraId="2D8A3294" w14:textId="363AC32B">
      <w:pPr>
        <w:pStyle w:val="P68B1DB1-Normal13"/>
        <w:widowControl w:val="0"/>
        <w:autoSpaceDE w:val="0"/>
        <w:autoSpaceDN w:val="0"/>
        <w:spacing w:after="0" w:line="240" w:lineRule="auto"/>
        <w:jc w:val="both"/>
        <w:outlineLvl w:val="1"/>
      </w:pPr>
      <w:hyperlink r:id="rId74" w:history="1">
        <w:r>
          <w:rPr>
            <w:color w:val="0000FF"/>
            <w:u w:val="single"/>
          </w:rPr>
          <w:t xml:space="preserve">Spriedums, 1994. gada 14. jūlijs</w:t>
        </w:r>
      </w:hyperlink>
      <w:r>
        <w:t xml:space="preserve">, Komisija/Nīderlande, C-61/93, EU:C:1994:302, 6. un 10. punkts.</w:t>
      </w:r>
      <w:bookmarkEnd w:id="127"/>
    </w:p>
    <w:p w14:paraId="29C3246B"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E58EFBE" w14:textId="7468B0CD">
      <w:pPr>
        <w:pStyle w:val="P68B1DB1-Normal14"/>
        <w:widowControl w:val="0"/>
        <w:tabs>
          <w:tab w:val="left" w:pos="405"/>
        </w:tabs>
        <w:autoSpaceDE w:val="0"/>
        <w:autoSpaceDN w:val="0"/>
        <w:spacing w:after="0" w:line="240" w:lineRule="auto"/>
        <w:jc w:val="both"/>
      </w:pPr>
      <w:r>
        <w:t xml:space="preserve">Pieņemot dekrētus par bezalkoholisko dzērienu pudeļu rezistences prasībām, kā arī par pesticīdu sastāvu, klasifikāciju, iepakošanu un marķēšanu, tos nepaziņojot Komisijai projekta stadijā, Nīderlande nav izpildījusi savus pienākumus paziņot tehnisko noteikumu projektus.</w:t>
      </w:r>
    </w:p>
    <w:p w14:paraId="74F221D0" w14:textId="77777777">
      <w:pPr>
        <w:widowControl w:val="0"/>
        <w:tabs>
          <w:tab w:val="left" w:pos="405"/>
        </w:tabs>
        <w:autoSpaceDE w:val="0"/>
        <w:autoSpaceDN w:val="0"/>
        <w:spacing w:after="0" w:line="240" w:lineRule="auto"/>
        <w:jc w:val="both"/>
        <w:rPr>
          <w:rFonts w:ascii="Times New Roman" w:hAnsi="Times New Roman" w:cs="Times New Roman" w:eastAsia="Times New Roman"/>
          <w:szCs w:val="20"/>
        </w:rPr>
      </w:pPr>
    </w:p>
    <w:p w14:paraId="080827F2" w14:textId="79ECA7FF">
      <w:pPr>
        <w:pStyle w:val="P68B1DB1-Normal15"/>
        <w:widowControl w:val="0"/>
        <w:tabs>
          <w:tab w:val="left" w:pos="405"/>
        </w:tabs>
        <w:autoSpaceDE w:val="0"/>
        <w:autoSpaceDN w:val="0"/>
        <w:spacing w:after="0" w:line="240" w:lineRule="auto"/>
        <w:ind w:left="567"/>
        <w:jc w:val="both"/>
        <w:rPr>
          <w:iCs/>
        </w:rPr>
      </w:pPr>
      <w:r>
        <w:t xml:space="preserve">“6. 1989. gada 17. novembra vēstulē Nīderlandes iestādes atzina, ka 1989. gada 16. janvāra dekrēts ietver tehniskos standartus, uz kuriem attiecas Direktīva 83/189, un ka tās nav paziņojušas Komisijai par grozījumu projektu. Tomēr tās norādīja, ka dekrēts tika nosūtīts Komisijai, kas bija pievienots 1989. gada 22. maija vēstulei, kurā šai iestādei bija sniegta informācija par svaru un mēru privatizāciju.”</w:t>
      </w:r>
    </w:p>
    <w:p w14:paraId="3BF11A4C" w14:textId="77777777">
      <w:pPr>
        <w:widowControl w:val="0"/>
        <w:tabs>
          <w:tab w:val="left" w:pos="405"/>
        </w:tabs>
        <w:autoSpaceDE w:val="0"/>
        <w:autoSpaceDN w:val="0"/>
        <w:spacing w:after="0" w:line="240" w:lineRule="auto"/>
        <w:ind w:left="567"/>
        <w:jc w:val="both"/>
        <w:rPr>
          <w:rFonts w:ascii="Times New Roman" w:hAnsi="Times New Roman" w:cs="Times New Roman" w:eastAsia="Times New Roman"/>
          <w:i/>
          <w:iCs/>
          <w:sz w:val="20"/>
          <w:szCs w:val="16"/>
        </w:rPr>
      </w:pPr>
    </w:p>
    <w:p w14:paraId="2B8AB5F8" w14:textId="06F5DED9">
      <w:pPr>
        <w:pStyle w:val="P68B1DB1-Normal15"/>
        <w:widowControl w:val="0"/>
        <w:tabs>
          <w:tab w:val="left" w:pos="405"/>
        </w:tabs>
        <w:autoSpaceDE w:val="0"/>
        <w:autoSpaceDN w:val="0"/>
        <w:spacing w:after="0" w:line="240" w:lineRule="auto"/>
        <w:ind w:left="567"/>
        <w:jc w:val="both"/>
        <w:rPr>
          <w:iCs/>
        </w:rPr>
      </w:pPr>
      <w:r>
        <w:t xml:space="preserve">“10. Netiek apstrīdēts, ka saskaņā ar direktīvas 8. pantu 1989. gada 16. janvāra, 1988. gada 24. augusta un 1988. gada 21. oktobra dekrētu projekti bija nekavējoties jāpaziņo Komisijai izstrādes stadijā un ka šāds paziņojums netika iesniegts.”</w:t>
      </w:r>
    </w:p>
    <w:p w14:paraId="0373B534"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8FB31A8" w14:textId="5B58EFDA">
      <w:pPr>
        <w:pStyle w:val="P68B1DB1-Normal13"/>
        <w:widowControl w:val="0"/>
        <w:autoSpaceDE w:val="0"/>
        <w:autoSpaceDN w:val="0"/>
        <w:spacing w:after="0" w:line="240" w:lineRule="auto"/>
        <w:jc w:val="both"/>
        <w:outlineLvl w:val="1"/>
      </w:pPr>
      <w:hyperlink r:id="rId75" w:history="1">
        <w:r>
          <w:rPr>
            <w:color w:val="0000FF"/>
            <w:u w:val="single"/>
          </w:rPr>
          <w:t xml:space="preserve">Spriedums, 1994. gada 14. jūlijs</w:t>
        </w:r>
      </w:hyperlink>
      <w:r>
        <w:t xml:space="preserve">, Komisija/Nīderlande, C-52/93, EU:C:1994:301, 6. un 10. punkts.</w:t>
      </w:r>
      <w:bookmarkEnd w:id="128"/>
    </w:p>
    <w:p w14:paraId="27ACC27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9AE01B0" w14:textId="3AD35C06">
      <w:pPr>
        <w:pStyle w:val="P68B1DB1-Normal14"/>
        <w:widowControl w:val="0"/>
        <w:tabs>
          <w:tab w:val="left" w:pos="400"/>
        </w:tabs>
        <w:autoSpaceDE w:val="0"/>
        <w:autoSpaceDN w:val="0"/>
        <w:spacing w:after="0" w:line="240" w:lineRule="auto"/>
        <w:jc w:val="both"/>
      </w:pPr>
      <w:r>
        <w:t xml:space="preserve">Grozot regulu par puķu sīpolu kvalitātes standartiem, par to nepaziņojot Komisijai projekta stadijā, Nīderlande nav izpildījusi savu pienākumu paziņot tehnisko noteikumu projektu.</w:t>
      </w:r>
    </w:p>
    <w:p w14:paraId="13839355" w14:textId="77777777">
      <w:pPr>
        <w:widowControl w:val="0"/>
        <w:tabs>
          <w:tab w:val="left" w:pos="400"/>
        </w:tabs>
        <w:autoSpaceDE w:val="0"/>
        <w:autoSpaceDN w:val="0"/>
        <w:spacing w:after="0" w:line="240" w:lineRule="auto"/>
        <w:jc w:val="both"/>
        <w:rPr>
          <w:rFonts w:ascii="Times New Roman" w:hAnsi="Times New Roman" w:cs="Times New Roman" w:eastAsia="Times New Roman"/>
          <w:szCs w:val="20"/>
        </w:rPr>
      </w:pPr>
    </w:p>
    <w:p w14:paraId="39B7E7EA" w14:textId="2172CC07">
      <w:pPr>
        <w:pStyle w:val="P68B1DB1-Normal15"/>
        <w:widowControl w:val="0"/>
        <w:tabs>
          <w:tab w:val="left" w:pos="400"/>
        </w:tabs>
        <w:autoSpaceDE w:val="0"/>
        <w:autoSpaceDN w:val="0"/>
        <w:spacing w:after="0" w:line="240" w:lineRule="auto"/>
        <w:ind w:left="567"/>
        <w:jc w:val="both"/>
        <w:rPr>
          <w:iCs/>
        </w:rPr>
      </w:pPr>
      <w:r>
        <w:t xml:space="preserve">“6. Ar 1991. gada 4. novembra vēstuli Nīderlandes iestādes atzina, ka attiecīgie noteikumi ir tehniski noteikumi Direktīvas 83/189 izpratnē un ka tās nav paziņojušas Komisijai par grozījumu projektu.”</w:t>
      </w:r>
    </w:p>
    <w:p w14:paraId="5F48D326" w14:textId="77777777">
      <w:pPr>
        <w:widowControl w:val="0"/>
        <w:tabs>
          <w:tab w:val="left" w:pos="400"/>
        </w:tabs>
        <w:autoSpaceDE w:val="0"/>
        <w:autoSpaceDN w:val="0"/>
        <w:spacing w:after="0" w:line="240" w:lineRule="auto"/>
        <w:ind w:left="567"/>
        <w:jc w:val="both"/>
        <w:rPr>
          <w:rFonts w:ascii="Times New Roman" w:hAnsi="Times New Roman" w:cs="Times New Roman" w:eastAsia="Times New Roman"/>
          <w:i/>
          <w:iCs/>
          <w:sz w:val="20"/>
          <w:szCs w:val="16"/>
        </w:rPr>
      </w:pPr>
    </w:p>
    <w:p w14:paraId="07D93C2A" w14:textId="4C09EDED">
      <w:pPr>
        <w:pStyle w:val="P68B1DB1-Normal15"/>
        <w:widowControl w:val="0"/>
        <w:tabs>
          <w:tab w:val="left" w:pos="400"/>
        </w:tabs>
        <w:autoSpaceDE w:val="0"/>
        <w:autoSpaceDN w:val="0"/>
        <w:spacing w:after="0" w:line="240" w:lineRule="auto"/>
        <w:ind w:left="567"/>
        <w:jc w:val="both"/>
        <w:rPr>
          <w:iCs/>
        </w:rPr>
      </w:pPr>
      <w:r>
        <w:t xml:space="preserve">“10. Netiek apstrīdēts, ka saskaņā ar direktīvas 8. pantu PVS regulas XIII grozījuma projekts bija nekavējoties jāpaziņo Komisijai un ka šāds paziņojums netika sniegts.”</w:t>
      </w:r>
    </w:p>
    <w:p w14:paraId="33E5C531"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0CAA98B" w14:textId="07507EC2">
      <w:pPr>
        <w:pStyle w:val="P68B1DB1-Normal13"/>
        <w:widowControl w:val="0"/>
        <w:autoSpaceDE w:val="0"/>
        <w:autoSpaceDN w:val="0"/>
        <w:spacing w:after="0" w:line="240" w:lineRule="auto"/>
        <w:jc w:val="both"/>
        <w:outlineLvl w:val="1"/>
      </w:pPr>
      <w:hyperlink r:id="rId76" w:history="1">
        <w:r>
          <w:rPr>
            <w:color w:val="0000FF"/>
            <w:u w:val="single"/>
          </w:rPr>
          <w:t xml:space="preserve">Spriedums, 2005. gada 8. septembris,</w:t>
        </w:r>
      </w:hyperlink>
      <w:r>
        <w:t xml:space="preserve"> Komisija/Portugāle, C-500/03, EU:C:2005:515, 39.–41. punkts.</w:t>
      </w:r>
      <w:bookmarkEnd w:id="129"/>
    </w:p>
    <w:p w14:paraId="49D6EA93"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4F1E244" w14:textId="4211A048">
      <w:pPr>
        <w:pStyle w:val="P68B1DB1-Normal14"/>
        <w:widowControl w:val="0"/>
        <w:tabs>
          <w:tab w:val="left" w:pos="467"/>
        </w:tabs>
        <w:autoSpaceDE w:val="0"/>
        <w:autoSpaceDN w:val="0"/>
        <w:spacing w:after="0" w:line="240" w:lineRule="auto"/>
        <w:jc w:val="both"/>
      </w:pPr>
      <w:r>
        <w:t xml:space="preserve">Direktīvā noteikts, ka dalībvalstīm nekavējoties jāpaziņo Komisijai par jebkuru tehnisko noteikumu projektu. Pieņemot tehniskos noteikumus, par tiem nepaziņojot Komisijai, Portugāle nav izpildījusi savu pienākumu paziņot tehnisko noteikumu projektu.</w:t>
      </w:r>
    </w:p>
    <w:p w14:paraId="5E8234E0" w14:textId="77777777">
      <w:pPr>
        <w:widowControl w:val="0"/>
        <w:tabs>
          <w:tab w:val="left" w:pos="467"/>
        </w:tabs>
        <w:autoSpaceDE w:val="0"/>
        <w:autoSpaceDN w:val="0"/>
        <w:spacing w:after="0" w:line="240" w:lineRule="auto"/>
        <w:ind w:left="-142"/>
        <w:jc w:val="both"/>
        <w:rPr>
          <w:rFonts w:ascii="Times New Roman" w:hAnsi="Times New Roman" w:cs="Times New Roman" w:eastAsia="Times New Roman"/>
          <w:szCs w:val="20"/>
        </w:rPr>
      </w:pPr>
    </w:p>
    <w:p w14:paraId="3B2937C4" w14:textId="73811036">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(Tā kā spriedums ir pieejams tikai franču un portugāļu valodā, turpmāk minētais teksts ir tulkojums.)</w:t>
      </w:r>
    </w:p>
    <w:p w14:paraId="534A01FA" w14:textId="77777777">
      <w:pPr>
        <w:widowControl w:val="0"/>
        <w:tabs>
          <w:tab w:val="left" w:pos="467"/>
        </w:tabs>
        <w:autoSpaceDE w:val="0"/>
        <w:autoSpaceDN w:val="0"/>
        <w:spacing w:after="0" w:line="240" w:lineRule="auto"/>
        <w:ind w:left="-142"/>
        <w:jc w:val="both"/>
        <w:rPr>
          <w:rFonts w:ascii="Times New Roman" w:hAnsi="Times New Roman" w:cs="Times New Roman" w:eastAsia="Times New Roman"/>
          <w:szCs w:val="20"/>
        </w:rPr>
      </w:pPr>
    </w:p>
    <w:p w14:paraId="44335DFA" w14:textId="33F97E95">
      <w:pPr>
        <w:pStyle w:val="P68B1DB1-Normal15"/>
        <w:widowControl w:val="0"/>
        <w:tabs>
          <w:tab w:val="left" w:pos="467"/>
        </w:tabs>
        <w:autoSpaceDE w:val="0"/>
        <w:autoSpaceDN w:val="0"/>
        <w:spacing w:after="0" w:line="240" w:lineRule="auto"/>
        <w:ind w:left="567"/>
        <w:jc w:val="both"/>
        <w:rPr>
          <w:iCs/>
        </w:rPr>
      </w:pPr>
      <w:r>
        <w:t xml:space="preserve">“39. Tā kā šī prasība sakarā ar pienākumu neizpildi attiecas tikai uz prasību konstatēt formālās iepriekšējas paziņošanas procedūras neievērošanu, pietiek atgādināt, ka Tiesa jau ir nospriedusi, ka Direktīvas 98/34 8. panta 1. punktā dalībvalstīm ir noteikts pienākums nekavējoties paziņot Komisijai par jebkuru tehnisko noteikumu projektu (šajā sakarā attiecībā uz noteikumiem, kas ir līdzīgi šīs direktīvas noteikumiem, skat. it īpaši Tiesas 1993. gada 2. augusta spriedumu lietā 139/92 Komisija/Itālija, Recueil, I 3. lpp., 31. punkts,</w:t>
        <w:noBreakHyphen/>
        <w:t xml:space="preserve">un 1996. gada 11. janvāra spriedumu lietā 273/94 Komisija/Nīderlande [15], Recueil,</w:t>
        <w:noBreakHyphen/>
        <w:t xml:space="preserve">I-0000. lpp.</w:t>
        <w:noBreakHyphen/>
        <w:t xml:space="preserve">, 31. punkts).</w:t>
      </w:r>
    </w:p>
    <w:p w14:paraId="01A9092E" w14:textId="77777777">
      <w:pPr>
        <w:widowControl w:val="0"/>
        <w:tabs>
          <w:tab w:val="left" w:pos="467"/>
        </w:tabs>
        <w:autoSpaceDE w:val="0"/>
        <w:autoSpaceDN w:val="0"/>
        <w:spacing w:after="0" w:line="240" w:lineRule="auto"/>
        <w:ind w:left="567"/>
        <w:jc w:val="both"/>
        <w:rPr>
          <w:rFonts w:ascii="Times New Roman" w:hAnsi="Times New Roman" w:cs="Times New Roman" w:eastAsia="Times New Roman"/>
          <w:i/>
          <w:iCs/>
          <w:sz w:val="20"/>
          <w:szCs w:val="16"/>
        </w:rPr>
      </w:pPr>
    </w:p>
    <w:p w14:paraId="4CD1D685" w14:textId="0579D9AC">
      <w:pPr>
        <w:pStyle w:val="P68B1DB1-Normal15"/>
        <w:widowControl w:val="0"/>
        <w:tabs>
          <w:tab w:val="left" w:pos="467"/>
        </w:tabs>
        <w:autoSpaceDE w:val="0"/>
        <w:autoSpaceDN w:val="0"/>
        <w:spacing w:after="0" w:line="240" w:lineRule="auto"/>
        <w:ind w:left="567"/>
        <w:jc w:val="both"/>
        <w:rPr>
          <w:iCs/>
        </w:rPr>
      </w:pPr>
      <w:r>
        <w:t xml:space="preserve">40. Tā kā attiecīgie Dekrēta Nr. 783/98 noteikumi ir tehniskie noteikumi Direktīvas 98/34 izpratnē, kā tas ir atgādināts šī sprieduma 31. punktā, Portugāles Republikai tie bija jāpaziņo projekta formā saskaņā ar Direktīvas 98/34 8. panta 1. punktu (šajā ziņā attiecībā uz noteikumiem, kas ir līdzīgi Direktīvas 98/34 noteikumiem, skat. it īpaši 1998. gada 7. maija spriedumu lietā 145/97 Komisija/Beļģija,</w:t>
        <w:noBreakHyphen/>
        <w:t>Recueil,</w:t>
        <w:noBreakHyphen/>
        <w:t xml:space="preserve">I-13. lpp., 43. punkts, un 2005. gada 21. aprīļa spriedumu lietā 267/03 Lindberg, </w:t>
        <w:noBreakHyphen/>
        <w:t xml:space="preserve">Recueil, I-0000. lpp., 43. punkts).</w:t>
      </w:r>
    </w:p>
    <w:p w14:paraId="291F779F" w14:textId="77777777">
      <w:pPr>
        <w:widowControl w:val="0"/>
        <w:tabs>
          <w:tab w:val="left" w:pos="467"/>
        </w:tabs>
        <w:autoSpaceDE w:val="0"/>
        <w:autoSpaceDN w:val="0"/>
        <w:spacing w:after="0" w:line="240" w:lineRule="auto"/>
        <w:ind w:left="567"/>
        <w:jc w:val="both"/>
        <w:rPr>
          <w:rFonts w:ascii="Times New Roman" w:hAnsi="Times New Roman" w:cs="Times New Roman" w:eastAsia="Times New Roman"/>
          <w:i/>
          <w:iCs/>
          <w:sz w:val="20"/>
          <w:szCs w:val="16"/>
        </w:rPr>
      </w:pPr>
    </w:p>
    <w:p w14:paraId="06E06802" w14:textId="376F605B">
      <w:pPr>
        <w:pStyle w:val="P68B1DB1-Normal15"/>
        <w:widowControl w:val="0"/>
        <w:tabs>
          <w:tab w:val="left" w:pos="467"/>
        </w:tabs>
        <w:autoSpaceDE w:val="0"/>
        <w:autoSpaceDN w:val="0"/>
        <w:spacing w:after="0" w:line="240" w:lineRule="auto"/>
        <w:ind w:left="567"/>
        <w:jc w:val="both"/>
        <w:rPr>
          <w:iCs/>
        </w:rPr>
      </w:pPr>
      <w:r>
        <w:t xml:space="preserve">41. Līdz ar to ir jākonstatē, ka, pieņemot Rīkojumu Nr. 783/98, par to nepaziņojot Komisijai projekta stadijā, Portugāles Republika nav izpildījusi pienākumus, ko tai uzliek Direktīvas 98/34 8. pants.”</w:t>
      </w:r>
    </w:p>
    <w:p w14:paraId="46D65C64" w14:textId="77777777">
      <w:pPr>
        <w:widowControl w:val="0"/>
        <w:tabs>
          <w:tab w:val="left" w:pos="467"/>
        </w:tabs>
        <w:autoSpaceDE w:val="0"/>
        <w:autoSpaceDN w:val="0"/>
        <w:spacing w:after="0" w:line="240" w:lineRule="auto"/>
        <w:jc w:val="both"/>
        <w:rPr>
          <w:rFonts w:ascii="Times New Roman" w:hAnsi="Times New Roman" w:cs="Times New Roman" w:eastAsia="Times New Roman"/>
          <w:i/>
          <w:iCs/>
          <w:sz w:val="20"/>
          <w:szCs w:val="16"/>
        </w:rPr>
      </w:pPr>
    </w:p>
    <w:p w14:paraId="0E3DB178" w14:textId="7EEA9154">
      <w:pPr>
        <w:pStyle w:val="P68B1DB1-Normal13"/>
        <w:widowControl w:val="0"/>
        <w:autoSpaceDE w:val="0"/>
        <w:autoSpaceDN w:val="0"/>
        <w:spacing w:after="0" w:line="240" w:lineRule="auto"/>
        <w:jc w:val="both"/>
        <w:outlineLvl w:val="1"/>
      </w:pPr>
      <w:hyperlink r:id="rId77" w:history="1">
        <w:r>
          <w:rPr>
            <w:rStyle w:val="Hyperlink"/>
            <w:color w:val="0000FF"/>
          </w:rPr>
          <w:t xml:space="preserve">Spriedums, 2006. gada 26. oktobris,</w:t>
        </w:r>
      </w:hyperlink>
      <w:r>
        <w:t xml:space="preserve"> Komisija/Grieķija, C-65/05, EU:C:2006:673, 60.–62. punkts.</w:t>
      </w:r>
      <w:bookmarkEnd w:id="130"/>
    </w:p>
    <w:p w14:paraId="6FCE0CC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ECD135F" w14:textId="0E173B3B">
      <w:pPr>
        <w:pStyle w:val="P68B1DB1-Normal14"/>
        <w:widowControl w:val="0"/>
        <w:tabs>
          <w:tab w:val="left" w:pos="467"/>
        </w:tabs>
        <w:autoSpaceDE w:val="0"/>
        <w:autoSpaceDN w:val="0"/>
        <w:spacing w:after="0" w:line="240" w:lineRule="auto"/>
        <w:jc w:val="both"/>
      </w:pPr>
      <w:r>
        <w:t xml:space="preserve">Direktīvā noteikts, ka dalībvalstīm nekavējoties jāpaziņo Komisijai par jebkuru tehnisko noteikumu projektu. Nesniedzot šādu paziņojumu pirms tehnisko noteikumu pieņemšanas, Grieķija nav izpildījusi savus pienākumus saskaņā ar šo direktīvu.</w:t>
      </w:r>
    </w:p>
    <w:p w14:paraId="2C6CFEB3" w14:textId="77777777">
      <w:pPr>
        <w:widowControl w:val="0"/>
        <w:tabs>
          <w:tab w:val="left" w:pos="467"/>
        </w:tabs>
        <w:autoSpaceDE w:val="0"/>
        <w:autoSpaceDN w:val="0"/>
        <w:spacing w:after="0" w:line="240" w:lineRule="auto"/>
        <w:ind w:left="-142"/>
        <w:jc w:val="both"/>
        <w:rPr>
          <w:rFonts w:ascii="Times New Roman" w:hAnsi="Times New Roman" w:cs="Times New Roman" w:eastAsia="Times New Roman"/>
          <w:szCs w:val="20"/>
        </w:rPr>
      </w:pPr>
    </w:p>
    <w:p w14:paraId="282FC740" w14:textId="4215BA66">
      <w:pPr>
        <w:pStyle w:val="P68B1DB1-BodyText25"/>
        <w:ind w:left="510"/>
      </w:pPr>
      <w:r>
        <w:t xml:space="preserve">“60. [..] Regulā Nr. 1367/2006 nekas neļauj uzskatīt, ka jēdziens “emisijas vidē” šīs regulas 6. panta 1. punkta pirmā teikuma izpratnē būtu jāattiecina tikai uz emisijām, kas rodas no noteiktām rūpnieciskām iekārtām, piemēram, rūpnīcām un spēkstacijām.</w:t>
      </w:r>
    </w:p>
    <w:p w14:paraId="4BFB9A72" w14:textId="77777777">
      <w:pPr>
        <w:pStyle w:val="P68B1DB1-BodyText25"/>
        <w:ind w:left="510"/>
      </w:pPr>
    </w:p>
    <w:p w14:paraId="0E60EA19" w14:textId="5C6F09B6">
      <w:pPr>
        <w:pStyle w:val="P68B1DB1-BodyText25"/>
        <w:ind w:left="510"/>
      </w:pPr>
      <w:r>
        <w:t xml:space="preserve">61. Šādu ierobežojumu nav iespējams izsecināt arī no Orhūsas konvencijas, kura ir jāņem vērā, interpretējot Regulu Nr. 1367/2006, jo, kā paredzēts tās 1. pantā, šīs regulas mērķis ir veicināt to pienākumu īstenošanu, kas izriet no šīs konvencijas, paredzot noteikumus par konvencijas piemērošanu Savienības iestādēm un struktūrām.</w:t>
      </w:r>
    </w:p>
    <w:p w14:paraId="37017D07" w14:textId="77777777">
      <w:pPr>
        <w:pStyle w:val="P68B1DB1-BodyText25"/>
        <w:ind w:left="510"/>
      </w:pPr>
    </w:p>
    <w:p w14:paraId="36CD38D8" w14:textId="043FC15A">
      <w:pPr>
        <w:pStyle w:val="P68B1DB1-BodyText25"/>
        <w:ind w:left="510"/>
        <w:rPr>
          <w:iCs/>
        </w:rPr>
      </w:pPr>
      <w:r>
        <w:t xml:space="preserve">62. Gluži pretēji, kā Tiesa norādījusi šodien pasludinātā sprieduma Bayer CropScience un Stichting De Bijenstichting (C-442/14) 62. punktā, šāds ierobežojums būtu pretrunā pašam Orhūsas konvencijas 4. panta 4. punkta pirmās daļas d) apakšpunkta formulējumam. Šajā tiesību normā ir paredzēts, ka ir jāpublisko informācija par emisijām, kurām ir nozīme saistībā ar vides aizsardzību. Informācija par emisijām no avotiem, kas nav rūpnieciskas iekārtas, piemēram, no augu aizsardzības līdzekļu lietošanas augos vai augsnē, ir tikpat svarīga vides aizsardzībai kā informācija par rūpnieciskas izcelsmes emisijām.”</w:t>
      </w:r>
    </w:p>
    <w:p w14:paraId="5A47A683" w14:textId="63BA7C02">
      <w:pPr>
        <w:spacing w:after="0" w:line="278" w:lineRule="auto"/>
        <w:rPr>
          <w:rFonts w:ascii="Times New Roman" w:hAnsi="Times New Roman" w:cs="Times New Roman" w:eastAsia="Times New Roman"/>
          <w:b/>
          <w:bCs/>
          <w:sz w:val="24"/>
          <w:szCs w:val="20"/>
        </w:rPr>
      </w:pPr>
      <w:r>
        <w:br w:type="page"/>
      </w:r>
    </w:p>
    <w:p w14:paraId="04343D49" w14:textId="77777777">
      <w:pPr>
        <w:pStyle w:val="BodyText"/>
        <w:rPr>
          <w:b/>
          <w:bCs/>
        </w:rPr>
      </w:pPr>
    </w:p>
    <w:p w14:paraId="7E3DD826" w14:textId="7480DFAD">
      <w:pPr>
        <w:pStyle w:val="P68B1DB1-Heading24"/>
        <w:numPr>
          <w:ilvl w:val="0"/>
          <w:numId w:val="36"/>
        </w:numPr>
        <w:spacing w:before="0" w:after="0"/>
        <w:jc w:val="center"/>
        <w:rPr>
          <w:bCs/>
          <w:color w:val="auto"/>
        </w:rPr>
      </w:pPr>
      <w:bookmarkStart w:id="131" w:name="_Ref195518088"/>
      <w:bookmarkStart w:id="132" w:name="_Toc203035675"/>
      <w:bookmarkEnd w:id="125"/>
      <w:r>
        <w:t xml:space="preserve">Paziņojumi par jauniem tehniskajiem noteikumiem</w:t>
      </w:r>
      <w:bookmarkEnd w:id="131"/>
      <w:bookmarkEnd w:id="132"/>
    </w:p>
    <w:p w14:paraId="411799D7"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6C5E8F90" w14:textId="38D84DF9">
      <w:pPr>
        <w:pStyle w:val="P68B1DB1-Normal13"/>
        <w:widowControl w:val="0"/>
        <w:autoSpaceDE w:val="0"/>
        <w:autoSpaceDN w:val="0"/>
        <w:spacing w:after="0" w:line="240" w:lineRule="auto"/>
        <w:jc w:val="both"/>
        <w:outlineLvl w:val="1"/>
      </w:pPr>
      <w:hyperlink r:id="rId78" w:history="1">
        <w:r>
          <w:rPr>
            <w:color w:val="0000FF"/>
            <w:u w:val="single"/>
          </w:rPr>
          <w:t xml:space="preserve">Spriedums, 1994. gada 1. jūnijs</w:t>
        </w:r>
      </w:hyperlink>
      <w:r>
        <w:t xml:space="preserve">, Komisija/Vācija, C-317/92, EU:C:1994:212, 25. un 26. punkts.</w:t>
      </w:r>
      <w:bookmarkEnd w:id="133"/>
    </w:p>
    <w:p w14:paraId="02B677B6"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D1B1FEA" w14:textId="0EA3039C">
      <w:pPr>
        <w:pStyle w:val="P68B1DB1-Normal14"/>
        <w:widowControl w:val="0"/>
        <w:autoSpaceDE w:val="0"/>
        <w:autoSpaceDN w:val="0"/>
        <w:spacing w:after="0" w:line="240" w:lineRule="auto"/>
        <w:jc w:val="both"/>
      </w:pPr>
      <w:r>
        <w:t xml:space="preserve">Uz spēkā esošo “tehnisko noteikumu” attiecināšanu uz jauniem ražojumiem attiecas paziņošanas pienākums, lai gan sākotnējie tehniskie noteikumi, kuru darbības joma tiek paplašināta, jau ir paziņoti Komisijai.</w:t>
      </w:r>
    </w:p>
    <w:p w14:paraId="04A42097" w14:textId="77777777">
      <w:pPr>
        <w:widowControl w:val="0"/>
        <w:autoSpaceDE w:val="0"/>
        <w:autoSpaceDN w:val="0"/>
        <w:spacing w:after="0" w:line="240" w:lineRule="auto"/>
        <w:jc w:val="both"/>
        <w:rPr>
          <w:rFonts w:ascii="Times New Roman" w:hAnsi="Times New Roman" w:cs="Times New Roman" w:eastAsia="Times New Roman"/>
          <w:szCs w:val="20"/>
        </w:rPr>
      </w:pPr>
    </w:p>
    <w:p w14:paraId="357AEE3D" w14:textId="1CE95929">
      <w:pPr>
        <w:pStyle w:val="P68B1DB1-Normal15"/>
        <w:widowControl w:val="0"/>
        <w:autoSpaceDE w:val="0"/>
        <w:autoSpaceDN w:val="0"/>
        <w:spacing w:after="0" w:line="240" w:lineRule="auto"/>
        <w:ind w:left="567"/>
        <w:jc w:val="both"/>
      </w:pPr>
      <w:r>
        <w:t xml:space="preserve">“25. Šo argumentu nevar atbalstīt. Attiecīgais Vācijas tiesiskais regulējums ir jauna tehniskā specifikācija iepriekš minētā 1. panta izpratnē, jo atkārtoti neizmantojamus sterilus medicīnas instrumentus Vācijā turpmāk var tirgot vai lietot tikai tad, ja ir izpildīti noteikti pienākumi, kuru piemērošana iepriekš attiecās tikai uz zāļu marķēšanu. Tāda noteikuma piemērošana konkrētiem produktiem, kas iepriekš attiecās tikai uz citiem produktiem, attiecībā uz pirmajiem ir jauna regula, un tāpēc par to ir jāpaziņo saskaņā ar direktīvu.</w:t>
      </w:r>
    </w:p>
    <w:p w14:paraId="6F610070" w14:textId="77777777">
      <w:pPr>
        <w:pStyle w:val="P68B1DB1-Normal15"/>
        <w:widowControl w:val="0"/>
        <w:autoSpaceDE w:val="0"/>
        <w:autoSpaceDN w:val="0"/>
        <w:spacing w:after="0" w:line="240" w:lineRule="auto"/>
        <w:ind w:left="567"/>
        <w:jc w:val="both"/>
      </w:pPr>
    </w:p>
    <w:p w14:paraId="1DBC3163" w14:textId="3F0E4DF7">
      <w:pPr>
        <w:pStyle w:val="P68B1DB1-Normal15"/>
        <w:widowControl w:val="0"/>
        <w:autoSpaceDE w:val="0"/>
        <w:autoSpaceDN w:val="0"/>
        <w:spacing w:after="0" w:line="240" w:lineRule="auto"/>
        <w:ind w:left="567"/>
        <w:jc w:val="both"/>
      </w:pPr>
      <w:r>
        <w:t xml:space="preserve">26. Šo secinājumu neatspēko apstāklis, kā apgalvo Vācijas valdība, ka noteikuma piemērošanas jomas paplašināšana ir balstīta uz pilnvarojošu tiesību normu, kas iepriekš tika paziņota Komisijai. Šis veicinošais pasākums, kas veikts kā tāds, nav jāpaziņo, pamatojoties uz iepriekš minēto 8. pantu, jo tas nav jauna specifikācija. Situācija ir atšķirīga attiecībā uz minētā pasākuma īstenošanu, kas ir jauna specifikācija, kura ir jāpaziņo.”</w:t>
      </w:r>
    </w:p>
    <w:p w14:paraId="061E3A55"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4757D6C8" w14:textId="4D29C152">
      <w:pPr>
        <w:pStyle w:val="BodyText"/>
        <w:jc w:val="left"/>
        <w:rPr>
          <w:b/>
          <w:bCs/>
          <w:i/>
          <w:iCs/>
          <w:sz w:val="22"/>
          <w:szCs w:val="22"/>
        </w:rPr>
      </w:pPr>
      <w:hyperlink r:id="rId79" w:history="1">
        <w:r>
          <w:rPr>
            <w:rStyle w:val="Hyperlink"/>
            <w:b/>
            <w:i/>
            <w:color w:val="0000FF"/>
            <w:sz w:val="22"/>
            <w:szCs w:val="22"/>
          </w:rPr>
          <w:t xml:space="preserve">Spriedums, 1999. gada 3. jūnijs</w:t>
        </w:r>
      </w:hyperlink>
      <w:r>
        <w:rPr>
          <w:b/>
          <w:i/>
          <w:sz w:val="22"/>
          <w:szCs w:val="22"/>
        </w:rPr>
        <w:t xml:space="preserve">, Colim NV, C-33/189, EU:C:1999:274, 22. punkts.</w:t>
      </w:r>
    </w:p>
    <w:p w14:paraId="04F11CCA" w14:textId="77777777">
      <w:pPr>
        <w:pStyle w:val="BodyText"/>
        <w:jc w:val="left"/>
      </w:pPr>
    </w:p>
    <w:p w14:paraId="540E63FC" w14:textId="5143314B">
      <w:pPr>
        <w:pStyle w:val="P68B1DB1-Normal14"/>
        <w:widowControl w:val="0"/>
        <w:tabs>
          <w:tab w:val="left" w:pos="396"/>
          <w:tab w:val="left" w:pos="425"/>
        </w:tabs>
        <w:autoSpaceDE w:val="0"/>
        <w:autoSpaceDN w:val="0"/>
        <w:spacing w:after="0" w:line="240" w:lineRule="auto"/>
        <w:jc w:val="both"/>
      </w:pPr>
      <w:r>
        <w:t xml:space="preserve">Valsts pasākums, kas atkārto vai aizstāj esošos “tehniskos noteikumus”, kuri jau ir paziņoti Komisijai, nepievienojot jaunas specifikācijas, nav “tehnisko noteikumu” projekts.</w:t>
      </w:r>
    </w:p>
    <w:p w14:paraId="471E900A"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7F465EBB" w14:textId="22D1CEEE">
      <w:pPr>
        <w:pStyle w:val="P68B1DB1-BodyText25"/>
        <w:ind w:left="567"/>
      </w:pPr>
      <w:r>
        <w:t xml:space="preserve">“22. [..] Direktīvas 83/189 mērķis ir ar preventīvu kontroli aizsargāt preču brīvu apriti, kas ir viens no Kopienas pamatiem (1997. gada 17. marta spriedums lietā C-13/96 Bic Benelux ν Belgium State, Recueil, I-1753. lpp., 19. punkts). Šīs kontroles mērķis ir novērst vai samazināt šķēršļus preču brīvai apritei, ko varētu radīt tehniskie noteikumi, kurus dalībvalstis ierosina pieņemt. Valsts pasākums, ar kuru, nepievienojot jaunas vai papildu specifikācijas, tiek pārņemti vai aizstāti esošie tehniskie noteikumi, kas, ja tie ir pieņemti pēc Direktīvas 83/189 stāšanās spēkā, ir pienācīgi paziņoti Komisijai, nevar tikt uzskatīts par tehnisko noteikumu “projektu” Direktīvas 83/189 1. panta 6. punkta izpratnē un līdz ar to par tādu, uz kuru attiecas paziņošanas pienākums.”</w:t>
      </w:r>
    </w:p>
    <w:p w14:paraId="10EB0A44" w14:textId="77777777">
      <w:pPr>
        <w:pStyle w:val="BodyText"/>
        <w:jc w:val="left"/>
      </w:pPr>
    </w:p>
    <w:p w14:paraId="0FD7863C" w14:textId="41998E8B">
      <w:pPr>
        <w:pStyle w:val="P68B1DB1-Normal13"/>
        <w:widowControl w:val="0"/>
        <w:autoSpaceDE w:val="0"/>
        <w:autoSpaceDN w:val="0"/>
        <w:spacing w:after="0" w:line="240" w:lineRule="auto"/>
        <w:jc w:val="both"/>
        <w:outlineLvl w:val="1"/>
      </w:pPr>
      <w:hyperlink r:id="rId80" w:history="1">
        <w:r>
          <w:rPr>
            <w:color w:val="0000FF"/>
            <w:u w:val="single"/>
          </w:rPr>
          <w:t xml:space="preserve">Spriedums, 2005. gada 21. aprīlis</w:t>
        </w:r>
      </w:hyperlink>
      <w:r>
        <w:t xml:space="preserve">, Lindberg, C-267/03, EU:C:2005:246, 82. un 85. punkts.</w:t>
      </w:r>
      <w:bookmarkEnd w:id="134"/>
    </w:p>
    <w:p w14:paraId="5A455B86"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31D51892" w14:textId="03C8B255">
      <w:pPr>
        <w:pStyle w:val="P68B1DB1-Normal14"/>
        <w:widowControl w:val="0"/>
        <w:tabs>
          <w:tab w:val="left" w:pos="396"/>
          <w:tab w:val="left" w:pos="425"/>
        </w:tabs>
        <w:autoSpaceDE w:val="0"/>
        <w:autoSpaceDN w:val="0"/>
        <w:spacing w:after="0" w:line="240" w:lineRule="auto"/>
        <w:jc w:val="both"/>
      </w:pPr>
      <w:r>
        <w:t xml:space="preserve">Noteikums, kas tikai atkārto vai aizstāj jau paziņotos noteikumus, nepievienojot jaunus “tehniskos noteikumus”, nav jāpaziņo.</w:t>
      </w:r>
    </w:p>
    <w:p w14:paraId="571C5A4D"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75C11DD3" w14:textId="55D687C5">
      <w:pPr>
        <w:pStyle w:val="P68B1DB1-P68B1DB1-ListParagraph226"/>
        <w:tabs>
          <w:tab w:val="left" w:pos="396"/>
          <w:tab w:val="left" w:pos="425"/>
        </w:tabs>
        <w:ind w:left="567" w:right="0" w:firstLine="0"/>
        <w:rPr>
          <w:iCs/>
        </w:rPr>
      </w:pPr>
      <w:r>
        <w:t xml:space="preserve">“82. [..] vispirms ir jānorāda, ka valsts pasākums, ar kuru, nepievienojot jaunas vai papildu specifikācijas, tiek pārņemti vai aizstāti esošie tehniskie noteikumi, kas, ja tie ir pieņemti pēc Direktīvas 83/189 stāšanās spēkā, ir pienācīgi paziņoti Komisijai, nevar tikt uzskatīts par tehnisko noteikumu “projektu” Direktīvas 83/189 1. panta 9. punkta izpratnē vai līdz ar to par tādu, uz kuru attiecas paziņošanas pienākums (skat. iepriekš minēto spriedumu lietā Colim, 22. punkts). Šajā gadījumā ir jāņem vērā Direktīvas 83/189 spēkā stāšanās datums attiecībā uz Zviedrijas Karalisti.”</w:t>
      </w:r>
    </w:p>
    <w:p w14:paraId="0CA23066" w14:textId="77777777">
      <w:pPr>
        <w:pStyle w:val="P68B1DB1-ListParagraph2"/>
        <w:tabs>
          <w:tab w:val="left" w:pos="396"/>
          <w:tab w:val="left" w:pos="425"/>
        </w:tabs>
        <w:ind w:left="567" w:right="0"/>
        <w:rPr>
          <w:i/>
          <w:iCs/>
          <w:sz w:val="20"/>
          <w:szCs w:val="16"/>
        </w:rPr>
      </w:pPr>
    </w:p>
    <w:p w14:paraId="45277F90" w14:textId="583D0CBF">
      <w:pPr>
        <w:pStyle w:val="P68B1DB1-P68B1DB1-ListParagraph226"/>
        <w:tabs>
          <w:tab w:val="left" w:pos="396"/>
          <w:tab w:val="left" w:pos="425"/>
        </w:tabs>
        <w:ind w:left="567" w:right="0" w:firstLine="0"/>
      </w:pPr>
      <w:r>
        <w:t xml:space="preserve">“85. Ņemot vērā iepriekš minēto, uz trešo jautājumu ir jāatbild, ka pakalpojuma, kas ir saistīts ar preces dizainu, it īpaši noteiktu spēļu automātu apsaimniekošanas pakalpojumu, pārdefinēšana valsts tiesiskajā regulējumā, kā tas bija 1996. gada likumā, var būt tehnisks noteikums, par kuru ir jāpaziņo saskaņā ar Direktīvu 83/189, ja ar šo jauno tiesisko regulējumu netiek tikai reproducēts vai aizstāts, nepievienojot jaunas vai papildu specifikācijas, pastāvošie tehniskie noteikumi, kas, ja tie pieņemti pēc Direktīvas 83/189 stāšanās spēkā attiecīgajā dalībvalstī, ir pienācīgi paziņoti Komisijai.”</w:t>
      </w:r>
    </w:p>
    <w:p w14:paraId="7351A3AE" w14:textId="77777777">
      <w:pPr>
        <w:pStyle w:val="P68B1DB1-P68B1DB1-ListParagraph226"/>
        <w:tabs>
          <w:tab w:val="left" w:pos="396"/>
          <w:tab w:val="left" w:pos="425"/>
        </w:tabs>
        <w:ind w:left="0" w:right="0" w:firstLine="0"/>
      </w:pPr>
    </w:p>
    <w:p w14:paraId="7F72B3E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81" w:history="1">
        <w:r>
          <w:rPr>
            <w:rStyle w:val="Hyperlink"/>
            <w:rFonts w:ascii="Times New Roman" w:hAnsi="Times New Roman" w:cs="Times New Roman" w:eastAsia="Times New Roman"/>
            <w:b/>
            <w:i/>
            <w:color w:val="0000FF"/>
            <w:szCs w:val="20"/>
          </w:rPr>
          <w:t xml:space="preserve">Spriedums, 2025. gada 13. marts</w:t>
        </w:r>
      </w:hyperlink>
      <w:r>
        <w:rPr>
          <w:rFonts w:ascii="Times New Roman" w:hAnsi="Times New Roman" w:cs="Times New Roman" w:eastAsia="Times New Roman"/>
          <w:b/>
          <w:i/>
          <w:szCs w:val="20"/>
        </w:rPr>
        <w:t xml:space="preserve">, Unigames UAB, C-120/24, EU:C:2025:174, 57. un 58. punkts.</w:t>
      </w:r>
      <w:bookmarkEnd w:id="135"/>
    </w:p>
    <w:p w14:paraId="6E6DA286" w14:textId="77777777">
      <w:pPr>
        <w:widowControl w:val="0"/>
        <w:tabs>
          <w:tab w:val="left" w:pos="437"/>
        </w:tabs>
        <w:autoSpaceDE w:val="0"/>
        <w:autoSpaceDN w:val="0"/>
        <w:spacing w:after="0" w:line="240" w:lineRule="auto"/>
        <w:jc w:val="both"/>
        <w:rPr>
          <w:rFonts w:ascii="Times New Roman" w:hAnsi="Times New Roman" w:cs="Times New Roman" w:eastAsia="Times New Roman"/>
          <w:b/>
          <w:i/>
          <w:szCs w:val="20"/>
        </w:rPr>
      </w:pPr>
    </w:p>
    <w:p w14:paraId="7F00F2A0"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Style w:val="P68B1DB1-Normal14"/>
      </w:pPr>
      <w:r>
        <w:t xml:space="preserve">Jāpaziņo par tehnisko noteikumu projekta grozījumu, kas būtiski paplašina tā darbības jomu. Grozījums, ar ko ievieš sankcijas par jaunu rīcību, ir uzskatāms par tehnisku noteikumu būtisku pārskatīšanu.</w:t>
      </w:r>
    </w:p>
    <w:p w14:paraId="6268DF61"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6C4E84CC" w14:textId="72CC56DD">
      <w:pPr>
        <w:pStyle w:val="P68B1DB1-Normal15"/>
        <w:widowControl w:val="0"/>
        <w:tabs>
          <w:tab w:val="left" w:pos="437"/>
        </w:tabs>
        <w:autoSpaceDE w:val="0"/>
        <w:autoSpaceDN w:val="0"/>
        <w:spacing w:after="0" w:line="240" w:lineRule="auto"/>
        <w:ind w:left="567"/>
        <w:jc w:val="both"/>
        <w:rPr>
          <w:iCs/>
        </w:rPr>
      </w:pPr>
      <w:r>
        <w:t xml:space="preserve">“57. No lūguma sniegt prejudiciālu nolēmumu izriet, ka Azartspēļu likuma 10. panta 19. punktā ir “būtiski pārskatīts” aizliegums veicināt dalību azartspēlēs. It īpaši iesniedzējtiesa norāda, ka Unigames pārmestā rīcība, pamatojoties uz pašlaik spēkā esošajiem tiesību aktiem, kas izpaužas kā informācijas par tās piedāvātajām azartspēlēm publicēšana šīs sabiedrības tīmekļa vietnē, nevarēja tikt sodīta saskaņā ar agrāko Azartspēļu likumu. Līdz ar to iesniedzējtiesa uzskata, ka ar minēto 10. panta 19. punktu tika paplašināta šī aizlieguma piemērošanas joma.</w:t>
      </w:r>
    </w:p>
    <w:p w14:paraId="1B4969EB" w14:textId="77777777">
      <w:pPr>
        <w:pStyle w:val="P68B1DB1-Normal15"/>
        <w:widowControl w:val="0"/>
        <w:tabs>
          <w:tab w:val="left" w:pos="437"/>
        </w:tabs>
        <w:autoSpaceDE w:val="0"/>
        <w:autoSpaceDN w:val="0"/>
        <w:spacing w:after="0" w:line="240" w:lineRule="auto"/>
        <w:ind w:left="567"/>
        <w:jc w:val="both"/>
        <w:rPr>
          <w:iCs/>
        </w:rPr>
      </w:pPr>
    </w:p>
    <w:p w14:paraId="6A710DBF" w14:textId="5A8EA617">
      <w:pPr>
        <w:pStyle w:val="P68B1DB1-Normal15"/>
        <w:widowControl w:val="0"/>
        <w:tabs>
          <w:tab w:val="left" w:pos="437"/>
        </w:tabs>
        <w:autoSpaceDE w:val="0"/>
        <w:autoSpaceDN w:val="0"/>
        <w:spacing w:after="0" w:line="240" w:lineRule="auto"/>
        <w:ind w:left="567"/>
        <w:jc w:val="both"/>
        <w:rPr>
          <w:iCs/>
        </w:rPr>
      </w:pPr>
      <w:r>
        <w:t xml:space="preserve">58. Tādējādi no lūgumā sniegt prejudiciālu nolēmumu ietvertās informācijas izriet, ka Azartspēļu likuma 10. panta 19. punktā ir noteiktas jaunas vai papildu prasības šī sprieduma 52. punktā atgādinātās judikatūras izpratnē salīdzinājumā ar agrākā Azartspēļu likuma 10. panta 19. punktu. No tā izriet, ka, neskarot pārbaudes, kas ir jāveic iesniedzējtiesai, par grozījumiem, kas ir pamatā pašreiz spēkā esošajiem tiesību aktiem, bija jāpaziņo saskaņā ar Direktīvas 2015/1535 5. panta 1. punkta pirmo daļu.”</w:t>
      </w:r>
    </w:p>
    <w:p w14:paraId="339BEA27" w14:textId="77777777">
      <w:pPr>
        <w:pStyle w:val="P68B1DB1-P68B1DB1-ListParagraph226"/>
        <w:tabs>
          <w:tab w:val="left" w:pos="396"/>
          <w:tab w:val="left" w:pos="425"/>
        </w:tabs>
        <w:ind w:left="0" w:right="0" w:firstLine="0"/>
        <w:rPr>
          <w:iCs/>
        </w:rPr>
      </w:pPr>
    </w:p>
    <w:p w14:paraId="6669AD1C" w14:textId="1CFF8354">
      <w:pPr>
        <w:pStyle w:val="P68B1DB1-Normal16"/>
        <w:spacing w:after="0" w:line="240" w:lineRule="auto"/>
        <w:rPr>
          <w:i/>
          <w:iCs/>
        </w:rPr>
      </w:pPr>
      <w:r>
        <w:br w:type="page"/>
      </w:r>
    </w:p>
    <w:p w14:paraId="7F22FE55" w14:textId="67315266">
      <w:pPr>
        <w:pStyle w:val="P68B1DB1-Heading24"/>
        <w:numPr>
          <w:ilvl w:val="0"/>
          <w:numId w:val="36"/>
        </w:numPr>
        <w:spacing w:before="0" w:after="0"/>
        <w:jc w:val="center"/>
        <w:rPr>
          <w:bCs/>
          <w:color w:val="auto"/>
        </w:rPr>
      </w:pPr>
      <w:bookmarkStart w:id="136" w:name="_Ref194484898"/>
      <w:bookmarkStart w:id="137" w:name="_Toc203035676"/>
      <w:r>
        <w:t xml:space="preserve">Pilna teksta paziņošana</w:t>
      </w:r>
      <w:bookmarkEnd w:id="136"/>
      <w:bookmarkEnd w:id="137"/>
    </w:p>
    <w:p w14:paraId="7C840A0C" w14:textId="77777777">
      <w:pPr>
        <w:pStyle w:val="BodyText"/>
        <w:rPr>
          <w:b/>
          <w:bCs/>
        </w:rPr>
      </w:pPr>
    </w:p>
    <w:p w14:paraId="70826245" w14:textId="6B20BAFD">
      <w:pPr>
        <w:pStyle w:val="P68B1DB1-Normal13"/>
        <w:widowControl w:val="0"/>
        <w:autoSpaceDE w:val="0"/>
        <w:autoSpaceDN w:val="0"/>
        <w:spacing w:after="0" w:line="240" w:lineRule="auto"/>
        <w:jc w:val="both"/>
        <w:outlineLvl w:val="1"/>
      </w:pPr>
      <w:hyperlink r:id="rId82" w:history="1">
        <w:r>
          <w:rPr>
            <w:color w:val="0000FF"/>
            <w:u w:val="single"/>
          </w:rPr>
          <w:t xml:space="preserve">Tiesa: spriedums, 1997. gada 16. septembris</w:t>
        </w:r>
      </w:hyperlink>
      <w:r>
        <w:t xml:space="preserve">, C-279/94, Komisija/Itālija, EU:C:1997:396, 38. un 42. punkts.</w:t>
      </w:r>
      <w:bookmarkEnd w:id="138"/>
    </w:p>
    <w:p w14:paraId="5500F145" w14:textId="77777777">
      <w:pPr>
        <w:widowControl w:val="0"/>
        <w:autoSpaceDE w:val="0"/>
        <w:autoSpaceDN w:val="0"/>
        <w:spacing w:after="0" w:line="240" w:lineRule="auto"/>
        <w:jc w:val="both"/>
        <w:rPr>
          <w:rFonts w:ascii="Times New Roman" w:hAnsi="Times New Roman" w:cs="Times New Roman" w:eastAsia="Times New Roman"/>
          <w:szCs w:val="20"/>
        </w:rPr>
      </w:pPr>
    </w:p>
    <w:p w14:paraId="2034B5D1" w14:textId="5EDE6A01">
      <w:pPr>
        <w:pStyle w:val="P68B1DB1-Normal14"/>
        <w:widowControl w:val="0"/>
        <w:autoSpaceDE w:val="0"/>
        <w:autoSpaceDN w:val="0"/>
        <w:spacing w:after="0" w:line="240" w:lineRule="auto"/>
        <w:jc w:val="both"/>
      </w:pPr>
      <w:r>
        <w:t xml:space="preserve">Par tekstu, kas satur “tehniskos noteikumus”, jāpaziņo pilnībā, tostarp par pasākumiem, kas nav “tehniskie noteikumi”, pat ja nogaidīšanas periods attiecas tikai uz “tehniskajiem noteikumiem”.</w:t>
      </w:r>
    </w:p>
    <w:p w14:paraId="212FCCEC" w14:textId="77777777">
      <w:pPr>
        <w:widowControl w:val="0"/>
        <w:autoSpaceDE w:val="0"/>
        <w:autoSpaceDN w:val="0"/>
        <w:spacing w:after="0" w:line="240" w:lineRule="auto"/>
        <w:jc w:val="both"/>
        <w:rPr>
          <w:rFonts w:ascii="Times New Roman" w:hAnsi="Times New Roman" w:cs="Times New Roman" w:eastAsia="Times New Roman"/>
          <w:szCs w:val="20"/>
        </w:rPr>
      </w:pPr>
    </w:p>
    <w:p w14:paraId="41D543D7" w14:textId="2D86A463">
      <w:pPr>
        <w:pStyle w:val="P68B1DB1-Normal15"/>
        <w:widowControl w:val="0"/>
        <w:tabs>
          <w:tab w:val="left" w:pos="396"/>
          <w:tab w:val="left" w:pos="461"/>
        </w:tabs>
        <w:autoSpaceDE w:val="0"/>
        <w:autoSpaceDN w:val="0"/>
        <w:spacing w:after="0" w:line="240" w:lineRule="auto"/>
        <w:ind w:left="567"/>
        <w:jc w:val="both"/>
        <w:rPr>
          <w:iCs/>
        </w:rPr>
      </w:pPr>
      <w:r>
        <w:t xml:space="preserve">“38. Attiecībā uz Itālijas valdības pienākumu paziņot visu Likuma Nr. 257/92 tekstu, tostarp noteikumus, kas nav tehniskie noteikumi, ir jānorāda, ka saskaņā ar Direktīvas 8. panta 1. punkta pirmās daļas pēdējo teikumu dalībvalstīm ir jāpaziņo Komisijai arī to tiesību vai normatīvo pamatnoteikumu teksts, kuri ir galvenokārt un tieši skarti, ja šāda teksta pārzināšana ir nepieciešama, lai novērtētu tehnisko noteikumu projekta sekas.”</w:t>
      </w:r>
    </w:p>
    <w:p w14:paraId="2D985B3C"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iCs/>
          <w:sz w:val="20"/>
          <w:szCs w:val="16"/>
        </w:rPr>
      </w:pPr>
    </w:p>
    <w:p w14:paraId="48F0D541" w14:textId="215D3040">
      <w:pPr>
        <w:pStyle w:val="P68B1DB1-Normal15"/>
        <w:widowControl w:val="0"/>
        <w:tabs>
          <w:tab w:val="left" w:pos="396"/>
          <w:tab w:val="left" w:pos="461"/>
        </w:tabs>
        <w:autoSpaceDE w:val="0"/>
        <w:autoSpaceDN w:val="0"/>
        <w:spacing w:after="0" w:line="240" w:lineRule="auto"/>
        <w:ind w:left="567"/>
        <w:jc w:val="both"/>
        <w:rPr>
          <w:iCs/>
        </w:rPr>
      </w:pPr>
      <w:r>
        <w:t xml:space="preserve">“42. Tomēr tas vien, ka visi Likuma Nr. 257/92 noteikumi ir paziņoti Komisijai, neliedz Itālijas Republikai nekavējoties un tādējādi negaidot direktīvā paredzētās pārbaudes procedūras rezultātus, ieviest noteikumus, kas nav tehniskie noteikumi.”</w:t>
      </w:r>
    </w:p>
    <w:p w14:paraId="7749D63B" w14:textId="5E15703E">
      <w:pPr>
        <w:pStyle w:val="P68B1DB1-Normal16"/>
        <w:spacing w:after="0" w:line="240" w:lineRule="auto"/>
        <w:rPr>
          <w:i/>
          <w:iCs/>
        </w:rPr>
      </w:pPr>
      <w:r>
        <w:br w:type="page"/>
      </w:r>
    </w:p>
    <w:p w14:paraId="66AC7FAE" w14:textId="2333E9D9">
      <w:pPr>
        <w:pStyle w:val="P68B1DB1-Heading24"/>
        <w:numPr>
          <w:ilvl w:val="0"/>
          <w:numId w:val="36"/>
        </w:numPr>
        <w:spacing w:before="0" w:after="0"/>
        <w:jc w:val="center"/>
        <w:rPr>
          <w:bCs/>
          <w:color w:val="auto"/>
        </w:rPr>
      </w:pPr>
      <w:bookmarkStart w:id="139" w:name="_Ref194484917"/>
      <w:bookmarkStart w:id="140" w:name="_Ref196314289"/>
      <w:bookmarkStart w:id="141" w:name="_Toc203035677"/>
      <w:r>
        <w:t xml:space="preserve">Paziņojums par attiecīgajiem </w:t>
      </w:r>
      <w:bookmarkEnd w:id="139"/>
      <w:r>
        <w:t>pamatnoteikumiem</w:t>
      </w:r>
      <w:bookmarkEnd w:id="140"/>
      <w:bookmarkEnd w:id="141"/>
    </w:p>
    <w:p w14:paraId="02AB25EF" w14:textId="77777777">
      <w:pPr>
        <w:pStyle w:val="BodyText"/>
        <w:ind w:left="1440"/>
        <w:jc w:val="right"/>
        <w:rPr>
          <w:i/>
          <w:iCs/>
        </w:rPr>
      </w:pPr>
    </w:p>
    <w:p w14:paraId="7ADAEEA1" w14:textId="057664EC">
      <w:pPr>
        <w:pStyle w:val="P68B1DB1-BodyText11"/>
        <w:ind w:left="1440"/>
        <w:rPr>
          <w:iCs/>
        </w:rPr>
      </w:pPr>
      <w:r>
        <w:t xml:space="preserve">“Vajadzības gadījumā un ja vien tas jau nav nosūtīts kopā ar iepriekšēju paziņojumu, dalībvalstis vienlaikus dara Komisijai zināmu to tiesību aktu vai reglamentējošo pamatnoteikumu tekstu, kas galvenokārt un tieši attiecas uz Komisiju, ja šāda teksta pārzināšana ir vajadzīga, lai novērtētu tehnisko noteikumu projekta ietekmi.”</w:t>
      </w:r>
    </w:p>
    <w:p w14:paraId="3C018828" w14:textId="77777777">
      <w:pPr>
        <w:pStyle w:val="BodyText"/>
        <w:ind w:left="1440"/>
        <w:jc w:val="right"/>
        <w:rPr>
          <w:i/>
          <w:iCs/>
        </w:rPr>
      </w:pPr>
    </w:p>
    <w:p w14:paraId="21D14611" w14:textId="15758967">
      <w:pPr>
        <w:pStyle w:val="BodyText"/>
        <w:ind w:left="1440"/>
        <w:jc w:val="right"/>
      </w:pPr>
      <w:r>
        <w:t xml:space="preserve">(Direktīvas (ES) 2015/1535 5. panta 1. punkta otrais teikums)</w:t>
      </w:r>
    </w:p>
    <w:p w14:paraId="7479C45A" w14:textId="77777777">
      <w:pPr>
        <w:pStyle w:val="BodyText"/>
        <w:ind w:left="1440"/>
        <w:jc w:val="right"/>
        <w:rPr>
          <w:i/>
          <w:iCs/>
        </w:rPr>
      </w:pPr>
    </w:p>
    <w:p w14:paraId="7E6EAA27" w14:textId="714E980B">
      <w:pPr>
        <w:pStyle w:val="P68B1DB1-Normal13"/>
        <w:widowControl w:val="0"/>
        <w:autoSpaceDE w:val="0"/>
        <w:autoSpaceDN w:val="0"/>
        <w:spacing w:after="0" w:line="240" w:lineRule="auto"/>
        <w:jc w:val="both"/>
        <w:outlineLvl w:val="1"/>
      </w:pPr>
      <w:hyperlink r:id="rId83" w:history="1">
        <w:r>
          <w:rPr>
            <w:color w:val="0000FF"/>
            <w:u w:val="single"/>
          </w:rPr>
          <w:t xml:space="preserve">Spriedums, 1998. gada 7. maijs</w:t>
        </w:r>
      </w:hyperlink>
      <w:r>
        <w:t xml:space="preserve">, Komisija/Beļģija, C-145/97, EU:C:1998:212, 11. un 12. punkts.</w:t>
      </w:r>
      <w:bookmarkEnd w:id="142"/>
    </w:p>
    <w:p w14:paraId="768284F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832E540" w14:textId="0817AF48">
      <w:pPr>
        <w:pStyle w:val="P68B1DB1-Normal14"/>
        <w:widowControl w:val="0"/>
        <w:tabs>
          <w:tab w:val="left" w:pos="437"/>
        </w:tabs>
        <w:autoSpaceDE w:val="0"/>
        <w:autoSpaceDN w:val="0"/>
        <w:spacing w:after="0" w:line="240" w:lineRule="auto"/>
        <w:jc w:val="both"/>
      </w:pPr>
      <w:r>
        <w:t xml:space="preserve">Dalībvalstīm ir jāpaziņo ne tikai teksta projekts, kurā ietverti “tehniskie noteikumi”, bet arī to normatīvo pamatnoteikumu teksts, kas galvenokārt un tieši attiecas uz tiem. Šī pienākuma mērķis ir ļaut Komisijai iegūt pēc iespējas vairāk informācijas un tādējādi efektīvi īstenot pilnvaras, kas tai piešķirtas ar Direktīvu.</w:t>
      </w:r>
    </w:p>
    <w:p w14:paraId="239177AF" w14:textId="77777777">
      <w:pPr>
        <w:widowControl w:val="0"/>
        <w:tabs>
          <w:tab w:val="left" w:pos="437"/>
        </w:tabs>
        <w:autoSpaceDE w:val="0"/>
        <w:autoSpaceDN w:val="0"/>
        <w:spacing w:after="0" w:line="240" w:lineRule="auto"/>
        <w:jc w:val="both"/>
        <w:rPr>
          <w:rFonts w:ascii="Times New Roman" w:hAnsi="Times New Roman" w:cs="Times New Roman" w:eastAsia="Times New Roman"/>
          <w:szCs w:val="20"/>
        </w:rPr>
      </w:pPr>
    </w:p>
    <w:p w14:paraId="652AC3E4" w14:textId="74A8268E">
      <w:pPr>
        <w:pStyle w:val="P68B1DB1-P68B1DB1-Normal1623"/>
        <w:widowControl w:val="0"/>
        <w:tabs>
          <w:tab w:val="left" w:pos="437"/>
        </w:tabs>
        <w:autoSpaceDE w:val="0"/>
        <w:autoSpaceDN w:val="0"/>
        <w:spacing w:after="0" w:line="240" w:lineRule="auto"/>
        <w:ind w:left="567"/>
        <w:jc w:val="both"/>
        <w:rPr>
          <w:i/>
        </w:rPr>
      </w:pPr>
      <w:r>
        <w:t xml:space="preserve">“11. Otrkārt, attiecībā uz paziņošanas pienākuma precīzu apjomu direktīvas 8. panta 1. punkta pirmās daļas pēdējā teikumā ir paredzēts, ka dalībvalstis dara zināmu arī to normatīvo vai administratīvo pamatnoteikumu tekstu, kuri ir galvenokārt un tieši skarti, ja šāda informācija ir nepieciešama, lai novērtētu tehnisko noteikumu projekta ietekmi.</w:t>
      </w:r>
    </w:p>
    <w:p w14:paraId="34A9E602" w14:textId="77777777">
      <w:pPr>
        <w:pStyle w:val="P68B1DB1-Normal16"/>
        <w:widowControl w:val="0"/>
        <w:tabs>
          <w:tab w:val="left" w:pos="437"/>
        </w:tabs>
        <w:autoSpaceDE w:val="0"/>
        <w:autoSpaceDN w:val="0"/>
        <w:spacing w:after="0" w:line="240" w:lineRule="auto"/>
        <w:ind w:left="567"/>
        <w:jc w:val="both"/>
        <w:rPr>
          <w:i/>
        </w:rPr>
      </w:pPr>
    </w:p>
    <w:p w14:paraId="4EF4E053" w14:textId="6423D8FC">
      <w:pPr>
        <w:pStyle w:val="P68B1DB1-P68B1DB1-Normal1623"/>
        <w:widowControl w:val="0"/>
        <w:tabs>
          <w:tab w:val="left" w:pos="437"/>
        </w:tabs>
        <w:autoSpaceDE w:val="0"/>
        <w:autoSpaceDN w:val="0"/>
        <w:spacing w:after="0" w:line="240" w:lineRule="auto"/>
        <w:ind w:left="567"/>
        <w:jc w:val="both"/>
        <w:rPr>
          <w:i/>
        </w:rPr>
      </w:pPr>
      <w:r>
        <w:t xml:space="preserve">12. Kā Tiesa ir precizējusi 1997. gada 14. jūlija spriedumā lietā C-279/94 Komisija/Itālija (Recueil, I-4743. lpp., 40. punkts), šī noteikuma mērķis ir ļaut Komisijai iegūt pēc iespējas vairāk informācijas par visiem tehnisko noteikumu projektiem attiecībā uz to saturu, darbības jomu un vispārējo kontekstu, lai tā varētu pēc iespējas efektīvāk īstenot pilnvaras, kas tai piešķirtas ar direktīvu.”</w:t>
      </w:r>
    </w:p>
    <w:p w14:paraId="4E67514A" w14:textId="77777777">
      <w:pPr>
        <w:pStyle w:val="P68B1DB1-Normal16"/>
        <w:spacing w:after="0" w:line="240" w:lineRule="auto"/>
      </w:pPr>
      <w:r>
        <w:br w:type="page"/>
      </w:r>
    </w:p>
    <w:p w14:paraId="6CA665D0" w14:textId="62A7B166">
      <w:pPr>
        <w:pStyle w:val="P68B1DB1-Heading24"/>
        <w:numPr>
          <w:ilvl w:val="0"/>
          <w:numId w:val="36"/>
        </w:numPr>
        <w:spacing w:before="0" w:after="0"/>
        <w:jc w:val="center"/>
        <w:rPr>
          <w:bCs/>
          <w:color w:val="auto"/>
        </w:rPr>
      </w:pPr>
      <w:bookmarkStart w:id="143" w:name="_Ref194484926"/>
      <w:bookmarkStart w:id="144" w:name="_Ref196314295"/>
      <w:bookmarkStart w:id="145" w:name="_Toc203035678"/>
      <w:r>
        <w:t xml:space="preserve">Atkārtots paziņojums</w:t>
      </w:r>
      <w:bookmarkEnd w:id="143"/>
      <w:r>
        <w:t xml:space="preserve"> Nogaidīšanas periodā</w:t>
      </w:r>
      <w:bookmarkEnd w:id="144"/>
      <w:bookmarkEnd w:id="145"/>
    </w:p>
    <w:p w14:paraId="469CC5E9" w14:textId="77777777">
      <w:pPr>
        <w:pStyle w:val="BodyText"/>
        <w:ind w:left="1440"/>
        <w:jc w:val="right"/>
        <w:rPr>
          <w:i/>
          <w:iCs/>
        </w:rPr>
      </w:pPr>
    </w:p>
    <w:p w14:paraId="07616479" w14:textId="3F014BDB">
      <w:pPr>
        <w:pStyle w:val="P68B1DB1-BodyText11"/>
        <w:ind w:left="1440"/>
        <w:rPr>
          <w:iCs/>
        </w:rPr>
      </w:pPr>
      <w:r>
        <w:t xml:space="preserve">“Dalībvalstis atkārtoti dara zināmu tehnisko noteikumu projektu Komisijai saskaņā ar šā punkta pirmajā un otrajā daļā izklāstītajiem nosacījumiem, ja tās izdara izmaiņas projektā, kas būtiski maina tā darbības jomu, saīsinot īstenošanai sākotnēji paredzēto grafiku, pievienojot specifikācijas vai prasības vai padarot tās ierobežojošākas.”</w:t>
      </w:r>
    </w:p>
    <w:p w14:paraId="3E582DDB" w14:textId="77777777">
      <w:pPr>
        <w:pStyle w:val="BodyText"/>
        <w:ind w:left="1440"/>
        <w:jc w:val="right"/>
        <w:rPr>
          <w:i/>
          <w:iCs/>
        </w:rPr>
      </w:pPr>
    </w:p>
    <w:p w14:paraId="57E3F15D" w14:textId="51B7D3EF">
      <w:pPr>
        <w:pStyle w:val="BodyText"/>
        <w:ind w:left="1440"/>
        <w:jc w:val="right"/>
      </w:pPr>
      <w:r>
        <w:t xml:space="preserve">(Direktīvas (ES) 2015/1535 5. panta 1. punkta trešais teikums)</w:t>
      </w:r>
    </w:p>
    <w:p w14:paraId="3C5D4E98" w14:textId="77777777">
      <w:pPr>
        <w:widowControl w:val="0"/>
        <w:tabs>
          <w:tab w:val="left" w:pos="437"/>
        </w:tabs>
        <w:autoSpaceDE w:val="0"/>
        <w:autoSpaceDN w:val="0"/>
        <w:spacing w:after="0" w:line="240" w:lineRule="auto"/>
        <w:jc w:val="both"/>
      </w:pPr>
    </w:p>
    <w:p w14:paraId="0923F993" w14:textId="2074D78C">
      <w:pPr>
        <w:pStyle w:val="P68B1DB1-Normal13"/>
        <w:widowControl w:val="0"/>
        <w:autoSpaceDE w:val="0"/>
        <w:autoSpaceDN w:val="0"/>
        <w:spacing w:after="0" w:line="240" w:lineRule="auto"/>
        <w:jc w:val="both"/>
        <w:outlineLvl w:val="1"/>
      </w:pPr>
      <w:hyperlink r:id="rId84" w:history="1">
        <w:r>
          <w:rPr>
            <w:color w:val="0000FF"/>
            <w:u w:val="single"/>
          </w:rPr>
          <w:t xml:space="preserve">Spriedums, 2010. gada 15. aprīlis</w:t>
        </w:r>
      </w:hyperlink>
      <w:r>
        <w:t xml:space="preserve">, Sandström, C-433/05, EU:C:2010:184, 47. un 48. punkts.</w:t>
      </w:r>
      <w:bookmarkEnd w:id="146"/>
    </w:p>
    <w:p w14:paraId="442A3D5E"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7AEB5DB" w14:textId="57E34DD0">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Grozījumi tehnisko noteikumu projektā, kas jau ir paziņoti Komisijai un kas tikai atvieglo attiecīgā ražojuma lietošanas nosacījumus, nav būtiskas izmaiņas, par kurām būtu jāziņo papildus.</w:t>
      </w:r>
    </w:p>
    <w:p w14:paraId="14CAB084" w14:textId="77777777">
      <w:pPr>
        <w:widowControl w:val="0"/>
        <w:autoSpaceDE w:val="0"/>
        <w:autoSpaceDN w:val="0"/>
        <w:spacing w:after="0" w:line="240" w:lineRule="auto"/>
        <w:jc w:val="both"/>
        <w:rPr>
          <w:rFonts w:ascii="Times New Roman" w:hAnsi="Times New Roman" w:cs="Times New Roman" w:eastAsia="Times New Roman"/>
          <w:szCs w:val="20"/>
        </w:rPr>
      </w:pPr>
    </w:p>
    <w:p w14:paraId="711A665A" w14:textId="07F4B9B5">
      <w:pPr>
        <w:pStyle w:val="P68B1DB1-Normal15"/>
        <w:widowControl w:val="0"/>
        <w:autoSpaceDE w:val="0"/>
        <w:autoSpaceDN w:val="0"/>
        <w:spacing w:after="0" w:line="240" w:lineRule="auto"/>
        <w:ind w:left="567"/>
        <w:jc w:val="both"/>
      </w:pPr>
      <w:r>
        <w:t xml:space="preserve">“47. [..] ņemot vērā Direktīvas 98/34 mērķi, kas minēts šī sprieduma 41. punktā, grozījumi, kas izdarīti tehnisko noteikumu projektā, kurš jau ir paziņots Komisijai saskaņā ar Direktīvas 98/34 8. panta 1. punkta pirmo daļu, kas attiecībā uz paziņoto projektu ietver tikai attiecīgās preces izmantošanas nosacījumu atvieglošanu un kas tādējādi samazina tehnisko noteikumu iespējamo ietekmi uz tirdzniecību, nav būtiskas izmaiņas projektā šīs direktīvas 8. panta 1. punkta trešās daļas izpratnē. Attiecīgi šādi grozījumi nav pakļauti iepriekšējas paziņošanas pienākumam.</w:t>
      </w:r>
    </w:p>
    <w:p w14:paraId="1CD58368" w14:textId="77777777">
      <w:pPr>
        <w:pStyle w:val="P68B1DB1-Normal15"/>
        <w:widowControl w:val="0"/>
        <w:autoSpaceDE w:val="0"/>
        <w:autoSpaceDN w:val="0"/>
        <w:spacing w:after="0" w:line="240" w:lineRule="auto"/>
        <w:ind w:left="567"/>
        <w:jc w:val="both"/>
      </w:pPr>
    </w:p>
    <w:p w14:paraId="07688F8B" w14:textId="1AE41F0D">
      <w:pPr>
        <w:pStyle w:val="P68B1DB1-Normal15"/>
        <w:widowControl w:val="0"/>
        <w:autoSpaceDE w:val="0"/>
        <w:autoSpaceDN w:val="0"/>
        <w:spacing w:after="0" w:line="240" w:lineRule="auto"/>
        <w:ind w:left="567"/>
        <w:jc w:val="both"/>
        <w:rPr>
          <w:iCs/>
        </w:rPr>
      </w:pPr>
      <w:r>
        <w:t xml:space="preserve">48. Lai gan saskaņā ar Direktīvas 98/34 8. panta 3. punktu dalībvalstis nekavējoties dara Komisijai zināmu tehnisko noteikumu galīgo tekstu, nebūtisku grozījumu nepaziņošana pirms šādu noteikumu pieņemšanas neietekmē šīs regulas piemērojamību, ja nepastāv iepriekšējas paziņošanas pienākums.”</w:t>
      </w:r>
    </w:p>
    <w:p w14:paraId="56651A14" w14:textId="77777777">
      <w:pPr>
        <w:widowControl w:val="0"/>
        <w:tabs>
          <w:tab w:val="left" w:pos="461"/>
        </w:tabs>
        <w:autoSpaceDE w:val="0"/>
        <w:autoSpaceDN w:val="0"/>
        <w:spacing w:after="0" w:line="240" w:lineRule="auto"/>
        <w:jc w:val="both"/>
        <w:rPr>
          <w:rFonts w:ascii="Times New Roman" w:hAnsi="Times New Roman" w:cs="Times New Roman" w:eastAsia="Times New Roman"/>
          <w:sz w:val="20"/>
          <w:szCs w:val="16"/>
        </w:rPr>
      </w:pPr>
    </w:p>
    <w:p w14:paraId="595AF62A" w14:textId="0AF157F1">
      <w:pPr>
        <w:pStyle w:val="P68B1DB1-Normal13"/>
        <w:widowControl w:val="0"/>
        <w:autoSpaceDE w:val="0"/>
        <w:autoSpaceDN w:val="0"/>
        <w:spacing w:after="0" w:line="240" w:lineRule="auto"/>
        <w:jc w:val="both"/>
        <w:outlineLvl w:val="1"/>
      </w:pPr>
      <w:hyperlink r:id="rId85" w:history="1">
        <w:r>
          <w:rPr>
            <w:color w:val="0000FF"/>
            <w:u w:val="single"/>
          </w:rPr>
          <w:t xml:space="preserve">Spriedums, 2013. gada 31. janvāris</w:t>
        </w:r>
      </w:hyperlink>
      <w:r>
        <w:t xml:space="preserve">, Belgische Petroleum Unie u. c., C-26/11, EU:C:2013:44, 56. un 57. punkts.</w:t>
      </w:r>
      <w:bookmarkEnd w:id="147"/>
    </w:p>
    <w:p w14:paraId="11A2865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307C232" w14:textId="029CC044">
      <w:pPr>
        <w:pStyle w:val="P68B1DB1-Normal14"/>
        <w:widowControl w:val="0"/>
        <w:tabs>
          <w:tab w:val="left" w:pos="412"/>
        </w:tabs>
        <w:autoSpaceDE w:val="0"/>
        <w:autoSpaceDN w:val="0"/>
        <w:spacing w:after="0" w:line="240" w:lineRule="auto"/>
        <w:jc w:val="both"/>
      </w:pPr>
      <w:r>
        <w:t xml:space="preserve">Direktīvā nav prasīts atkārtoti paziņot par valsts tiesību akta projektu, ja pēc paziņošanas projekts ir grozīts, lai ņemtu vērā Komisijas komentārus, un grozītais projekts pēc tam ir paziņots Komisijai.</w:t>
      </w:r>
    </w:p>
    <w:p w14:paraId="7BB1B9CC" w14:textId="77777777">
      <w:pPr>
        <w:widowControl w:val="0"/>
        <w:tabs>
          <w:tab w:val="left" w:pos="412"/>
        </w:tabs>
        <w:autoSpaceDE w:val="0"/>
        <w:autoSpaceDN w:val="0"/>
        <w:spacing w:after="0" w:line="240" w:lineRule="auto"/>
        <w:jc w:val="both"/>
        <w:rPr>
          <w:rFonts w:ascii="Times New Roman" w:hAnsi="Times New Roman" w:cs="Times New Roman" w:eastAsia="Times New Roman"/>
          <w:szCs w:val="20"/>
        </w:rPr>
      </w:pPr>
    </w:p>
    <w:p w14:paraId="78681219" w14:textId="6C2D482D">
      <w:pPr>
        <w:pStyle w:val="P68B1DB1-Normal15"/>
        <w:widowControl w:val="0"/>
        <w:tabs>
          <w:tab w:val="left" w:pos="412"/>
        </w:tabs>
        <w:autoSpaceDE w:val="0"/>
        <w:autoSpaceDN w:val="0"/>
        <w:spacing w:after="0" w:line="240" w:lineRule="auto"/>
        <w:ind w:left="567"/>
        <w:jc w:val="both"/>
      </w:pPr>
      <w:r>
        <w:t xml:space="preserve">“56. [..] Beļģijas Karaliste šādos apstākļos ir vienīgi grozījusi tiesību akta projekta noteikumus atbilstoši Komisijas lūgumam novērst šķēršļus tirdzniecībai, un tādējādi saskaņā ar Direktīvas 98/34 10. panta 1. punkta pēdējo ievilkumu pienākums informēt Komisiju saskaņā ar šīs direktīvas 8. panta 1. punkta pirmo daļu neattiecas uz likumprojektu par apvienošanas pienākumu.</w:t>
      </w:r>
    </w:p>
    <w:p w14:paraId="4B8B3C65" w14:textId="77777777">
      <w:pPr>
        <w:pStyle w:val="P68B1DB1-Normal15"/>
        <w:widowControl w:val="0"/>
        <w:tabs>
          <w:tab w:val="left" w:pos="412"/>
        </w:tabs>
        <w:autoSpaceDE w:val="0"/>
        <w:autoSpaceDN w:val="0"/>
        <w:spacing w:after="0" w:line="240" w:lineRule="auto"/>
        <w:ind w:left="567"/>
        <w:jc w:val="both"/>
      </w:pPr>
    </w:p>
    <w:p w14:paraId="2643CC13" w14:textId="30521DC9">
      <w:pPr>
        <w:pStyle w:val="P68B1DB1-Normal15"/>
        <w:widowControl w:val="0"/>
        <w:tabs>
          <w:tab w:val="left" w:pos="412"/>
        </w:tabs>
        <w:autoSpaceDE w:val="0"/>
        <w:autoSpaceDN w:val="0"/>
        <w:spacing w:after="0" w:line="240" w:lineRule="auto"/>
        <w:ind w:left="567"/>
        <w:jc w:val="both"/>
        <w:rPr>
          <w:iCs/>
        </w:rPr>
      </w:pPr>
      <w:r>
        <w:t xml:space="preserve">57. Šādos apstākļos uz otro jautājumu ir jāatbild, ka Direktīvas 98/34 8. pants, lasot to kopsakarā ar šīs direktīvas 10. panta 1. punkta pēdējo ievilkumu, ir jāinterpretē tādējādi, ka tajā nav prasīts paziņot valsts tiesiskā regulējuma projektu, kurā naftas sabiedrībām, kas laiž tirgū benzīnu un/vai dīzeļdegvielu, ir noteikts pienākums tajā pašā kalendārajā gadā laist tirgū arī noteiktu biodegvielas procentuālo daļu, ja pēc paziņošanas saskaņā ar 8. panta 1. punkta pirmo daļu projekts tika grozīts, lai ņemtu vērā Komisijas apsvērumus par to, un grozītais projekts pēc tam tika paziņots Komisijai.”</w:t>
      </w:r>
    </w:p>
    <w:p w14:paraId="236E4111" w14:textId="77777777">
      <w:pPr>
        <w:widowControl w:val="0"/>
        <w:tabs>
          <w:tab w:val="left" w:pos="461"/>
        </w:tabs>
        <w:autoSpaceDE w:val="0"/>
        <w:autoSpaceDN w:val="0"/>
        <w:spacing w:after="0" w:line="240" w:lineRule="auto"/>
        <w:jc w:val="both"/>
        <w:rPr>
          <w:rFonts w:ascii="Times New Roman" w:hAnsi="Times New Roman" w:cs="Times New Roman" w:eastAsia="Times New Roman"/>
          <w:sz w:val="20"/>
          <w:szCs w:val="16"/>
        </w:rPr>
      </w:pPr>
    </w:p>
    <w:p w14:paraId="43993F44" w14:textId="3D80E37E">
      <w:pPr>
        <w:pStyle w:val="P68B1DB1-Normal14"/>
        <w:widowControl w:val="0"/>
        <w:autoSpaceDE w:val="0"/>
        <w:autoSpaceDN w:val="0"/>
        <w:spacing w:after="0" w:line="240" w:lineRule="auto"/>
        <w:jc w:val="both"/>
        <w:outlineLvl w:val="1"/>
        <w:rPr>
          <w:b/>
          <w:i/>
        </w:rPr>
      </w:pPr>
      <w:hyperlink r:id="rId86" w:history="1">
        <w:r>
          <w:rPr>
            <w:b/>
            <w:i/>
            <w:color w:val="0000FF"/>
            <w:u w:val="single"/>
          </w:rPr>
          <w:t xml:space="preserve">Spriedums, 2014. gada 10. jūlijs,</w:t>
        </w:r>
      </w:hyperlink>
      <w:r>
        <w:rPr>
          <w:b/>
          <w:i/>
        </w:rPr>
        <w:t xml:space="preserve"> Ivansson u. c.</w:t>
      </w:r>
      <w:r>
        <w:rPr>
          <w:sz w:val="25"/>
        </w:rPr>
        <w:t>,</w:t>
      </w:r>
      <w:r>
        <w:rPr>
          <w:rFonts w:ascii="Open Sans" w:hAnsi="Open Sans" w:cs="Open Sans" w:eastAsiaTheme="minorHAnsi"/>
          <w:color w:val="000000"/>
          <w:sz w:val="18"/>
          <w:szCs w:val="18"/>
        </w:rPr>
        <w:t xml:space="preserve"> </w:t>
      </w:r>
      <w:r>
        <w:rPr>
          <w:sz w:val="25"/>
        </w:rPr>
        <w:t xml:space="preserve">C-307/13, EU:C:2014:2058, 48.–50. punkts.</w:t>
      </w:r>
      <w:bookmarkEnd w:id="148"/>
    </w:p>
    <w:p w14:paraId="27463427" w14:textId="77777777">
      <w:pPr>
        <w:widowControl w:val="0"/>
        <w:autoSpaceDE w:val="0"/>
        <w:autoSpaceDN w:val="0"/>
        <w:spacing w:after="0" w:line="240" w:lineRule="auto"/>
        <w:ind w:left="-142"/>
        <w:jc w:val="both"/>
        <w:rPr>
          <w:rFonts w:ascii="Times New Roman" w:hAnsi="Times New Roman" w:cs="Times New Roman" w:eastAsia="Times New Roman"/>
          <w:szCs w:val="20"/>
        </w:rPr>
      </w:pPr>
    </w:p>
    <w:p w14:paraId="0B57A13E" w14:textId="12E99D5A">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Par jebkādām būtiskām izmaiņām valsts pasākuma īstenošanas grafikā, tostarp par būtisku saīsināšanu, jāpaziņo Komisijai. Nepaziņošanas dēļ pasākums nav piemērojams un nav piemērojams fiziskām personām.</w:t>
      </w:r>
    </w:p>
    <w:p w14:paraId="0B31DCA0" w14:textId="77777777">
      <w:pPr>
        <w:widowControl w:val="0"/>
        <w:autoSpaceDE w:val="0"/>
        <w:autoSpaceDN w:val="0"/>
        <w:spacing w:after="0" w:line="240" w:lineRule="auto"/>
        <w:ind w:hanging="142"/>
        <w:jc w:val="both"/>
        <w:rPr>
          <w:rFonts w:ascii="Times New Roman" w:hAnsi="Times New Roman" w:cs="Times New Roman" w:eastAsia="Times New Roman"/>
          <w:szCs w:val="20"/>
        </w:rPr>
      </w:pPr>
    </w:p>
    <w:p w14:paraId="2FC99E88" w14:textId="427CE55A">
      <w:pPr>
        <w:pStyle w:val="P68B1DB1-Normal15"/>
        <w:widowControl w:val="0"/>
        <w:tabs>
          <w:tab w:val="left" w:pos="396"/>
          <w:tab w:val="left" w:pos="407"/>
        </w:tabs>
        <w:autoSpaceDE w:val="0"/>
        <w:autoSpaceDN w:val="0"/>
        <w:spacing w:after="0" w:line="240" w:lineRule="auto"/>
        <w:ind w:left="567"/>
        <w:jc w:val="both"/>
      </w:pPr>
      <w:r>
        <w:t xml:space="preserve">“48. Šajā ziņā ir jāatgādina, ka Tiesa ir nospriedusi, ka paziņošanas pienākuma pārkāpums tiek uzskatīts par procedūras pārkāpumu attiecīgo tehnisko noteikumu pieņemšanā, kura dēļ šie tehniskie noteikumi kļūst nepiemērojami, liedzot attiecīgos tehniskos noteikumus piemērot privātpersonām (skat. tostarp spriedumus CIA Security International, C-194/94, EU:C:1996:172, 54. punkts, un Schwibbert, C-20/05, EU:C:2007:652, 44. punkts). Privātpersonas uz šo nepiemērojamību var atsaukties valsts tiesā, kurai ir pienākums noraidīt tādu valsts tehnisko noteikumu piemērošanu, par kuriem nav paziņots saskaņā ar Direktīvu 98/34 (skat. tostarp spriedumu Schwibbert, EU:C:2007:652, 44. punkts un minētā judikatūra).</w:t>
      </w:r>
    </w:p>
    <w:p w14:paraId="64D396E7" w14:textId="77777777">
      <w:pPr>
        <w:pStyle w:val="P68B1DB1-Normal15"/>
        <w:widowControl w:val="0"/>
        <w:tabs>
          <w:tab w:val="left" w:pos="396"/>
          <w:tab w:val="left" w:pos="407"/>
        </w:tabs>
        <w:autoSpaceDE w:val="0"/>
        <w:autoSpaceDN w:val="0"/>
        <w:spacing w:after="0" w:line="240" w:lineRule="auto"/>
        <w:ind w:left="567"/>
        <w:jc w:val="both"/>
      </w:pPr>
    </w:p>
    <w:p w14:paraId="24511168" w14:textId="41EC6123">
      <w:pPr>
        <w:pStyle w:val="P68B1DB1-Normal15"/>
        <w:widowControl w:val="0"/>
        <w:tabs>
          <w:tab w:val="left" w:pos="396"/>
          <w:tab w:val="left" w:pos="407"/>
        </w:tabs>
        <w:autoSpaceDE w:val="0"/>
        <w:autoSpaceDN w:val="0"/>
        <w:spacing w:after="0" w:line="240" w:lineRule="auto"/>
        <w:ind w:left="567"/>
        <w:jc w:val="both"/>
      </w:pPr>
      <w:r>
        <w:t xml:space="preserve">49. No tā izriet, ka, ja paziņojumā Komisijai par Noteikumu (1988:539) 9. pantu tik tiešām kā spēkā stāšanās datums ir ticis minēts 2003. gada 1. maijs un ja tā termiņa, ar kuru tas būtu jāsāk piemērot, saīsināšana līdz tā paša gada 15. aprīlim būtu būtiska, tad, nepaziņojot šādu tiesību normu Komisijai, to nevarētu piemērot atbildētājiem pamatlietā.</w:t>
      </w:r>
    </w:p>
    <w:p w14:paraId="5515956D" w14:textId="77777777">
      <w:pPr>
        <w:pStyle w:val="P68B1DB1-Normal15"/>
        <w:widowControl w:val="0"/>
        <w:tabs>
          <w:tab w:val="left" w:pos="396"/>
          <w:tab w:val="left" w:pos="407"/>
        </w:tabs>
        <w:autoSpaceDE w:val="0"/>
        <w:autoSpaceDN w:val="0"/>
        <w:spacing w:after="0" w:line="240" w:lineRule="auto"/>
        <w:ind w:left="567"/>
        <w:jc w:val="both"/>
      </w:pPr>
    </w:p>
    <w:p w14:paraId="74B7B30E" w14:textId="7B5C59D5">
      <w:pPr>
        <w:pStyle w:val="P68B1DB1-Normal15"/>
        <w:widowControl w:val="0"/>
        <w:tabs>
          <w:tab w:val="left" w:pos="396"/>
          <w:tab w:val="left" w:pos="407"/>
        </w:tabs>
        <w:autoSpaceDE w:val="0"/>
        <w:autoSpaceDN w:val="0"/>
        <w:spacing w:after="0" w:line="240" w:lineRule="auto"/>
        <w:ind w:left="567"/>
        <w:jc w:val="both"/>
      </w:pPr>
      <w:r>
        <w:t xml:space="preserve">50. Līdz ar to uz otro jautājumu ir jāatbild, ka, ja tehnisko noteikumu spēkā stāšanās termiņa saīsināšana ir pakļauta paziņošanas pienākumam Komisijai, kā tas ir paredzēts Direktīvas 98/34 8. panta 1. punkta trešajā daļā, šādas paziņošanas neveikšana padarītu šo valsts pasākumu nepiemērojamu, līdz ar to to nevarētu piemērot privātpersonām.”</w:t>
      </w:r>
    </w:p>
    <w:p w14:paraId="761A5A99" w14:textId="77777777">
      <w:pPr>
        <w:pStyle w:val="P68B1DB1-Normal15"/>
        <w:widowControl w:val="0"/>
        <w:tabs>
          <w:tab w:val="left" w:pos="396"/>
          <w:tab w:val="left" w:pos="407"/>
        </w:tabs>
        <w:autoSpaceDE w:val="0"/>
        <w:autoSpaceDN w:val="0"/>
        <w:spacing w:after="0" w:line="240" w:lineRule="auto"/>
        <w:jc w:val="both"/>
        <w:rPr>
          <w:iCs/>
        </w:rPr>
      </w:pPr>
    </w:p>
    <w:p w14:paraId="5BAF695F" w14:textId="64410CB4">
      <w:pPr>
        <w:pStyle w:val="P68B1DB1-Normal16"/>
        <w:spacing w:after="0" w:line="278" w:lineRule="auto"/>
      </w:pPr>
      <w:r>
        <w:br w:type="page"/>
      </w:r>
    </w:p>
    <w:p w14:paraId="6577BC49" w14:textId="03B1ACB8">
      <w:pPr>
        <w:pStyle w:val="P68B1DB1-Heading13"/>
        <w:numPr>
          <w:ilvl w:val="0"/>
          <w:numId w:val="34"/>
        </w:numPr>
        <w:spacing w:before="0" w:after="0"/>
        <w:jc w:val="center"/>
        <w:rPr>
          <w:bCs/>
          <w:color w:val="auto"/>
          <w:sz w:val="22"/>
          <w:szCs w:val="22"/>
        </w:rPr>
      </w:pPr>
      <w:bookmarkStart w:id="149" w:name="_Ref195517367"/>
      <w:bookmarkStart w:id="150" w:name="_Toc203035679"/>
      <w:r>
        <w:t xml:space="preserve">Paziņošanas pienākuma izņēmumi</w:t>
      </w:r>
      <w:bookmarkEnd w:id="149"/>
      <w:bookmarkEnd w:id="150"/>
    </w:p>
    <w:p w14:paraId="3C30462C" w14:textId="2740E9B7">
      <w:pPr>
        <w:spacing w:after="0" w:line="278" w:lineRule="auto"/>
        <w:rPr>
          <w:rFonts w:ascii="Times New Roman" w:hAnsi="Times New Roman" w:cs="Times New Roman"/>
          <w:i/>
          <w:sz w:val="20"/>
          <w:szCs w:val="20"/>
        </w:rPr>
      </w:pPr>
    </w:p>
    <w:p w14:paraId="0F730AF8" w14:textId="3DA91853">
      <w:pPr>
        <w:pStyle w:val="P68B1DB1-Heading24"/>
        <w:numPr>
          <w:ilvl w:val="0"/>
          <w:numId w:val="37"/>
        </w:numPr>
        <w:spacing w:before="0" w:after="0"/>
        <w:jc w:val="center"/>
        <w:rPr>
          <w:bCs/>
          <w:color w:val="auto"/>
        </w:rPr>
      </w:pPr>
      <w:bookmarkStart w:id="151" w:name="_Ref194484715"/>
      <w:bookmarkStart w:id="152" w:name="_Ref194942600"/>
      <w:bookmarkStart w:id="153" w:name="_Toc203035680"/>
      <w:r>
        <w:t xml:space="preserve">Eiropas tiesību akta transponēšana</w:t>
      </w:r>
      <w:bookmarkEnd w:id="151"/>
      <w:bookmarkEnd w:id="152"/>
      <w:bookmarkEnd w:id="153"/>
    </w:p>
    <w:p w14:paraId="4B7876F4" w14:textId="77777777">
      <w:pPr>
        <w:pStyle w:val="BodyText"/>
        <w:rPr>
          <w:b/>
          <w:bCs/>
        </w:rPr>
      </w:pPr>
    </w:p>
    <w:p w14:paraId="61507248" w14:textId="663D0F44">
      <w:pPr>
        <w:pStyle w:val="P68B1DB1-BodyText11"/>
        <w:ind w:left="567"/>
        <w:rPr>
          <w:i/>
        </w:rPr>
      </w:pPr>
      <w:r>
        <w:t xml:space="preserve">“Šīs regulas 5. un 6. pantu nepiemēro tiem dalībvalstu normatīvajiem un administratīvajiem aktiem vai brīvprātīgiem nolīgumiem, ar kuriem dalībvalstis: </w:t>
      </w:r>
    </w:p>
    <w:p w14:paraId="2762B474" w14:textId="77777777">
      <w:pPr>
        <w:pStyle w:val="BodyText"/>
        <w:ind w:left="567"/>
        <w:rPr>
          <w:i/>
        </w:rPr>
      </w:pPr>
    </w:p>
    <w:p w14:paraId="753FC221" w14:textId="4E9C46C0">
      <w:pPr>
        <w:pStyle w:val="P68B1DB1-BodyText11"/>
        <w:ind w:left="1440"/>
        <w:rPr>
          <w:iCs/>
        </w:rPr>
      </w:pPr>
      <w:r>
        <w:t xml:space="preserve">a) atbilst saistošiem Savienības tiesību aktiem, kuru rezultātā tiek pieņemtas tehniskās specifikācijas vai noteikumi par pakalpojumiem;”</w:t>
      </w:r>
    </w:p>
    <w:p w14:paraId="2A077376" w14:textId="77777777">
      <w:pPr>
        <w:pStyle w:val="BodyText"/>
        <w:ind w:left="567"/>
        <w:rPr>
          <w:i/>
          <w:iCs/>
        </w:rPr>
      </w:pPr>
    </w:p>
    <w:p w14:paraId="7AE538ED" w14:textId="4CFA3BCA">
      <w:pPr>
        <w:pStyle w:val="BodyText"/>
        <w:jc w:val="right"/>
      </w:pPr>
      <w:r>
        <w:t xml:space="preserve">(Direktīvas (ES) 2015/1535 7. panta 1. punkta a) apakšpunkts)</w:t>
      </w:r>
    </w:p>
    <w:p w14:paraId="7807BF71"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5C483B06" w14:textId="24AB8D26">
      <w:pPr>
        <w:pStyle w:val="P68B1DB1-Normal13"/>
        <w:widowControl w:val="0"/>
        <w:autoSpaceDE w:val="0"/>
        <w:autoSpaceDN w:val="0"/>
        <w:spacing w:after="0" w:line="240" w:lineRule="auto"/>
        <w:jc w:val="both"/>
        <w:outlineLvl w:val="1"/>
      </w:pPr>
      <w:hyperlink r:id="rId87" w:history="1">
        <w:r>
          <w:rPr>
            <w:color w:val="0000FF"/>
            <w:u w:val="single"/>
          </w:rPr>
          <w:t xml:space="preserve">Spriedums, 1996. gada 17. septembris,</w:t>
        </w:r>
      </w:hyperlink>
      <w:r>
        <w:t xml:space="preserve"> Komisija/Itālija, C-289/94, EU:C:1996:330, 43.–45. punkts.</w:t>
      </w:r>
      <w:bookmarkEnd w:id="154"/>
    </w:p>
    <w:p w14:paraId="5A0D4173" w14:textId="77777777">
      <w:pPr>
        <w:widowControl w:val="0"/>
        <w:tabs>
          <w:tab w:val="left" w:pos="393"/>
          <w:tab w:val="left" w:pos="396"/>
        </w:tabs>
        <w:autoSpaceDE w:val="0"/>
        <w:autoSpaceDN w:val="0"/>
        <w:spacing w:after="0" w:line="240" w:lineRule="auto"/>
        <w:jc w:val="both"/>
        <w:rPr>
          <w:rFonts w:ascii="Times New Roman" w:hAnsi="Times New Roman" w:cs="Times New Roman" w:eastAsia="Times New Roman"/>
          <w:szCs w:val="20"/>
        </w:rPr>
      </w:pPr>
    </w:p>
    <w:p w14:paraId="4994C4AC" w14:textId="06B0EF04">
      <w:pPr>
        <w:pStyle w:val="P68B1DB1-Normal14"/>
        <w:widowControl w:val="0"/>
        <w:tabs>
          <w:tab w:val="left" w:pos="393"/>
          <w:tab w:val="left" w:pos="396"/>
        </w:tabs>
        <w:autoSpaceDE w:val="0"/>
        <w:autoSpaceDN w:val="0"/>
        <w:spacing w:after="0" w:line="240" w:lineRule="auto"/>
        <w:jc w:val="both"/>
      </w:pPr>
      <w:r>
        <w:t xml:space="preserve">Lai valsts pasākumu varētu uzskatīt par transponēšanas pasākumu, kas atbrīvots no paziņošanas pienākuma, ir jākonstatē tieša saikne ar saistošu Kopienas tiesību aktu. </w:t>
      </w:r>
    </w:p>
    <w:p w14:paraId="6B49E9E7" w14:textId="77777777">
      <w:pPr>
        <w:widowControl w:val="0"/>
        <w:tabs>
          <w:tab w:val="left" w:pos="393"/>
          <w:tab w:val="left" w:pos="396"/>
        </w:tabs>
        <w:autoSpaceDE w:val="0"/>
        <w:autoSpaceDN w:val="0"/>
        <w:spacing w:after="0" w:line="240" w:lineRule="auto"/>
        <w:jc w:val="both"/>
        <w:rPr>
          <w:rFonts w:ascii="Times New Roman" w:hAnsi="Times New Roman" w:cs="Times New Roman" w:eastAsia="Times New Roman"/>
          <w:i/>
          <w:iCs/>
          <w:sz w:val="20"/>
          <w:szCs w:val="16"/>
        </w:rPr>
      </w:pPr>
    </w:p>
    <w:p w14:paraId="433CF3E1" w14:textId="20EF3A37">
      <w:pPr>
        <w:pStyle w:val="P68B1DB1-Normal15"/>
        <w:widowControl w:val="0"/>
        <w:tabs>
          <w:tab w:val="left" w:pos="393"/>
          <w:tab w:val="left" w:pos="396"/>
        </w:tabs>
        <w:autoSpaceDE w:val="0"/>
        <w:autoSpaceDN w:val="0"/>
        <w:spacing w:after="0" w:line="240" w:lineRule="auto"/>
        <w:ind w:left="567"/>
        <w:jc w:val="both"/>
      </w:pPr>
      <w:r>
        <w:t xml:space="preserve">“43. Savukārt Direktīvā 91/492 ir ietverti daudz plašāki noteikumi ne tikai par gliemeņu, bet arī jūras gliemežu, tunikātu un adatādaiņu tirdzniecību. Tajā ir noteiktas jaunas prasības visiem mīkstmiešu savākšanas, apstrādes, uzglabāšanas, transportēšanas un izplatīšanas posmiem, kā arī ieviesta reģistrācijas un marķēšanas sistēma, kas ļauj identificēt katras partijas izcelsmi veselības apsvērumu dēļ. </w:t>
      </w:r>
    </w:p>
    <w:p w14:paraId="7B3D1E4A" w14:textId="77777777">
      <w:pPr>
        <w:pStyle w:val="P68B1DB1-Normal15"/>
        <w:widowControl w:val="0"/>
        <w:tabs>
          <w:tab w:val="left" w:pos="393"/>
          <w:tab w:val="left" w:pos="396"/>
        </w:tabs>
        <w:autoSpaceDE w:val="0"/>
        <w:autoSpaceDN w:val="0"/>
        <w:spacing w:after="0" w:line="240" w:lineRule="auto"/>
        <w:ind w:left="567"/>
        <w:jc w:val="both"/>
      </w:pPr>
    </w:p>
    <w:p w14:paraId="48887BBE" w14:textId="149910F2">
      <w:pPr>
        <w:pStyle w:val="P68B1DB1-Normal15"/>
        <w:widowControl w:val="0"/>
        <w:tabs>
          <w:tab w:val="left" w:pos="393"/>
          <w:tab w:val="left" w:pos="396"/>
        </w:tabs>
        <w:autoSpaceDE w:val="0"/>
        <w:autoSpaceDN w:val="0"/>
        <w:spacing w:after="0" w:line="240" w:lineRule="auto"/>
        <w:ind w:left="567"/>
        <w:jc w:val="both"/>
      </w:pPr>
      <w:r>
        <w:t xml:space="preserve">44. Turklāt tiešas saiknes neesamību starp Direktīvu 91/492 un abiem attiecīgajiem dekrētiem apstiprina Itālijas valdības apgalvojums, ka šī direktīva Itālijas tiesībās ir transponēta ar iepriekš minēto 1992. gada 30. decembra Likumdošanas dekrētu Nr. 530, kas, kā tā apgalvo, ir vienīgais pasākums Direktīvas 91/492 īstenošanai un par kuru Komisija 1993. gada 27. janvārī nosūtīja sīki izstrādātu atzinumu, kritizējot šo dekrētu, ciktāl tas attiecas uz citu toksīnu (NSP), kas nav minēts Direktīvā 91/492. </w:t>
      </w:r>
    </w:p>
    <w:p w14:paraId="19342BDA" w14:textId="77777777">
      <w:pPr>
        <w:pStyle w:val="P68B1DB1-Normal15"/>
        <w:widowControl w:val="0"/>
        <w:tabs>
          <w:tab w:val="left" w:pos="393"/>
          <w:tab w:val="left" w:pos="396"/>
        </w:tabs>
        <w:autoSpaceDE w:val="0"/>
        <w:autoSpaceDN w:val="0"/>
        <w:spacing w:after="0" w:line="240" w:lineRule="auto"/>
        <w:ind w:left="567"/>
        <w:jc w:val="both"/>
      </w:pPr>
    </w:p>
    <w:p w14:paraId="1A450F93" w14:textId="4F2BD9E6">
      <w:pPr>
        <w:pStyle w:val="P68B1DB1-Normal15"/>
        <w:widowControl w:val="0"/>
        <w:tabs>
          <w:tab w:val="left" w:pos="393"/>
          <w:tab w:val="left" w:pos="396"/>
        </w:tabs>
        <w:autoSpaceDE w:val="0"/>
        <w:autoSpaceDN w:val="0"/>
        <w:spacing w:after="0" w:line="240" w:lineRule="auto"/>
        <w:ind w:left="567"/>
        <w:jc w:val="both"/>
      </w:pPr>
      <w:r>
        <w:t xml:space="preserve">45. Tā kā tie nav Direktīvas 91/492 transponēšanas pasākumi, kas pamatotu Direktīvas 83/189 10. panta piemērošanu, 1990. gada 1. augusta Dekrēts Nr. 257 un 1990. gada 1. septembra dekrēts bija jāpaziņo Komisijai saskaņā ar pēdējās minētās direktīvas 8. pantu.”</w:t>
      </w:r>
    </w:p>
    <w:p w14:paraId="0EB5A280" w14:textId="77777777">
      <w:pPr>
        <w:pStyle w:val="P68B1DB1-Normal15"/>
        <w:widowControl w:val="0"/>
        <w:tabs>
          <w:tab w:val="left" w:pos="393"/>
          <w:tab w:val="left" w:pos="396"/>
        </w:tabs>
        <w:autoSpaceDE w:val="0"/>
        <w:autoSpaceDN w:val="0"/>
        <w:spacing w:after="0" w:line="240" w:lineRule="auto"/>
        <w:ind w:left="567"/>
        <w:jc w:val="both"/>
        <w:rPr>
          <w:iCs/>
        </w:rPr>
      </w:pPr>
    </w:p>
    <w:p w14:paraId="667344E1" w14:textId="52345967">
      <w:pPr>
        <w:pStyle w:val="P68B1DB1-Normal13"/>
        <w:widowControl w:val="0"/>
        <w:autoSpaceDE w:val="0"/>
        <w:autoSpaceDN w:val="0"/>
        <w:spacing w:after="0" w:line="240" w:lineRule="auto"/>
        <w:jc w:val="both"/>
        <w:outlineLvl w:val="1"/>
      </w:pPr>
      <w:hyperlink r:id="rId88" w:history="1">
        <w:r>
          <w:rPr>
            <w:color w:val="0000FF"/>
            <w:u w:val="single"/>
          </w:rPr>
          <w:t xml:space="preserve">Spriedums, 2000. gada 26. septembris</w:t>
        </w:r>
      </w:hyperlink>
      <w:r>
        <w:t xml:space="preserve">, Unilever, C-443/98, EU:C:2000:496, 28. un 29. punkts.</w:t>
      </w:r>
      <w:bookmarkEnd w:id="155"/>
    </w:p>
    <w:p w14:paraId="6F265AB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2D72ABF8" w14:textId="6CA475E3">
      <w:pPr>
        <w:pStyle w:val="P68B1DB1-Normal14"/>
        <w:widowControl w:val="0"/>
        <w:autoSpaceDE w:val="0"/>
        <w:autoSpaceDN w:val="0"/>
        <w:spacing w:after="0" w:line="240" w:lineRule="auto"/>
        <w:jc w:val="both"/>
      </w:pPr>
      <w:r>
        <w:t xml:space="preserve">Ja dalībvalstīm ir plaša rīcības brīvība, transponējot Savienības direktīvu, valsts pasākumi, kas pieņemti šajā nolūkā, nevar tikt uzskatīti par valsts noteikumiem, “kas atbilst saistošam Kopienu tiesību aktam”.</w:t>
      </w:r>
    </w:p>
    <w:p w14:paraId="233C173F" w14:textId="77777777">
      <w:pPr>
        <w:widowControl w:val="0"/>
        <w:autoSpaceDE w:val="0"/>
        <w:autoSpaceDN w:val="0"/>
        <w:spacing w:after="0" w:line="240" w:lineRule="auto"/>
        <w:jc w:val="both"/>
        <w:rPr>
          <w:rFonts w:ascii="Times New Roman" w:hAnsi="Times New Roman" w:cs="Times New Roman" w:eastAsia="Times New Roman"/>
          <w:szCs w:val="20"/>
        </w:rPr>
      </w:pPr>
    </w:p>
    <w:p w14:paraId="4D09BAA2" w14:textId="2C7E5999">
      <w:pPr>
        <w:pStyle w:val="P68B1DB1-Normal15"/>
        <w:widowControl w:val="0"/>
        <w:autoSpaceDE w:val="0"/>
        <w:autoSpaceDN w:val="0"/>
        <w:spacing w:after="0" w:line="240" w:lineRule="auto"/>
        <w:ind w:left="567"/>
        <w:jc w:val="both"/>
      </w:pPr>
      <w:r>
        <w:t xml:space="preserve">“28. Otrkārt, Itālijas valdība apgalvo, ka apstrīdētais likums bija atbrīvots no paziņošanas pienākuma saskaņā ar Direktīvas 83/189 10. pantu, jo tas tika pieņemts saskaņā ar Padomes 1978. gada 18. decembra Direktīvu 79/112/EEK par dalībvalstu tiesību aktu tuvināšanu attiecībā uz galapatērētājam pārdodamu pārtikas produktu marķēšanu, noformēšanu un reklāmu (OV 1979, L 33, 1. lpp.). Šīs direktīvas 3. panta 1. punkta 7. apakšpunktā ir noteikts, ka uz etiķetes ir jānorāda produkta izcelsmes vai izcelsmes vieta, ja šādas informācijas nenorādīšana varētu maldināt patērētājus par pārtikas produkta patieso izcelsmi vai izcelsmi.</w:t>
      </w:r>
    </w:p>
    <w:p w14:paraId="0949ABBA" w14:textId="77777777">
      <w:pPr>
        <w:pStyle w:val="P68B1DB1-Normal15"/>
        <w:widowControl w:val="0"/>
        <w:autoSpaceDE w:val="0"/>
        <w:autoSpaceDN w:val="0"/>
        <w:spacing w:after="0" w:line="240" w:lineRule="auto"/>
        <w:ind w:left="567"/>
        <w:jc w:val="both"/>
      </w:pPr>
    </w:p>
    <w:p w14:paraId="7E20C2A2" w14:textId="32F76FBD">
      <w:pPr>
        <w:pStyle w:val="P68B1DB1-Normal15"/>
        <w:widowControl w:val="0"/>
        <w:autoSpaceDE w:val="0"/>
        <w:autoSpaceDN w:val="0"/>
        <w:spacing w:after="0" w:line="240" w:lineRule="auto"/>
        <w:ind w:left="567"/>
        <w:jc w:val="both"/>
      </w:pPr>
      <w:r>
        <w:t xml:space="preserve">29. Šis apgalvojums nevar tiks pieņemts. Kā norādījusi Komisija, šis Direktīvas 79/112 noteikums, kas formulēts vispārīgi, atstāj dalībvalstīm pietiekamu rīcības brīvību, lai secinātu, ka tādi valsts noteikumi par izcelsmes marķējumu kā tie, kas pieņemti apstrīdētajā likumā, nevar tikt uzskatīti par valsts noteikumiem, kas atbilst saistošam Kopienas tiesību aktam Direktīvas 83/189 10. panta 1. punkta pirmā ievilkuma izpratnē.”</w:t>
      </w:r>
    </w:p>
    <w:p w14:paraId="49D7BF41"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74D10AEF" w14:textId="6F48CDC6">
      <w:pPr>
        <w:pStyle w:val="P68B1DB1-Normal13"/>
        <w:widowControl w:val="0"/>
        <w:autoSpaceDE w:val="0"/>
        <w:autoSpaceDN w:val="0"/>
        <w:spacing w:after="0" w:line="240" w:lineRule="auto"/>
        <w:jc w:val="both"/>
        <w:outlineLvl w:val="1"/>
      </w:pPr>
      <w:hyperlink r:id="rId89" w:history="1">
        <w:r>
          <w:rPr>
            <w:color w:val="0000FF"/>
            <w:u w:val="single"/>
          </w:rPr>
          <w:t xml:space="preserve">Spriedums, 2000. gada 22. janvāris</w:t>
        </w:r>
      </w:hyperlink>
      <w:r>
        <w:t xml:space="preserve">, Canal Satélite Digital, C-390/99, EU:C:2002:34, 48. punkts.</w:t>
      </w:r>
      <w:bookmarkEnd w:id="156"/>
    </w:p>
    <w:p w14:paraId="129D695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BDFD60C" w14:textId="77777777">
      <w:pPr>
        <w:pStyle w:val="P68B1DB1-Normal14"/>
        <w:widowControl w:val="0"/>
        <w:tabs>
          <w:tab w:val="left" w:pos="396"/>
          <w:tab w:val="left" w:pos="405"/>
        </w:tabs>
        <w:autoSpaceDE w:val="0"/>
        <w:autoSpaceDN w:val="0"/>
        <w:spacing w:after="0" w:line="240" w:lineRule="auto"/>
        <w:jc w:val="both"/>
      </w:pPr>
      <w:r>
        <w:t xml:space="preserve">Uz valstu noteikumiem, ar kuriem transponē saistošus Kopienas pasākumus, kuros ietvertas “tehniskās specifikācijas”, neattiecas paziņošanas pienākums, ja tie attiecas tikai uz šādu transponēšanu.</w:t>
      </w:r>
    </w:p>
    <w:p w14:paraId="15236C38" w14:textId="77777777">
      <w:pPr>
        <w:pStyle w:val="P68B1DB1-Normal15"/>
        <w:widowControl w:val="0"/>
        <w:tabs>
          <w:tab w:val="left" w:pos="396"/>
          <w:tab w:val="left" w:pos="405"/>
        </w:tabs>
        <w:autoSpaceDE w:val="0"/>
        <w:autoSpaceDN w:val="0"/>
        <w:spacing w:after="0" w:line="240" w:lineRule="auto"/>
        <w:ind w:left="567" w:hanging="142"/>
        <w:jc w:val="both"/>
        <w:rPr>
          <w:iCs/>
        </w:rPr>
      </w:pPr>
      <w:r>
        <w:t xml:space="preserve">    </w:t>
      </w:r>
    </w:p>
    <w:p w14:paraId="6015C260" w14:textId="48904931">
      <w:pPr>
        <w:pStyle w:val="P68B1DB1-Normal15"/>
        <w:widowControl w:val="0"/>
        <w:tabs>
          <w:tab w:val="left" w:pos="396"/>
          <w:tab w:val="left" w:pos="405"/>
        </w:tabs>
        <w:autoSpaceDE w:val="0"/>
        <w:autoSpaceDN w:val="0"/>
        <w:spacing w:after="0" w:line="240" w:lineRule="auto"/>
        <w:ind w:left="567"/>
        <w:jc w:val="both"/>
      </w:pPr>
      <w:r>
        <w:t xml:space="preserve">“48. Attiecībā uz trešā jautājuma otro daļu, kas attiecas uz Direktīvas 83/189 8. pantā paredzēto pienākumu paziņot Komisijai jebkuru tehnisko noteikumu projektu, no šīs direktīvas 10. panta izriet, ka 8. un 9. pants neattiecas ne uz dalībvalstu normatīvajiem un administratīvajiem aktiem, ne uz to noslēgtajiem brīvprātīgajiem nolīgumiem, ar kuriem dalībvalstis izpilda saistošus Kopienas pasākumus, kuru rezultātā tiek pieņemtas tehniskās specifikācijas. Līdz ar to tiktāl, ciktāl ar valsts tiesību aktiem pamata lietā transponē Direktīvu 95/47, un tikai šajā ziņā Direktīvā 83/189 nav paredzēts paziņošanas pienākums.”</w:t>
      </w:r>
    </w:p>
    <w:p w14:paraId="0E6C95FC"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i/>
          <w:iCs/>
          <w:sz w:val="20"/>
          <w:szCs w:val="16"/>
        </w:rPr>
      </w:pPr>
    </w:p>
    <w:p w14:paraId="6306D56B" w14:textId="28E735BF">
      <w:pPr>
        <w:pStyle w:val="P68B1DB1-Normal13"/>
        <w:widowControl w:val="0"/>
        <w:autoSpaceDE w:val="0"/>
        <w:autoSpaceDN w:val="0"/>
        <w:spacing w:after="0" w:line="240" w:lineRule="auto"/>
        <w:jc w:val="both"/>
        <w:outlineLvl w:val="1"/>
      </w:pPr>
      <w:hyperlink r:id="rId90" w:history="1">
        <w:r>
          <w:rPr>
            <w:color w:val="0000FF"/>
            <w:u w:val="single"/>
          </w:rPr>
          <w:t xml:space="preserve">Spriedums, 2005. gada 8. septembris</w:t>
        </w:r>
      </w:hyperlink>
      <w:r>
        <w:t xml:space="preserve">, Komisija/Portugāle, C-500/03, EU:C:2005:515, 34. un 35. punkts.</w:t>
      </w:r>
      <w:bookmarkEnd w:id="157"/>
    </w:p>
    <w:p w14:paraId="183658EB" w14:textId="77777777">
      <w:pPr>
        <w:widowControl w:val="0"/>
        <w:tabs>
          <w:tab w:val="left" w:pos="467"/>
        </w:tabs>
        <w:autoSpaceDE w:val="0"/>
        <w:autoSpaceDN w:val="0"/>
        <w:spacing w:after="0" w:line="240" w:lineRule="auto"/>
        <w:jc w:val="both"/>
        <w:rPr>
          <w:rFonts w:ascii="Times New Roman" w:hAnsi="Times New Roman" w:cs="Times New Roman" w:eastAsia="Times New Roman"/>
          <w:b/>
          <w:i/>
          <w:szCs w:val="20"/>
        </w:rPr>
      </w:pPr>
    </w:p>
    <w:p w14:paraId="630E23D4" w14:textId="570B0609">
      <w:pPr>
        <w:widowControl w:val="0"/>
        <w:tabs>
          <w:tab w:val="left" w:pos="467"/>
        </w:tabs>
        <w:autoSpaceDE w:val="0"/>
        <w:autoSpaceDN w:val="0"/>
        <w:spacing w:after="0" w:line="240" w:lineRule="auto"/>
        <w:jc w:val="both"/>
        <w:rPr>
          <w:rFonts w:ascii="Times New Roman" w:hAnsi="Times New Roman" w:cs="Times New Roman" w:eastAsia="Times New Roman"/>
          <w:szCs w:val="20"/>
        </w:rPr>
        <w:pStyle w:val="P68B1DB1-Normal14"/>
      </w:pPr>
      <w:r>
        <w:t xml:space="preserve">Valsts tiesību normām, kas nosaka atpūtas kuģu raksturlielumus, nevar piemērot atbrīvojumu no paziņošanas, kas paredzēta transponēšanai, ja minētā direktīva ļauj dalībvalstīm brīvi noteikt nosacījumus, ko tās uzskata par vajadzīgiem, lai aizsargātu vidi, konfigurāciju un ūdensceļu drošību.</w:t>
      </w:r>
    </w:p>
    <w:p w14:paraId="4D369937" w14:textId="77777777">
      <w:pPr>
        <w:widowControl w:val="0"/>
        <w:tabs>
          <w:tab w:val="left" w:pos="467"/>
        </w:tabs>
        <w:autoSpaceDE w:val="0"/>
        <w:autoSpaceDN w:val="0"/>
        <w:spacing w:after="0" w:line="240" w:lineRule="auto"/>
        <w:jc w:val="both"/>
        <w:rPr>
          <w:rFonts w:ascii="Times New Roman" w:hAnsi="Times New Roman" w:cs="Times New Roman" w:eastAsia="Times New Roman"/>
          <w:szCs w:val="20"/>
        </w:rPr>
      </w:pPr>
    </w:p>
    <w:p w14:paraId="0FD9A15E" w14:textId="77777777">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(Spriedums ir pieejams tikai franču un portugāļu valodā, turpmāk tekstā — “tulkojums”).</w:t>
      </w:r>
    </w:p>
    <w:p w14:paraId="6FE719E7" w14:textId="77777777">
      <w:pPr>
        <w:pStyle w:val="P68B1DB1-Normal31"/>
        <w:widowControl w:val="0"/>
        <w:tabs>
          <w:tab w:val="left" w:pos="396"/>
          <w:tab w:val="left" w:pos="405"/>
        </w:tabs>
        <w:autoSpaceDE w:val="0"/>
        <w:autoSpaceDN w:val="0"/>
        <w:spacing w:after="0" w:line="240" w:lineRule="auto"/>
        <w:ind w:left="567"/>
        <w:jc w:val="both"/>
      </w:pPr>
    </w:p>
    <w:p w14:paraId="747BC5AF" w14:textId="6053190E">
      <w:pPr>
        <w:pStyle w:val="P68B1DB1-Normal31"/>
        <w:widowControl w:val="0"/>
        <w:tabs>
          <w:tab w:val="left" w:pos="396"/>
          <w:tab w:val="left" w:pos="405"/>
        </w:tabs>
        <w:autoSpaceDE w:val="0"/>
        <w:autoSpaceDN w:val="0"/>
        <w:spacing w:after="0" w:line="240" w:lineRule="auto"/>
        <w:ind w:left="567"/>
        <w:jc w:val="both"/>
        <w:rPr>
          <w:iCs/>
        </w:rPr>
      </w:pPr>
      <w:r>
        <w:t xml:space="preserve">“34. [..] Dalībvalstīm ir tiesības, kas paredzētas Direktīvas 94/25 2. panta 2. punktā, valsts līmenī noteikt nosacījumus, kurus tās uzskata par vajadzīgiem attiecībā uz kuģošanu noteiktos ūdeņos, lai aizsargātu vidi un ūdensceļu struktūru un nodrošinātu drošību šajos ūdeņos. Tomēr šīs valsts tiesību normas nekādā gadījumā nevar uzskatīt par pieņemtām, lai izpildītu saistošu Kopienu tiesību aktu.</w:t>
      </w:r>
    </w:p>
    <w:p w14:paraId="4B5BC30F" w14:textId="77777777">
      <w:pPr>
        <w:widowControl w:val="0"/>
        <w:tabs>
          <w:tab w:val="left" w:pos="396"/>
          <w:tab w:val="left" w:pos="405"/>
        </w:tabs>
        <w:autoSpaceDE w:val="0"/>
        <w:autoSpaceDN w:val="0"/>
        <w:spacing w:after="0" w:line="240" w:lineRule="auto"/>
        <w:ind w:left="567"/>
        <w:jc w:val="both"/>
        <w:rPr>
          <w:rFonts w:ascii="Times New Roman" w:hAnsi="Times New Roman" w:cs="Times New Roman"/>
          <w:i/>
          <w:iCs/>
          <w:sz w:val="20"/>
          <w:szCs w:val="16"/>
        </w:rPr>
      </w:pPr>
    </w:p>
    <w:p w14:paraId="21B97694" w14:textId="6F5A910D">
      <w:pPr>
        <w:pStyle w:val="P68B1DB1-Normal31"/>
        <w:widowControl w:val="0"/>
        <w:tabs>
          <w:tab w:val="left" w:pos="396"/>
          <w:tab w:val="left" w:pos="405"/>
        </w:tabs>
        <w:autoSpaceDE w:val="0"/>
        <w:autoSpaceDN w:val="0"/>
        <w:spacing w:after="0" w:line="240" w:lineRule="auto"/>
        <w:ind w:left="567"/>
        <w:jc w:val="both"/>
      </w:pPr>
      <w:r>
        <w:t xml:space="preserve">35. No tā izriet, ka Regula par kuģošanu lagūnās, ar ko saskaņā ar Direktīvas 94/25 2. panta 2. punktu ievieš tehniskos ierobežojumus izpriecu kuģiem, neietilpst Direktīvas 98/34 10. panta 1. punkta pirmā ievilkuma piemērošanas jomā.”</w:t>
      </w:r>
    </w:p>
    <w:p w14:paraId="7D5DF054" w14:textId="4AE1CCCE">
      <w:pPr>
        <w:spacing w:after="0" w:line="278" w:lineRule="auto"/>
        <w:rPr>
          <w:rFonts w:ascii="Times New Roman" w:hAnsi="Times New Roman" w:cs="Times New Roman" w:eastAsia="Times New Roman"/>
          <w:i/>
          <w:iCs/>
          <w:sz w:val="20"/>
          <w:szCs w:val="16"/>
        </w:rPr>
      </w:pPr>
      <w:r>
        <w:br w:type="page"/>
      </w:r>
    </w:p>
    <w:p w14:paraId="17D9CF1D" w14:textId="0805DD41">
      <w:pPr>
        <w:pStyle w:val="P68B1DB1-Heading24"/>
        <w:numPr>
          <w:ilvl w:val="0"/>
          <w:numId w:val="37"/>
        </w:numPr>
        <w:spacing w:before="0" w:after="0"/>
        <w:jc w:val="center"/>
        <w:rPr>
          <w:bCs/>
          <w:color w:val="auto"/>
        </w:rPr>
      </w:pPr>
      <w:bookmarkStart w:id="158" w:name="_Ref195517548"/>
      <w:bookmarkStart w:id="159" w:name="_Toc203035681"/>
      <w:r>
        <w:t xml:space="preserve">Drošības klauzulas izmantošana</w:t>
      </w:r>
      <w:bookmarkEnd w:id="158"/>
      <w:bookmarkEnd w:id="159"/>
    </w:p>
    <w:p w14:paraId="19EB441C" w14:textId="77777777">
      <w:pPr>
        <w:pStyle w:val="BodyText"/>
        <w:ind w:left="567"/>
      </w:pPr>
    </w:p>
    <w:p w14:paraId="3421D751" w14:textId="45643AD7">
      <w:pPr>
        <w:pStyle w:val="P68B1DB1-BodyText11"/>
        <w:ind w:left="567"/>
        <w:rPr>
          <w:iCs/>
        </w:rPr>
      </w:pPr>
      <w:r>
        <w:t xml:space="preserve">“5. un </w:t>
      </w:r>
      <w:r>
        <w:rPr>
          <w:i w:val="0"/>
        </w:rPr>
        <w:t xml:space="preserve">6. pantu [par paziņošanas pienākumu un nogaidīšanas termiņu] </w:t>
      </w:r>
      <w:r>
        <w:t xml:space="preserve">nepiemēro tiem dalībvalstu normatīvajiem un administratīvajiem aktiem vai brīvprātīgajām vienošanām, ar kuriem dalībvalstis: </w:t>
      </w:r>
    </w:p>
    <w:p w14:paraId="034842B2" w14:textId="40165944">
      <w:pPr>
        <w:pStyle w:val="P68B1DB1-BodyText11"/>
        <w:ind w:left="1134" w:firstLine="306"/>
        <w:rPr>
          <w:iCs/>
        </w:rPr>
      </w:pPr>
      <w:r>
        <w:t>[...]</w:t>
      </w:r>
    </w:p>
    <w:p w14:paraId="412F859B" w14:textId="2872F60B">
      <w:pPr>
        <w:pStyle w:val="P68B1DB1-BodyText11"/>
        <w:ind w:left="1287" w:firstLine="153"/>
        <w:rPr>
          <w:iCs/>
        </w:rPr>
      </w:pPr>
      <w:r>
        <w:t xml:space="preserve">C) izmanto drošības klauzulas, kas paredzētas saistošos Savienības aktos;”</w:t>
      </w:r>
    </w:p>
    <w:p w14:paraId="3AF0BFA4" w14:textId="77777777">
      <w:pPr>
        <w:pStyle w:val="P68B1DB1-BodyText11"/>
        <w:ind w:left="567"/>
        <w:rPr>
          <w:iCs/>
        </w:rPr>
      </w:pPr>
    </w:p>
    <w:p w14:paraId="6099E717" w14:textId="6C5840E7">
      <w:pPr>
        <w:pStyle w:val="BodyText"/>
        <w:jc w:val="right"/>
      </w:pPr>
      <w:r>
        <w:t xml:space="preserve">(Direktīvas (ES) 2015/1535 7. panta 1. punkta c) apakšpunkts)</w:t>
      </w:r>
    </w:p>
    <w:p w14:paraId="0B43480F" w14:textId="77777777">
      <w:pPr>
        <w:pStyle w:val="BodyText"/>
        <w:jc w:val="right"/>
      </w:pPr>
    </w:p>
    <w:p w14:paraId="2F300DBD" w14:textId="39C2EC6A">
      <w:pPr>
        <w:pStyle w:val="P68B1DB1-BodyText11"/>
        <w:ind w:left="567"/>
        <w:rPr>
          <w:iCs/>
        </w:rPr>
      </w:pPr>
      <w:r>
        <w:t xml:space="preserve">“Iepriekš minētajos saskaņošanas pasākumos vajadzības gadījumā paredz drošības klauzulu, kas ļauj dalībvalstīm viena vai vairāku 36. pantā minētu un ar ekonomiku nesaistītu iemeslu dēļ veikt provizoriskus pasākumus, attiecībā uz kuriem kontroli īsteno Savienība.”</w:t>
      </w:r>
    </w:p>
    <w:p w14:paraId="618BDE87" w14:textId="77777777">
      <w:pPr>
        <w:pStyle w:val="BodyText"/>
        <w:jc w:val="right"/>
      </w:pPr>
    </w:p>
    <w:p w14:paraId="4DE4DD33" w14:textId="77777777">
      <w:pPr>
        <w:pStyle w:val="BodyText"/>
        <w:jc w:val="right"/>
      </w:pPr>
      <w:r>
        <w:t xml:space="preserve">(Līguma par Eiropas Savienības darbību 114. panta 10. punkts)</w:t>
      </w:r>
    </w:p>
    <w:p w14:paraId="1738F0ED" w14:textId="77777777">
      <w:pPr>
        <w:widowControl w:val="0"/>
        <w:autoSpaceDE w:val="0"/>
        <w:autoSpaceDN w:val="0"/>
        <w:spacing w:after="0" w:line="240" w:lineRule="auto"/>
        <w:jc w:val="both"/>
        <w:outlineLvl w:val="1"/>
      </w:pPr>
    </w:p>
    <w:p w14:paraId="1204158B" w14:textId="77777777">
      <w:pPr>
        <w:pStyle w:val="P68B1DB1-Normal13"/>
        <w:widowControl w:val="0"/>
        <w:autoSpaceDE w:val="0"/>
        <w:autoSpaceDN w:val="0"/>
        <w:spacing w:after="0" w:line="240" w:lineRule="auto"/>
        <w:jc w:val="both"/>
        <w:outlineLvl w:val="1"/>
      </w:pPr>
      <w:hyperlink r:id="rId91" w:history="1">
        <w:r>
          <w:rPr>
            <w:color w:val="0000FF"/>
            <w:u w:val="single"/>
          </w:rPr>
          <w:t xml:space="preserve">Spriedums, 2005. gada 8. septembris</w:t>
        </w:r>
      </w:hyperlink>
      <w:r>
        <w:t xml:space="preserve">, Komisija/Portugāle, C-500/03, EU:C:2005:515, 34. un 35. punkts.</w:t>
      </w:r>
      <w:bookmarkEnd w:id="160"/>
    </w:p>
    <w:p w14:paraId="41BB4299" w14:textId="77777777">
      <w:pPr>
        <w:widowControl w:val="0"/>
        <w:tabs>
          <w:tab w:val="left" w:pos="467"/>
        </w:tabs>
        <w:autoSpaceDE w:val="0"/>
        <w:autoSpaceDN w:val="0"/>
        <w:spacing w:after="0" w:line="240" w:lineRule="auto"/>
        <w:jc w:val="both"/>
        <w:rPr>
          <w:rFonts w:ascii="Times New Roman" w:hAnsi="Times New Roman" w:cs="Times New Roman" w:eastAsia="Times New Roman"/>
          <w:b/>
          <w:i/>
          <w:szCs w:val="20"/>
        </w:rPr>
      </w:pPr>
    </w:p>
    <w:p w14:paraId="35A522BC" w14:textId="2746C9C6">
      <w:pPr>
        <w:pStyle w:val="P68B1DB1-Normal14"/>
        <w:widowControl w:val="0"/>
        <w:tabs>
          <w:tab w:val="left" w:pos="467"/>
        </w:tabs>
        <w:autoSpaceDE w:val="0"/>
        <w:autoSpaceDN w:val="0"/>
        <w:spacing w:after="0" w:line="240" w:lineRule="auto"/>
        <w:jc w:val="both"/>
      </w:pPr>
      <w:r>
        <w:t xml:space="preserve">Valsts tiesību normām, ar kurām tiek noteikti pastāvīgi pasākumi, nevar piemērot atbrīvojumu no paziņošanas, kas paredzēta drošības klauzulām, jo pēc definīcijas tajās ir ietverti tikai pagaidu pasākumi.</w:t>
      </w:r>
    </w:p>
    <w:p w14:paraId="5FE003FC" w14:textId="77777777">
      <w:pPr>
        <w:widowControl w:val="0"/>
        <w:tabs>
          <w:tab w:val="left" w:pos="467"/>
        </w:tabs>
        <w:autoSpaceDE w:val="0"/>
        <w:autoSpaceDN w:val="0"/>
        <w:spacing w:after="0" w:line="240" w:lineRule="auto"/>
        <w:jc w:val="both"/>
        <w:rPr>
          <w:rFonts w:ascii="Times New Roman" w:hAnsi="Times New Roman" w:cs="Times New Roman" w:eastAsia="Times New Roman"/>
          <w:szCs w:val="20"/>
        </w:rPr>
      </w:pPr>
    </w:p>
    <w:p w14:paraId="3005B5D0" w14:textId="1B50DC69">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(Tā kā spriedums ir pieejams tikai franču un portugāļu valodā, turpmāk minētais teksts ir tulkojums.)</w:t>
      </w:r>
    </w:p>
    <w:p w14:paraId="3BBB6CDB" w14:textId="77777777">
      <w:pPr>
        <w:widowControl w:val="0"/>
        <w:tabs>
          <w:tab w:val="left" w:pos="467"/>
        </w:tabs>
        <w:autoSpaceDE w:val="0"/>
        <w:autoSpaceDN w:val="0"/>
        <w:spacing w:after="0" w:line="240" w:lineRule="auto"/>
        <w:jc w:val="both"/>
        <w:rPr>
          <w:rFonts w:ascii="Times New Roman" w:hAnsi="Times New Roman" w:cs="Times New Roman" w:eastAsia="Times New Roman"/>
          <w:szCs w:val="20"/>
        </w:rPr>
      </w:pPr>
    </w:p>
    <w:p w14:paraId="5FBF5694" w14:textId="0105632E">
      <w:pPr>
        <w:pStyle w:val="P68B1DB1-BodyText25"/>
        <w:ind w:left="567"/>
        <w:rPr>
          <w:iCs/>
        </w:rPr>
      </w:pPr>
      <w:r>
        <w:t xml:space="preserve">“39. Tā kā šī prasība sakarā ar pienākumu neizpildi attiecas tikai uz prasību konstatēt formālās iepriekšējas paziņošanas procedūras neievērošanu, pietiek atgādināt, ka Tiesa jau ir nospriedusi, ka Direktīvas 98/34 8. panta 1. punktā dalībvalstīm ir noteikts pienākums nekavējoties paziņot Komisijai par jebkuru tehnisko noteikumu projektu (šajā sakarā attiecībā uz noteikumiem, kas ir līdzīgi šīs direktīvas noteikumiem, skat. it īpaši Tiesas 1993. gada 2. augusta spriedumu lietā C-139/92 Komisija/Itālija, Recueil, I-3. lpp., 31. punkts, un 1996. gada 11. janvāra spriedumu lietā C-273/94 Komisija/Nīderlande [15], Recueil, I-3. lpp., 31. punkts).</w:t>
      </w:r>
    </w:p>
    <w:p w14:paraId="4A696586" w14:textId="77777777">
      <w:pPr>
        <w:pStyle w:val="BodyText"/>
        <w:ind w:left="567"/>
        <w:rPr>
          <w:i/>
          <w:iCs/>
          <w:sz w:val="20"/>
          <w:szCs w:val="16"/>
        </w:rPr>
      </w:pPr>
    </w:p>
    <w:p w14:paraId="7FC8797C" w14:textId="46BA7B1B">
      <w:pPr>
        <w:pStyle w:val="P68B1DB1-BodyText25"/>
        <w:ind w:left="567"/>
        <w:jc w:val="left"/>
      </w:pPr>
      <w:r>
        <w:t xml:space="preserve">40. Tā kā attiecīgie Dekrēta Nr. 783/98 noteikumi ir tehniskie noteikumi Direktīvas 98/34 izpratnē, kā tas ir atgādināts šī sprieduma 31. punktā, Portugāles Republikai tie bija jāpaziņo projekta formā saskaņā ar Direktīvas 98/34 8. panta 1. punktu (šajā sakarā attiecībā uz noteikumiem, kas ir līdzīgi Direktīvas 98/34 noteikumiem, skat. it īpaši 1998. gada 7. maija spriedumu lietā C-145/97 Komisija/Beļģija, Recueil, I-13. lpp., 43. punkts, un 2005. gada 21. aprīļa spriedumu lietā C-267/03Lindberg, Krājums, I-. lpp.,).”</w:t>
      </w:r>
    </w:p>
    <w:p w14:paraId="4127997B" w14:textId="77777777">
      <w:pPr>
        <w:pStyle w:val="BodyText"/>
        <w:jc w:val="left"/>
      </w:pPr>
    </w:p>
    <w:p w14:paraId="74FE5E6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Style w:val="P68B1DB1-Normal13"/>
      </w:pPr>
      <w:hyperlink r:id="rId92" w:history="1">
        <w:r>
          <w:rPr>
            <w:color w:val="0000FF"/>
            <w:u w:val="single"/>
          </w:rPr>
          <w:t xml:space="preserve">Spriedums, 2020. gada 8. oktobris</w:t>
        </w:r>
      </w:hyperlink>
      <w:r>
        <w:t xml:space="preserve">, Union des industries de la protection des plantes, C-514/19, EU:C:2020:803, 46. un 47. punkts.</w:t>
      </w:r>
      <w:bookmarkEnd w:id="161"/>
      <w:r>
        <w:t xml:space="preserve"> </w:t>
      </w:r>
    </w:p>
    <w:p w14:paraId="4EFFE1E6" w14:textId="09D2A0BD">
      <w:pPr>
        <w:widowControl w:val="0"/>
        <w:autoSpaceDE w:val="0"/>
        <w:autoSpaceDN w:val="0"/>
        <w:spacing w:after="0" w:line="240" w:lineRule="auto"/>
        <w:jc w:val="both"/>
        <w:outlineLvl w:val="1"/>
        <w:rPr>
          <w:rFonts w:ascii="Times New Roman" w:hAnsi="Times New Roman" w:cs="Times New Roman" w:eastAsia="Times New Roman"/>
          <w:b/>
          <w:i/>
          <w:szCs w:val="20"/>
        </w:rPr>
      </w:pPr>
      <w:bookmarkStart w:id="162" w:name="_Toc198043891"/>
      <w:r>
        <w:rPr>
          <w:rFonts w:ascii="Times New Roman" w:hAnsi="Times New Roman" w:cs="Times New Roman" w:eastAsia="Times New Roman"/>
          <w:b/>
          <w:i/>
          <w:szCs w:val="20"/>
        </w:rPr>
        <w:t xml:space="preserve">(atsaucoties uz </w:t>
      </w:r>
      <w:hyperlink r:id="rId93" w:history="1">
        <w:r>
          <w:rPr>
            <w:rStyle w:val="Hyperlink"/>
            <w:rFonts w:ascii="Times New Roman" w:hAnsi="Times New Roman" w:cs="Times New Roman" w:eastAsia="Times New Roman"/>
            <w:b/>
            <w:i/>
            <w:color w:val="0000FF"/>
            <w:szCs w:val="20"/>
          </w:rPr>
          <w:t xml:space="preserve">ģenerāladvokātes J. Kokotes [J. Kokott]</w:t>
        </w:r>
      </w:hyperlink>
      <w:r>
        <w:rPr>
          <w:rFonts w:ascii="Times New Roman" w:hAnsi="Times New Roman" w:cs="Times New Roman" w:eastAsia="Times New Roman"/>
          <w:b/>
          <w:i/>
          <w:szCs w:val="20"/>
        </w:rPr>
        <w:t xml:space="preserve"> secinājumiem, EU:C:2020:422, 58. punkts)</w:t>
      </w:r>
      <w:bookmarkEnd w:id="162"/>
    </w:p>
    <w:p w14:paraId="498A15D0"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5B705E59" w14:textId="4AA22297">
      <w:pPr>
        <w:pStyle w:val="P68B1DB1-Normal14"/>
        <w:widowControl w:val="0"/>
        <w:autoSpaceDE w:val="0"/>
        <w:autoSpaceDN w:val="0"/>
        <w:spacing w:after="0" w:line="240" w:lineRule="auto"/>
        <w:jc w:val="both"/>
      </w:pPr>
      <w:r>
        <w:t xml:space="preserve">Klauzula, kas atbilst Līguma par Eiropas Savienības darbību 114. pantā sniegtajai definīcijai, ir drošības klauzula, pat ja tā nav minēta tiesību aktā, kurā tā paredzēta. Tādējādi uz to attiecas atbrīvojums no paziņošanas pienākuma.</w:t>
      </w:r>
    </w:p>
    <w:p w14:paraId="1CAE009C" w14:textId="77777777">
      <w:pPr>
        <w:widowControl w:val="0"/>
        <w:autoSpaceDE w:val="0"/>
        <w:autoSpaceDN w:val="0"/>
        <w:spacing w:after="0" w:line="240" w:lineRule="auto"/>
        <w:jc w:val="both"/>
        <w:rPr>
          <w:rFonts w:ascii="Times New Roman" w:hAnsi="Times New Roman" w:cs="Times New Roman" w:eastAsia="Times New Roman"/>
          <w:szCs w:val="20"/>
        </w:rPr>
      </w:pPr>
    </w:p>
    <w:p w14:paraId="659EDCBA" w14:textId="7C97939F">
      <w:pPr>
        <w:widowControl w:val="0"/>
        <w:autoSpaceDE w:val="0"/>
        <w:autoSpaceDN w:val="0"/>
        <w:spacing w:after="0" w:line="240" w:lineRule="auto"/>
        <w:ind w:left="567"/>
        <w:jc w:val="both"/>
        <w:rPr>
          <w:rFonts w:ascii="Times New Roman" w:hAnsi="Times New Roman" w:cs="Times New Roman" w:eastAsia="Times New Roman"/>
          <w:i/>
          <w:sz w:val="20"/>
          <w:szCs w:val="20"/>
        </w:rPr>
        <w:pStyle w:val="P68B1DB1-Normal32"/>
      </w:pPr>
      <w:r>
        <w:t xml:space="preserve">(Tiesas spriedums)</w:t>
      </w:r>
      <w:r>
        <w:rPr>
          <w:i/>
        </w:rPr>
        <w:t xml:space="preserve"> “46 [...] minētās regulas 71. panta 1. punkts ir jāuzskata par drošības klauzulu, kā ģenerāladvokāte ir norādījusi secinājumu 58. punktā.</w:t>
      </w:r>
    </w:p>
    <w:p w14:paraId="1A86B765" w14:textId="77777777">
      <w:pPr>
        <w:widowControl w:val="0"/>
        <w:autoSpaceDE w:val="0"/>
        <w:autoSpaceDN w:val="0"/>
        <w:spacing w:after="0" w:line="240" w:lineRule="auto"/>
        <w:ind w:left="567"/>
        <w:jc w:val="both"/>
        <w:rPr>
          <w:rFonts w:ascii="Times New Roman" w:hAnsi="Times New Roman" w:cs="Times New Roman" w:eastAsia="Times New Roman"/>
          <w:i/>
          <w:sz w:val="20"/>
          <w:szCs w:val="20"/>
        </w:rPr>
      </w:pPr>
    </w:p>
    <w:p w14:paraId="42FB846B" w14:textId="4A135D8F">
      <w:pPr>
        <w:widowControl w:val="0"/>
        <w:autoSpaceDE w:val="0"/>
        <w:autoSpaceDN w:val="0"/>
        <w:spacing w:after="0" w:line="240" w:lineRule="auto"/>
        <w:ind w:left="567"/>
        <w:jc w:val="both"/>
        <w:rPr>
          <w:rFonts w:ascii="Times New Roman" w:hAnsi="Times New Roman" w:cs="Times New Roman" w:eastAsia="Times New Roman"/>
          <w:i/>
          <w:sz w:val="20"/>
          <w:szCs w:val="20"/>
        </w:rPr>
        <w:pStyle w:val="P68B1DB1-Normal18"/>
      </w:pPr>
      <w:r>
        <w:t xml:space="preserve">47. Atšķirību starp attiecīgi minētās direktīvas 5. pantā un minētās regulas 71. pantā paredzētajām procedūrām apstiprina minētās direktīvas 7. panta 1. punkta c) apakšpunkts, kurā ir paredzēts, ka minētās direktīvas 5. un 6. pantu nepiemēro dalībvalstu noteikumiem, ar kuriem tās izmanto saistošos Savienības aktos paredzētās drošības klauzulas.”</w:t>
      </w:r>
    </w:p>
    <w:p w14:paraId="285FA492" w14:textId="77777777">
      <w:pPr>
        <w:widowControl w:val="0"/>
        <w:autoSpaceDE w:val="0"/>
        <w:autoSpaceDN w:val="0"/>
        <w:spacing w:after="0" w:line="240" w:lineRule="auto"/>
        <w:ind w:left="567"/>
        <w:jc w:val="both"/>
        <w:rPr>
          <w:rFonts w:ascii="Times New Roman" w:hAnsi="Times New Roman" w:cs="Times New Roman" w:eastAsia="Times New Roman"/>
          <w:i/>
          <w:iCs/>
          <w:sz w:val="20"/>
          <w:szCs w:val="20"/>
        </w:rPr>
      </w:pPr>
    </w:p>
    <w:p w14:paraId="7FF60EBF" w14:textId="14EB520E">
      <w:pPr>
        <w:pStyle w:val="P68B1DB1-Normal32"/>
        <w:widowControl w:val="0"/>
        <w:autoSpaceDE w:val="0"/>
        <w:autoSpaceDN w:val="0"/>
        <w:spacing w:after="0" w:line="240" w:lineRule="auto"/>
        <w:ind w:left="567"/>
        <w:jc w:val="both"/>
        <w:rPr>
          <w:i/>
          <w:iCs/>
        </w:rPr>
      </w:pPr>
      <w:r>
        <w:t xml:space="preserve">(ģenerāladvokātes J. Kokotes [J. Kokott] atzinums</w:t>
      </w:r>
      <w:bookmarkStart w:id="163" w:name="point58"/>
      <w:r>
        <w:rPr>
          <w:i/>
        </w:rPr>
        <w:t xml:space="preserve">) “</w:t>
      </w:r>
      <w:bookmarkEnd w:id="163"/>
      <w:r>
        <w:rPr>
          <w:i/>
        </w:rPr>
        <w:t xml:space="preserve">58.      Lai gan atšķirībā no dažām citām līdzīgām tiesību normām Augu aizsardzības līdzekļu regulas 71. panta nosaukumā nav iekļauts jēdziens “drošības klauzula”, tomēr pēc būtības šis noteikums atbilst LESD 114. panta 10. punktā ietvertajai drošības klauzulu definīcijai. Tāpēc to var uzskatīt arī par drošības klauzulu Paziņošanas direktīvas 7. panta 1. punkta c) apakšpunkta nozīmē.”</w:t>
      </w:r>
    </w:p>
    <w:p w14:paraId="09CE6B87" w14:textId="77777777">
      <w:pPr>
        <w:pStyle w:val="BodyText"/>
        <w:jc w:val="left"/>
      </w:pPr>
    </w:p>
    <w:p w14:paraId="34956999" w14:textId="0CAA9375">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94" w:history="1">
        <w:r>
          <w:rPr>
            <w:rStyle w:val="Hyperlink"/>
            <w:rFonts w:ascii="Times New Roman" w:hAnsi="Times New Roman" w:cs="Times New Roman" w:eastAsia="Times New Roman"/>
            <w:b/>
            <w:i/>
            <w:color w:val="0000FF"/>
            <w:szCs w:val="20"/>
          </w:rPr>
          <w:t xml:space="preserve">Spriedums, 2023. gada 9. marts,</w:t>
        </w:r>
      </w:hyperlink>
      <w:r>
        <w:rPr>
          <w:rFonts w:ascii="Times New Roman" w:hAnsi="Times New Roman" w:cs="Times New Roman" w:eastAsia="Times New Roman"/>
          <w:b/>
          <w:i/>
          <w:szCs w:val="20"/>
        </w:rPr>
        <w:t xml:space="preserve"> Vapo Atlantic, C</w:t>
        <w:noBreakHyphen/>
        <w:t xml:space="preserve">604/21, EU:C:2023:175, 55.–57. punkts.</w:t>
      </w:r>
      <w:bookmarkEnd w:id="164"/>
    </w:p>
    <w:p w14:paraId="6300E3F4" w14:textId="77777777">
      <w:pPr>
        <w:widowControl w:val="0"/>
        <w:autoSpaceDE w:val="0"/>
        <w:autoSpaceDN w:val="0"/>
        <w:spacing w:after="0" w:line="240" w:lineRule="auto"/>
        <w:jc w:val="both"/>
        <w:rPr>
          <w:rFonts w:ascii="Times New Roman" w:hAnsi="Times New Roman" w:cs="Times New Roman" w:eastAsia="Times New Roman"/>
          <w:szCs w:val="20"/>
        </w:rPr>
      </w:pPr>
    </w:p>
    <w:p w14:paraId="13992C07" w14:textId="74D47E48">
      <w:pPr>
        <w:widowControl w:val="0"/>
        <w:autoSpaceDE w:val="0"/>
        <w:autoSpaceDN w:val="0"/>
        <w:spacing w:after="0" w:line="240" w:lineRule="auto"/>
        <w:jc w:val="both"/>
        <w:outlineLvl w:val="1"/>
        <w:rPr>
          <w:rFonts w:ascii="Times New Roman" w:hAnsi="Times New Roman" w:cs="Times New Roman" w:eastAsia="Times New Roman"/>
          <w:szCs w:val="20"/>
        </w:rPr>
        <w:pStyle w:val="P68B1DB1-Normal14"/>
      </w:pPr>
      <w:bookmarkStart w:id="165" w:name="_Toc198043893"/>
      <w:r>
        <w:t xml:space="preserve">Izņēmums no paziņošanas prasības, pamatojoties uz “drošības klauzulu”, ir iespējams tikai tad, ja minētajā saskaņošanas aktā ir skaidri ietverta klauzula, kas atbilst Līguma par Eiropas Savienības darbību 114. pantā noteiktajai definīcijai.</w:t>
      </w:r>
      <w:bookmarkEnd w:id="165"/>
    </w:p>
    <w:p w14:paraId="701D9589"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2E98A7C3" w14:textId="65F75C30">
      <w:pPr>
        <w:pStyle w:val="P68B1DB1-Normal20"/>
        <w:widowControl w:val="0"/>
        <w:autoSpaceDE w:val="0"/>
        <w:autoSpaceDN w:val="0"/>
        <w:spacing w:after="0" w:line="240" w:lineRule="auto"/>
        <w:ind w:left="567"/>
        <w:jc w:val="both"/>
        <w:outlineLvl w:val="1"/>
      </w:pPr>
      <w:bookmarkStart w:id="166" w:name="_Toc198043894"/>
      <w:r>
        <w:t xml:space="preserve">“55. Ir jānorāda, ka Direktīvas 2009/30 4. panta 1. punkta pirmajās divās daļās ir tikai paredzēts termiņš, līdz kuram dalībvalstīm ir jātransponē minētā direktīva, proti, vēlākais līdz 2010. gada 31. decembrim, izmantojot šajā ziņā vajadzīgos normatīvos un administratīvos aktus un vienlaicīgi pieprasot tām nekavējoties paziņot Komisijai šo noteikumu tekstu. Savukārt šīs tiesību normas trešajā daļā ir paredzēts, ka dalībvalstis, pieņemot šos noteikumus, atsaucas uz Direktīvu 2009/30.</w:t>
      </w:r>
      <w:bookmarkEnd w:id="166"/>
    </w:p>
    <w:p w14:paraId="3168B0DE" w14:textId="77777777">
      <w:pPr>
        <w:pStyle w:val="P68B1DB1-Normal20"/>
        <w:widowControl w:val="0"/>
        <w:autoSpaceDE w:val="0"/>
        <w:autoSpaceDN w:val="0"/>
        <w:spacing w:after="0" w:line="240" w:lineRule="auto"/>
        <w:ind w:left="567"/>
        <w:jc w:val="both"/>
        <w:outlineLvl w:val="1"/>
      </w:pPr>
    </w:p>
    <w:p w14:paraId="18560400" w14:textId="0F72F49C">
      <w:pPr>
        <w:pStyle w:val="P68B1DB1-Normal20"/>
        <w:widowControl w:val="0"/>
        <w:autoSpaceDE w:val="0"/>
        <w:autoSpaceDN w:val="0"/>
        <w:spacing w:after="0" w:line="240" w:lineRule="auto"/>
        <w:ind w:left="567"/>
        <w:jc w:val="both"/>
        <w:outlineLvl w:val="1"/>
      </w:pPr>
      <w:bookmarkStart w:id="167" w:name="_Toc198043895"/>
      <w:r>
        <w:t xml:space="preserve">56. Nekas Direktīvas 2009/30 4. panta 1. punkta formulējumā neliecina par to, ka Savienības likumdevējs būtu vēlējies iekļaut tajā drošības klauzulu LESD 114. panta 10. punkta izpratnē un ka dalībvalstis to būtu varējušas izmantot.</w:t>
      </w:r>
      <w:bookmarkEnd w:id="167"/>
    </w:p>
    <w:p w14:paraId="36E43530" w14:textId="77777777">
      <w:pPr>
        <w:pStyle w:val="P68B1DB1-Normal20"/>
        <w:widowControl w:val="0"/>
        <w:autoSpaceDE w:val="0"/>
        <w:autoSpaceDN w:val="0"/>
        <w:spacing w:after="0" w:line="240" w:lineRule="auto"/>
        <w:ind w:left="567"/>
        <w:jc w:val="both"/>
        <w:outlineLvl w:val="1"/>
      </w:pPr>
    </w:p>
    <w:p w14:paraId="50D2526D" w14:textId="49B1A184">
      <w:pPr>
        <w:pStyle w:val="P68B1DB1-Normal20"/>
        <w:widowControl w:val="0"/>
        <w:autoSpaceDE w:val="0"/>
        <w:autoSpaceDN w:val="0"/>
        <w:spacing w:after="0" w:line="240" w:lineRule="auto"/>
        <w:ind w:left="567"/>
        <w:jc w:val="both"/>
        <w:outlineLvl w:val="1"/>
        <w:rPr>
          <w:iCs/>
        </w:rPr>
      </w:pPr>
      <w:bookmarkStart w:id="168" w:name="_Toc198043896"/>
      <w:r>
        <w:t xml:space="preserve">57. Šajā ziņā pēdējā minētajā tiesību normā ir paredzēts, ka saskaņošanas pasākumos vajadzības gadījumā paredz drošības klauzulu, kas ļauj dalībvalstīm viena vai vairāku LESD 36. pantā minētu un ar ekonomiku nesaistītu iemeslu dēļ veikt provizoriskus pasākumus, attiecībā uz kuriem kontroli īsteno Savienība. No tā izriet, ka drošības klauzulai ir jābūt skaidri noteiktai saskaņošanas pasākumā. Direktīvas 2009/30 4. panta 1. punktam nav šādu pazīmju, un tādēļ tas nevar būt šāda drošības klauzula.”</w:t>
      </w:r>
      <w:bookmarkEnd w:id="168"/>
    </w:p>
    <w:p w14:paraId="12FF84E6" w14:textId="18A9A21E">
      <w:pPr>
        <w:pStyle w:val="P68B1DB1-Normal29"/>
        <w:spacing w:after="0" w:line="240" w:lineRule="auto"/>
      </w:pPr>
      <w:r>
        <w:br w:type="page"/>
      </w:r>
    </w:p>
    <w:p w14:paraId="6087D716" w14:textId="3F11D8EF">
      <w:pPr>
        <w:pStyle w:val="P68B1DB1-Heading24"/>
        <w:numPr>
          <w:ilvl w:val="0"/>
          <w:numId w:val="37"/>
        </w:numPr>
        <w:spacing w:before="0" w:after="0"/>
        <w:jc w:val="center"/>
        <w:rPr>
          <w:bCs/>
          <w:color w:val="auto"/>
        </w:rPr>
      </w:pPr>
      <w:bookmarkStart w:id="169" w:name="_Ref195517564"/>
      <w:bookmarkStart w:id="170" w:name="_Toc203035682"/>
      <w:r>
        <w:t xml:space="preserve">Grozījums saskaņā ar Komisijas pieprasījumu</w:t>
      </w:r>
      <w:bookmarkEnd w:id="169"/>
      <w:bookmarkEnd w:id="170"/>
    </w:p>
    <w:p w14:paraId="049085CF" w14:textId="77777777">
      <w:pPr>
        <w:pStyle w:val="BodyText"/>
        <w:jc w:val="left"/>
      </w:pPr>
    </w:p>
    <w:p w14:paraId="40F4BBF6" w14:textId="77777777">
      <w:pPr>
        <w:pStyle w:val="P68B1DB1-BodyText11"/>
        <w:ind w:left="567"/>
        <w:rPr>
          <w:iCs/>
        </w:rPr>
      </w:pPr>
      <w:r>
        <w:t xml:space="preserve">“5. un </w:t>
      </w:r>
      <w:r>
        <w:rPr>
          <w:i w:val="0"/>
        </w:rPr>
        <w:t xml:space="preserve">6. pantu [par paziņošanas pienākumu un nogaidīšanas termiņu] </w:t>
      </w:r>
      <w:r>
        <w:t xml:space="preserve">nepiemēro tiem dalībvalstu normatīvajiem un administratīvajiem aktiem vai brīvprātīgajām vienošanām, ar kuriem dalībvalstis: </w:t>
      </w:r>
    </w:p>
    <w:p w14:paraId="07DBADDA" w14:textId="77777777">
      <w:pPr>
        <w:pStyle w:val="P68B1DB1-BodyText11"/>
        <w:ind w:left="1287" w:firstLine="153"/>
        <w:rPr>
          <w:iCs/>
        </w:rPr>
      </w:pPr>
      <w:r>
        <w:t>[...]</w:t>
      </w:r>
    </w:p>
    <w:p w14:paraId="11A943BD" w14:textId="080C60F0">
      <w:pPr>
        <w:pStyle w:val="P68B1DB1-BodyText11"/>
        <w:ind w:left="1440"/>
        <w:rPr>
          <w:iCs/>
        </w:rPr>
      </w:pPr>
      <w:r>
        <w:t xml:space="preserve">F) saskaņā ar Komisijas pieprasījumu ierobežot tehnisko noteikumu grozīšanu 1. panta 1. punkta f) apakšpunkta nozīmē, lai likvidētu šķēršļus tirdzniecībai vai — pakalpojumu noteikumu gadījumā — pakalpojumu brīvai apritei vai pakalpojumu sniedzēju brīvībai veikt uzņēmējdarbību.”</w:t>
      </w:r>
    </w:p>
    <w:p w14:paraId="21F03EA5" w14:textId="77777777">
      <w:pPr>
        <w:pStyle w:val="BodyText"/>
        <w:jc w:val="center"/>
      </w:pPr>
    </w:p>
    <w:p w14:paraId="7883B4B7" w14:textId="369773F7">
      <w:pPr>
        <w:pStyle w:val="BodyText"/>
        <w:jc w:val="right"/>
      </w:pPr>
      <w:r>
        <w:t xml:space="preserve">(Direktīvas (ES) 2015/1535 7. panta 1. punkta f) apakšpunkts)</w:t>
      </w:r>
    </w:p>
    <w:p w14:paraId="21BFE903" w14:textId="77777777">
      <w:pPr>
        <w:pStyle w:val="BodyText"/>
        <w:jc w:val="left"/>
      </w:pPr>
    </w:p>
    <w:p w14:paraId="46B1E740" w14:textId="2C38BA2E">
      <w:pPr>
        <w:pStyle w:val="P68B1DB1-Normal13"/>
        <w:widowControl w:val="0"/>
        <w:autoSpaceDE w:val="0"/>
        <w:autoSpaceDN w:val="0"/>
        <w:spacing w:after="0" w:line="240" w:lineRule="auto"/>
        <w:jc w:val="both"/>
        <w:outlineLvl w:val="1"/>
      </w:pPr>
      <w:hyperlink r:id="rId95" w:history="1">
        <w:r>
          <w:rPr>
            <w:color w:val="0000FF"/>
            <w:u w:val="single"/>
          </w:rPr>
          <w:t xml:space="preserve">Spriedums, 2013. gada 31. janvāris</w:t>
        </w:r>
      </w:hyperlink>
      <w:r>
        <w:t xml:space="preserve">, Belgische Petroleum Unie u. c., C-26/11, EU:C:2013:44, 56. un 57. punkts.</w:t>
      </w:r>
      <w:bookmarkEnd w:id="171"/>
    </w:p>
    <w:p w14:paraId="320154D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95DB689" w14:textId="2F4EA0A1">
      <w:pPr>
        <w:widowControl w:val="0"/>
        <w:tabs>
          <w:tab w:val="left" w:pos="412"/>
        </w:tabs>
        <w:autoSpaceDE w:val="0"/>
        <w:autoSpaceDN w:val="0"/>
        <w:spacing w:after="0" w:line="240" w:lineRule="auto"/>
        <w:jc w:val="both"/>
        <w:rPr>
          <w:rFonts w:ascii="Times New Roman" w:hAnsi="Times New Roman" w:cs="Times New Roman" w:eastAsia="Times New Roman"/>
          <w:szCs w:val="20"/>
        </w:rPr>
        <w:pStyle w:val="P68B1DB1-Normal14"/>
      </w:pPr>
      <w:r>
        <w:t xml:space="preserve">Direktīvā nav prasīts paziņot valsts tiesību akta projektu, ja pēc sākotnējās paziņošanas projekts ir grozīts, lai ņemtu vērā Komisijas komentārus, un grozītā versija pēc tam ir paziņota Komisijai.</w:t>
      </w:r>
    </w:p>
    <w:p w14:paraId="0634FD8C" w14:textId="77777777">
      <w:pPr>
        <w:widowControl w:val="0"/>
        <w:tabs>
          <w:tab w:val="left" w:pos="412"/>
        </w:tabs>
        <w:autoSpaceDE w:val="0"/>
        <w:autoSpaceDN w:val="0"/>
        <w:spacing w:after="0" w:line="240" w:lineRule="auto"/>
        <w:jc w:val="both"/>
        <w:rPr>
          <w:rFonts w:ascii="Times New Roman" w:hAnsi="Times New Roman" w:cs="Times New Roman" w:eastAsia="Times New Roman"/>
          <w:szCs w:val="20"/>
        </w:rPr>
      </w:pPr>
    </w:p>
    <w:p w14:paraId="7D4E24F0" w14:textId="03842035">
      <w:pPr>
        <w:pStyle w:val="P68B1DB1-Normal15"/>
        <w:widowControl w:val="0"/>
        <w:tabs>
          <w:tab w:val="left" w:pos="412"/>
        </w:tabs>
        <w:autoSpaceDE w:val="0"/>
        <w:autoSpaceDN w:val="0"/>
        <w:spacing w:after="0" w:line="240" w:lineRule="auto"/>
        <w:ind w:left="567"/>
        <w:jc w:val="both"/>
      </w:pPr>
      <w:r>
        <w:t xml:space="preserve">“56. [..] Beļģijas Karaliste šādos apstākļos ir vienīgi grozījusi tiesību akta projekta noteikumus atbilstoši Komisijas lūgumam novērst šķēršļus tirdzniecībai, un tādējādi saskaņā ar Direktīvas 98/34 10. panta 1. punkta pēdējo ievilkumu pienākums informēt Komisiju saskaņā ar šīs direktīvas 8. panta 1. punkta pirmo daļu neattiecas uz likumprojektu par apvienošanas pienākumu.</w:t>
      </w:r>
    </w:p>
    <w:p w14:paraId="39EC120F" w14:textId="77777777">
      <w:pPr>
        <w:pStyle w:val="P68B1DB1-Normal15"/>
        <w:widowControl w:val="0"/>
        <w:tabs>
          <w:tab w:val="left" w:pos="412"/>
        </w:tabs>
        <w:autoSpaceDE w:val="0"/>
        <w:autoSpaceDN w:val="0"/>
        <w:spacing w:after="0" w:line="240" w:lineRule="auto"/>
        <w:ind w:left="567"/>
        <w:jc w:val="both"/>
      </w:pPr>
    </w:p>
    <w:p w14:paraId="2E743C69" w14:textId="2B1CBA3C">
      <w:pPr>
        <w:pStyle w:val="P68B1DB1-Normal15"/>
        <w:widowControl w:val="0"/>
        <w:tabs>
          <w:tab w:val="left" w:pos="412"/>
        </w:tabs>
        <w:autoSpaceDE w:val="0"/>
        <w:autoSpaceDN w:val="0"/>
        <w:spacing w:after="0" w:line="240" w:lineRule="auto"/>
        <w:ind w:left="567"/>
        <w:jc w:val="both"/>
        <w:rPr>
          <w:iCs/>
        </w:rPr>
      </w:pPr>
      <w:r>
        <w:t xml:space="preserve">57. Šādos apstākļos uz otro jautājumu ir jāatbild, ka Direktīvas 98/34 8. pants, lasot to kopsakarā ar šīs direktīvas 10. panta 1. punkta pēdējo ievilkumu, ir jāinterpretē tādējādi, ka tajā nav prasīts paziņot valsts tiesiskā regulējuma projektu, kurā naftas sabiedrībām, kas laiž tirgū benzīnu un/vai dīzeļdegvielu, ir noteikts pienākums tajā pašā kalendārajā gadā laist tirgū arī noteiktu biodegvielas procentuālo daļu, ja pēc paziņošanas saskaņā ar 8. panta 1. punkta pirmo daļu projekts tika grozīts, lai ņemtu vērā Komisijas apsvērumus par to, un grozītais projekts pēc tam tika paziņots Komisijai.”</w:t>
      </w:r>
    </w:p>
    <w:p w14:paraId="1F05DBDF" w14:textId="3ED0BCB3">
      <w:pPr>
        <w:spacing w:after="0" w:line="278" w:lineRule="auto"/>
        <w:rPr>
          <w:rFonts w:ascii="Times New Roman" w:hAnsi="Times New Roman" w:cs="Times New Roman" w:eastAsia="Times New Roman"/>
          <w:sz w:val="24"/>
          <w:szCs w:val="20"/>
        </w:rPr>
      </w:pPr>
      <w:r>
        <w:br w:type="page"/>
      </w:r>
    </w:p>
    <w:p w14:paraId="4DF08AEF" w14:textId="0EBF7EE3">
      <w:pPr>
        <w:pStyle w:val="P68B1DB1-Heading24"/>
        <w:numPr>
          <w:ilvl w:val="1"/>
          <w:numId w:val="1"/>
        </w:numPr>
        <w:spacing w:before="0" w:after="0"/>
        <w:jc w:val="center"/>
        <w:rPr>
          <w:bCs/>
          <w:color w:val="auto"/>
        </w:rPr>
      </w:pPr>
      <w:bookmarkStart w:id="172" w:name="_Ref195517581"/>
      <w:bookmarkStart w:id="173" w:name="_Toc203035683"/>
      <w:r>
        <w:t xml:space="preserve">Apstākļi, kurus nevar uzskatīt par nesavienojamiem izņēmumiem</w:t>
      </w:r>
      <w:bookmarkEnd w:id="172"/>
      <w:bookmarkEnd w:id="173"/>
    </w:p>
    <w:p w14:paraId="6006C68A"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7EFB943D" w14:textId="7608A244">
      <w:pPr>
        <w:pStyle w:val="P68B1DB1-Normal13"/>
        <w:widowControl w:val="0"/>
        <w:autoSpaceDE w:val="0"/>
        <w:autoSpaceDN w:val="0"/>
        <w:spacing w:after="0" w:line="240" w:lineRule="auto"/>
        <w:jc w:val="both"/>
        <w:outlineLvl w:val="1"/>
      </w:pPr>
      <w:hyperlink r:id="rId96" w:history="1">
        <w:r>
          <w:rPr>
            <w:color w:val="0000FF"/>
            <w:u w:val="single"/>
          </w:rPr>
          <w:t xml:space="preserve">Spriedums, 1996. gada 11. janvāris</w:t>
        </w:r>
      </w:hyperlink>
      <w:r>
        <w:t xml:space="preserve">, Komisija/Nīderlande, C-273/94, EU:C:1996:4, 14. un 15. punkts.</w:t>
      </w:r>
      <w:bookmarkEnd w:id="174"/>
    </w:p>
    <w:p w14:paraId="1472EEE2" w14:textId="77777777">
      <w:pPr>
        <w:widowControl w:val="0"/>
        <w:tabs>
          <w:tab w:val="left" w:pos="396"/>
          <w:tab w:val="left" w:pos="405"/>
        </w:tabs>
        <w:autoSpaceDE w:val="0"/>
        <w:autoSpaceDN w:val="0"/>
        <w:spacing w:after="0" w:line="240" w:lineRule="auto"/>
        <w:jc w:val="both"/>
        <w:rPr>
          <w:rFonts w:ascii="Times New Roman" w:hAnsi="Times New Roman" w:cs="Times New Roman" w:eastAsia="Times New Roman"/>
          <w:szCs w:val="20"/>
        </w:rPr>
      </w:pPr>
    </w:p>
    <w:p w14:paraId="18431E5C" w14:textId="0D0BB9C0">
      <w:pPr>
        <w:pStyle w:val="P68B1DB1-Normal14"/>
        <w:widowControl w:val="0"/>
        <w:tabs>
          <w:tab w:val="left" w:pos="396"/>
          <w:tab w:val="left" w:pos="405"/>
        </w:tabs>
        <w:autoSpaceDE w:val="0"/>
        <w:autoSpaceDN w:val="0"/>
        <w:spacing w:after="0" w:line="240" w:lineRule="auto"/>
        <w:jc w:val="both"/>
      </w:pPr>
      <w:r>
        <w:t xml:space="preserve">Paziņošanas pienākums nav atkarīgs no noteikuma par tirdzniecību starp dalībvalstīm iespējamās ietekmes.</w:t>
      </w:r>
    </w:p>
    <w:p w14:paraId="61F0631F" w14:textId="77777777">
      <w:pPr>
        <w:widowControl w:val="0"/>
        <w:tabs>
          <w:tab w:val="left" w:pos="396"/>
          <w:tab w:val="left" w:pos="405"/>
        </w:tabs>
        <w:autoSpaceDE w:val="0"/>
        <w:autoSpaceDN w:val="0"/>
        <w:spacing w:after="0" w:line="240" w:lineRule="auto"/>
        <w:ind w:hanging="142"/>
        <w:jc w:val="both"/>
        <w:rPr>
          <w:rFonts w:ascii="Times New Roman" w:hAnsi="Times New Roman" w:cs="Times New Roman" w:eastAsia="Times New Roman"/>
          <w:szCs w:val="20"/>
        </w:rPr>
      </w:pPr>
    </w:p>
    <w:p w14:paraId="4DB865D5" w14:textId="0821625F">
      <w:pPr>
        <w:pStyle w:val="P68B1DB1-Normal15"/>
        <w:widowControl w:val="0"/>
        <w:tabs>
          <w:tab w:val="left" w:pos="396"/>
          <w:tab w:val="left" w:pos="405"/>
        </w:tabs>
        <w:autoSpaceDE w:val="0"/>
        <w:autoSpaceDN w:val="0"/>
        <w:spacing w:after="0" w:line="240" w:lineRule="auto"/>
        <w:ind w:left="567"/>
        <w:jc w:val="both"/>
        <w:rPr>
          <w:iCs/>
        </w:rPr>
      </w:pPr>
      <w:r>
        <w:t xml:space="preserve">“14. Šo vērtējumu nevar atspēkot Nīderlandes valdības arguments, ka apstrīdētā rīkojuma mērķis ir veicināt margarīna tirdzniecību un ka tādējādi tas atbilst direktīvas galvenajam mērķim novērst šķēršļus Kopienas iekšējai preču tirdzniecībai. </w:t>
      </w:r>
    </w:p>
    <w:p w14:paraId="0A0FB981" w14:textId="77777777">
      <w:pPr>
        <w:pStyle w:val="P68B1DB1-Normal15"/>
        <w:widowControl w:val="0"/>
        <w:tabs>
          <w:tab w:val="left" w:pos="396"/>
          <w:tab w:val="left" w:pos="405"/>
        </w:tabs>
        <w:autoSpaceDE w:val="0"/>
        <w:autoSpaceDN w:val="0"/>
        <w:spacing w:after="0" w:line="240" w:lineRule="auto"/>
        <w:ind w:left="567"/>
        <w:jc w:val="both"/>
        <w:rPr>
          <w:iCs/>
        </w:rPr>
      </w:pPr>
    </w:p>
    <w:p w14:paraId="6299CAB3" w14:textId="03C7906F">
      <w:pPr>
        <w:pStyle w:val="P68B1DB1-Normal15"/>
        <w:widowControl w:val="0"/>
        <w:tabs>
          <w:tab w:val="left" w:pos="396"/>
          <w:tab w:val="left" w:pos="405"/>
        </w:tabs>
        <w:autoSpaceDE w:val="0"/>
        <w:autoSpaceDN w:val="0"/>
        <w:spacing w:after="0" w:line="240" w:lineRule="auto"/>
        <w:ind w:left="567"/>
        <w:jc w:val="both"/>
        <w:rPr>
          <w:iCs/>
        </w:rPr>
      </w:pPr>
      <w:r>
        <w:t xml:space="preserve">15. Dalībvalstīm ir jāpaziņo Komisijai par visiem tehnisko noteikumu projektiem saskaņā ar direktīvas 8. pantu. Šāds pienākums nevar būt atkarīgs no tā, vai dalībvalsts, kas ir izstrādājusi regulu, vienpusēji izvērtē tā iespējamo ietekmi uz tirdzniecību starp dalībvalstīm.”</w:t>
      </w:r>
    </w:p>
    <w:p w14:paraId="41021C94"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90F34A8" w14:textId="346D3994">
      <w:pPr>
        <w:pStyle w:val="P68B1DB1-Normal13"/>
        <w:widowControl w:val="0"/>
        <w:autoSpaceDE w:val="0"/>
        <w:autoSpaceDN w:val="0"/>
        <w:spacing w:after="0" w:line="240" w:lineRule="auto"/>
        <w:jc w:val="both"/>
        <w:outlineLvl w:val="1"/>
      </w:pPr>
      <w:hyperlink r:id="rId97" w:history="1">
        <w:r>
          <w:rPr>
            <w:color w:val="0000FF"/>
            <w:u w:val="single"/>
          </w:rPr>
          <w:t xml:space="preserve">Spriedums, 1998. gada 16. jūnijs,</w:t>
        </w:r>
      </w:hyperlink>
      <w:r>
        <w:t xml:space="preserve"> Lemmens, C-226/97, EU:C:1998:296, 18.–20. punkts.</w:t>
      </w:r>
      <w:bookmarkEnd w:id="175"/>
    </w:p>
    <w:p w14:paraId="2763D12C"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B5C4B0B" w14:textId="36C19F49">
      <w:pPr>
        <w:pStyle w:val="P68B1DB1-Normal14"/>
        <w:widowControl w:val="0"/>
        <w:tabs>
          <w:tab w:val="left" w:pos="396"/>
          <w:tab w:val="left" w:pos="461"/>
        </w:tabs>
        <w:autoSpaceDE w:val="0"/>
        <w:autoSpaceDN w:val="0"/>
        <w:spacing w:after="0" w:line="240" w:lineRule="auto"/>
        <w:jc w:val="both"/>
      </w:pPr>
      <w:r>
        <w:t xml:space="preserve">Direktīva attiecas uz “tehniskajiem noteikumiem” neatkarīgi no to pieņemšanas iemesla. Tas, ka pasākums attiecas uz krimināltiesībām, neatbrīvo to no paziņošanas pienākuma. Tādējādi valsts noteikumi, kas reglamentē elpošanas analīzes aparātus, ko policija izmanto alkohola mērīšanai, ir tehniski noteikumi, par kuriem bija jāpaziņo Komisijai pirms to pieņemšanas.</w:t>
      </w:r>
    </w:p>
    <w:p w14:paraId="5EB7B877" w14:textId="77777777">
      <w:pPr>
        <w:widowControl w:val="0"/>
        <w:tabs>
          <w:tab w:val="left" w:pos="396"/>
          <w:tab w:val="left" w:pos="461"/>
        </w:tabs>
        <w:autoSpaceDE w:val="0"/>
        <w:autoSpaceDN w:val="0"/>
        <w:spacing w:after="0" w:line="240" w:lineRule="auto"/>
        <w:jc w:val="both"/>
        <w:rPr>
          <w:rFonts w:ascii="Times New Roman" w:hAnsi="Times New Roman" w:cs="Times New Roman" w:eastAsia="Times New Roman"/>
          <w:szCs w:val="20"/>
        </w:rPr>
      </w:pPr>
    </w:p>
    <w:p w14:paraId="7B871DF8" w14:textId="6718B4DE">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Style w:val="P68B1DB1-Normal15"/>
      </w:pPr>
      <w:r>
        <w:t xml:space="preserve">“18. Francijas valdība savukārt apgalvo, ka Direktīva nav piemērojama produktiem, kurus, kā tas ir šajā lietā, ir paredzēts izmantot, īstenojot valsts varu, un vēl jo vairāk — dalībvalstu uzsāktajos kriminālprocesos.</w:t>
      </w:r>
    </w:p>
    <w:p w14:paraId="09959B2C"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Pr>
    </w:p>
    <w:p w14:paraId="6EE31E9F" w14:textId="39DFA6E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Style w:val="P68B1DB1-Normal15"/>
      </w:pPr>
      <w:r>
        <w:t xml:space="preserve">19. Šos argumentus nevar pieņemt. Lai gan principā krimināltiesību un kriminālprocesa noteikumi ir jautājumi, par kuriem ir atbildīgas dalībvalstis, no tā neizriet, ka Kopienu tiesības nevar ietekmēt šo tiesību jomu (šajā sakarā skat. 1989. gada 14. februāra spriedumu lietā 186/87 Cowan, Recueil, 195. lpp., 19. punkts, un 1981. gada 15. maija spriedumu lietā 203/80 Casati, Recueil, 2595. lpp., 27. punkts).</w:t>
      </w:r>
    </w:p>
    <w:p w14:paraId="1A1AA4B0"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Pr>
    </w:p>
    <w:p w14:paraId="06227DC3" w14:textId="6F9850E1">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Style w:val="P68B1DB1-Normal15"/>
      </w:pPr>
      <w:r>
        <w:t xml:space="preserve">20. Šajā gadījumā nekas Direktīvā neliecina par to, ka tehniskie noteikumi tās 1. panta izpratnē būtu izslēgti no paziņošanas pienākuma, jo tie ietilpst krimināltiesību piemērošanas jomā, vai ka direktīvas piemērošanas joma attiektos tikai uz precēm, kuras paredzēts izmantot citādi, nevis valsts varas īstenošanā. Kā Tiesa jau ir norādījusi lietā C-13/96 Bic Benelux [1997] ECR I-1753, 19. punkts, direktīva attiecas uz tehniskajiem noteikumiem neatkarīgi no to pieņemšanas pamatojuma.”</w:t>
      </w:r>
    </w:p>
    <w:p w14:paraId="28C6FF3B" w14:textId="77777777">
      <w:pPr>
        <w:widowControl w:val="0"/>
        <w:tabs>
          <w:tab w:val="left" w:pos="396"/>
          <w:tab w:val="left" w:pos="461"/>
        </w:tabs>
        <w:autoSpaceDE w:val="0"/>
        <w:autoSpaceDN w:val="0"/>
        <w:spacing w:after="0" w:line="240" w:lineRule="auto"/>
        <w:ind w:left="567"/>
        <w:jc w:val="both"/>
        <w:rPr>
          <w:rFonts w:ascii="Times New Roman" w:hAnsi="Times New Roman" w:cs="Times New Roman" w:eastAsia="Times New Roman"/>
          <w:i/>
          <w:sz w:val="20"/>
          <w:szCs w:val="16"/>
        </w:rPr>
      </w:pPr>
    </w:p>
    <w:p w14:paraId="743F486D" w14:textId="7F85DF8F">
      <w:pPr>
        <w:pStyle w:val="P68B1DB1-Normal13"/>
        <w:widowControl w:val="0"/>
        <w:autoSpaceDE w:val="0"/>
        <w:autoSpaceDN w:val="0"/>
        <w:spacing w:after="0" w:line="240" w:lineRule="auto"/>
        <w:jc w:val="both"/>
        <w:outlineLvl w:val="1"/>
      </w:pPr>
      <w:hyperlink r:id="rId98" w:history="1">
        <w:r>
          <w:rPr>
            <w:color w:val="0000FF"/>
            <w:u w:val="single"/>
          </w:rPr>
          <w:t xml:space="preserve">Spriedums, 2005. gada 21. aprīlis,</w:t>
        </w:r>
      </w:hyperlink>
      <w:r>
        <w:t xml:space="preserve"> Lindberg, C-267/03, EU:C:2005:246, 86., 91. un 92. punkts.</w:t>
      </w:r>
      <w:bookmarkEnd w:id="176"/>
    </w:p>
    <w:p w14:paraId="3ACA6C58" w14:textId="77777777">
      <w:pPr>
        <w:widowControl w:val="0"/>
        <w:tabs>
          <w:tab w:val="left" w:pos="396"/>
          <w:tab w:val="left" w:pos="425"/>
        </w:tabs>
        <w:autoSpaceDE w:val="0"/>
        <w:autoSpaceDN w:val="0"/>
        <w:spacing w:after="0" w:line="240" w:lineRule="auto"/>
        <w:jc w:val="both"/>
        <w:rPr>
          <w:rFonts w:ascii="Times New Roman" w:hAnsi="Times New Roman" w:cs="Times New Roman" w:eastAsia="Times New Roman"/>
          <w:szCs w:val="20"/>
        </w:rPr>
      </w:pPr>
    </w:p>
    <w:p w14:paraId="02AB316E" w14:textId="77777777">
      <w:pPr>
        <w:pStyle w:val="P68B1DB1-Normal14"/>
        <w:widowControl w:val="0"/>
        <w:tabs>
          <w:tab w:val="left" w:pos="396"/>
          <w:tab w:val="left" w:pos="425"/>
        </w:tabs>
        <w:autoSpaceDE w:val="0"/>
        <w:autoSpaceDN w:val="0"/>
        <w:spacing w:after="0" w:line="240" w:lineRule="auto"/>
        <w:jc w:val="both"/>
      </w:pPr>
      <w:r>
        <w:t xml:space="preserve">Preces, uz kuru attiecas noteikums, vērtība, tās tirgus lielums un šī noteikuma ietekme uz Kopienas iekšējo tirdzniecību nav atbilstoši kritēriji, lai noteiktu, vai ir jāpaziņo “tehniskie noteikumi”.</w:t>
      </w:r>
    </w:p>
    <w:p w14:paraId="7C940B0B" w14:textId="77777777">
      <w:pPr>
        <w:pStyle w:val="P68B1DB1-ListParagraph2"/>
        <w:tabs>
          <w:tab w:val="left" w:pos="396"/>
          <w:tab w:val="left" w:pos="425"/>
        </w:tabs>
        <w:ind w:left="0" w:right="0" w:firstLine="0"/>
        <w:rPr>
          <w:i/>
          <w:iCs/>
          <w:sz w:val="20"/>
          <w:szCs w:val="16"/>
        </w:rPr>
      </w:pPr>
    </w:p>
    <w:p w14:paraId="097F5F5F" w14:textId="000A86FC">
      <w:pPr>
        <w:pStyle w:val="P68B1DB1-P68B1DB1-ListParagraph226"/>
        <w:tabs>
          <w:tab w:val="left" w:pos="396"/>
          <w:tab w:val="left" w:pos="425"/>
        </w:tabs>
        <w:ind w:left="709"/>
      </w:pPr>
      <w:r>
        <w:t xml:space="preserve">“86. Ar ceturto jautājumu iesniedzējtiesa jautā Tiesai — ņemot vērā Direktīvā 83/189 paredzēto paziņo šanas pienākumu, cik liela nozīme ir šādiem apstākļiem:</w:t>
      </w:r>
    </w:p>
    <w:p w14:paraId="767A8711" w14:textId="77777777">
      <w:pPr>
        <w:pStyle w:val="P68B1DB1-P68B1DB1-ListParagraph226"/>
        <w:tabs>
          <w:tab w:val="left" w:pos="396"/>
          <w:tab w:val="left" w:pos="425"/>
        </w:tabs>
        <w:ind w:left="709"/>
      </w:pPr>
      <w:r>
        <w:t xml:space="preserve">— Licences prasības aizstāšana ar valsts tiesību aktos paredzētu aizliegumu,</w:t>
      </w:r>
    </w:p>
    <w:p w14:paraId="559C82EC" w14:textId="77777777">
      <w:pPr>
        <w:pStyle w:val="P68B1DB1-P68B1DB1-ListParagraph226"/>
        <w:tabs>
          <w:tab w:val="left" w:pos="396"/>
          <w:tab w:val="left" w:pos="425"/>
        </w:tabs>
        <w:ind w:left="709"/>
      </w:pPr>
      <w:r>
        <w:t xml:space="preserve">— Produkta/pakalpojuma lielāku vai mazāku vērtību,</w:t>
      </w:r>
    </w:p>
    <w:p w14:paraId="7057795D" w14:textId="77777777">
      <w:pPr>
        <w:pStyle w:val="P68B1DB1-P68B1DB1-ListParagraph226"/>
        <w:tabs>
          <w:tab w:val="left" w:pos="396"/>
          <w:tab w:val="left" w:pos="425"/>
        </w:tabs>
        <w:ind w:left="709"/>
      </w:pPr>
      <w:r>
        <w:t xml:space="preserve">— Produkta/pakalpojuma tirgus lielums vai</w:t>
      </w:r>
    </w:p>
    <w:p w14:paraId="7E4DCD6F" w14:textId="27AB1FF7">
      <w:pPr>
        <w:pStyle w:val="P68B1DB1-P68B1DB1-ListParagraph226"/>
        <w:tabs>
          <w:tab w:val="left" w:pos="396"/>
          <w:tab w:val="left" w:pos="425"/>
        </w:tabs>
        <w:ind w:left="709"/>
      </w:pPr>
      <w:r>
        <w:t xml:space="preserve">— Kāda ir jauna valsts tiesiskā regulējuma ietekme uz izmantošanu, kas varētu būt vai nu pilnīgs izmantošanas aizliegums, vai aizliegums vai ierobežojums vienā no iespējamām izmantošanas jomām?”</w:t>
      </w:r>
    </w:p>
    <w:p w14:paraId="09CF2785" w14:textId="77777777">
      <w:pPr>
        <w:pStyle w:val="P68B1DB1-ListParagraph2"/>
        <w:tabs>
          <w:tab w:val="left" w:pos="396"/>
          <w:tab w:val="left" w:pos="425"/>
        </w:tabs>
        <w:ind w:left="567" w:right="0" w:firstLine="0"/>
        <w:rPr>
          <w:i/>
          <w:iCs/>
          <w:sz w:val="20"/>
          <w:szCs w:val="16"/>
        </w:rPr>
      </w:pPr>
    </w:p>
    <w:p w14:paraId="3F0A28BA" w14:textId="4FD6ACDF">
      <w:pPr>
        <w:pStyle w:val="P68B1DB1-P68B1DB1-ListParagraph226"/>
        <w:tabs>
          <w:tab w:val="left" w:pos="396"/>
          <w:tab w:val="left" w:pos="425"/>
        </w:tabs>
        <w:ind w:firstLine="0"/>
      </w:pPr>
      <w:r>
        <w:t xml:space="preserve">“91. Runājot par otro un trešo apstākli ceturtajā prejudiciālajā jautājumā, ir jāatgādina — kā jau norādīts šī sprieduma 50. punktā — ka Direktīva 83/189 paredz procesuālu preventīvas pārbaudes mehānismu, kas ļauj noskaidrot, vai valsts norma ietverti tehniski noteikumi, uz kuriem attiecas Līguma noteikumi par preču brīvu apriti, un, ja satur, tad ļauj izvērtēt, vai šāda valsts norma ir saderīga ar šiem Līguma noteikumiem.</w:t>
      </w:r>
    </w:p>
    <w:p w14:paraId="057FE2DD" w14:textId="77777777">
      <w:pPr>
        <w:pStyle w:val="P68B1DB1-P68B1DB1-ListParagraph226"/>
        <w:tabs>
          <w:tab w:val="left" w:pos="396"/>
          <w:tab w:val="left" w:pos="425"/>
        </w:tabs>
        <w:ind w:firstLine="0"/>
      </w:pPr>
    </w:p>
    <w:p w14:paraId="56F7C7B8" w14:textId="2531A314">
      <w:pPr>
        <w:pStyle w:val="P68B1DB1-P68B1DB1-ListParagraph226"/>
        <w:tabs>
          <w:tab w:val="left" w:pos="396"/>
          <w:tab w:val="left" w:pos="425"/>
        </w:tabs>
        <w:ind w:firstLine="0"/>
      </w:pPr>
      <w:r>
        <w:t xml:space="preserve">92. Šajā sakarā šī sprieduma 51. punktā tika nospriests, ka tehnisko noteikumu iespējamā ietekme uz Kopienas iekšējo tirdzniecību nav kritērijs, lai noteiktu Direktīvas 83/189 piemērošanas jomu, it īpaši attiecībā uz tajā paredzēto paziņošanas pienākumu.”</w:t>
      </w:r>
    </w:p>
    <w:p w14:paraId="197312D1" w14:textId="0484FE14">
      <w:pPr>
        <w:pStyle w:val="P68B1DB1-Normal33"/>
        <w:spacing w:after="0" w:line="278" w:lineRule="auto"/>
        <w:rPr>
          <w:rFonts w:ascii="Times New Roman" w:hAnsi="Times New Roman" w:cs="Times New Roman" w:eastAsia="Times New Roman"/>
          <w:i/>
          <w:iCs/>
        </w:rPr>
      </w:pPr>
      <w:r>
        <w:br w:type="page"/>
      </w:r>
    </w:p>
    <w:p w14:paraId="2785F247" w14:textId="4A9302E3">
      <w:pPr>
        <w:pStyle w:val="P68B1DB1-Heading13"/>
        <w:numPr>
          <w:ilvl w:val="0"/>
          <w:numId w:val="34"/>
        </w:numPr>
        <w:spacing w:before="0" w:after="0"/>
        <w:jc w:val="center"/>
        <w:rPr>
          <w:bCs/>
          <w:color w:val="auto"/>
        </w:rPr>
      </w:pPr>
      <w:bookmarkStart w:id="177" w:name="_Ref194485817"/>
      <w:bookmarkStart w:id="178" w:name="_Toc203035684"/>
      <w:r>
        <w:t>Nepiemērojamība</w:t>
      </w:r>
      <w:bookmarkEnd w:id="177"/>
      <w:bookmarkEnd w:id="178"/>
    </w:p>
    <w:p w14:paraId="20AC6D1C" w14:textId="77777777">
      <w:pPr>
        <w:pStyle w:val="BodyText"/>
        <w:ind w:left="2715"/>
        <w:rPr>
          <w:b/>
          <w:bCs/>
          <w:sz w:val="28"/>
          <w:szCs w:val="22"/>
        </w:rPr>
      </w:pPr>
    </w:p>
    <w:p w14:paraId="58AC44F0" w14:textId="1BBB272D">
      <w:pPr>
        <w:pStyle w:val="P68B1DB1-Heading24"/>
        <w:numPr>
          <w:ilvl w:val="0"/>
          <w:numId w:val="38"/>
        </w:numPr>
        <w:spacing w:before="0" w:after="0"/>
        <w:jc w:val="center"/>
        <w:rPr>
          <w:bCs/>
          <w:color w:val="auto"/>
        </w:rPr>
      </w:pPr>
      <w:bookmarkStart w:id="179" w:name="_Ref194485057"/>
      <w:bookmarkStart w:id="180" w:name="_Toc203035685"/>
      <w:r>
        <w:t xml:space="preserve">Nepiemērojamība nepaziņošanas gadījumā</w:t>
      </w:r>
      <w:bookmarkEnd w:id="179"/>
      <w:bookmarkEnd w:id="180"/>
    </w:p>
    <w:p w14:paraId="39906D0F"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41D0CCA" w14:textId="7E812DB1">
      <w:pPr>
        <w:pStyle w:val="P68B1DB1-Normal13"/>
        <w:widowControl w:val="0"/>
        <w:autoSpaceDE w:val="0"/>
        <w:autoSpaceDN w:val="0"/>
        <w:spacing w:after="0" w:line="240" w:lineRule="auto"/>
        <w:jc w:val="both"/>
        <w:outlineLvl w:val="1"/>
      </w:pPr>
      <w:hyperlink r:id="rId99" w:history="1">
        <w:r>
          <w:rPr>
            <w:color w:val="0000FF"/>
            <w:u w:val="single"/>
          </w:rPr>
          <w:t xml:space="preserve">Spriedums, 1996. gada 30. aprīlis</w:t>
        </w:r>
      </w:hyperlink>
      <w:r>
        <w:t xml:space="preserve">, CIA Security International SA, C-194/94, EU:C:1996:172, 48. un 55. punkts.</w:t>
      </w:r>
      <w:bookmarkEnd w:id="181"/>
    </w:p>
    <w:p w14:paraId="6980445F"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78CBEA0B" w14:textId="2A001F71">
      <w:pPr>
        <w:pStyle w:val="P68B1DB1-Normal14"/>
        <w:widowControl w:val="0"/>
        <w:tabs>
          <w:tab w:val="left" w:pos="409"/>
        </w:tabs>
        <w:autoSpaceDE w:val="0"/>
        <w:autoSpaceDN w:val="0"/>
        <w:spacing w:after="0" w:line="240" w:lineRule="auto"/>
        <w:jc w:val="both"/>
      </w:pPr>
      <w:r>
        <w:t xml:space="preserve">Paziņošanas pienākuma pārkāpums padara attiecīgos “tehniskos noteikumus” nepiemērojamus, līdz ar to tos nevar piemērot privātpersonām. Privātpersonas var atsaukties uz Direktīvas 83/189 8. un 9. pantu valsts tiesā, kurai ir jāatsakās piemērot valsts “tehniskos noteikumus”, kas nav paziņoti saskaņā ar šo direktīvu.</w:t>
      </w:r>
    </w:p>
    <w:p w14:paraId="41DE99AA" w14:textId="77777777">
      <w:pPr>
        <w:widowControl w:val="0"/>
        <w:tabs>
          <w:tab w:val="left" w:pos="409"/>
        </w:tabs>
        <w:autoSpaceDE w:val="0"/>
        <w:autoSpaceDN w:val="0"/>
        <w:spacing w:after="0" w:line="240" w:lineRule="auto"/>
        <w:jc w:val="both"/>
        <w:rPr>
          <w:rFonts w:ascii="Times New Roman" w:hAnsi="Times New Roman" w:cs="Times New Roman" w:eastAsia="Times New Roman"/>
          <w:szCs w:val="20"/>
        </w:rPr>
      </w:pPr>
    </w:p>
    <w:p w14:paraId="13B9D75E" w14:textId="7C49EE29">
      <w:pPr>
        <w:pStyle w:val="P68B1DB1-Normal18"/>
        <w:widowControl w:val="0"/>
        <w:tabs>
          <w:tab w:val="left" w:pos="409"/>
        </w:tabs>
        <w:autoSpaceDE w:val="0"/>
        <w:autoSpaceDN w:val="0"/>
        <w:spacing w:after="0" w:line="240" w:lineRule="auto"/>
        <w:ind w:left="567"/>
        <w:jc w:val="both"/>
        <w:rPr>
          <w:iCs/>
        </w:rPr>
      </w:pPr>
      <w:r>
        <w:t xml:space="preserve">“48. Lai rastos šādas sekas sakarā ar Direktīvas 83/189/EEK nepildīšanu, nav nepieciešams, lai pastāvētu šāda skaidri izteikta norma. Kā jau minēts iepriekš, ir skaidrs, ka šīs direktīvas mērķis ir ar preventīvu kontroli aizsargāt brīvu preču apriti un ka paziņošanas pienākums ir būtisks, lai īstenotu šādu Kopienas kontroli. Kopienas kontroles efektivitāte būs daudz lielāka, ja direktīvu interpretēs tādējādi, ka paziņošanas pienākuma pārkāpums ir būtisks procesuāls pārkāpums, kas attiecīgos tehniskos noteikumus padara nepiemērojamus privātpersonām.”</w:t>
      </w:r>
    </w:p>
    <w:p w14:paraId="5B87E4FF" w14:textId="77777777">
      <w:pPr>
        <w:widowControl w:val="0"/>
        <w:tabs>
          <w:tab w:val="left" w:pos="409"/>
        </w:tabs>
        <w:autoSpaceDE w:val="0"/>
        <w:autoSpaceDN w:val="0"/>
        <w:spacing w:after="0" w:line="240" w:lineRule="auto"/>
        <w:ind w:left="567"/>
        <w:jc w:val="both"/>
        <w:rPr>
          <w:rFonts w:ascii="Times New Roman" w:hAnsi="Times New Roman" w:cs="Times New Roman" w:eastAsia="Times New Roman"/>
          <w:i/>
          <w:iCs/>
          <w:sz w:val="20"/>
          <w:szCs w:val="20"/>
        </w:rPr>
      </w:pPr>
    </w:p>
    <w:p w14:paraId="0768FF27" w14:textId="3B428811">
      <w:pPr>
        <w:pStyle w:val="P68B1DB1-Normal18"/>
        <w:widowControl w:val="0"/>
        <w:tabs>
          <w:tab w:val="left" w:pos="409"/>
        </w:tabs>
        <w:autoSpaceDE w:val="0"/>
        <w:autoSpaceDN w:val="0"/>
        <w:spacing w:after="0" w:line="240" w:lineRule="auto"/>
        <w:ind w:left="567"/>
        <w:jc w:val="both"/>
        <w:rPr>
          <w:iCs/>
        </w:rPr>
      </w:pPr>
      <w:r>
        <w:t xml:space="preserve">“55. Līdz ar to uz piekto un sesto jautājumu ir jāatbild, ka Direktīvas 83/189 8. un 9. pants ir jāinterpretē tādējādi, ka privātpersonas var uz tiem atsaukties valsts tiesā, kurai ir jāatsakās piemērot valsts tehniskos noteikumus, kas nav paziņoti saskaņā ar šo direktīvu.”</w:t>
      </w:r>
    </w:p>
    <w:p w14:paraId="44EDD958"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0A6C3DD6" w14:textId="2CAC6094">
      <w:pPr>
        <w:pStyle w:val="P68B1DB1-Normal13"/>
        <w:widowControl w:val="0"/>
        <w:autoSpaceDE w:val="0"/>
        <w:autoSpaceDN w:val="0"/>
        <w:spacing w:after="0" w:line="240" w:lineRule="auto"/>
        <w:jc w:val="both"/>
        <w:outlineLvl w:val="1"/>
      </w:pPr>
      <w:hyperlink r:id="rId100" w:history="1">
        <w:r>
          <w:rPr>
            <w:color w:val="0000FF"/>
            <w:u w:val="single"/>
          </w:rPr>
          <w:t xml:space="preserve">Spriedums, 1998. gada 16. jūnijs,</w:t>
        </w:r>
      </w:hyperlink>
      <w:r>
        <w:t xml:space="preserve"> Lemmens, C-226/97, EU:C:1998:296, 34.–37. punkts.</w:t>
      </w:r>
      <w:bookmarkEnd w:id="182"/>
    </w:p>
    <w:p w14:paraId="758CEF0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ABB4A98" w14:textId="10F576AA">
      <w:pPr>
        <w:pStyle w:val="P68B1DB1-Normal14"/>
        <w:widowControl w:val="0"/>
        <w:tabs>
          <w:tab w:val="left" w:pos="406"/>
        </w:tabs>
        <w:autoSpaceDE w:val="0"/>
        <w:autoSpaceDN w:val="0"/>
        <w:spacing w:after="0" w:line="240" w:lineRule="auto"/>
        <w:jc w:val="both"/>
      </w:pPr>
      <w:r>
        <w:t xml:space="preserve">Pienākuma paziņot tehniskos noteikumus, kas attiecas uz elpošanas analīzes aparātu, neizpilde nepadara par nepiemērojamu personai, kurai uzdots vadīt transportlīdzekli alkohola reibumā, pierādījumus, kas iegūti, izmantojot elpošanas analīzes aparātu, kurš apstiprināts saskaņā ar noteikumiem, kas nav paziņoti.</w:t>
      </w:r>
    </w:p>
    <w:p w14:paraId="3E297BB7" w14:textId="77777777">
      <w:pPr>
        <w:widowControl w:val="0"/>
        <w:tabs>
          <w:tab w:val="left" w:pos="406"/>
        </w:tabs>
        <w:autoSpaceDE w:val="0"/>
        <w:autoSpaceDN w:val="0"/>
        <w:spacing w:after="0" w:line="240" w:lineRule="auto"/>
        <w:jc w:val="both"/>
        <w:rPr>
          <w:rFonts w:ascii="Times New Roman" w:hAnsi="Times New Roman" w:cs="Times New Roman" w:eastAsia="Times New Roman"/>
          <w:szCs w:val="20"/>
        </w:rPr>
      </w:pPr>
    </w:p>
    <w:p w14:paraId="25103538" w14:textId="65BB17C7">
      <w:pPr>
        <w:pStyle w:val="P68B1DB1-Normal15"/>
        <w:widowControl w:val="0"/>
        <w:tabs>
          <w:tab w:val="left" w:pos="409"/>
        </w:tabs>
        <w:autoSpaceDE w:val="0"/>
        <w:autoSpaceDN w:val="0"/>
        <w:spacing w:after="0" w:line="240" w:lineRule="auto"/>
        <w:ind w:left="567"/>
        <w:jc w:val="both"/>
      </w:pPr>
      <w:r>
        <w:t xml:space="preserve">“34. Tādos kriminālprocesos, kādi ir pamatlietā, apsūdzētajiem ir piemērojami noteikumi, kas, pirmkārt, aizliedz transportlīdzekļa vadīšanu alkohola reibumā un, otrkārt, liek transportlīdzekļa vadītājam izmest savu elpu aparātā, kas paredzēts alkohola satura mērīšanai, un šī testa rezultāts ir pierādījums kriminālprocesā. Šādi noteikumi atšķiras no tiem, kas nav paziņoti Komisijai saskaņā ar direktīvu, bet nav piemērojami privātpersonām.</w:t>
      </w:r>
    </w:p>
    <w:p w14:paraId="79D66062" w14:textId="77777777">
      <w:pPr>
        <w:pStyle w:val="P68B1DB1-Normal15"/>
        <w:widowControl w:val="0"/>
        <w:tabs>
          <w:tab w:val="left" w:pos="409"/>
        </w:tabs>
        <w:autoSpaceDE w:val="0"/>
        <w:autoSpaceDN w:val="0"/>
        <w:spacing w:after="0" w:line="240" w:lineRule="auto"/>
        <w:ind w:left="567"/>
        <w:jc w:val="both"/>
      </w:pPr>
    </w:p>
    <w:p w14:paraId="1F291ACA" w14:textId="0D4F54FD">
      <w:pPr>
        <w:pStyle w:val="P68B1DB1-Normal15"/>
        <w:widowControl w:val="0"/>
        <w:tabs>
          <w:tab w:val="left" w:pos="409"/>
        </w:tabs>
        <w:autoSpaceDE w:val="0"/>
        <w:autoSpaceDN w:val="0"/>
        <w:spacing w:after="0" w:line="240" w:lineRule="auto"/>
        <w:ind w:left="567"/>
        <w:jc w:val="both"/>
      </w:pPr>
      <w:r>
        <w:t xml:space="preserve">35. Lai gan tehnisko noteikumu nepaziņošana, kas ir procesuāls pārkāpums to pieņemšanā, padara šādus noteikumus nepiemērojamus, jo tie kavē tiem neatbilstošas preces izmantošanu vai tirdzniecību, tās sekas nav tādas, ka tiek padarīta nelikumīga jebkura tāda produkta izmantošana, kas atbilst noteikumiem, par kuriem nav paziņots.</w:t>
      </w:r>
    </w:p>
    <w:p w14:paraId="06F58C0E" w14:textId="77777777">
      <w:pPr>
        <w:pStyle w:val="P68B1DB1-Normal15"/>
        <w:widowControl w:val="0"/>
        <w:tabs>
          <w:tab w:val="left" w:pos="409"/>
        </w:tabs>
        <w:autoSpaceDE w:val="0"/>
        <w:autoSpaceDN w:val="0"/>
        <w:spacing w:after="0" w:line="240" w:lineRule="auto"/>
        <w:ind w:left="567"/>
        <w:jc w:val="both"/>
      </w:pPr>
    </w:p>
    <w:p w14:paraId="56671D2C" w14:textId="0E44A6B4">
      <w:pPr>
        <w:pStyle w:val="P68B1DB1-Normal15"/>
        <w:widowControl w:val="0"/>
        <w:tabs>
          <w:tab w:val="left" w:pos="409"/>
        </w:tabs>
        <w:autoSpaceDE w:val="0"/>
        <w:autoSpaceDN w:val="0"/>
        <w:spacing w:after="0" w:line="240" w:lineRule="auto"/>
        <w:ind w:left="567"/>
        <w:jc w:val="both"/>
      </w:pPr>
      <w:r>
        <w:t xml:space="preserve">36. Tas, ka valsts iestādes izmanto produktu tādā gadījumā kā šis, nevar radīt šķērsli tirdzniecībai, no kura būtu bijis iespējams izvairīties, ja tiktu ievērota paziņošanas procedūra.</w:t>
      </w:r>
    </w:p>
    <w:p w14:paraId="4CD6FBB9" w14:textId="77777777">
      <w:pPr>
        <w:pStyle w:val="P68B1DB1-Normal15"/>
        <w:widowControl w:val="0"/>
        <w:tabs>
          <w:tab w:val="left" w:pos="409"/>
        </w:tabs>
        <w:autoSpaceDE w:val="0"/>
        <w:autoSpaceDN w:val="0"/>
        <w:spacing w:after="0" w:line="240" w:lineRule="auto"/>
        <w:ind w:left="567"/>
        <w:jc w:val="both"/>
      </w:pPr>
    </w:p>
    <w:p w14:paraId="638FC610" w14:textId="5C3DE903">
      <w:pPr>
        <w:pStyle w:val="P68B1DB1-Normal15"/>
        <w:widowControl w:val="0"/>
        <w:tabs>
          <w:tab w:val="left" w:pos="409"/>
        </w:tabs>
        <w:autoSpaceDE w:val="0"/>
        <w:autoSpaceDN w:val="0"/>
        <w:spacing w:after="0" w:line="240" w:lineRule="auto"/>
        <w:ind w:left="567"/>
        <w:jc w:val="both"/>
      </w:pPr>
      <w:r>
        <w:t xml:space="preserve">37. Līdz ar to uz pirmo jautājumu ir jāatbild, ka Direktīva ir jāinterpretē tādējādi, ka tās 8. pantā noteiktā pienākuma paziņot tehniskos noteikumus par elpošanas analīzes aparātiem pārkāpums nepadara neiespējamu pierādījumu, kas iegūti ar šādām iekārtām, kuras ir atļautas saskaņā ar nepaziņotiem noteikumiem, izmantošanu pret personu, kas ir apsūdzēta transportlīdzekļa vadīšanā alkohola reibumā.”</w:t>
      </w:r>
    </w:p>
    <w:p w14:paraId="03B0AE90"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AD84CA2" w14:textId="7A7E4DF0">
      <w:pPr>
        <w:pStyle w:val="P68B1DB1-Normal13"/>
        <w:widowControl w:val="0"/>
        <w:autoSpaceDE w:val="0"/>
        <w:autoSpaceDN w:val="0"/>
        <w:spacing w:after="0" w:line="240" w:lineRule="auto"/>
        <w:jc w:val="both"/>
        <w:outlineLvl w:val="1"/>
      </w:pPr>
      <w:hyperlink r:id="rId101" w:history="1">
        <w:r>
          <w:rPr>
            <w:color w:val="0000FF"/>
            <w:u w:val="single"/>
          </w:rPr>
          <w:t xml:space="preserve">Spriedums, 2002. gada 6. jūnijs</w:t>
        </w:r>
      </w:hyperlink>
      <w:r>
        <w:t xml:space="preserve">, Sapod Audic, C-159/00, EU:C:2002:343, 52. un 53. punkts.</w:t>
      </w:r>
      <w:bookmarkEnd w:id="183"/>
    </w:p>
    <w:p w14:paraId="7700A11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88E293C" w14:textId="6294F0EB">
      <w:pPr>
        <w:widowControl w:val="0"/>
        <w:tabs>
          <w:tab w:val="left" w:pos="409"/>
        </w:tabs>
        <w:autoSpaceDE w:val="0"/>
        <w:autoSpaceDN w:val="0"/>
        <w:spacing w:after="0" w:line="240" w:lineRule="auto"/>
        <w:jc w:val="both"/>
        <w:rPr>
          <w:rFonts w:ascii="Times New Roman" w:hAnsi="Times New Roman" w:cs="Times New Roman" w:eastAsia="Times New Roman"/>
          <w:szCs w:val="20"/>
        </w:rPr>
        <w:pStyle w:val="P68B1DB1-Normal14"/>
      </w:pPr>
      <w:r>
        <w:t xml:space="preserve">Valsts tiesai ir jāatsakās piemērot noteikumus, kas nav piemērojami nepaziņošanas dēļ. Šādas nepiemērojamības sekas reglamentē valsts tiesību akti ar nosacījumu, ka tā nav mazāk labvēlīga par to, kāda tā ir līdzīgām iekšzemes prasībām, un nepadara neiespējamu Savienības tiesību īstenošanu.</w:t>
      </w:r>
    </w:p>
    <w:p w14:paraId="1E2D83F5" w14:textId="77777777">
      <w:pPr>
        <w:widowControl w:val="0"/>
        <w:tabs>
          <w:tab w:val="left" w:pos="409"/>
        </w:tabs>
        <w:autoSpaceDE w:val="0"/>
        <w:autoSpaceDN w:val="0"/>
        <w:spacing w:after="0" w:line="240" w:lineRule="auto"/>
        <w:jc w:val="both"/>
        <w:rPr>
          <w:rFonts w:ascii="Times New Roman" w:hAnsi="Times New Roman" w:cs="Times New Roman" w:eastAsia="Times New Roman"/>
          <w:szCs w:val="20"/>
        </w:rPr>
      </w:pPr>
    </w:p>
    <w:p w14:paraId="4757B367" w14:textId="5B286B77">
      <w:pPr>
        <w:pStyle w:val="P68B1DB1-Normal15"/>
        <w:widowControl w:val="0"/>
        <w:tabs>
          <w:tab w:val="left" w:pos="409"/>
        </w:tabs>
        <w:autoSpaceDE w:val="0"/>
        <w:autoSpaceDN w:val="0"/>
        <w:spacing w:after="0"/>
        <w:ind w:left="567"/>
        <w:jc w:val="both"/>
      </w:pPr>
      <w:r>
        <w:t xml:space="preserve">“52. Tomēr ir jānorāda, ka jautājums par secinājumiem, kas pamatlietā izdarāmi no Dekrēta Nr. 92–377 4. panta otrās daļas nepiemērojamības attiecībā uz sankciju bardzību saskaņā ar piemērojamajām valsts tiesībām, piemēram, Sapod un Eco-Emballages līguma spēkā neesamību vai nepiemērojamību, ir jautājums, ko reglamentē valsts tiesības, it īpaši attiecībā uz līgumtiesību normām un principiem, kas ierobežo vai pielāgo šo sankciju, lai tās smagums būtu samērīgs ar konstatēto trūkumu. Tomēr šie noteikumi un principi nedrīkst būt mazāk labvēlīgi par tiem, kas attiecas uz līdzīgām prasībām valsts tiesībās (līdzvērtības princips), un tie nedrīkst būt tādi, kas padara praktiski neiespējamu ar Kopienu tiesībām piešķirto tiesību īstenošanu (efektivitātes princips) (skat. it īpaši 1976. gada 13. marta spriedumu lietā 33/76 Rewe/Landwirtschaftskammer für das Saarland, Recueil, 1989. lpp., 5. punkts, un 2001. gada 8. marta spriedumu apvienotajās lietās C-52/99 un C-53/99 Camorotto un Vignone, Recueil, I-1395. lpp., 21. punkts).</w:t>
      </w:r>
    </w:p>
    <w:p w14:paraId="0A8A5A27" w14:textId="77777777">
      <w:pPr>
        <w:pStyle w:val="P68B1DB1-Normal15"/>
        <w:widowControl w:val="0"/>
        <w:tabs>
          <w:tab w:val="left" w:pos="409"/>
        </w:tabs>
        <w:autoSpaceDE w:val="0"/>
        <w:autoSpaceDN w:val="0"/>
        <w:spacing w:after="0"/>
        <w:ind w:left="567"/>
        <w:jc w:val="both"/>
      </w:pPr>
    </w:p>
    <w:p w14:paraId="26C97D99" w14:textId="2C79F108">
      <w:pPr>
        <w:pStyle w:val="P68B1DB1-Normal15"/>
        <w:widowControl w:val="0"/>
        <w:tabs>
          <w:tab w:val="left" w:pos="409"/>
        </w:tabs>
        <w:autoSpaceDE w:val="0"/>
        <w:autoSpaceDN w:val="0"/>
        <w:spacing w:after="0"/>
        <w:ind w:left="567"/>
        <w:jc w:val="both"/>
      </w:pPr>
      <w:r>
        <w:t xml:space="preserve">53. Līdz ar to uz otrā jautājuma otro daļu, ciktāl tā attiecas uz Direktīvu 83/189, ir jāatbild, ka gadījumā, ja tāda valsts tiesību norma kā Dekrēta Nr. 92–377 4. panta otrā daļa būtu jāinterpretē tādējādi, ka tajā ir prasīts piemērot preču zīmi vai etiķeti, privātpersona var atsaukties uz šīs valsts tiesību normas nepaziņošanu atbilstoši šīs direktīvas 8. pantam. Pēc tam valsts tiesai ir jāatsakās piemērot šo tiesību normu, jo jautājums par secinājumiem, kas izriet no šīs valsts tiesību normas nepiemērojamības attiecībā uz sankciju bardzību saskaņā ar piemērojamajām valsts tiesībām, piemēram, līguma spēkā neesamību vai nepiemērojamību, ir jautājums, ko reglamentē valsts tiesības. Tomēr šis secinājums ir atkarīgs no nosacījuma, ka piemērojamie valsts tiesību aktu noteikumi nav mazāk labvēlīgi par noteikumiem, kas reglamentē līdzīgas iekšējas lietas, un tie nav formulēti tā, lai padarītu praktiski neiespējamu Kopienas tiesību aktos piešķirto tiesību īstenošanu.”</w:t>
      </w:r>
    </w:p>
    <w:p w14:paraId="7ECA13E2" w14:textId="77777777">
      <w:pPr>
        <w:pStyle w:val="P68B1DB1-Normal15"/>
        <w:widowControl w:val="0"/>
        <w:tabs>
          <w:tab w:val="left" w:pos="409"/>
        </w:tabs>
        <w:autoSpaceDE w:val="0"/>
        <w:autoSpaceDN w:val="0"/>
        <w:spacing w:after="0"/>
        <w:jc w:val="both"/>
      </w:pPr>
    </w:p>
    <w:p w14:paraId="25CD0695" w14:textId="4587EFBF">
      <w:pPr>
        <w:pStyle w:val="P68B1DB1-Normal13"/>
        <w:widowControl w:val="0"/>
        <w:autoSpaceDE w:val="0"/>
        <w:autoSpaceDN w:val="0"/>
        <w:spacing w:after="0" w:line="240" w:lineRule="auto"/>
        <w:jc w:val="both"/>
        <w:outlineLvl w:val="1"/>
      </w:pPr>
      <w:hyperlink r:id="rId102" w:history="1">
        <w:r>
          <w:rPr>
            <w:color w:val="0000FF"/>
            <w:u w:val="single"/>
          </w:rPr>
          <w:t xml:space="preserve">Spriedums, 2005. gada 8. septembris</w:t>
        </w:r>
      </w:hyperlink>
      <w:r>
        <w:t xml:space="preserve">, Lidl Italia, C-303/04, EU:C:2005:528, 22. un 23. punkts.</w:t>
      </w:r>
    </w:p>
    <w:p w14:paraId="4582547A"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63F8A9D" w14:textId="77777777">
      <w:pPr>
        <w:pStyle w:val="P68B1DB1-Normal14"/>
        <w:widowControl w:val="0"/>
        <w:tabs>
          <w:tab w:val="left" w:pos="403"/>
        </w:tabs>
        <w:autoSpaceDE w:val="0"/>
        <w:autoSpaceDN w:val="0"/>
        <w:spacing w:after="0" w:line="240" w:lineRule="auto"/>
        <w:jc w:val="both"/>
      </w:pPr>
      <w:r>
        <w:t xml:space="preserve">Paziņošanas pienākuma pārkāpums ir būtisks procesuāls pārkāpums, kas padara attiecīgos “tehniskos noteikumus” nepiemērojamus un līdz ar to nepiemērojamus privātpersonām.</w:t>
      </w:r>
    </w:p>
    <w:p w14:paraId="099B7D88" w14:textId="77777777">
      <w:pPr>
        <w:widowControl w:val="0"/>
        <w:tabs>
          <w:tab w:val="left" w:pos="393"/>
        </w:tabs>
        <w:autoSpaceDE w:val="0"/>
        <w:autoSpaceDN w:val="0"/>
        <w:spacing w:after="0" w:line="240" w:lineRule="auto"/>
        <w:jc w:val="both"/>
        <w:rPr>
          <w:rFonts w:ascii="Times New Roman" w:hAnsi="Times New Roman" w:cs="Times New Roman" w:eastAsia="Times New Roman"/>
          <w:szCs w:val="20"/>
        </w:rPr>
      </w:pPr>
    </w:p>
    <w:p w14:paraId="54B8211C" w14:textId="31CFA17B">
      <w:pPr>
        <w:pStyle w:val="P68B1DB1-Normal15"/>
        <w:widowControl w:val="0"/>
        <w:tabs>
          <w:tab w:val="left" w:pos="393"/>
        </w:tabs>
        <w:autoSpaceDE w:val="0"/>
        <w:autoSpaceDN w:val="0"/>
        <w:spacing w:after="0" w:line="240" w:lineRule="auto"/>
        <w:ind w:left="567"/>
        <w:jc w:val="both"/>
      </w:pPr>
      <w:r>
        <w:t xml:space="preserve">“22. [..] no pastāvīgās judikatūras izriet, ka Direktīvas 98/34 mērķis ir ar preventīvas kontroles palīdzību aizsargāt preču brīvu apriti, kas ir viens no Kopienas pamatiem, un ka šai kontrolei ir lietderīgs mērķis, jo tehniskie noteikumi, kas ietilpst šīs direktīvas piemērošanas jomā, var radīt šķēršļus preču tirdzniecībai starp dalībvalstīm, jo šādi šķēršļi ir pieļaujami tikai tad, ja tie ir vajadzīgi, lai izpildītu imperatīvas vispārējo interešu prasības (šajā sakarā skat. 1996. gada 11. jūlija spriedumu lietā C-194/94 CIA Security International, Recueil, I-2201. lpp., 40. punkts, un 1998. gada 14. maija spriedumu lietā C-226/97 Lemmens, Recueil, I-3711. lpp., 32. punkts).</w:t>
      </w:r>
    </w:p>
    <w:p w14:paraId="36DAFFCC" w14:textId="77777777">
      <w:pPr>
        <w:pStyle w:val="P68B1DB1-Normal15"/>
        <w:widowControl w:val="0"/>
        <w:tabs>
          <w:tab w:val="left" w:pos="393"/>
        </w:tabs>
        <w:autoSpaceDE w:val="0"/>
        <w:autoSpaceDN w:val="0"/>
        <w:spacing w:after="0" w:line="240" w:lineRule="auto"/>
        <w:ind w:left="567"/>
        <w:jc w:val="both"/>
      </w:pPr>
    </w:p>
    <w:p w14:paraId="149570C3" w14:textId="7B9615CB">
      <w:pPr>
        <w:pStyle w:val="P68B1DB1-Normal15"/>
        <w:widowControl w:val="0"/>
        <w:tabs>
          <w:tab w:val="left" w:pos="393"/>
        </w:tabs>
        <w:autoSpaceDE w:val="0"/>
        <w:autoSpaceDN w:val="0"/>
        <w:spacing w:after="0" w:line="240" w:lineRule="auto"/>
        <w:ind w:left="567"/>
        <w:jc w:val="both"/>
      </w:pPr>
      <w:r>
        <w:t xml:space="preserve">23. Tā kā paziņošanas pienākums, kas tostarp minēts Direktīvas 98/34 8. panta 1. punkta pirmajā daļā, ir būtisks, lai īstenotu šo Kopienas kontroli, šādas kontroles efektivitāte būs daudz lielāka, ja šo direktīvu interpretēs tādējādi, ka paziņošanas pienākuma neievērošana ir būtisks procesuāls pārkāpums, kas padara attiecīgos tehniskos noteikumus nepiemērojamus un tādējādi nepiemērojamus privātpersonām (iepriekš minētie spriedumi lietā CIA Security International, 44., 48. un 54. punkts, kā arī lietā Lemmens, 33. punkts).”</w:t>
      </w:r>
    </w:p>
    <w:p w14:paraId="6E201D8A" w14:textId="77777777">
      <w:pPr>
        <w:pStyle w:val="P68B1DB1-Normal15"/>
        <w:widowControl w:val="0"/>
        <w:tabs>
          <w:tab w:val="left" w:pos="393"/>
        </w:tabs>
        <w:autoSpaceDE w:val="0"/>
        <w:autoSpaceDN w:val="0"/>
        <w:spacing w:after="0" w:line="240" w:lineRule="auto"/>
        <w:ind w:left="567"/>
        <w:jc w:val="both"/>
        <w:rPr>
          <w:i w:val="0"/>
          <w:iCs/>
          <w:szCs w:val="20"/>
        </w:rPr>
      </w:pPr>
    </w:p>
    <w:p w14:paraId="3A7A3401" w14:textId="5474014F">
      <w:pPr>
        <w:pStyle w:val="P68B1DB1-Normal13"/>
        <w:widowControl w:val="0"/>
        <w:autoSpaceDE w:val="0"/>
        <w:autoSpaceDN w:val="0"/>
        <w:spacing w:after="0" w:line="240" w:lineRule="auto"/>
        <w:jc w:val="both"/>
        <w:outlineLvl w:val="1"/>
      </w:pPr>
      <w:hyperlink r:id="rId103" w:history="1">
        <w:r>
          <w:rPr>
            <w:color w:val="0000FF"/>
            <w:u w:val="single"/>
          </w:rPr>
          <w:t xml:space="preserve">Spriedums, 2013. gada 31. janvāris</w:t>
        </w:r>
      </w:hyperlink>
      <w:r>
        <w:t xml:space="preserve">, Belgische Petroleum Unie u. c., C</w:t>
        <w:noBreakHyphen/>
        <w:t xml:space="preserve">26/11, EU:C:2013:44, 50. punkts.</w:t>
      </w:r>
      <w:bookmarkEnd w:id="184"/>
    </w:p>
    <w:p w14:paraId="7D29DEE1"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A5859BF" w14:textId="23CC69D0">
      <w:pPr>
        <w:pStyle w:val="P68B1DB1-Normal14"/>
        <w:widowControl w:val="0"/>
        <w:tabs>
          <w:tab w:val="left" w:pos="403"/>
        </w:tabs>
        <w:autoSpaceDE w:val="0"/>
        <w:autoSpaceDN w:val="0"/>
        <w:spacing w:after="0" w:line="240" w:lineRule="auto"/>
        <w:jc w:val="both"/>
      </w:pPr>
      <w:r>
        <w:t xml:space="preserve">Paziņošanas pienākuma pārkāpums ir būtisks procesuāls pārkāpums, kas padara attiecīgos “tehniskos noteikumus” nepiemērojamus un līdz ar to nepiemērojamus privātpersonām.</w:t>
      </w:r>
    </w:p>
    <w:p w14:paraId="3A77BF8A" w14:textId="77777777">
      <w:pPr>
        <w:widowControl w:val="0"/>
        <w:tabs>
          <w:tab w:val="left" w:pos="403"/>
        </w:tabs>
        <w:autoSpaceDE w:val="0"/>
        <w:autoSpaceDN w:val="0"/>
        <w:spacing w:after="0" w:line="240" w:lineRule="auto"/>
        <w:jc w:val="both"/>
        <w:rPr>
          <w:rFonts w:ascii="Times New Roman" w:hAnsi="Times New Roman" w:cs="Times New Roman" w:eastAsia="Times New Roman"/>
          <w:szCs w:val="20"/>
        </w:rPr>
      </w:pPr>
    </w:p>
    <w:p w14:paraId="1EFBF218" w14:textId="0E7DE8F3">
      <w:pPr>
        <w:pStyle w:val="P68B1DB1-Normal15"/>
        <w:widowControl w:val="0"/>
        <w:tabs>
          <w:tab w:val="left" w:pos="403"/>
        </w:tabs>
        <w:autoSpaceDE w:val="0"/>
        <w:autoSpaceDN w:val="0"/>
        <w:spacing w:after="0" w:line="240" w:lineRule="auto"/>
        <w:ind w:left="567"/>
        <w:jc w:val="both"/>
        <w:rPr>
          <w:iCs/>
        </w:rPr>
      </w:pPr>
      <w:r>
        <w:t>“</w:t>
      </w:r>
      <w:bookmarkStart w:id="185" w:name="point50"/>
      <w:r>
        <w:t>50</w:t>
      </w:r>
      <w:bookmarkEnd w:id="185"/>
      <w:r>
        <w:t xml:space="preserve">.  Tā kā Direktīvas 98/34 8. panta 1. punkta pirmajā daļā paredzētais paziņošanas pienākums ir būtisks, lai īstenotu šo kontroli, šādas kontroles efektivitāte būs daudz lielāka, ja šī direktīva tiks interpretēta tādējādi, ka paziņošanas pienākuma neievērošana ir procesuāls pārkāpums, kas attiecīgos tehniskos noteikumus padara nepiemērojamus un līdz ar to nepiemērojamus privātpersonām (skat. iepriekš minētos spriedumus lietā Lidl Italia, 23. punkts, un lietā Sandström, 43. punkts).”</w:t>
      </w:r>
    </w:p>
    <w:p w14:paraId="5A7C1A11"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3F877C96" w14:textId="12F7ED6C">
      <w:pPr>
        <w:pStyle w:val="P68B1DB1-Normal13"/>
        <w:widowControl w:val="0"/>
        <w:autoSpaceDE w:val="0"/>
        <w:autoSpaceDN w:val="0"/>
        <w:spacing w:after="0" w:line="240" w:lineRule="auto"/>
        <w:jc w:val="both"/>
        <w:outlineLvl w:val="1"/>
      </w:pPr>
      <w:hyperlink r:id="rId104" w:history="1">
        <w:r>
          <w:rPr>
            <w:color w:val="0000FF"/>
            <w:u w:val="single"/>
          </w:rPr>
          <w:t xml:space="preserve">Spriedums, 2016. gada 2. februāris</w:t>
        </w:r>
      </w:hyperlink>
      <w:r>
        <w:t xml:space="preserve">, Ince, C-336/14, EU:C:2016:72, 67. un 68. punkts.</w:t>
      </w:r>
      <w:bookmarkEnd w:id="186"/>
    </w:p>
    <w:p w14:paraId="5109C791" w14:textId="77777777">
      <w:pPr>
        <w:pStyle w:val="P68B1DB1-Normal13"/>
        <w:widowControl w:val="0"/>
        <w:autoSpaceDE w:val="0"/>
        <w:autoSpaceDN w:val="0"/>
        <w:spacing w:after="0" w:line="240" w:lineRule="auto"/>
        <w:jc w:val="both"/>
        <w:outlineLvl w:val="1"/>
      </w:pPr>
    </w:p>
    <w:p w14:paraId="0118741A" w14:textId="59CA11D9">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“Tehnisko noteikumu” nepaziņošana padara tos nepiemērojamus un neizpildāmus attiecībā pret privātpersonām. Pēdējā minētā var atsaukties uz Direktīvas 98/34 8. pantu valsts tiesās, kurām tādējādi ir jāatsakās piemērot nepaziņoto noteikumu.</w:t>
      </w:r>
    </w:p>
    <w:p w14:paraId="33041BEA" w14:textId="77777777">
      <w:pPr>
        <w:widowControl w:val="0"/>
        <w:autoSpaceDE w:val="0"/>
        <w:autoSpaceDN w:val="0"/>
        <w:spacing w:after="0" w:line="240" w:lineRule="auto"/>
        <w:jc w:val="both"/>
        <w:rPr>
          <w:rFonts w:ascii="Times New Roman" w:hAnsi="Times New Roman" w:cs="Times New Roman" w:eastAsia="Times New Roman"/>
          <w:i/>
          <w:iCs/>
          <w:sz w:val="20"/>
          <w:szCs w:val="20"/>
        </w:rPr>
      </w:pPr>
    </w:p>
    <w:p w14:paraId="0B90620E" w14:textId="22B6DE21">
      <w:pPr>
        <w:pStyle w:val="P68B1DB1-Normal18"/>
        <w:widowControl w:val="0"/>
        <w:autoSpaceDE w:val="0"/>
        <w:autoSpaceDN w:val="0"/>
        <w:spacing w:after="0" w:line="240" w:lineRule="auto"/>
        <w:ind w:left="567"/>
        <w:jc w:val="both"/>
      </w:pPr>
      <w:r>
        <w:t xml:space="preserve">“67. Vispirms ir jāatgādina, ka Direktīvas 98/34 8. panta 1. punktā paredzētā paziņošanas pienākuma pārkāpums tiek uzskatīts par procedūras pārkāpumu attiecīgo tehnisko noteikumu pieņemšanā, kura dēļ šie tehniskie noteikumi kļūst nepiemērojami, liedzot attiecīgos tehniskos noteikumus piemērot privātpersonām (it īpaši skat. spriedumu Ivansson u. c., C-307/13, EU:C:2014:2058, 48. punkts, kā arī tajā minētā judikatūra).</w:t>
      </w:r>
    </w:p>
    <w:p w14:paraId="3D0E63B7" w14:textId="77777777">
      <w:pPr>
        <w:pStyle w:val="P68B1DB1-Normal18"/>
        <w:widowControl w:val="0"/>
        <w:autoSpaceDE w:val="0"/>
        <w:autoSpaceDN w:val="0"/>
        <w:spacing w:after="0" w:line="240" w:lineRule="auto"/>
        <w:ind w:left="567"/>
        <w:jc w:val="both"/>
      </w:pPr>
    </w:p>
    <w:p w14:paraId="0BF09E0D" w14:textId="771301DC">
      <w:pPr>
        <w:pStyle w:val="P68B1DB1-Normal18"/>
        <w:widowControl w:val="0"/>
        <w:autoSpaceDE w:val="0"/>
        <w:autoSpaceDN w:val="0"/>
        <w:spacing w:after="0" w:line="240" w:lineRule="auto"/>
        <w:ind w:left="567"/>
        <w:jc w:val="both"/>
        <w:rPr>
          <w:iCs/>
        </w:rPr>
      </w:pPr>
      <w:r>
        <w:t xml:space="preserve">68. Šajā ziņā ir jāuzsver, kā ģenerāladvokāts ir norādījis secinājumu 60. punktā, ka, lai gan šīs direktīvas 8. panta 1. punktā ir noteikts, ka Komisijai ir jāpaziņo viss likuma projekts, kurā ietverti tehniskie noteikumi (šajā ziņā skat. spriedumu Komisija/Itālija, C-279/94, EU:C:1997:396, 40. un 41. punkts), nepiemērojamība, kas izriet no šī pienākuma neizpildes, attiecas nevis uz visām šāda likuma normām, bet tikai uz tajā ietvertajiem tehniskajiem noteikumiem.”</w:t>
      </w:r>
    </w:p>
    <w:p w14:paraId="3958CBE4"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33409741" w14:textId="429ECE6F">
      <w:pPr>
        <w:pStyle w:val="P68B1DB1-Normal13"/>
        <w:widowControl w:val="0"/>
        <w:autoSpaceDE w:val="0"/>
        <w:autoSpaceDN w:val="0"/>
        <w:spacing w:after="0" w:line="240" w:lineRule="auto"/>
        <w:jc w:val="both"/>
        <w:outlineLvl w:val="1"/>
      </w:pPr>
      <w:hyperlink r:id="rId105" w:history="1">
        <w:r>
          <w:rPr>
            <w:color w:val="0000FF"/>
            <w:u w:val="single"/>
          </w:rPr>
          <w:t xml:space="preserve">Rīkojums, 2016. gada 21. aprīlis</w:t>
        </w:r>
      </w:hyperlink>
      <w:r>
        <w:t xml:space="preserve">, Beca Engineering, C-285/15, EU:C:2016:295, 37. punkts.</w:t>
      </w:r>
      <w:bookmarkEnd w:id="187"/>
    </w:p>
    <w:p w14:paraId="4FF7730D"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695C5D13" w14:textId="319BB418">
      <w:pPr>
        <w:widowControl w:val="0"/>
        <w:tabs>
          <w:tab w:val="left" w:pos="436"/>
        </w:tabs>
        <w:autoSpaceDE w:val="0"/>
        <w:autoSpaceDN w:val="0"/>
        <w:spacing w:after="0" w:line="240" w:lineRule="auto"/>
        <w:jc w:val="both"/>
        <w:rPr>
          <w:rFonts w:ascii="Times New Roman" w:hAnsi="Times New Roman" w:cs="Times New Roman" w:eastAsia="Times New Roman"/>
          <w:szCs w:val="20"/>
        </w:rPr>
        <w:pStyle w:val="P68B1DB1-Normal14"/>
      </w:pPr>
      <w:r>
        <w:t xml:space="preserve">“Tehnisku noteikumu” nepaziņošana padara tos nepiemērojamus un nepiemērojamus privātpersonām, kuras var atsaukties uz Direktīvas 98/34 8. pantu valsts tiesās, kurām līdz ar to ir pienākums tos noraidīt.</w:t>
      </w:r>
    </w:p>
    <w:p w14:paraId="4B5D090C" w14:textId="77777777">
      <w:pPr>
        <w:widowControl w:val="0"/>
        <w:tabs>
          <w:tab w:val="left" w:pos="436"/>
        </w:tabs>
        <w:autoSpaceDE w:val="0"/>
        <w:autoSpaceDN w:val="0"/>
        <w:spacing w:after="0" w:line="240" w:lineRule="auto"/>
        <w:jc w:val="both"/>
        <w:rPr>
          <w:rFonts w:ascii="Times New Roman" w:hAnsi="Times New Roman" w:cs="Times New Roman" w:eastAsia="Times New Roman"/>
          <w:szCs w:val="20"/>
        </w:rPr>
      </w:pPr>
    </w:p>
    <w:p w14:paraId="4CE283BE" w14:textId="354C4BFD">
      <w:pPr>
        <w:widowControl w:val="0"/>
        <w:tabs>
          <w:tab w:val="left" w:pos="467"/>
        </w:tabs>
        <w:autoSpaceDE w:val="0"/>
        <w:autoSpaceDN w:val="0"/>
        <w:spacing w:after="0" w:line="240" w:lineRule="auto"/>
        <w:ind w:left="567"/>
        <w:jc w:val="both"/>
        <w:rPr>
          <w:rFonts w:ascii="Times New Roman" w:hAnsi="Times New Roman" w:cs="Times New Roman" w:eastAsia="Times New Roman"/>
          <w:szCs w:val="20"/>
        </w:rPr>
        <w:pStyle w:val="P68B1DB1-Normal14"/>
      </w:pPr>
      <w:r>
        <w:t xml:space="preserve">(Tā kā rīkojums ir pieejams tikai franču un itāļu valodā, turpmāk tekstā ir iekļauts tulkojums.)</w:t>
      </w:r>
    </w:p>
    <w:p w14:paraId="71B521E7" w14:textId="77777777">
      <w:pPr>
        <w:widowControl w:val="0"/>
        <w:tabs>
          <w:tab w:val="left" w:pos="436"/>
        </w:tabs>
        <w:autoSpaceDE w:val="0"/>
        <w:autoSpaceDN w:val="0"/>
        <w:spacing w:after="0" w:line="240" w:lineRule="auto"/>
        <w:jc w:val="both"/>
        <w:rPr>
          <w:rFonts w:ascii="Times New Roman" w:hAnsi="Times New Roman" w:cs="Times New Roman" w:eastAsia="Times New Roman"/>
          <w:szCs w:val="20"/>
        </w:rPr>
      </w:pPr>
    </w:p>
    <w:p w14:paraId="176B997E" w14:textId="2F3B42D8">
      <w:pPr>
        <w:pStyle w:val="P68B1DB1-Normal15"/>
        <w:widowControl w:val="0"/>
        <w:tabs>
          <w:tab w:val="left" w:pos="436"/>
        </w:tabs>
        <w:autoSpaceDE w:val="0"/>
        <w:autoSpaceDN w:val="0"/>
        <w:spacing w:after="0" w:line="240" w:lineRule="auto"/>
        <w:ind w:left="567"/>
        <w:jc w:val="both"/>
        <w:rPr>
          <w:iCs/>
        </w:rPr>
      </w:pPr>
      <w:r>
        <w:t xml:space="preserve">“37. Saskaņā ar pastāvīgo judikatūru Direktīvas 98/34 8. pantā paredzētā pienākuma dalībvalstīm nekavējoties paziņot Komisijai par tehniskajiem noteikumiem neizpilde padara attiecīgos tehniskos noteikumus nepiemērojamus, tāpēc tie nevar tikt piemēroti privātpersonām, un tādējādi tās var atsaukties uz Direktīvas 98/34 8. pantu valsts tiesā, kurai ir jāatsakās piemērot valsts tehniskos noteikumus, kas nav paziņoti saskaņā ar šo direktīvu (šajā ziņā skat. spriedumus, 1996. gada 30. aprīlis,CIA Security International</w:t>
        <w:noBreakHyphen/>
        <w:t xml:space="preserve">, 194/94, EU:C:1996:172, 44. un 54. punkts; 2000. gada 26. septembra spriedumu Unilever,</w:t>
        <w:noBreakHyphen/>
        <w:t xml:space="preserve">443/98, EU:C:2000:496, 49. punkts; un 2015. gada 16. jūlija spriedumu lietā 95/14 UNIC un Uni.co.pel</w:t>
        <w:noBreakHyphen/>
        <w:t xml:space="preserve">, EU:C:2015:492, 29. punkts).”</w:t>
      </w:r>
    </w:p>
    <w:p w14:paraId="316A0C5A"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72DF0B9D" w14:textId="49BEF45B">
      <w:pPr>
        <w:pStyle w:val="P68B1DB1-Normal13"/>
        <w:widowControl w:val="0"/>
        <w:autoSpaceDE w:val="0"/>
        <w:autoSpaceDN w:val="0"/>
        <w:spacing w:after="0" w:line="240" w:lineRule="auto"/>
        <w:jc w:val="both"/>
        <w:outlineLvl w:val="1"/>
      </w:pPr>
      <w:hyperlink r:id="rId106" w:history="1">
        <w:r>
          <w:rPr>
            <w:color w:val="0000FF"/>
            <w:u w:val="single"/>
          </w:rPr>
          <w:t xml:space="preserve">Spriedums, 2017. gada 1. februāris</w:t>
        </w:r>
      </w:hyperlink>
      <w:r>
        <w:t xml:space="preserve">, Município de Palmela, C</w:t>
        <w:noBreakHyphen/>
        <w:t xml:space="preserve">144/16, EU:C:2017:76, 36. un 37. punkts.</w:t>
      </w:r>
      <w:bookmarkEnd w:id="188"/>
    </w:p>
    <w:p w14:paraId="71CD8CD4"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348608F0" w14:textId="4E7B20FD">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Nepaziņotu tehnisko noteikumu nepiemērojamība attiecas tikai uz noteikumiem, kas par tādiem kvalificējami, nevis uz visu tekstu, kurā tie ir paredzēti. </w:t>
      </w:r>
    </w:p>
    <w:p w14:paraId="75A4341D" w14:textId="77777777">
      <w:pPr>
        <w:widowControl w:val="0"/>
        <w:tabs>
          <w:tab w:val="left" w:pos="506"/>
        </w:tabs>
        <w:autoSpaceDE w:val="0"/>
        <w:autoSpaceDN w:val="0"/>
        <w:spacing w:after="0" w:line="240" w:lineRule="auto"/>
        <w:jc w:val="both"/>
        <w:rPr>
          <w:rFonts w:ascii="Times New Roman" w:hAnsi="Times New Roman" w:cs="Times New Roman" w:eastAsia="Times New Roman"/>
          <w:szCs w:val="20"/>
        </w:rPr>
      </w:pPr>
    </w:p>
    <w:p w14:paraId="0AB4BF23" w14:textId="0FC0DDA5">
      <w:pPr>
        <w:pStyle w:val="P68B1DB1-Normal15"/>
        <w:widowControl w:val="0"/>
        <w:tabs>
          <w:tab w:val="left" w:pos="506"/>
        </w:tabs>
        <w:autoSpaceDE w:val="0"/>
        <w:autoSpaceDN w:val="0"/>
        <w:spacing w:after="0" w:line="240" w:lineRule="auto"/>
        <w:ind w:left="567"/>
        <w:jc w:val="both"/>
      </w:pPr>
      <w:r>
        <w:t xml:space="preserve">“36. Turklāt sods par šāda paziņošanas pienākuma neizpildi ir nepaziņotu tehnisko noteikumu nepiemērojamība (šajā nozīmē attiecībā uz Direktīvu 83/189 skat. spriedumu, 1996. gada 30. aprīlis, CIA Security International, C-194/94, EU:C:1996:172, 54. punkts, un attiecībā uz Direktīvu 98/34 — spriedumu, 2016. gada 4. februāris, Ince, C-336/14, EU:C:2016:72, 67. punkts un tajā minētā judikatūra).</w:t>
      </w:r>
    </w:p>
    <w:p w14:paraId="53154754" w14:textId="77777777">
      <w:pPr>
        <w:pStyle w:val="P68B1DB1-Normal15"/>
        <w:widowControl w:val="0"/>
        <w:tabs>
          <w:tab w:val="left" w:pos="506"/>
        </w:tabs>
        <w:autoSpaceDE w:val="0"/>
        <w:autoSpaceDN w:val="0"/>
        <w:spacing w:after="0" w:line="240" w:lineRule="auto"/>
        <w:ind w:left="567"/>
        <w:jc w:val="both"/>
      </w:pPr>
    </w:p>
    <w:p w14:paraId="3D0698B5" w14:textId="300775AA">
      <w:pPr>
        <w:pStyle w:val="P68B1DB1-Normal15"/>
        <w:widowControl w:val="0"/>
        <w:tabs>
          <w:tab w:val="left" w:pos="506"/>
        </w:tabs>
        <w:autoSpaceDE w:val="0"/>
        <w:autoSpaceDN w:val="0"/>
        <w:spacing w:after="0" w:line="240" w:lineRule="auto"/>
        <w:ind w:left="567"/>
        <w:jc w:val="both"/>
        <w:rPr>
          <w:iCs/>
        </w:rPr>
      </w:pPr>
      <w:r>
        <w:t xml:space="preserve">37. Attiecībā uz šāda soda apmēru, pat ja Direktīvas 83/189 8. panta 1. punktā un Direktīvas 98/34 8. panta 1. punktā ir noteikts, ka Komisijai ir jāpaziņo viss likuma projekts, kurā ietverti tehniskie noteikumi, no šī pienākuma neizpildes izrietošā nepiemērojamība attiecas nevis uz visām šāda likuma normām, bet tikai uz tajā ietvertajiem tehniskajiem noteikumiem (šajā nozīmē skat. spriedumu, 2016. gada 4. februāris, Ince, C-336/14, EU:C:2016:72, 68. punkts).”</w:t>
      </w:r>
    </w:p>
    <w:p w14:paraId="554FD65A"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6C171BE6" w14:textId="2B08C6DC">
      <w:pPr>
        <w:pStyle w:val="P68B1DB1-Normal13"/>
        <w:widowControl w:val="0"/>
        <w:autoSpaceDE w:val="0"/>
        <w:autoSpaceDN w:val="0"/>
        <w:spacing w:after="0" w:line="240" w:lineRule="auto"/>
        <w:jc w:val="both"/>
        <w:outlineLvl w:val="1"/>
      </w:pPr>
      <w:hyperlink r:id="rId107" w:history="1">
        <w:r>
          <w:rPr>
            <w:color w:val="0000FF"/>
            <w:u w:val="single"/>
          </w:rPr>
          <w:t xml:space="preserve">Spriedums, 2019. gada 12. septembris</w:t>
        </w:r>
      </w:hyperlink>
      <w:r>
        <w:t xml:space="preserve">, VG Media, C-299/17, EU:C:2019:716, 39. punkts.</w:t>
      </w:r>
      <w:bookmarkEnd w:id="189"/>
    </w:p>
    <w:p w14:paraId="4D9638D2"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70EAA48" w14:textId="672654D1">
      <w:pPr>
        <w:pStyle w:val="P68B1DB1-Normal14"/>
        <w:widowControl w:val="0"/>
        <w:tabs>
          <w:tab w:val="left" w:pos="396"/>
        </w:tabs>
        <w:autoSpaceDE w:val="0"/>
        <w:autoSpaceDN w:val="0"/>
        <w:spacing w:after="0" w:line="240" w:lineRule="auto"/>
        <w:jc w:val="both"/>
      </w:pPr>
      <w:r>
        <w:t xml:space="preserve">Uz nepaziņota “tehnisko noteikumu” nepiemērojamību var atsaukties tiesvedībā starp privātpersonām.</w:t>
      </w:r>
    </w:p>
    <w:p w14:paraId="28A74567" w14:textId="77777777">
      <w:pPr>
        <w:widowControl w:val="0"/>
        <w:tabs>
          <w:tab w:val="left" w:pos="396"/>
        </w:tabs>
        <w:autoSpaceDE w:val="0"/>
        <w:autoSpaceDN w:val="0"/>
        <w:spacing w:after="0" w:line="240" w:lineRule="auto"/>
        <w:jc w:val="both"/>
        <w:rPr>
          <w:rFonts w:ascii="Times New Roman" w:hAnsi="Times New Roman" w:cs="Times New Roman" w:eastAsia="Times New Roman"/>
          <w:szCs w:val="20"/>
        </w:rPr>
      </w:pPr>
    </w:p>
    <w:p w14:paraId="341E5191" w14:textId="072C374E">
      <w:pPr>
        <w:pStyle w:val="P68B1DB1-Normal15"/>
        <w:widowControl w:val="0"/>
        <w:tabs>
          <w:tab w:val="left" w:pos="396"/>
        </w:tabs>
        <w:autoSpaceDE w:val="0"/>
        <w:autoSpaceDN w:val="0"/>
        <w:spacing w:after="0" w:line="240" w:lineRule="auto"/>
        <w:ind w:left="567"/>
        <w:jc w:val="both"/>
        <w:rPr>
          <w:iCs/>
        </w:rPr>
      </w:pPr>
      <w:r>
        <w:t>“</w:t>
      </w:r>
      <w:bookmarkStart w:id="190" w:name="point39"/>
      <w:r>
        <w:t>39</w:t>
      </w:r>
      <w:bookmarkEnd w:id="190"/>
      <w:r>
        <w:t xml:space="preserve">. Ciktāl tāds pasākums vai noteikums kā pamatlietā aplūkotais ir īpaši paredzēts attiecībā uz informācijas sabiedrības pakalpojumiem, tehniskā noteikuma projekts ir iepriekš jādara zināms Komisijai, pamatojoties uz Direktīvas 98/34 8. panta 1. punktu. Pretējā gadījumā saskaņā ar pastāvīgo judikatūru uz tāda tehniska noteikuma nepiemērojamību, par kuru nav paziņots saskaņā ar šo tiesību normu, var atsaukties tiesvedībā starp privātpersonām (spriedums, 2016. gada 27. oktobris, James Elliott Construction, C 613/14</w:t>
        <w:noBreakHyphen/>
        <w:t xml:space="preserve">, EU:C:2016:821, 64. punkts un tajā minētā judikatūra).”</w:t>
      </w:r>
    </w:p>
    <w:p w14:paraId="67343887" w14:textId="77777777">
      <w:pPr>
        <w:pStyle w:val="P68B1DB1-Normal16"/>
        <w:spacing w:after="0" w:line="240" w:lineRule="auto"/>
        <w:rPr>
          <w:i/>
          <w:iCs/>
        </w:rPr>
      </w:pPr>
      <w:r>
        <w:br w:type="page"/>
      </w:r>
    </w:p>
    <w:p w14:paraId="3EE7303A" w14:textId="250577BE">
      <w:pPr>
        <w:pStyle w:val="P68B1DB1-Heading24"/>
        <w:numPr>
          <w:ilvl w:val="0"/>
          <w:numId w:val="38"/>
        </w:numPr>
        <w:spacing w:before="0" w:after="0"/>
        <w:jc w:val="center"/>
        <w:rPr>
          <w:bCs/>
          <w:color w:val="auto"/>
        </w:rPr>
      </w:pPr>
      <w:bookmarkStart w:id="191" w:name="_Ref194485069"/>
      <w:bookmarkStart w:id="192" w:name="_Toc203035686"/>
      <w:r>
        <w:t xml:space="preserve">Nepiemērojamība pieņemšanas gadījumā Nogaidīšanas perioda laikā</w:t>
      </w:r>
      <w:bookmarkEnd w:id="191"/>
      <w:bookmarkEnd w:id="192"/>
    </w:p>
    <w:p w14:paraId="37876FE6" w14:textId="77777777">
      <w:pPr>
        <w:widowControl w:val="0"/>
        <w:tabs>
          <w:tab w:val="left" w:pos="396"/>
        </w:tabs>
        <w:autoSpaceDE w:val="0"/>
        <w:autoSpaceDN w:val="0"/>
        <w:spacing w:after="0" w:line="240" w:lineRule="auto"/>
        <w:ind w:left="567"/>
        <w:jc w:val="both"/>
        <w:rPr>
          <w:rFonts w:ascii="Times New Roman" w:hAnsi="Times New Roman" w:cs="Times New Roman" w:eastAsia="Times New Roman"/>
          <w:i/>
          <w:iCs/>
          <w:sz w:val="20"/>
          <w:szCs w:val="16"/>
        </w:rPr>
      </w:pPr>
    </w:p>
    <w:p w14:paraId="0D0639E5" w14:textId="5783481F">
      <w:pPr>
        <w:pStyle w:val="P68B1DB1-Normal13"/>
        <w:widowControl w:val="0"/>
        <w:autoSpaceDE w:val="0"/>
        <w:autoSpaceDN w:val="0"/>
        <w:spacing w:after="0" w:line="240" w:lineRule="auto"/>
        <w:jc w:val="both"/>
        <w:outlineLvl w:val="1"/>
      </w:pPr>
      <w:hyperlink r:id="rId108" w:history="1">
        <w:r>
          <w:rPr>
            <w:color w:val="0000FF"/>
            <w:u w:val="single"/>
          </w:rPr>
          <w:t xml:space="preserve">Spriedums, 2000. gada 26. septembris</w:t>
        </w:r>
      </w:hyperlink>
      <w:r>
        <w:t xml:space="preserve">, Unilever, C-443/98, EU:C:2000:496, 44. un 49. punkts.</w:t>
      </w:r>
      <w:bookmarkEnd w:id="193"/>
    </w:p>
    <w:p w14:paraId="42E7AF67"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4BBEE81D" w14:textId="01D7910A">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Pienākuma atlikt “tehnisko noteikumu” pieņemšanu neizpilde ir būtisks procesuāls pārkāpums, un no tā izrietošā nepiemērojamība var tikt minēta tiesvedībā civiltiesiskos strīdos.</w:t>
      </w:r>
    </w:p>
    <w:p w14:paraId="44D1FDCE" w14:textId="77777777">
      <w:pPr>
        <w:widowControl w:val="0"/>
        <w:autoSpaceDE w:val="0"/>
        <w:autoSpaceDN w:val="0"/>
        <w:spacing w:after="0" w:line="240" w:lineRule="auto"/>
        <w:jc w:val="both"/>
        <w:rPr>
          <w:rFonts w:ascii="Times New Roman" w:hAnsi="Times New Roman" w:cs="Times New Roman" w:eastAsia="Times New Roman"/>
          <w:szCs w:val="20"/>
        </w:rPr>
      </w:pPr>
    </w:p>
    <w:p w14:paraId="75DB8828" w14:textId="28728DEC">
      <w:pPr>
        <w:pStyle w:val="P68B1DB1-Normal15"/>
        <w:widowControl w:val="0"/>
        <w:autoSpaceDE w:val="0"/>
        <w:autoSpaceDN w:val="0"/>
        <w:spacing w:after="0"/>
        <w:ind w:left="567"/>
        <w:jc w:val="both"/>
      </w:pPr>
      <w:r>
        <w:t xml:space="preserve">“44. Lai gan iepriekš minētā sprieduma lietā CIA Security 48. punktā Tiesa, atgādinājusi, ka Direktīvas 83/189 mērķis bija aizsargāt preču brīvu apriti, veicot preventīvu kontroli, un ka paziņošanas pienākums bija būtisks, lai īstenotu šādu Kopienas kontroli, konstatēja, ka šādas kontroles efektivitāte būtu daudz lielāka, ja tā tiktu interpretēta tādējādi, ka paziņošanas pienākuma pārkāpums ir būtisks procesuāls pārkāpums, kas attiecīgos tehniskos noteikumus padara nepiemērojamus privātpersonām, tomēr no šī sprieduma 40.–43. punktā izklāstītajiem apsvērumiem izriet, ka Direktīvas 83/189 9. pantā paredzēto pieņemšanas atlikšanas pienākumu pārkāpums ir arī būtisks procesuāls pārkāpums, kas padara tehniskos noteikumus nepiemērojamus.”</w:t>
      </w:r>
    </w:p>
    <w:p w14:paraId="02036EC1" w14:textId="77777777">
      <w:pPr>
        <w:widowControl w:val="0"/>
        <w:autoSpaceDE w:val="0"/>
        <w:autoSpaceDN w:val="0"/>
        <w:spacing w:after="0" w:line="240" w:lineRule="auto"/>
        <w:ind w:left="567"/>
        <w:jc w:val="both"/>
        <w:rPr>
          <w:rFonts w:ascii="Times New Roman" w:hAnsi="Times New Roman" w:cs="Times New Roman" w:eastAsia="Times New Roman"/>
          <w:i/>
          <w:iCs/>
          <w:sz w:val="20"/>
          <w:szCs w:val="16"/>
        </w:rPr>
      </w:pPr>
    </w:p>
    <w:p w14:paraId="58BC9E48" w14:textId="635AF4A5">
      <w:pPr>
        <w:pStyle w:val="P68B1DB1-Normal15"/>
        <w:widowControl w:val="0"/>
        <w:autoSpaceDE w:val="0"/>
        <w:autoSpaceDN w:val="0"/>
        <w:spacing w:after="0" w:line="240" w:lineRule="auto"/>
        <w:ind w:left="567"/>
        <w:jc w:val="both"/>
        <w:rPr>
          <w:iCs/>
        </w:rPr>
      </w:pPr>
      <w:r>
        <w:t xml:space="preserve">“49. Tādējādi no Tiesas judikatūras izriet, ka uz tehnisko noteikumu, par kuriem nav paziņots saskaņā ar Direktīvas 83/189 8. pantu, nepiemērojamību var atsaukties tiesvedībā starp privātpersonām šī sprieduma 40.–43. punktā izklāstīto iemeslu dēļ. Tas pats attiecas uz minētās direktīvas 9. pantā paredzēto pienākumu neizpildi, un šajā sakarā nav nepieciešams pret strīdiem starp privātpersonām negodīgas konkurences jomā attiekties atšķirīgi, kā tas ir lietā CIA Security International, no strīdiem starp privātpersonām par līgumiska rakstura tiesībām un pienākumiem, kā tas ir pamatlietā.”</w:t>
      </w:r>
    </w:p>
    <w:p w14:paraId="2398ED1C"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DE1608D" w14:textId="65CDF631">
      <w:pPr>
        <w:pStyle w:val="P68B1DB1-Normal13"/>
        <w:widowControl w:val="0"/>
        <w:autoSpaceDE w:val="0"/>
        <w:autoSpaceDN w:val="0"/>
        <w:spacing w:after="0" w:line="240" w:lineRule="auto"/>
        <w:jc w:val="both"/>
        <w:outlineLvl w:val="1"/>
      </w:pPr>
      <w:hyperlink r:id="rId109" w:history="1">
        <w:r>
          <w:rPr>
            <w:color w:val="0000FF"/>
            <w:u w:val="single"/>
          </w:rPr>
          <w:t xml:space="preserve">Spriedums, 2015. gada 16. jūlijs</w:t>
        </w:r>
      </w:hyperlink>
      <w:r>
        <w:t xml:space="preserve">, UNIC un Uni.co.pel, C-95/14, EU:C:2015:492, 29. un 30. punkts.</w:t>
      </w:r>
      <w:bookmarkEnd w:id="194"/>
    </w:p>
    <w:p w14:paraId="1A2641F5" w14:textId="77777777">
      <w:pPr>
        <w:pStyle w:val="P68B1DB1-Normal13"/>
        <w:widowControl w:val="0"/>
        <w:autoSpaceDE w:val="0"/>
        <w:autoSpaceDN w:val="0"/>
        <w:spacing w:after="0" w:line="240" w:lineRule="auto"/>
        <w:jc w:val="both"/>
        <w:outlineLvl w:val="1"/>
        <w:rPr>
          <w:color w:val="0000FF"/>
          <w:u w:val="single"/>
        </w:rPr>
      </w:pPr>
    </w:p>
    <w:p w14:paraId="6A41CA20" w14:textId="5D78CD99">
      <w:pPr>
        <w:pStyle w:val="P68B1DB1-Normal14"/>
        <w:widowControl w:val="0"/>
        <w:tabs>
          <w:tab w:val="left" w:pos="458"/>
        </w:tabs>
        <w:autoSpaceDE w:val="0"/>
        <w:autoSpaceDN w:val="0"/>
        <w:spacing w:after="0" w:line="240" w:lineRule="auto"/>
        <w:jc w:val="both"/>
      </w:pPr>
      <w:r>
        <w:t xml:space="preserve">“Tehniskus noteikumus” nevar piemērot, ja par tiem nav paziņots vai ja, lai gan par tiem ir paziņots, tie ir pieņemti un īstenoti pirms nogaidīšanas termiņa beigām. Šī nogaidīšanas termiņa neievērošana ir būtisks procesuāls pārkāpums, kura dēļ attiecīgie “tehniskie noteikumi” nav piemērojami un nav piemērojami privātpersonām.</w:t>
      </w:r>
    </w:p>
    <w:p w14:paraId="78F423B5" w14:textId="77777777">
      <w:pPr>
        <w:widowControl w:val="0"/>
        <w:tabs>
          <w:tab w:val="left" w:pos="458"/>
        </w:tabs>
        <w:autoSpaceDE w:val="0"/>
        <w:autoSpaceDN w:val="0"/>
        <w:spacing w:after="0" w:line="240" w:lineRule="auto"/>
        <w:jc w:val="both"/>
        <w:rPr>
          <w:rFonts w:ascii="Times New Roman" w:hAnsi="Times New Roman" w:cs="Times New Roman" w:eastAsia="Times New Roman"/>
          <w:szCs w:val="20"/>
        </w:rPr>
      </w:pPr>
    </w:p>
    <w:p w14:paraId="671D359F" w14:textId="02315FA1">
      <w:pPr>
        <w:pStyle w:val="P68B1DB1-Normal15"/>
        <w:widowControl w:val="0"/>
        <w:tabs>
          <w:tab w:val="left" w:pos="413"/>
        </w:tabs>
        <w:autoSpaceDE w:val="0"/>
        <w:autoSpaceDN w:val="0"/>
        <w:spacing w:after="0" w:line="240" w:lineRule="auto"/>
        <w:ind w:left="567"/>
        <w:jc w:val="both"/>
      </w:pPr>
      <w:r>
        <w:t xml:space="preserve">“29. Šajā ziņā ir jāatgādina, ka tehnisks noteikums nevar tikt piemērots, ja tas nav ticis paziņots saskaņā ar Direktīvas 98/34 8. panta 1. punktu vai, kaut arī ir ticis paziņots, tas ir ticis apstiprināts un izpildīts pirms trīs mēnešu bezdarbības laikposma, kas ir paredzēts minētās direktīvas 9. panta 1. punktā (skat. spriedumus CIA Security International, C-194/94, EU:C:1996:172, 41., 44. un 54. punkts, kā arī Unilever, C-443/98, EU:C:2000:496, 49. punkts).</w:t>
      </w:r>
    </w:p>
    <w:p w14:paraId="669F0D65" w14:textId="77777777">
      <w:pPr>
        <w:pStyle w:val="P68B1DB1-Normal15"/>
        <w:widowControl w:val="0"/>
        <w:tabs>
          <w:tab w:val="left" w:pos="413"/>
        </w:tabs>
        <w:autoSpaceDE w:val="0"/>
        <w:autoSpaceDN w:val="0"/>
        <w:spacing w:after="0" w:line="240" w:lineRule="auto"/>
        <w:ind w:left="567"/>
        <w:jc w:val="both"/>
      </w:pPr>
    </w:p>
    <w:p w14:paraId="6F40553C" w14:textId="5546CC32">
      <w:pPr>
        <w:pStyle w:val="P68B1DB1-Normal15"/>
        <w:widowControl w:val="0"/>
        <w:tabs>
          <w:tab w:val="left" w:pos="413"/>
        </w:tabs>
        <w:autoSpaceDE w:val="0"/>
        <w:autoSpaceDN w:val="0"/>
        <w:spacing w:after="0" w:line="240" w:lineRule="auto"/>
        <w:ind w:left="567"/>
        <w:jc w:val="both"/>
        <w:rPr>
          <w:iCs/>
        </w:rPr>
      </w:pPr>
      <w:r>
        <w:t xml:space="preserve">30. Līdz ar to pamatlietā iesniedzējtiesai ir jāpārbauda, vai Likums Nr. 8/2013 ir stājies spēkā, neievērojot Direktīvas 98/34 9. pantā noteikto nogaidīšanas termiņu. Apstiprinošas atbildes gadījumā šī termiņa neievērošana ir uzskatāma par būtisku procesuālo noteikumu pārkāpumu, kas izraisa attiecīgā tehniskā noteikuma nepiemērojamību. Kā ģenerāladvokāte ir norādījusi secinājumu 44.–47. punktā, Likuma Nr. 8/2103 3. panta 2. punkts šajā gadījumā nebūtu piemērojams privātpersonām.”</w:t>
      </w:r>
    </w:p>
    <w:p w14:paraId="6059C0DE"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23CFB923" w14:textId="1D33D9D9">
      <w:pPr>
        <w:widowControl w:val="0"/>
        <w:autoSpaceDE w:val="0"/>
        <w:autoSpaceDN w:val="0"/>
        <w:spacing w:after="0" w:line="240" w:lineRule="auto"/>
        <w:jc w:val="both"/>
        <w:outlineLvl w:val="1"/>
        <w:rPr>
          <w:rFonts w:ascii="Times New Roman" w:hAnsi="Times New Roman" w:cs="Times New Roman" w:eastAsia="Times New Roman"/>
          <w:b/>
          <w:i/>
          <w:szCs w:val="20"/>
        </w:rPr>
      </w:pPr>
      <w:hyperlink r:id="rId110" w:history="1">
        <w:r>
          <w:rPr>
            <w:rStyle w:val="Hyperlink"/>
            <w:rFonts w:ascii="Times New Roman" w:hAnsi="Times New Roman" w:cs="Times New Roman" w:eastAsia="Times New Roman"/>
            <w:b/>
            <w:i/>
            <w:color w:val="0000FF"/>
            <w:szCs w:val="20"/>
          </w:rPr>
          <w:t xml:space="preserve">Spriedums, 2023. gada 21. decembris</w:t>
        </w:r>
      </w:hyperlink>
      <w:r>
        <w:rPr>
          <w:rFonts w:ascii="Times New Roman" w:hAnsi="Times New Roman" w:cs="Times New Roman" w:eastAsia="Times New Roman"/>
          <w:b/>
          <w:i/>
          <w:szCs w:val="20"/>
        </w:rPr>
        <w:t xml:space="preserve">, Papier Mettler Italia, C-86/22, EU:C:2023:1023, 48. un 51. punkts.</w:t>
      </w:r>
      <w:bookmarkEnd w:id="195"/>
    </w:p>
    <w:p w14:paraId="72FE2D2F"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1C184A21" w14:textId="5074D777">
      <w:pPr>
        <w:pStyle w:val="P68B1DB1-Normal17"/>
        <w:widowControl w:val="0"/>
        <w:autoSpaceDE w:val="0"/>
        <w:autoSpaceDN w:val="0"/>
        <w:spacing w:after="0" w:line="240" w:lineRule="auto"/>
        <w:jc w:val="both"/>
      </w:pPr>
      <w:r>
        <w:t xml:space="preserve">“Tehnisko noteikumu” projekta pieņemšana sešas dienas pēc tā paziņošanas ir pretrunā direktīvai.</w:t>
      </w:r>
    </w:p>
    <w:p w14:paraId="6AE096BF" w14:textId="77777777">
      <w:pPr>
        <w:widowControl w:val="0"/>
        <w:autoSpaceDE w:val="0"/>
        <w:autoSpaceDN w:val="0"/>
        <w:spacing w:after="0" w:line="240" w:lineRule="auto"/>
        <w:jc w:val="both"/>
        <w:rPr>
          <w:rFonts w:ascii="Times New Roman" w:hAnsi="Times New Roman" w:cs="Times New Roman" w:eastAsia="Times New Roman"/>
        </w:rPr>
      </w:pPr>
    </w:p>
    <w:p w14:paraId="49072627" w14:textId="0533C648">
      <w:pPr>
        <w:pStyle w:val="P68B1DB1-Normal17"/>
        <w:widowControl w:val="0"/>
        <w:autoSpaceDE w:val="0"/>
        <w:autoSpaceDN w:val="0"/>
        <w:spacing w:after="0" w:line="240" w:lineRule="auto"/>
        <w:jc w:val="both"/>
      </w:pPr>
      <w:r>
        <w:t xml:space="preserve">Klauzulas, kas paredz, ka tiesību aktu stāšanās spēkā ir atkarīga no tā, vai Komisija nereaģē uz šiem tiesību aktiem (“apturēšanas klauzulas”), ir pretrunā direktīvai, jo šādu tiesību aktu pieņemšana neļauj ņemt vērā citu dalībvalstu viedokļus un pārkāpj tiesiskās noteiktības principu. </w:t>
      </w:r>
    </w:p>
    <w:p w14:paraId="324F8208" w14:textId="77777777">
      <w:pPr>
        <w:widowControl w:val="0"/>
        <w:autoSpaceDE w:val="0"/>
        <w:autoSpaceDN w:val="0"/>
        <w:spacing w:after="0" w:line="240" w:lineRule="auto"/>
        <w:jc w:val="both"/>
        <w:rPr>
          <w:rFonts w:ascii="Times New Roman" w:hAnsi="Times New Roman" w:cs="Times New Roman" w:eastAsia="Times New Roman"/>
          <w:i/>
          <w:iCs/>
          <w:sz w:val="20"/>
          <w:szCs w:val="16"/>
        </w:rPr>
      </w:pPr>
    </w:p>
    <w:p w14:paraId="2F3C3AE8" w14:textId="66B8593F">
      <w:pPr>
        <w:pStyle w:val="P68B1DB1-Normal15"/>
        <w:widowControl w:val="0"/>
        <w:autoSpaceDE w:val="0"/>
        <w:autoSpaceDN w:val="0"/>
        <w:spacing w:after="0" w:line="240" w:lineRule="auto"/>
        <w:ind w:left="567"/>
        <w:jc w:val="both"/>
        <w:outlineLvl w:val="1"/>
        <w:rPr>
          <w:iCs/>
        </w:rPr>
      </w:pPr>
      <w:bookmarkStart w:id="196" w:name="_Toc198043912"/>
      <w:r>
        <w:t>“</w:t>
      </w:r>
      <w:bookmarkStart w:id="197" w:name="point48"/>
      <w:r>
        <w:t>48</w:t>
      </w:r>
      <w:bookmarkEnd w:id="197"/>
      <w:r>
        <w:t xml:space="preserve">. Otrkārt, ar pamatlietā aplūkotā dekrēta pieņemšanu sešu dienu laikā pēc tā paziņošanas Komisijai saskaņā ar šīs direktīvas 8. panta 1. punktu tiek pārkāpts arī tās 9. panta 1. punktā paredzētais pienākums, saskaņā ar kuru dalībvalstis atliek “tehnisko noteikumu projekta” pieņemšanu uz trim mēnešiem no dienas, kad Komisija ir saņēmusi šīs direktīvas 8. panta 1. punktā minēto paziņojumu.”</w:t>
      </w:r>
      <w:bookmarkEnd w:id="196"/>
    </w:p>
    <w:p w14:paraId="34ACB37E" w14:textId="77777777">
      <w:pPr>
        <w:widowControl w:val="0"/>
        <w:autoSpaceDE w:val="0"/>
        <w:autoSpaceDN w:val="0"/>
        <w:spacing w:after="0" w:line="240" w:lineRule="auto"/>
        <w:ind w:left="567"/>
        <w:jc w:val="both"/>
        <w:outlineLvl w:val="1"/>
      </w:pPr>
    </w:p>
    <w:p w14:paraId="14BB6DC8" w14:textId="1355B8C7">
      <w:pPr>
        <w:pStyle w:val="P68B1DB1-Normal15"/>
        <w:widowControl w:val="0"/>
        <w:autoSpaceDE w:val="0"/>
        <w:autoSpaceDN w:val="0"/>
        <w:spacing w:after="0" w:line="240" w:lineRule="auto"/>
        <w:ind w:left="567"/>
        <w:jc w:val="both"/>
        <w:rPr>
          <w:iCs/>
        </w:rPr>
      </w:pPr>
      <w:r>
        <w:t>“</w:t>
      </w:r>
      <w:bookmarkStart w:id="198" w:name="point51"/>
      <w:r>
        <w:t>51</w:t>
      </w:r>
      <w:bookmarkEnd w:id="198"/>
      <w:r>
        <w:t xml:space="preserve">. Otrkārt, minētā valdība apgalvo, ka pamatlietā aplūkotā dekrēta stāšanās spēkā saskaņā ar tā 6. pantu esot bijusi atkarīga no 2013. gada 12. martā, pamatojoties uz Direktīvas 98/34 8. panta 1. punktu, sāktās paziņošanas procedūras “veiksmīgas pabeigšanas”. Taču šai procedūrai šāds iznākums neesot bijis, jo Komisija neesot sniegusi atzinumu par šo dekrētu. Šis arguments ir jānoraida, jo, pirmkārt, minētā dekrēta pieņemšana un publicēšana pati par sevi var zināmā mērā ietekmēt attiecīgo preču brīvu apriti; otrkārt, tie neļāva ņemt vērā Nīderlandes Karalistes, Zviedrijas Karalistes un Lielbritānijas un Ziemeļīrijas Apvienotās Karalistes apsvērumus un sīki izstrādātos atzinumus; treškārt, kā ģenerāladvokāts norādījis secinājumu 52. punktā, tie ir likumdošanas metode, kas nav saderīga ar tiesiskās drošības principu.”</w:t>
      </w:r>
    </w:p>
    <w:p w14:paraId="4AC163BF" w14:textId="77777777">
      <w:pPr>
        <w:pStyle w:val="P68B1DB1-Normal16"/>
        <w:spacing w:after="0" w:line="240" w:lineRule="auto"/>
        <w:rPr>
          <w:i/>
          <w:iCs/>
        </w:rPr>
      </w:pPr>
      <w:r>
        <w:br w:type="page"/>
      </w:r>
    </w:p>
    <w:p w14:paraId="781C6309" w14:textId="325A6AD3">
      <w:pPr>
        <w:pStyle w:val="P68B1DB1-Heading24"/>
        <w:numPr>
          <w:ilvl w:val="0"/>
          <w:numId w:val="38"/>
        </w:numPr>
        <w:spacing w:before="0" w:after="0"/>
        <w:jc w:val="center"/>
        <w:rPr>
          <w:bCs/>
          <w:color w:val="auto"/>
        </w:rPr>
      </w:pPr>
      <w:bookmarkStart w:id="199" w:name="_Ref194485197"/>
      <w:bookmarkStart w:id="200" w:name="_Toc203035687"/>
      <w:r>
        <w:t xml:space="preserve">Precizējums par nepiemērojamības ietekmi</w:t>
      </w:r>
      <w:bookmarkEnd w:id="199"/>
      <w:bookmarkEnd w:id="200"/>
    </w:p>
    <w:p w14:paraId="606EC11D" w14:textId="756F529E">
      <w:pPr>
        <w:pStyle w:val="P68B1DB1-Normal15"/>
        <w:widowControl w:val="0"/>
        <w:autoSpaceDE w:val="0"/>
        <w:autoSpaceDN w:val="0"/>
        <w:spacing w:after="0" w:line="240" w:lineRule="auto"/>
        <w:ind w:left="567"/>
        <w:jc w:val="both"/>
        <w:rPr>
          <w:iCs/>
        </w:rPr>
      </w:pPr>
      <w:r>
        <w:t xml:space="preserve">          </w:t>
      </w:r>
    </w:p>
    <w:p w14:paraId="7D2667CD" w14:textId="02A04B70">
      <w:pPr>
        <w:pStyle w:val="P68B1DB1-Normal13"/>
        <w:widowControl w:val="0"/>
        <w:autoSpaceDE w:val="0"/>
        <w:autoSpaceDN w:val="0"/>
        <w:spacing w:after="0" w:line="240" w:lineRule="auto"/>
        <w:jc w:val="both"/>
        <w:outlineLvl w:val="1"/>
      </w:pPr>
      <w:hyperlink r:id="rId111" w:anchor="ctx1" w:history="1">
        <w:r>
          <w:rPr>
            <w:color w:val="0000FF"/>
            <w:u w:val="single"/>
          </w:rPr>
          <w:t xml:space="preserve">Spriedums, 2015. gada 11. jūnijs</w:t>
        </w:r>
      </w:hyperlink>
      <w:r>
        <w:t xml:space="preserve">, Berlington Hungary u. c., C-98/14, EU:C:2015:386, 108. un 109. punkts.</w:t>
      </w:r>
      <w:bookmarkEnd w:id="201"/>
    </w:p>
    <w:p w14:paraId="45692878" w14:textId="77777777">
      <w:pPr>
        <w:widowControl w:val="0"/>
        <w:autoSpaceDE w:val="0"/>
        <w:autoSpaceDN w:val="0"/>
        <w:spacing w:after="0" w:line="240" w:lineRule="auto"/>
        <w:jc w:val="both"/>
        <w:outlineLvl w:val="1"/>
        <w:rPr>
          <w:rFonts w:ascii="Times New Roman" w:hAnsi="Times New Roman" w:cs="Times New Roman" w:eastAsia="Times New Roman"/>
          <w:b/>
          <w:i/>
          <w:szCs w:val="20"/>
        </w:rPr>
      </w:pPr>
    </w:p>
    <w:p w14:paraId="0568A195" w14:textId="7B49416F">
      <w:pPr>
        <w:widowControl w:val="0"/>
        <w:tabs>
          <w:tab w:val="left" w:pos="416"/>
        </w:tabs>
        <w:autoSpaceDE w:val="0"/>
        <w:autoSpaceDN w:val="0"/>
        <w:spacing w:after="0" w:line="240" w:lineRule="auto"/>
        <w:jc w:val="both"/>
        <w:rPr>
          <w:rFonts w:ascii="Times New Roman" w:hAnsi="Times New Roman" w:cs="Times New Roman" w:eastAsia="Times New Roman"/>
          <w:szCs w:val="20"/>
        </w:rPr>
        <w:pStyle w:val="P68B1DB1-Normal14"/>
      </w:pPr>
      <w:r>
        <w:t xml:space="preserve">Paziņošanas un nogaidīšanas pienākumu mērķis nav piešķirt tiesības privātpersonām. Līdz ar to to pārkāpums, ko izdarījusi dalībvalsts, saskaņā ar Savienības tiesībām nedod privātpersonām tiesības prasīt no šīs dalībvalsts atlīdzību par jebkādu no tā izrietošu kaitējumu.</w:t>
      </w:r>
    </w:p>
    <w:p w14:paraId="3D1B5CA6" w14:textId="77777777">
      <w:pPr>
        <w:widowControl w:val="0"/>
        <w:tabs>
          <w:tab w:val="left" w:pos="416"/>
        </w:tabs>
        <w:autoSpaceDE w:val="0"/>
        <w:autoSpaceDN w:val="0"/>
        <w:spacing w:after="0" w:line="240" w:lineRule="auto"/>
        <w:jc w:val="both"/>
        <w:rPr>
          <w:rFonts w:ascii="Times New Roman" w:hAnsi="Times New Roman" w:cs="Times New Roman" w:eastAsia="Times New Roman"/>
          <w:szCs w:val="20"/>
        </w:rPr>
      </w:pPr>
    </w:p>
    <w:p w14:paraId="689BAE8B" w14:textId="2C62B4CE">
      <w:pPr>
        <w:pStyle w:val="P68B1DB1-Normal15"/>
        <w:widowControl w:val="0"/>
        <w:tabs>
          <w:tab w:val="left" w:pos="416"/>
        </w:tabs>
        <w:autoSpaceDE w:val="0"/>
        <w:autoSpaceDN w:val="0"/>
        <w:spacing w:after="0" w:line="240" w:lineRule="auto"/>
        <w:ind w:left="567"/>
        <w:jc w:val="both"/>
      </w:pPr>
      <w:r>
        <w:t xml:space="preserve">“108. Šajā ziņā no judikatūras izriet, ka, lai gan Direktīvas 98/34 mērķis ir nodrošināt preču brīvu apriti, organizējot preventīvu kontroli, kuras lietderīgā iedarbība prasa, lai strīdā starp privātpersonām netiktu piemērots valsts pasākums, kas pieņemts, pārkāpjot tās 8. un 9. pantu, šajā direktīvā nekādā veidā nav definēta tās tiesību normas materiālā piemērošanas joma, uz kuras pamata valsts tiesai ir jāizspriež tajā izskatāmā lieta. Tādējādi šī direktīva nerada ne tiesības, ne pienākumus privātpersonām (spriedums Unilever, C-443/98, EU:C:2000:496, 51. punkts).</w:t>
      </w:r>
    </w:p>
    <w:p w14:paraId="3783F5A5" w14:textId="77777777">
      <w:pPr>
        <w:pStyle w:val="P68B1DB1-Normal15"/>
        <w:widowControl w:val="0"/>
        <w:tabs>
          <w:tab w:val="left" w:pos="416"/>
        </w:tabs>
        <w:autoSpaceDE w:val="0"/>
        <w:autoSpaceDN w:val="0"/>
        <w:spacing w:after="0" w:line="240" w:lineRule="auto"/>
        <w:ind w:left="567"/>
        <w:jc w:val="both"/>
      </w:pPr>
    </w:p>
    <w:p w14:paraId="6B92FF8B" w14:textId="78BC6D0C">
      <w:pPr>
        <w:pStyle w:val="P68B1DB1-Normal15"/>
        <w:widowControl w:val="0"/>
        <w:tabs>
          <w:tab w:val="left" w:pos="416"/>
        </w:tabs>
        <w:autoSpaceDE w:val="0"/>
        <w:autoSpaceDN w:val="0"/>
        <w:spacing w:after="0" w:line="240" w:lineRule="auto"/>
        <w:ind w:left="567"/>
        <w:jc w:val="both"/>
        <w:rPr>
          <w:iCs/>
        </w:rPr>
      </w:pPr>
      <w:r>
        <w:t xml:space="preserve">109. Šādos apstākļos ir jāuzskata, ka pirmais no 104. punktā uzskaitītajiem nosacījumiem nav izpildīts, līdz ar to privātpersonas nevar atsaukties uz minētās direktīvas 8. un 9. panta pārkāpumu, lai noteiktu attiecīgās dalībvalsts atbildību, pamatojoties uz ES tiesībām.”</w:t>
      </w:r>
    </w:p>
    <w:p w14:paraId="73CEA11C" w14:textId="62A8886A">
      <w:pPr>
        <w:pStyle w:val="P68B1DB1-Normal29"/>
        <w:spacing w:after="0" w:line="240" w:lineRule="auto"/>
        <w:rPr>
          <w:i/>
          <w:iCs/>
        </w:rPr>
      </w:pPr>
      <w:r>
        <w:br w:type="page"/>
      </w:r>
    </w:p>
    <w:p w14:paraId="1EE58DB8" w14:textId="063FB854">
      <w:pPr>
        <w:pStyle w:val="P68B1DB1-Heading24"/>
        <w:numPr>
          <w:ilvl w:val="0"/>
          <w:numId w:val="38"/>
        </w:numPr>
        <w:spacing w:before="0" w:after="0"/>
        <w:jc w:val="center"/>
        <w:rPr>
          <w:bCs/>
          <w:color w:val="auto"/>
        </w:rPr>
      </w:pPr>
      <w:bookmarkStart w:id="202" w:name="_Ref194943555"/>
      <w:bookmarkStart w:id="203" w:name="_Toc198043914"/>
      <w:bookmarkStart w:id="204" w:name="_Toc203035688"/>
      <w:r>
        <w:t xml:space="preserve">Pārkāpuma novēršanas procedūra</w:t>
      </w:r>
      <w:bookmarkEnd w:id="202"/>
      <w:bookmarkEnd w:id="203"/>
      <w:bookmarkEnd w:id="204"/>
    </w:p>
    <w:p w14:paraId="7CCCC140" w14:textId="77777777">
      <w:pPr>
        <w:widowControl w:val="0"/>
        <w:autoSpaceDE w:val="0"/>
        <w:autoSpaceDN w:val="0"/>
        <w:spacing w:after="0" w:line="240" w:lineRule="auto"/>
        <w:jc w:val="both"/>
        <w:outlineLvl w:val="1"/>
        <w:rPr>
          <w:rFonts w:ascii="Times New Roman" w:hAnsi="Times New Roman" w:cs="Times New Roman"/>
          <w:i/>
          <w:iCs/>
          <w:sz w:val="20"/>
          <w:szCs w:val="20"/>
        </w:rPr>
      </w:pPr>
    </w:p>
    <w:p w14:paraId="12B64A1E" w14:textId="69A5682B">
      <w:pPr>
        <w:pStyle w:val="P68B1DB1-Normal13"/>
        <w:widowControl w:val="0"/>
        <w:autoSpaceDE w:val="0"/>
        <w:autoSpaceDN w:val="0"/>
        <w:spacing w:after="0" w:line="240" w:lineRule="auto"/>
        <w:jc w:val="both"/>
        <w:outlineLvl w:val="1"/>
      </w:pPr>
      <w:hyperlink r:id="rId112" w:history="1">
        <w:r>
          <w:rPr>
            <w:color w:val="0000FF"/>
            <w:u w:val="single"/>
          </w:rPr>
          <w:t xml:space="preserve">Spriedums, 2009. gada 4. jūnijs,</w:t>
        </w:r>
      </w:hyperlink>
      <w:r>
        <w:t xml:space="preserve"> Komisija/Grieķija, C-109/08, EU:C:2009:346, 14.–17. punkts.</w:t>
      </w:r>
      <w:bookmarkEnd w:id="205"/>
    </w:p>
    <w:p w14:paraId="764614BF" w14:textId="77777777">
      <w:pPr>
        <w:widowControl w:val="0"/>
        <w:autoSpaceDE w:val="0"/>
        <w:autoSpaceDN w:val="0"/>
        <w:spacing w:after="0" w:line="240" w:lineRule="auto"/>
        <w:jc w:val="both"/>
        <w:rPr>
          <w:rFonts w:ascii="Times New Roman" w:hAnsi="Times New Roman" w:cs="Times New Roman" w:eastAsia="Times New Roman"/>
          <w:szCs w:val="20"/>
        </w:rPr>
      </w:pPr>
    </w:p>
    <w:p w14:paraId="2AE57DC7" w14:textId="4EB830F5">
      <w:pPr>
        <w:widowControl w:val="0"/>
        <w:autoSpaceDE w:val="0"/>
        <w:autoSpaceDN w:val="0"/>
        <w:spacing w:after="0" w:line="240" w:lineRule="auto"/>
        <w:jc w:val="both"/>
        <w:rPr>
          <w:rFonts w:ascii="Times New Roman" w:hAnsi="Times New Roman" w:cs="Times New Roman" w:eastAsia="Times New Roman"/>
          <w:szCs w:val="20"/>
        </w:rPr>
        <w:pStyle w:val="P68B1DB1-Normal14"/>
      </w:pPr>
      <w:r>
        <w:t xml:space="preserve">Tiesas spriedums, ar kuru konstatēta paziņošanas pienākuma neizpilde, ir jāizpilda nekavējoties, lai nodrošinātu Savienības tiesību vienveidīgu piemērošanu. Jautājums par to, vai šāds pārkāpums ir noticis saskaņā ar EKL 228. pantu, tiek izvērtēts argumentētajā atzinumā noteiktā termiņa beigās. Šajā gadījumā, tā kā Grieķija nav veikusi nekādus pasākumus pirms noteiktā termiņa beigām, tā nav izpildījusi EKL 228. panta 1. punktā paredzētos pienākumus.</w:t>
      </w:r>
    </w:p>
    <w:p w14:paraId="09B61ED9" w14:textId="77777777">
      <w:pPr>
        <w:widowControl w:val="0"/>
        <w:autoSpaceDE w:val="0"/>
        <w:autoSpaceDN w:val="0"/>
        <w:spacing w:after="0" w:line="240" w:lineRule="auto"/>
        <w:jc w:val="both"/>
        <w:rPr>
          <w:rFonts w:ascii="Times New Roman" w:hAnsi="Times New Roman" w:cs="Times New Roman" w:eastAsia="Times New Roman"/>
          <w:szCs w:val="20"/>
        </w:rPr>
      </w:pPr>
    </w:p>
    <w:p w14:paraId="387679BD" w14:textId="0C49733C">
      <w:pPr>
        <w:spacing w:after="0" w:line="240" w:lineRule="auto"/>
        <w:ind w:left="567"/>
        <w:jc w:val="both"/>
        <w:rPr>
          <w:rFonts w:ascii="Times New Roman" w:hAnsi="Times New Roman" w:cs="Times New Roman"/>
          <w:i/>
          <w:iCs/>
          <w:sz w:val="20"/>
          <w:szCs w:val="20"/>
        </w:rPr>
        <w:pStyle w:val="P68B1DB1-Normal20"/>
      </w:pPr>
      <w:r>
        <w:t>“</w:t>
      </w:r>
      <w:bookmarkStart w:id="206" w:name="point14"/>
      <w:r>
        <w:t>14</w:t>
      </w:r>
      <w:bookmarkEnd w:id="206"/>
      <w:r>
        <w:t xml:space="preserve">. Lai gan EKL 228. pantā nav precizēts termiņš, kurā ir jāizpilda Tiesas spriedums, ar kuru konstatēta pienākumu neizpilde, no pastāvīgās judikatūras izriet, ka Kopienu tiesību tūlītējas un vienveidīgas piemērošanas nozīme nozīmē, ka izpildes process ir jāuzsāk uzreiz un jāpabeidz pēc iespējas ātrāk (skat. it īpaši 2008. gada 10. janvāra spriedumu lietā C-121/07 Komisija/Francija, Krājums, I 0000. lpp.</w:t>
        <w:noBreakHyphen/>
        <w:t xml:space="preserve">, 21. punkts un tajā minētā</w:t>
        <w:noBreakHyphen/>
        <w:t>judikatūra).</w:t>
      </w:r>
    </w:p>
    <w:p w14:paraId="79FE7B6A" w14:textId="77777777">
      <w:pPr>
        <w:spacing w:after="0" w:line="240" w:lineRule="auto"/>
        <w:ind w:left="567"/>
        <w:jc w:val="both"/>
        <w:rPr>
          <w:rFonts w:ascii="Times New Roman" w:hAnsi="Times New Roman" w:cs="Times New Roman"/>
          <w:i/>
          <w:iCs/>
          <w:sz w:val="20"/>
          <w:szCs w:val="20"/>
        </w:rPr>
      </w:pPr>
    </w:p>
    <w:p w14:paraId="34290D7F" w14:textId="2B2B8F25">
      <w:pPr>
        <w:spacing w:after="0" w:line="240" w:lineRule="auto"/>
        <w:ind w:left="567"/>
        <w:jc w:val="both"/>
        <w:rPr>
          <w:rFonts w:ascii="Times New Roman" w:hAnsi="Times New Roman" w:cs="Times New Roman"/>
          <w:i/>
          <w:iCs/>
          <w:sz w:val="20"/>
          <w:szCs w:val="20"/>
        </w:rPr>
        <w:pStyle w:val="P68B1DB1-Normal20"/>
      </w:pPr>
      <w:bookmarkStart w:id="207" w:name="point15"/>
      <w:r>
        <w:t>15</w:t>
      </w:r>
      <w:bookmarkEnd w:id="207"/>
      <w:r>
        <w:t xml:space="preserve">. Turklāt atsauces datums, lai novērtētu pienākumu neizpildes esamību saskaņā ar EKL 228. pantu, ir datums, kad beidzies termiņš, kas noteikts argumentētajā atzinumā, kurš izdots saskaņā ar šo tiesību normu (skat. it īpaši 2007. gada 18. marta spriedumu lietā C 503/04</w:t>
        <w:noBreakHyphen/>
        <w:t xml:space="preserve">Komisija/Vācija, Krājums, I 6153.</w:t>
        <w:noBreakHyphen/>
        <w:t xml:space="preserve">lpp., 19. punkts un tajā minētā</w:t>
        <w:noBreakHyphen/>
        <w:t>judikatūra).</w:t>
      </w:r>
    </w:p>
    <w:p w14:paraId="473BFE9F" w14:textId="77777777">
      <w:pPr>
        <w:spacing w:after="0" w:line="240" w:lineRule="auto"/>
        <w:ind w:left="567"/>
        <w:jc w:val="both"/>
        <w:rPr>
          <w:rFonts w:ascii="Times New Roman" w:hAnsi="Times New Roman" w:cs="Times New Roman"/>
          <w:i/>
          <w:iCs/>
          <w:sz w:val="20"/>
          <w:szCs w:val="20"/>
        </w:rPr>
      </w:pPr>
    </w:p>
    <w:p w14:paraId="25F77FB4" w14:textId="525C8130">
      <w:pPr>
        <w:spacing w:after="0" w:line="240" w:lineRule="auto"/>
        <w:ind w:left="567"/>
        <w:jc w:val="both"/>
        <w:rPr>
          <w:rFonts w:ascii="Times New Roman" w:hAnsi="Times New Roman" w:cs="Times New Roman"/>
          <w:i/>
          <w:iCs/>
          <w:sz w:val="20"/>
          <w:szCs w:val="20"/>
        </w:rPr>
        <w:pStyle w:val="P68B1DB1-Normal20"/>
      </w:pPr>
      <w:bookmarkStart w:id="208" w:name="point16"/>
      <w:r>
        <w:t>16</w:t>
      </w:r>
      <w:bookmarkEnd w:id="208"/>
      <w:r>
        <w:t xml:space="preserve">. Šajā gadījumā ir jākonstatē, ka dienā, kad beidzās 2007. gada 29. jūnija argumentētajā atzinumā paredzētais divu mēnešu termiņš, Grieķijas Republika nebija veikusi nevienu no pasākumiem, kas vajadzīgi iepriekš minētā sprieduma lietā</w:t>
        <w:noBreakHyphen/>
        <w:t xml:space="preserve">Komisija/Grieķija izpildei, jo pirmā pasākuma, kura mērķis bija izpildīt šo spriedumu, projekts Komisijai tika paziņots tikai 2008. gada 7. maijā.</w:t>
      </w:r>
    </w:p>
    <w:p w14:paraId="42C25375" w14:textId="77777777">
      <w:pPr>
        <w:spacing w:after="0" w:line="240" w:lineRule="auto"/>
        <w:ind w:left="567"/>
        <w:jc w:val="both"/>
        <w:rPr>
          <w:rFonts w:ascii="Times New Roman" w:hAnsi="Times New Roman" w:cs="Times New Roman"/>
          <w:i/>
          <w:iCs/>
          <w:sz w:val="20"/>
          <w:szCs w:val="20"/>
        </w:rPr>
      </w:pPr>
    </w:p>
    <w:p w14:paraId="4F21B78F" w14:textId="2C79CD2A">
      <w:pPr>
        <w:spacing w:after="0" w:line="240" w:lineRule="auto"/>
        <w:ind w:left="567"/>
        <w:jc w:val="both"/>
        <w:rPr>
          <w:rFonts w:ascii="Times New Roman" w:hAnsi="Times New Roman" w:cs="Times New Roman"/>
          <w:i/>
          <w:iCs/>
          <w:sz w:val="20"/>
          <w:szCs w:val="20"/>
        </w:rPr>
        <w:pStyle w:val="P68B1DB1-Normal20"/>
      </w:pPr>
      <w:bookmarkStart w:id="209" w:name="point17"/>
      <w:r>
        <w:t>17</w:t>
      </w:r>
      <w:bookmarkEnd w:id="209"/>
      <w:r>
        <w:t xml:space="preserve">. Šādos apstākļos ir jāatzīst, ka Grieķijas Republika, kā tā pati atzīst, nav izpildījusi pienākumus, ko tai uzliek EKL 228. panta 1. punkts.”</w:t>
      </w:r>
    </w:p>
    <w:sectPr>
      <w:headerReference w:type="even" r:id="rId113"/>
      <w:headerReference w:type="default" r:id="rId114"/>
      <w:footerReference w:type="even" r:id="rId115"/>
      <w:footerReference w:type="default" r:id="rId116"/>
      <w:headerReference w:type="first" r:id="rId117"/>
      <w:footerReference w:type="first" r:id="rId1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82E30" w14:textId="77777777">
      <w:pPr>
        <w:spacing w:after="0" w:line="240" w:lineRule="auto"/>
      </w:pPr>
      <w:r>
        <w:separator/>
      </w:r>
    </w:p>
  </w:endnote>
  <w:endnote w:type="continuationSeparator" w:id="0">
    <w:p w14:paraId="42F9C42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76B0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6162115"/>
      <w:docPartObj>
        <w:docPartGallery w:val="Page Numbers (Bottom of Page)"/>
        <w:docPartUnique/>
      </w:docPartObj>
    </w:sdtPr>
    <w:sdtEndPr>
      <w:rPr>
        <w:noProof/>
      </w:rPr>
    </w:sdtEndPr>
    <w:sdtContent>
      <w:p w14:paraId="169A474F" w14:textId="1212D73C">
        <w:pPr>
          <w:pStyle w:val="Footer"/>
          <w:jc w:val="center"/>
        </w:pPr>
        <w:r>
          <w:fldChar w:fldCharType="begin"/>
        </w:r>
        <w:r>
          <w:instrText xml:space="preserve"> PAGE   \* MERGEFORMAT </w:instrText>
        </w:r>
        <w:r>
          <w:fldChar w:fldCharType="separate"/>
        </w:r>
        <w:r>
          <w:t>2</w:t>
        </w:r>
        <w:r>
          <w:fldChar w:fldCharType="end"/>
        </w:r>
      </w:p>
    </w:sdtContent>
  </w:sdt>
  <w:p w14:paraId="3E6C886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3916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3A389" w14:textId="77777777">
      <w:pPr>
        <w:spacing w:after="0" w:line="240" w:lineRule="auto"/>
      </w:pPr>
      <w:r>
        <w:separator/>
      </w:r>
    </w:p>
  </w:footnote>
  <w:footnote w:type="continuationSeparator" w:id="0">
    <w:p w14:paraId="415CF120" w14:textId="77777777">
      <w:pPr>
        <w:spacing w:after="0" w:line="240" w:lineRule="auto"/>
      </w:pPr>
      <w:r>
        <w:continuationSeparator/>
      </w:r>
    </w:p>
  </w:footnote>
  <w:footnote w:id="1">
    <w:p w14:paraId="1FA0C861" w14:textId="399A73E6">
      <w:pPr>
        <w:pStyle w:val="FootnoteText"/>
        <w:jc w:val="both"/>
        <w:rPr>
          <w:rFonts w:ascii="Times New Roman" w:hAnsi="Times New Roman" w:cs="Times New Roman"/>
          <w:i/>
          <w:iCs/>
          <w:sz w:val="18"/>
          <w:szCs w:val="18"/>
        </w:rPr>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Direktīvas 2015/1535 un Direktīvas 83/189/EEK salīdzinājums ir balstīts uz sākotnējiem negrozītiem tiesību aktiem, savukārt Direktīvas 98/34/EK salīdzinājums ir balstīts uz 1998. gada 20. jūlija Direktīvu 98/48/EK grozītajā redakcijā.</w:t>
      </w:r>
    </w:p>
  </w:footnote>
  <w:footnote w:id="2">
    <w:p w14:paraId="76340588" w14:textId="755D0E80">
      <w:pPr>
        <w:pStyle w:val="FootnoteText"/>
        <w:jc w:val="both"/>
        <w:rPr>
          <w:rFonts w:ascii="Times New Roman" w:hAnsi="Times New Roman" w:cs="Times New Roman"/>
          <w:i/>
          <w:iCs/>
          <w:sz w:val="18"/>
          <w:szCs w:val="18"/>
        </w:rPr>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Eiropas Parlamenta un Padomes Direktīva (ES) 2015/1535 (2015. gada 9. septembris), ar ko nosaka informācijas sniegšanas kārtību tehnisko noteikumu un Informācijas sabiedrības pakalpojumu noteikumu jomā (kodificēta redakcija)</w:t>
      </w:r>
    </w:p>
  </w:footnote>
  <w:footnote w:id="3">
    <w:p w14:paraId="44C51982" w14:textId="0D8DBE21">
      <w:pPr>
        <w:pStyle w:val="FootnoteText"/>
        <w:jc w:val="both"/>
        <w:rPr>
          <w:rFonts w:ascii="Times New Roman" w:hAnsi="Times New Roman" w:cs="Times New Roman"/>
          <w:i/>
          <w:iCs/>
          <w:sz w:val="18"/>
          <w:szCs w:val="18"/>
        </w:rPr>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Eiropas Parlamenta un Padomes 1998. gada 22. jūnija Direktīva 98/34/EK, ar ko nosaka informācijas sniegšanas kārtību tehnisko standartu un noteikumu jomā, kurā grozījumi izdarīti ar 1998. gada 20. jūlija Direktīvu 98/48/EK (tostarp noteikumi par pakalpojumiem)</w:t>
      </w:r>
    </w:p>
  </w:footnote>
  <w:footnote w:id="4">
    <w:p w14:paraId="587067AB" w14:textId="06FBABC3">
      <w:pPr>
        <w:pStyle w:val="FootnoteText"/>
        <w:jc w:val="both"/>
      </w:pPr>
      <w:r>
        <w:rPr>
          <w:rStyle w:val="FootnoteReference"/>
          <w:rFonts w:ascii="Times New Roman" w:hAnsi="Times New Roman" w:cs="Times New Roman"/>
          <w:sz w:val="18"/>
          <w:szCs w:val="18"/>
        </w:rPr>
        <w:footnoteRef/>
      </w:r>
      <w:r>
        <w:rPr>
          <w:rFonts w:ascii="Times New Roman" w:hAnsi="Times New Roman" w:cs="Times New Roman"/>
          <w:i/>
          <w:sz w:val="18"/>
          <w:szCs w:val="18"/>
        </w:rPr>
        <w:t xml:space="preserve">Padomes Direktīva 83/189/EEK (1983. gada 28. marts), ar ko nosaka informācijas sniegšanas kārtību tehnisko standartu un noteikumu jomā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4FDA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69FF6" w14:textId="236766A6">
    <w:pPr>
      <w:pStyle w:val="P68B1DB1-Title1"/>
      <w:spacing w:before="0"/>
      <w:ind w:left="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EFB8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225A"/>
    <w:multiLevelType w:val="hybridMultilevel"/>
    <w:tmpl w:val="010ED82C"/>
    <w:lvl w:ilvl="0" w:tplc="F5D80FDE">
      <w:start w:val="1"/>
      <w:numFmt w:val="lowerLetter"/>
      <w:lvlText w:val="%1."/>
      <w:lvlJc w:val="left"/>
      <w:pPr>
        <w:ind w:left="1440" w:hanging="360"/>
      </w:pPr>
      <w:rPr>
        <w:rFonts w:hint="default"/>
      </w:r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 w15:restartNumberingAfterBreak="0">
    <w:nsid w:val="0AF1625A"/>
    <w:multiLevelType w:val="hybridMultilevel"/>
    <w:tmpl w:val="A2B2F5CC"/>
    <w:lvl w:ilvl="0" w:tplc="20CA2DBA">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 w15:restartNumberingAfterBreak="0">
    <w:nsid w:val="0DC43F72"/>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49310EC"/>
    <w:multiLevelType w:val="hybridMultilevel"/>
    <w:tmpl w:val="0C2EB568"/>
    <w:lvl w:ilvl="0" w:tplc="7E12F6AE">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4" w15:restartNumberingAfterBreak="0">
    <w:nsid w:val="167F49A9"/>
    <w:multiLevelType w:val="hybridMultilevel"/>
    <w:tmpl w:val="5B0068A6"/>
    <w:lvl w:ilvl="0" w:tplc="3A24D51C">
      <w:start w:val="1"/>
      <w:numFmt w:val="decimal"/>
      <w:lvlText w:val="%1)"/>
      <w:lvlJc w:val="left"/>
      <w:pPr>
        <w:ind w:left="1020" w:hanging="360"/>
      </w:pPr>
    </w:lvl>
    <w:lvl w:ilvl="1" w:tplc="125A5C02">
      <w:start w:val="1"/>
      <w:numFmt w:val="decimal"/>
      <w:lvlText w:val="%2)"/>
      <w:lvlJc w:val="left"/>
      <w:pPr>
        <w:ind w:left="1020" w:hanging="360"/>
      </w:pPr>
    </w:lvl>
    <w:lvl w:ilvl="2" w:tplc="1AFA6D0C">
      <w:start w:val="1"/>
      <w:numFmt w:val="decimal"/>
      <w:lvlText w:val="%3)"/>
      <w:lvlJc w:val="left"/>
      <w:pPr>
        <w:ind w:left="1020" w:hanging="360"/>
      </w:pPr>
    </w:lvl>
    <w:lvl w:ilvl="3" w:tplc="CBDAF276">
      <w:start w:val="1"/>
      <w:numFmt w:val="decimal"/>
      <w:lvlText w:val="%4)"/>
      <w:lvlJc w:val="left"/>
      <w:pPr>
        <w:ind w:left="1020" w:hanging="360"/>
      </w:pPr>
    </w:lvl>
    <w:lvl w:ilvl="4" w:tplc="2166B310">
      <w:start w:val="1"/>
      <w:numFmt w:val="decimal"/>
      <w:lvlText w:val="%5)"/>
      <w:lvlJc w:val="left"/>
      <w:pPr>
        <w:ind w:left="1020" w:hanging="360"/>
      </w:pPr>
    </w:lvl>
    <w:lvl w:ilvl="5" w:tplc="04D0DE84">
      <w:start w:val="1"/>
      <w:numFmt w:val="decimal"/>
      <w:lvlText w:val="%6)"/>
      <w:lvlJc w:val="left"/>
      <w:pPr>
        <w:ind w:left="1020" w:hanging="360"/>
      </w:pPr>
    </w:lvl>
    <w:lvl w:ilvl="6" w:tplc="1E228612">
      <w:start w:val="1"/>
      <w:numFmt w:val="decimal"/>
      <w:lvlText w:val="%7)"/>
      <w:lvlJc w:val="left"/>
      <w:pPr>
        <w:ind w:left="1020" w:hanging="360"/>
      </w:pPr>
    </w:lvl>
    <w:lvl w:ilvl="7" w:tplc="D7021F9C">
      <w:start w:val="1"/>
      <w:numFmt w:val="decimal"/>
      <w:lvlText w:val="%8)"/>
      <w:lvlJc w:val="left"/>
      <w:pPr>
        <w:ind w:left="1020" w:hanging="360"/>
      </w:pPr>
    </w:lvl>
    <w:lvl w:ilvl="8" w:tplc="1A70A482">
      <w:start w:val="1"/>
      <w:numFmt w:val="decimal"/>
      <w:lvlText w:val="%9)"/>
      <w:lvlJc w:val="left"/>
      <w:pPr>
        <w:ind w:left="1020" w:hanging="360"/>
      </w:pPr>
    </w:lvl>
  </w:abstractNum>
  <w:abstractNum w:abstractNumId="5" w15:restartNumberingAfterBreak="0">
    <w:nsid w:val="16C372E0"/>
    <w:multiLevelType w:val="hybridMultilevel"/>
    <w:tmpl w:val="F2F082AA"/>
    <w:lvl w:ilvl="0" w:tplc="0FDE36C8">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6" w15:restartNumberingAfterBreak="0">
    <w:nsid w:val="175D724D"/>
    <w:multiLevelType w:val="hybridMultilevel"/>
    <w:tmpl w:val="FE303218"/>
    <w:lvl w:ilvl="0" w:tplc="B44444F0">
      <w:start w:val="1"/>
      <w:numFmt w:val="bullet"/>
      <w:lvlText w:val="-"/>
      <w:lvlJc w:val="left"/>
      <w:pPr>
        <w:ind w:left="927" w:hanging="360"/>
      </w:pPr>
      <w:rPr>
        <w:rFonts w:ascii="Aptos" w:eastAsiaTheme="minorHAnsi" w:hAnsi="Aptos" w:cstheme="minorBidi"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7" w15:restartNumberingAfterBreak="0">
    <w:nsid w:val="17A252B1"/>
    <w:multiLevelType w:val="hybridMultilevel"/>
    <w:tmpl w:val="936870DE"/>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D021F90"/>
    <w:multiLevelType w:val="hybridMultilevel"/>
    <w:tmpl w:val="BAFE4132"/>
    <w:lvl w:ilvl="0" w:tplc="7F08DD2E">
      <w:start w:val="4"/>
      <w:numFmt w:val="lowerLetter"/>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9" w15:restartNumberingAfterBreak="0">
    <w:nsid w:val="1F426828"/>
    <w:multiLevelType w:val="hybridMultilevel"/>
    <w:tmpl w:val="EF5AD44C"/>
    <w:lvl w:ilvl="0" w:tplc="33F6B108">
      <w:start w:val="1"/>
      <w:numFmt w:val="decimal"/>
      <w:lvlText w:val="%1."/>
      <w:lvlJc w:val="left"/>
      <w:pPr>
        <w:ind w:left="927" w:hanging="360"/>
      </w:pPr>
      <w:rPr>
        <w:rFonts w:hint="default"/>
      </w:rPr>
    </w:lvl>
    <w:lvl w:ilvl="1" w:tplc="18090019">
      <w:start w:val="1"/>
      <w:numFmt w:val="lowerLetter"/>
      <w:lvlText w:val="%2."/>
      <w:lvlJc w:val="left"/>
      <w:pPr>
        <w:ind w:left="1647" w:hanging="360"/>
      </w:pPr>
    </w:lvl>
    <w:lvl w:ilvl="2" w:tplc="1809001B">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0" w15:restartNumberingAfterBreak="0">
    <w:nsid w:val="21D2371B"/>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28E67F7"/>
    <w:multiLevelType w:val="hybridMultilevel"/>
    <w:tmpl w:val="825EF55E"/>
    <w:lvl w:ilvl="0" w:tplc="E1C26E36">
      <w:start w:val="2"/>
      <w:numFmt w:val="upp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5682F2F"/>
    <w:multiLevelType w:val="hybridMultilevel"/>
    <w:tmpl w:val="6242F30A"/>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5F42A0D"/>
    <w:multiLevelType w:val="hybridMultilevel"/>
    <w:tmpl w:val="AEB26076"/>
    <w:lvl w:ilvl="0" w:tplc="5A141406">
      <w:start w:val="1"/>
      <w:numFmt w:val="bullet"/>
      <w:lvlText w:val="-"/>
      <w:lvlJc w:val="left"/>
      <w:pPr>
        <w:ind w:left="927" w:hanging="360"/>
      </w:pPr>
      <w:rPr>
        <w:rFonts w:ascii="Aptos" w:eastAsiaTheme="minorHAnsi" w:hAnsi="Aptos" w:cstheme="minorBidi"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14" w15:restartNumberingAfterBreak="0">
    <w:nsid w:val="2D025A04"/>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DC75B28"/>
    <w:multiLevelType w:val="hybridMultilevel"/>
    <w:tmpl w:val="59601DDA"/>
    <w:lvl w:ilvl="0" w:tplc="1A00D246">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6" w15:restartNumberingAfterBreak="0">
    <w:nsid w:val="2F6B6AB7"/>
    <w:multiLevelType w:val="hybridMultilevel"/>
    <w:tmpl w:val="D0AC01D8"/>
    <w:lvl w:ilvl="0" w:tplc="91B8A490">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7" w15:restartNumberingAfterBreak="0">
    <w:nsid w:val="35303A97"/>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37296099"/>
    <w:multiLevelType w:val="hybridMultilevel"/>
    <w:tmpl w:val="2A705CA2"/>
    <w:lvl w:ilvl="0" w:tplc="7F08DD2E">
      <w:start w:val="1"/>
      <w:numFmt w:val="lowerLetter"/>
      <w:lvlText w:val="%1."/>
      <w:lvlJc w:val="left"/>
      <w:pPr>
        <w:ind w:left="1440" w:hanging="360"/>
      </w:pPr>
      <w:rPr>
        <w:i w:val="0"/>
        <w:i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73415B6"/>
    <w:multiLevelType w:val="hybridMultilevel"/>
    <w:tmpl w:val="B554F348"/>
    <w:lvl w:ilvl="0" w:tplc="15F4A3B4">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0" w15:restartNumberingAfterBreak="0">
    <w:nsid w:val="37B979D4"/>
    <w:multiLevelType w:val="hybridMultilevel"/>
    <w:tmpl w:val="2B5A74C2"/>
    <w:lvl w:ilvl="0" w:tplc="7D78FE44">
      <w:start w:val="5"/>
      <w:numFmt w:val="bullet"/>
      <w:lvlText w:val="-"/>
      <w:lvlJc w:val="left"/>
      <w:pPr>
        <w:ind w:left="927" w:hanging="360"/>
      </w:pPr>
      <w:rPr>
        <w:rFonts w:ascii="Times New Roman" w:eastAsia="Times New Roman" w:hAnsi="Times New Roman" w:cs="Times New Roman"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1" w15:restartNumberingAfterBreak="0">
    <w:nsid w:val="41841F32"/>
    <w:multiLevelType w:val="hybridMultilevel"/>
    <w:tmpl w:val="43346CB6"/>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390360F"/>
    <w:multiLevelType w:val="hybridMultilevel"/>
    <w:tmpl w:val="4A62FD58"/>
    <w:lvl w:ilvl="0" w:tplc="18090019">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3" w15:restartNumberingAfterBreak="0">
    <w:nsid w:val="51601A36"/>
    <w:multiLevelType w:val="hybridMultilevel"/>
    <w:tmpl w:val="3022F154"/>
    <w:lvl w:ilvl="0" w:tplc="CF547ED6">
      <w:start w:val="1"/>
      <w:numFmt w:val="upperRoman"/>
      <w:lvlText w:val="%1."/>
      <w:lvlJc w:val="left"/>
      <w:pPr>
        <w:ind w:left="1080" w:hanging="720"/>
      </w:pPr>
      <w:rPr>
        <w:rFonts w:hint="default"/>
        <w:sz w:val="40"/>
        <w:szCs w:val="4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5D04C1A"/>
    <w:multiLevelType w:val="hybridMultilevel"/>
    <w:tmpl w:val="D334EE56"/>
    <w:lvl w:ilvl="0" w:tplc="A4560BD8">
      <w:start w:val="1"/>
      <w:numFmt w:val="upperRoman"/>
      <w:lvlText w:val="%1."/>
      <w:lvlJc w:val="left"/>
      <w:pPr>
        <w:ind w:left="2715" w:hanging="720"/>
      </w:pPr>
      <w:rPr>
        <w:rFonts w:hint="default"/>
      </w:rPr>
    </w:lvl>
    <w:lvl w:ilvl="1" w:tplc="18090019" w:tentative="1">
      <w:start w:val="1"/>
      <w:numFmt w:val="lowerLetter"/>
      <w:lvlText w:val="%2."/>
      <w:lvlJc w:val="left"/>
      <w:pPr>
        <w:ind w:left="3075" w:hanging="360"/>
      </w:pPr>
    </w:lvl>
    <w:lvl w:ilvl="2" w:tplc="1809001B" w:tentative="1">
      <w:start w:val="1"/>
      <w:numFmt w:val="lowerRoman"/>
      <w:lvlText w:val="%3."/>
      <w:lvlJc w:val="right"/>
      <w:pPr>
        <w:ind w:left="3795" w:hanging="180"/>
      </w:pPr>
    </w:lvl>
    <w:lvl w:ilvl="3" w:tplc="1809000F" w:tentative="1">
      <w:start w:val="1"/>
      <w:numFmt w:val="decimal"/>
      <w:lvlText w:val="%4."/>
      <w:lvlJc w:val="left"/>
      <w:pPr>
        <w:ind w:left="4515" w:hanging="360"/>
      </w:pPr>
    </w:lvl>
    <w:lvl w:ilvl="4" w:tplc="18090019" w:tentative="1">
      <w:start w:val="1"/>
      <w:numFmt w:val="lowerLetter"/>
      <w:lvlText w:val="%5."/>
      <w:lvlJc w:val="left"/>
      <w:pPr>
        <w:ind w:left="5235" w:hanging="360"/>
      </w:pPr>
    </w:lvl>
    <w:lvl w:ilvl="5" w:tplc="1809001B" w:tentative="1">
      <w:start w:val="1"/>
      <w:numFmt w:val="lowerRoman"/>
      <w:lvlText w:val="%6."/>
      <w:lvlJc w:val="right"/>
      <w:pPr>
        <w:ind w:left="5955" w:hanging="180"/>
      </w:pPr>
    </w:lvl>
    <w:lvl w:ilvl="6" w:tplc="1809000F" w:tentative="1">
      <w:start w:val="1"/>
      <w:numFmt w:val="decimal"/>
      <w:lvlText w:val="%7."/>
      <w:lvlJc w:val="left"/>
      <w:pPr>
        <w:ind w:left="6675" w:hanging="360"/>
      </w:pPr>
    </w:lvl>
    <w:lvl w:ilvl="7" w:tplc="18090019" w:tentative="1">
      <w:start w:val="1"/>
      <w:numFmt w:val="lowerLetter"/>
      <w:lvlText w:val="%8."/>
      <w:lvlJc w:val="left"/>
      <w:pPr>
        <w:ind w:left="7395" w:hanging="360"/>
      </w:pPr>
    </w:lvl>
    <w:lvl w:ilvl="8" w:tplc="1809001B" w:tentative="1">
      <w:start w:val="1"/>
      <w:numFmt w:val="lowerRoman"/>
      <w:lvlText w:val="%9."/>
      <w:lvlJc w:val="right"/>
      <w:pPr>
        <w:ind w:left="8115" w:hanging="180"/>
      </w:pPr>
    </w:lvl>
  </w:abstractNum>
  <w:abstractNum w:abstractNumId="25" w15:restartNumberingAfterBreak="0">
    <w:nsid w:val="562A56D8"/>
    <w:multiLevelType w:val="hybridMultilevel"/>
    <w:tmpl w:val="B1C08C96"/>
    <w:lvl w:ilvl="0" w:tplc="8DE862CC">
      <w:start w:val="1"/>
      <w:numFmt w:val="decimal"/>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6" w15:restartNumberingAfterBreak="0">
    <w:nsid w:val="58835420"/>
    <w:multiLevelType w:val="hybridMultilevel"/>
    <w:tmpl w:val="3B7A2A46"/>
    <w:lvl w:ilvl="0" w:tplc="7F08DD2E">
      <w:start w:val="1"/>
      <w:numFmt w:val="lowerLetter"/>
      <w:lvlText w:val="%1."/>
      <w:lvlJc w:val="left"/>
      <w:pPr>
        <w:ind w:left="2160" w:hanging="360"/>
      </w:pPr>
      <w:rPr>
        <w:i w:val="0"/>
        <w:iCs w:val="0"/>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27" w15:restartNumberingAfterBreak="0">
    <w:nsid w:val="5A900DE7"/>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668261C9"/>
    <w:multiLevelType w:val="hybridMultilevel"/>
    <w:tmpl w:val="FC82B53A"/>
    <w:lvl w:ilvl="0" w:tplc="35C2C75E">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9" w15:restartNumberingAfterBreak="0">
    <w:nsid w:val="6B796262"/>
    <w:multiLevelType w:val="hybridMultilevel"/>
    <w:tmpl w:val="80723CDA"/>
    <w:lvl w:ilvl="0" w:tplc="295CF590">
      <w:start w:val="1"/>
      <w:numFmt w:val="upperRoman"/>
      <w:lvlText w:val="%1)"/>
      <w:lvlJc w:val="left"/>
      <w:pPr>
        <w:ind w:left="1080" w:hanging="720"/>
      </w:pPr>
      <w:rPr>
        <w:rFonts w:hint="default"/>
      </w:rPr>
    </w:lvl>
    <w:lvl w:ilvl="1" w:tplc="D658AE2E">
      <w:start w:val="1"/>
      <w:numFmt w:val="lowerLetter"/>
      <w:lvlText w:val="%2."/>
      <w:lvlJc w:val="left"/>
      <w:pPr>
        <w:ind w:left="1440" w:hanging="360"/>
      </w:pPr>
      <w:rPr>
        <w:b w:val="0"/>
        <w:bCs w:val="0"/>
        <w:i w:val="0"/>
        <w:iCs w:val="0"/>
      </w:r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D4B2126"/>
    <w:multiLevelType w:val="hybridMultilevel"/>
    <w:tmpl w:val="41F6FC34"/>
    <w:lvl w:ilvl="0" w:tplc="20302D40">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1" w15:restartNumberingAfterBreak="0">
    <w:nsid w:val="6D6D3A31"/>
    <w:multiLevelType w:val="hybridMultilevel"/>
    <w:tmpl w:val="34CCDBBE"/>
    <w:lvl w:ilvl="0" w:tplc="FFFFFFFF">
      <w:start w:val="1"/>
      <w:numFmt w:val="lowerLetter"/>
      <w:lvlText w:val="%1."/>
      <w:lvlJc w:val="left"/>
      <w:pPr>
        <w:ind w:left="216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DA4040B"/>
    <w:multiLevelType w:val="hybridMultilevel"/>
    <w:tmpl w:val="9DBCA204"/>
    <w:lvl w:ilvl="0" w:tplc="075CAACA">
      <w:start w:val="1"/>
      <w:numFmt w:val="lowerLetter"/>
      <w:lvlText w:val="%1."/>
      <w:lvlJc w:val="left"/>
      <w:pPr>
        <w:ind w:left="1440" w:hanging="360"/>
      </w:pPr>
      <w:rPr>
        <w:rFonts w:hint="default"/>
      </w:rPr>
    </w:lvl>
    <w:lvl w:ilvl="1" w:tplc="18090019">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3" w15:restartNumberingAfterBreak="0">
    <w:nsid w:val="6F6B2BDA"/>
    <w:multiLevelType w:val="hybridMultilevel"/>
    <w:tmpl w:val="1A6CE3C2"/>
    <w:lvl w:ilvl="0" w:tplc="0B227EE8">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4" w15:restartNumberingAfterBreak="0">
    <w:nsid w:val="6FD45B5F"/>
    <w:multiLevelType w:val="hybridMultilevel"/>
    <w:tmpl w:val="BA76F484"/>
    <w:lvl w:ilvl="0" w:tplc="5B6842F8">
      <w:start w:val="1"/>
      <w:numFmt w:val="lowerLetter"/>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5" w15:restartNumberingAfterBreak="0">
    <w:nsid w:val="72EA3F19"/>
    <w:multiLevelType w:val="hybridMultilevel"/>
    <w:tmpl w:val="010ED82C"/>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77C64A56"/>
    <w:multiLevelType w:val="hybridMultilevel"/>
    <w:tmpl w:val="34DAEC8C"/>
    <w:lvl w:ilvl="0" w:tplc="7F08DD2E">
      <w:start w:val="1"/>
      <w:numFmt w:val="lowerLetter"/>
      <w:lvlText w:val="%1."/>
      <w:lvlJc w:val="left"/>
      <w:pPr>
        <w:ind w:left="2160" w:hanging="360"/>
      </w:pPr>
      <w:rPr>
        <w:i w:val="0"/>
        <w:iCs w:val="0"/>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37" w15:restartNumberingAfterBreak="0">
    <w:nsid w:val="7DA32368"/>
    <w:multiLevelType w:val="hybridMultilevel"/>
    <w:tmpl w:val="17CEBB60"/>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689067590">
    <w:abstractNumId w:val="29"/>
  </w:num>
  <w:num w:numId="2" w16cid:durableId="1149712612">
    <w:abstractNumId w:val="22"/>
  </w:num>
  <w:num w:numId="3" w16cid:durableId="522597413">
    <w:abstractNumId w:val="18"/>
  </w:num>
  <w:num w:numId="4" w16cid:durableId="131093797">
    <w:abstractNumId w:val="3"/>
  </w:num>
  <w:num w:numId="5" w16cid:durableId="930895856">
    <w:abstractNumId w:val="8"/>
  </w:num>
  <w:num w:numId="6" w16cid:durableId="859314359">
    <w:abstractNumId w:val="26"/>
  </w:num>
  <w:num w:numId="7" w16cid:durableId="222370173">
    <w:abstractNumId w:val="33"/>
  </w:num>
  <w:num w:numId="8" w16cid:durableId="2057385159">
    <w:abstractNumId w:val="36"/>
  </w:num>
  <w:num w:numId="9" w16cid:durableId="1794322050">
    <w:abstractNumId w:val="0"/>
  </w:num>
  <w:num w:numId="10" w16cid:durableId="3677297">
    <w:abstractNumId w:val="17"/>
  </w:num>
  <w:num w:numId="11" w16cid:durableId="1485776725">
    <w:abstractNumId w:val="10"/>
  </w:num>
  <w:num w:numId="12" w16cid:durableId="882793964">
    <w:abstractNumId w:val="2"/>
  </w:num>
  <w:num w:numId="13" w16cid:durableId="1924220346">
    <w:abstractNumId w:val="35"/>
  </w:num>
  <w:num w:numId="14" w16cid:durableId="407272038">
    <w:abstractNumId w:val="14"/>
  </w:num>
  <w:num w:numId="15" w16cid:durableId="402528430">
    <w:abstractNumId w:val="27"/>
  </w:num>
  <w:num w:numId="16" w16cid:durableId="2008940943">
    <w:abstractNumId w:val="31"/>
  </w:num>
  <w:num w:numId="17" w16cid:durableId="29764232">
    <w:abstractNumId w:val="24"/>
  </w:num>
  <w:num w:numId="18" w16cid:durableId="1598323702">
    <w:abstractNumId w:val="11"/>
  </w:num>
  <w:num w:numId="19" w16cid:durableId="894586789">
    <w:abstractNumId w:val="20"/>
  </w:num>
  <w:num w:numId="20" w16cid:durableId="935164786">
    <w:abstractNumId w:val="19"/>
  </w:num>
  <w:num w:numId="21" w16cid:durableId="1832065826">
    <w:abstractNumId w:val="9"/>
  </w:num>
  <w:num w:numId="22" w16cid:durableId="576403216">
    <w:abstractNumId w:val="28"/>
  </w:num>
  <w:num w:numId="23" w16cid:durableId="539055433">
    <w:abstractNumId w:val="5"/>
  </w:num>
  <w:num w:numId="24" w16cid:durableId="958028667">
    <w:abstractNumId w:val="6"/>
  </w:num>
  <w:num w:numId="25" w16cid:durableId="1079519155">
    <w:abstractNumId w:val="13"/>
  </w:num>
  <w:num w:numId="26" w16cid:durableId="1120418109">
    <w:abstractNumId w:val="30"/>
  </w:num>
  <w:num w:numId="27" w16cid:durableId="153690731">
    <w:abstractNumId w:val="15"/>
  </w:num>
  <w:num w:numId="28" w16cid:durableId="1952590443">
    <w:abstractNumId w:val="32"/>
  </w:num>
  <w:num w:numId="29" w16cid:durableId="893469427">
    <w:abstractNumId w:val="34"/>
  </w:num>
  <w:num w:numId="30" w16cid:durableId="596908438">
    <w:abstractNumId w:val="16"/>
  </w:num>
  <w:num w:numId="31" w16cid:durableId="995496117">
    <w:abstractNumId w:val="1"/>
  </w:num>
  <w:num w:numId="32" w16cid:durableId="1634409818">
    <w:abstractNumId w:val="4"/>
  </w:num>
  <w:num w:numId="33" w16cid:durableId="750465225">
    <w:abstractNumId w:val="25"/>
  </w:num>
  <w:num w:numId="34" w16cid:durableId="1072579241">
    <w:abstractNumId w:val="23"/>
  </w:num>
  <w:num w:numId="35" w16cid:durableId="1444232820">
    <w:abstractNumId w:val="21"/>
  </w:num>
  <w:num w:numId="36" w16cid:durableId="1960531220">
    <w:abstractNumId w:val="12"/>
  </w:num>
  <w:num w:numId="37" w16cid:durableId="2066171962">
    <w:abstractNumId w:val="37"/>
  </w:num>
  <w:num w:numId="38" w16cid:durableId="1650931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036EB0"/>
    <w:rsid w:val="00040F59"/>
    <w:rsid w:val="00041401"/>
    <w:rsid w:val="000421A2"/>
    <w:rsid w:val="0007551C"/>
    <w:rsid w:val="00093525"/>
    <w:rsid w:val="000A18C4"/>
    <w:rsid w:val="000A1DAE"/>
    <w:rsid w:val="000B320E"/>
    <w:rsid w:val="000C20A2"/>
    <w:rsid w:val="000C2978"/>
    <w:rsid w:val="000D1631"/>
    <w:rsid w:val="000D631B"/>
    <w:rsid w:val="000F5423"/>
    <w:rsid w:val="000F7992"/>
    <w:rsid w:val="000F7DA5"/>
    <w:rsid w:val="00106EDB"/>
    <w:rsid w:val="00112FD1"/>
    <w:rsid w:val="001305B4"/>
    <w:rsid w:val="0013272D"/>
    <w:rsid w:val="00137427"/>
    <w:rsid w:val="00137B20"/>
    <w:rsid w:val="001557BC"/>
    <w:rsid w:val="00182A36"/>
    <w:rsid w:val="00186890"/>
    <w:rsid w:val="0018765D"/>
    <w:rsid w:val="001910C8"/>
    <w:rsid w:val="001913A5"/>
    <w:rsid w:val="00192492"/>
    <w:rsid w:val="00193FFC"/>
    <w:rsid w:val="001C2C44"/>
    <w:rsid w:val="001D4E5E"/>
    <w:rsid w:val="001E525A"/>
    <w:rsid w:val="001F5CEA"/>
    <w:rsid w:val="00227D5B"/>
    <w:rsid w:val="0023316E"/>
    <w:rsid w:val="0023465A"/>
    <w:rsid w:val="00241E4F"/>
    <w:rsid w:val="00245EEF"/>
    <w:rsid w:val="002547A4"/>
    <w:rsid w:val="00260293"/>
    <w:rsid w:val="00265197"/>
    <w:rsid w:val="00272AFD"/>
    <w:rsid w:val="00274ED4"/>
    <w:rsid w:val="002829DC"/>
    <w:rsid w:val="00285458"/>
    <w:rsid w:val="0029429C"/>
    <w:rsid w:val="002977CE"/>
    <w:rsid w:val="002B0265"/>
    <w:rsid w:val="002B042F"/>
    <w:rsid w:val="002C2477"/>
    <w:rsid w:val="002C37D7"/>
    <w:rsid w:val="002C7310"/>
    <w:rsid w:val="002D416D"/>
    <w:rsid w:val="002F31E8"/>
    <w:rsid w:val="002F562D"/>
    <w:rsid w:val="00307893"/>
    <w:rsid w:val="003116E4"/>
    <w:rsid w:val="00311818"/>
    <w:rsid w:val="0031192C"/>
    <w:rsid w:val="003307D4"/>
    <w:rsid w:val="00334A0D"/>
    <w:rsid w:val="00341F32"/>
    <w:rsid w:val="003421A4"/>
    <w:rsid w:val="00345FC9"/>
    <w:rsid w:val="00355497"/>
    <w:rsid w:val="00363DCF"/>
    <w:rsid w:val="00390589"/>
    <w:rsid w:val="003B39B7"/>
    <w:rsid w:val="003E20F0"/>
    <w:rsid w:val="003E2812"/>
    <w:rsid w:val="003E787C"/>
    <w:rsid w:val="003E78A4"/>
    <w:rsid w:val="00411B0D"/>
    <w:rsid w:val="00455195"/>
    <w:rsid w:val="00470FB3"/>
    <w:rsid w:val="00477CB9"/>
    <w:rsid w:val="0048519F"/>
    <w:rsid w:val="004A0A95"/>
    <w:rsid w:val="004A1BC1"/>
    <w:rsid w:val="004A497A"/>
    <w:rsid w:val="004D43FB"/>
    <w:rsid w:val="004E0CCF"/>
    <w:rsid w:val="004E15FB"/>
    <w:rsid w:val="004F52D0"/>
    <w:rsid w:val="004F549F"/>
    <w:rsid w:val="00503A50"/>
    <w:rsid w:val="0051744C"/>
    <w:rsid w:val="0053273A"/>
    <w:rsid w:val="00534A40"/>
    <w:rsid w:val="0054357E"/>
    <w:rsid w:val="00545171"/>
    <w:rsid w:val="00551C5D"/>
    <w:rsid w:val="005938BC"/>
    <w:rsid w:val="005A15B3"/>
    <w:rsid w:val="005A7E2B"/>
    <w:rsid w:val="005B5418"/>
    <w:rsid w:val="005B6867"/>
    <w:rsid w:val="005C0F66"/>
    <w:rsid w:val="005C12E8"/>
    <w:rsid w:val="005F057E"/>
    <w:rsid w:val="005F1C4E"/>
    <w:rsid w:val="006014C8"/>
    <w:rsid w:val="006100D5"/>
    <w:rsid w:val="006141C3"/>
    <w:rsid w:val="006178BF"/>
    <w:rsid w:val="00632AD7"/>
    <w:rsid w:val="0063307C"/>
    <w:rsid w:val="00642218"/>
    <w:rsid w:val="00644D71"/>
    <w:rsid w:val="00645AC3"/>
    <w:rsid w:val="0065142E"/>
    <w:rsid w:val="00655279"/>
    <w:rsid w:val="00655B51"/>
    <w:rsid w:val="00657D92"/>
    <w:rsid w:val="00661EB7"/>
    <w:rsid w:val="006644E8"/>
    <w:rsid w:val="00664793"/>
    <w:rsid w:val="00667654"/>
    <w:rsid w:val="0067271E"/>
    <w:rsid w:val="00690AF6"/>
    <w:rsid w:val="00691D55"/>
    <w:rsid w:val="00693ADF"/>
    <w:rsid w:val="006A0998"/>
    <w:rsid w:val="006B09DD"/>
    <w:rsid w:val="006B220F"/>
    <w:rsid w:val="006B6267"/>
    <w:rsid w:val="006C7A98"/>
    <w:rsid w:val="006D242E"/>
    <w:rsid w:val="006E1007"/>
    <w:rsid w:val="006E369B"/>
    <w:rsid w:val="006E6449"/>
    <w:rsid w:val="006F0DE7"/>
    <w:rsid w:val="006F1D25"/>
    <w:rsid w:val="006F4BEB"/>
    <w:rsid w:val="00701DE2"/>
    <w:rsid w:val="00712783"/>
    <w:rsid w:val="007140D1"/>
    <w:rsid w:val="007158E5"/>
    <w:rsid w:val="00724C8A"/>
    <w:rsid w:val="00724EFA"/>
    <w:rsid w:val="00737915"/>
    <w:rsid w:val="00751FE6"/>
    <w:rsid w:val="00756332"/>
    <w:rsid w:val="007575A4"/>
    <w:rsid w:val="0076355C"/>
    <w:rsid w:val="00767671"/>
    <w:rsid w:val="0077396A"/>
    <w:rsid w:val="007851D0"/>
    <w:rsid w:val="007925D9"/>
    <w:rsid w:val="007C2EE0"/>
    <w:rsid w:val="007C57A2"/>
    <w:rsid w:val="007D1474"/>
    <w:rsid w:val="007D3DE5"/>
    <w:rsid w:val="007E199A"/>
    <w:rsid w:val="007E2D57"/>
    <w:rsid w:val="007E3AA5"/>
    <w:rsid w:val="007E6C4C"/>
    <w:rsid w:val="007F205B"/>
    <w:rsid w:val="007F7D69"/>
    <w:rsid w:val="008057ED"/>
    <w:rsid w:val="008115AB"/>
    <w:rsid w:val="008224AE"/>
    <w:rsid w:val="00824EA7"/>
    <w:rsid w:val="00831726"/>
    <w:rsid w:val="00831F89"/>
    <w:rsid w:val="00842A96"/>
    <w:rsid w:val="008635C4"/>
    <w:rsid w:val="00884F4A"/>
    <w:rsid w:val="008B31BD"/>
    <w:rsid w:val="008B7C81"/>
    <w:rsid w:val="008C36F6"/>
    <w:rsid w:val="008C523D"/>
    <w:rsid w:val="008C7BCF"/>
    <w:rsid w:val="008E22D9"/>
    <w:rsid w:val="008E7EAB"/>
    <w:rsid w:val="008F17FD"/>
    <w:rsid w:val="008F3B3C"/>
    <w:rsid w:val="009167EE"/>
    <w:rsid w:val="00916E26"/>
    <w:rsid w:val="009270FD"/>
    <w:rsid w:val="00944592"/>
    <w:rsid w:val="00961323"/>
    <w:rsid w:val="00973E73"/>
    <w:rsid w:val="0098183C"/>
    <w:rsid w:val="0098326E"/>
    <w:rsid w:val="009963AC"/>
    <w:rsid w:val="009C60BA"/>
    <w:rsid w:val="009D04F7"/>
    <w:rsid w:val="009D0547"/>
    <w:rsid w:val="009D515C"/>
    <w:rsid w:val="009F199A"/>
    <w:rsid w:val="00A079BE"/>
    <w:rsid w:val="00A23485"/>
    <w:rsid w:val="00A23B5B"/>
    <w:rsid w:val="00A32846"/>
    <w:rsid w:val="00A36893"/>
    <w:rsid w:val="00A429BC"/>
    <w:rsid w:val="00A461D6"/>
    <w:rsid w:val="00A655E9"/>
    <w:rsid w:val="00A73F71"/>
    <w:rsid w:val="00A909E5"/>
    <w:rsid w:val="00A920C3"/>
    <w:rsid w:val="00A93C86"/>
    <w:rsid w:val="00AA2AB3"/>
    <w:rsid w:val="00AA4F20"/>
    <w:rsid w:val="00AA5C41"/>
    <w:rsid w:val="00AC368B"/>
    <w:rsid w:val="00AC4926"/>
    <w:rsid w:val="00AD230C"/>
    <w:rsid w:val="00AD28AA"/>
    <w:rsid w:val="00AF1412"/>
    <w:rsid w:val="00AF2C96"/>
    <w:rsid w:val="00AF5A1B"/>
    <w:rsid w:val="00B143D4"/>
    <w:rsid w:val="00B176DB"/>
    <w:rsid w:val="00B200E5"/>
    <w:rsid w:val="00B313DA"/>
    <w:rsid w:val="00B4195B"/>
    <w:rsid w:val="00B41B63"/>
    <w:rsid w:val="00B52094"/>
    <w:rsid w:val="00B60C64"/>
    <w:rsid w:val="00B63F8E"/>
    <w:rsid w:val="00B679CF"/>
    <w:rsid w:val="00B95631"/>
    <w:rsid w:val="00BA6A9C"/>
    <w:rsid w:val="00BB4944"/>
    <w:rsid w:val="00BC697C"/>
    <w:rsid w:val="00BD0D44"/>
    <w:rsid w:val="00BE2C14"/>
    <w:rsid w:val="00BE3AAE"/>
    <w:rsid w:val="00BE4185"/>
    <w:rsid w:val="00C053A0"/>
    <w:rsid w:val="00C05416"/>
    <w:rsid w:val="00C14379"/>
    <w:rsid w:val="00C26DB7"/>
    <w:rsid w:val="00C40932"/>
    <w:rsid w:val="00C50C46"/>
    <w:rsid w:val="00C52D02"/>
    <w:rsid w:val="00C53371"/>
    <w:rsid w:val="00C60A10"/>
    <w:rsid w:val="00C64A0F"/>
    <w:rsid w:val="00C674A9"/>
    <w:rsid w:val="00C71512"/>
    <w:rsid w:val="00C73ECB"/>
    <w:rsid w:val="00CA0C57"/>
    <w:rsid w:val="00CA0F6D"/>
    <w:rsid w:val="00CC16E0"/>
    <w:rsid w:val="00CD328F"/>
    <w:rsid w:val="00CD546D"/>
    <w:rsid w:val="00CE7482"/>
    <w:rsid w:val="00D049DE"/>
    <w:rsid w:val="00D10FFD"/>
    <w:rsid w:val="00D138B3"/>
    <w:rsid w:val="00D15504"/>
    <w:rsid w:val="00D175E6"/>
    <w:rsid w:val="00D17CC7"/>
    <w:rsid w:val="00D17E5E"/>
    <w:rsid w:val="00D200F4"/>
    <w:rsid w:val="00D43595"/>
    <w:rsid w:val="00D4431B"/>
    <w:rsid w:val="00D57485"/>
    <w:rsid w:val="00D627EA"/>
    <w:rsid w:val="00D674E0"/>
    <w:rsid w:val="00D67EBB"/>
    <w:rsid w:val="00D83EC6"/>
    <w:rsid w:val="00D84AD6"/>
    <w:rsid w:val="00D84C84"/>
    <w:rsid w:val="00DA04D9"/>
    <w:rsid w:val="00DA7543"/>
    <w:rsid w:val="00DB2A7B"/>
    <w:rsid w:val="00DC5693"/>
    <w:rsid w:val="00DC6A5A"/>
    <w:rsid w:val="00DC711F"/>
    <w:rsid w:val="00DD4985"/>
    <w:rsid w:val="00DE5BE7"/>
    <w:rsid w:val="00DE7A7A"/>
    <w:rsid w:val="00E00CFA"/>
    <w:rsid w:val="00E02E7F"/>
    <w:rsid w:val="00E15D6C"/>
    <w:rsid w:val="00E277F3"/>
    <w:rsid w:val="00E4168D"/>
    <w:rsid w:val="00E420CF"/>
    <w:rsid w:val="00E560EE"/>
    <w:rsid w:val="00E57CA4"/>
    <w:rsid w:val="00E6387C"/>
    <w:rsid w:val="00EA357C"/>
    <w:rsid w:val="00EA689F"/>
    <w:rsid w:val="00EA6994"/>
    <w:rsid w:val="00EA7BA1"/>
    <w:rsid w:val="00EA7E10"/>
    <w:rsid w:val="00EB5792"/>
    <w:rsid w:val="00EC1A8B"/>
    <w:rsid w:val="00EC381E"/>
    <w:rsid w:val="00EE3F9B"/>
    <w:rsid w:val="00EE4C2F"/>
    <w:rsid w:val="00EF6B42"/>
    <w:rsid w:val="00F038BC"/>
    <w:rsid w:val="00F059E9"/>
    <w:rsid w:val="00F21D98"/>
    <w:rsid w:val="00F3475E"/>
    <w:rsid w:val="00F35643"/>
    <w:rsid w:val="00F562FA"/>
    <w:rsid w:val="00F56389"/>
    <w:rsid w:val="00F61BB5"/>
    <w:rsid w:val="00F64037"/>
    <w:rsid w:val="00F720F5"/>
    <w:rsid w:val="00F849FE"/>
    <w:rsid w:val="00F90EFA"/>
    <w:rsid w:val="00FA26A5"/>
    <w:rsid w:val="00FA51CC"/>
    <w:rsid w:val="00FB282E"/>
    <w:rsid w:val="00FC003C"/>
    <w:rsid w:val="00FC20F6"/>
    <w:rsid w:val="00FC5890"/>
    <w:rsid w:val="00FD29DC"/>
    <w:rsid w:val="00FD373D"/>
    <w:rsid w:val="00FD5EC6"/>
    <w:rsid w:val="00FE5AA9"/>
    <w:rsid w:val="00FF0D22"/>
    <w:rsid w:val="00FF65BC"/>
  </w:rsids>
  <m:mathPr>
    <m:mathFont m:val="Cambria Math"/>
    <m:brkBin m:val="before"/>
    <m:brkBinSub m:val="--"/>
    <m:smallFrac m:val="0"/>
    <m:dispDef/>
    <m:lMargin m:val="0"/>
    <m:rMargin m:val="0"/>
    <m:defJc m:val="centerGroup"/>
    <m:wrapIndent m:val="1440"/>
    <m:intLim m:val="subSup"/>
    <m:naryLim m:val="undOvr"/>
  </m:mathPr>
  <w:themeFontLang w:val="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6FF16"/>
  <w15:chartTrackingRefBased/>
  <w15:docId w15:val="{A34D24E0-96EA-4058-9A94-33AE47BDF93C}"/>
  <w:updateField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pPrDefault>
      <w:pPr>
        <w:spacing w:after="160" w:line="278" w:lineRule="auto"/>
      </w:pPr>
    </w:pPrDefault>
    <w:rPrDefault>
      <w:rPr>
        <w:rFonts w:asciiTheme="minorHAnsi" w:hAnsiTheme="minorHAnsi" w:cstheme="minorBidi" w:eastAsiaTheme="minorHAnsi"/>
        <w:kern w:val="2"/>
        <w:sz w:val="24"/>
        <w:szCs w:val="24"/>
        <w14:ligatures w14:val="standardContextual"/>
        <w:lang w:val="lv"/>
      </w:rPr>
    </w:r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5B"/>
    <w:pPr>
      <w:spacing w:line="259" w:lineRule="auto"/>
    </w:pPr>
    <w:rPr>
      <w:kern w:val="0"/>
      <w:sz w:val="22"/>
      <w:szCs w:val="22"/>
      <w14:ligatures w14:val="none"/>
    </w:rPr>
  </w:style>
  <w:style w:type="paragraph" w:styleId="Heading1">
    <w:name w:val="heading 1"/>
    <w:basedOn w:val="Normal"/>
    <w:next w:val="Normal"/>
    <w:link w:val="Heading1Char"/>
    <w:uiPriority w:val="9"/>
    <w:qFormat/>
    <w:rsid w:val="007F205B"/>
    <w:pPr>
      <w:keepNext/>
      <w:keepLines/>
      <w:spacing w:before="360" w:after="80"/>
      <w:outlineLvl w:val="0"/>
    </w:pPr>
    <w:rPr>
      <w:rFonts w:asciiTheme="majorHAnsi" w:hAnsiTheme="majorHAnsi" w:cstheme="majorBidi" w:eastAsiaTheme="majorEastAsia"/>
      <w:color w:val="0F4761" w:themeColor="accent1" w:themeShade="BF"/>
      <w:sz w:val="40"/>
      <w:szCs w:val="40"/>
    </w:rPr>
  </w:style>
  <w:style w:type="paragraph" w:styleId="Heading2">
    <w:name w:val="heading 2"/>
    <w:basedOn w:val="Normal"/>
    <w:next w:val="Normal"/>
    <w:link w:val="Heading2Char"/>
    <w:uiPriority w:val="9"/>
    <w:unhideWhenUsed/>
    <w:qFormat/>
    <w:rsid w:val="007F205B"/>
    <w:pPr>
      <w:keepNext/>
      <w:keepLines/>
      <w:spacing w:before="160" w:after="80"/>
      <w:outlineLvl w:val="1"/>
    </w:pPr>
    <w:rPr>
      <w:rFonts w:asciiTheme="majorHAnsi" w:hAnsiTheme="majorHAnsi" w:cstheme="majorBidi" w:eastAsiaTheme="majorEastAsia"/>
      <w:color w:val="0F4761" w:themeColor="accent1" w:themeShade="BF"/>
      <w:sz w:val="32"/>
      <w:szCs w:val="32"/>
    </w:rPr>
  </w:style>
  <w:style w:type="paragraph" w:styleId="Heading3">
    <w:name w:val="heading 3"/>
    <w:basedOn w:val="Normal"/>
    <w:next w:val="Normal"/>
    <w:link w:val="Heading3Char"/>
    <w:uiPriority w:val="9"/>
    <w:semiHidden/>
    <w:unhideWhenUsed/>
    <w:qFormat/>
    <w:rsid w:val="007F205B"/>
    <w:pPr>
      <w:keepNext/>
      <w:keepLines/>
      <w:spacing w:before="160" w:after="80"/>
      <w:outlineLvl w:val="2"/>
    </w:pPr>
    <w:rPr>
      <w:rFonts w:cstheme="majorBidi"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7F205B"/>
    <w:pPr>
      <w:keepNext/>
      <w:keepLines/>
      <w:spacing w:before="80" w:after="40"/>
      <w:outlineLvl w:val="3"/>
    </w:pPr>
    <w:rPr>
      <w:rFonts w:cstheme="majorBidi"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7F205B"/>
    <w:pPr>
      <w:keepNext/>
      <w:keepLines/>
      <w:spacing w:before="80" w:after="40"/>
      <w:outlineLvl w:val="4"/>
    </w:pPr>
    <w:rPr>
      <w:rFonts w:cstheme="majorBidi" w:eastAsiaTheme="majorEastAsia"/>
      <w:color w:val="0F4761" w:themeColor="accent1" w:themeShade="BF"/>
    </w:rPr>
  </w:style>
  <w:style w:type="paragraph" w:styleId="Heading6">
    <w:name w:val="heading 6"/>
    <w:basedOn w:val="Normal"/>
    <w:next w:val="Normal"/>
    <w:link w:val="Heading6Char"/>
    <w:uiPriority w:val="9"/>
    <w:semiHidden/>
    <w:unhideWhenUsed/>
    <w:qFormat/>
    <w:rsid w:val="007F205B"/>
    <w:pPr>
      <w:keepNext/>
      <w:keepLines/>
      <w:spacing w:before="40" w:after="0"/>
      <w:outlineLvl w:val="5"/>
    </w:pPr>
    <w:rPr>
      <w:rFonts w:cstheme="majorBidi"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7F205B"/>
    <w:pPr>
      <w:keepNext/>
      <w:keepLines/>
      <w:spacing w:before="40" w:after="0"/>
      <w:outlineLvl w:val="6"/>
    </w:pPr>
    <w:rPr>
      <w:rFonts w:cstheme="majorBidi" w:eastAsiaTheme="majorEastAsia"/>
      <w:color w:val="595959" w:themeColor="text1" w:themeTint="A6"/>
    </w:rPr>
  </w:style>
  <w:style w:type="paragraph" w:styleId="Heading8">
    <w:name w:val="heading 8"/>
    <w:basedOn w:val="Normal"/>
    <w:next w:val="Normal"/>
    <w:link w:val="Heading8Char"/>
    <w:uiPriority w:val="9"/>
    <w:semiHidden/>
    <w:unhideWhenUsed/>
    <w:qFormat/>
    <w:rsid w:val="007F205B"/>
    <w:pPr>
      <w:keepNext/>
      <w:keepLines/>
      <w:spacing w:after="0"/>
      <w:outlineLvl w:val="7"/>
    </w:pPr>
    <w:rPr>
      <w:rFonts w:cstheme="majorBidi"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7F205B"/>
    <w:pPr>
      <w:keepNext/>
      <w:keepLines/>
      <w:spacing w:after="0"/>
      <w:outlineLvl w:val="8"/>
    </w:pPr>
    <w:rPr>
      <w:rFonts w:cstheme="majorBidi"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05B"/>
    <w:rPr>
      <w:rFonts w:asciiTheme="majorHAnsi" w:hAnsiTheme="majorHAnsi" w:cstheme="majorBidi" w:eastAsiaTheme="majorEastAsia"/>
      <w:color w:val="0F4761" w:themeColor="accent1" w:themeShade="BF"/>
      <w:sz w:val="40"/>
      <w:szCs w:val="40"/>
    </w:rPr>
  </w:style>
  <w:style w:type="character" w:customStyle="1" w:styleId="Heading2Char">
    <w:name w:val="Heading 2 Char"/>
    <w:basedOn w:val="DefaultParagraphFont"/>
    <w:link w:val="Heading2"/>
    <w:uiPriority w:val="9"/>
    <w:rsid w:val="007F205B"/>
    <w:rPr>
      <w:rFonts w:asciiTheme="majorHAnsi" w:hAnsiTheme="majorHAnsi" w:cstheme="majorBidi" w:eastAsiaTheme="majorEastAsia"/>
      <w:color w:val="0F4761" w:themeColor="accent1" w:themeShade="BF"/>
      <w:sz w:val="32"/>
      <w:szCs w:val="32"/>
    </w:rPr>
  </w:style>
  <w:style w:type="character" w:customStyle="1" w:styleId="Heading3Char">
    <w:name w:val="Heading 3 Char"/>
    <w:basedOn w:val="DefaultParagraphFont"/>
    <w:link w:val="Heading3"/>
    <w:uiPriority w:val="9"/>
    <w:semiHidden/>
    <w:rsid w:val="007F205B"/>
    <w:rPr>
      <w:rFonts w:cstheme="majorBidi" w:eastAsiaTheme="majorEastAsia"/>
      <w:color w:val="0F4761" w:themeColor="accent1" w:themeShade="BF"/>
      <w:sz w:val="28"/>
      <w:szCs w:val="28"/>
    </w:rPr>
  </w:style>
  <w:style w:type="character" w:customStyle="1" w:styleId="Heading4Char">
    <w:name w:val="Heading 4 Char"/>
    <w:basedOn w:val="DefaultParagraphFont"/>
    <w:link w:val="Heading4"/>
    <w:uiPriority w:val="9"/>
    <w:semiHidden/>
    <w:rsid w:val="007F205B"/>
    <w:rPr>
      <w:rFonts w:cstheme="majorBidi" w:eastAsiaTheme="majorEastAsia"/>
      <w:i/>
      <w:iCs/>
      <w:color w:val="0F4761" w:themeColor="accent1" w:themeShade="BF"/>
    </w:rPr>
  </w:style>
  <w:style w:type="character" w:customStyle="1" w:styleId="Heading5Char">
    <w:name w:val="Heading 5 Char"/>
    <w:basedOn w:val="DefaultParagraphFont"/>
    <w:link w:val="Heading5"/>
    <w:uiPriority w:val="9"/>
    <w:semiHidden/>
    <w:rsid w:val="007F205B"/>
    <w:rPr>
      <w:rFonts w:cstheme="majorBidi" w:eastAsiaTheme="majorEastAsia"/>
      <w:color w:val="0F4761" w:themeColor="accent1" w:themeShade="BF"/>
    </w:rPr>
  </w:style>
  <w:style w:type="character" w:customStyle="1" w:styleId="Heading6Char">
    <w:name w:val="Heading 6 Char"/>
    <w:basedOn w:val="DefaultParagraphFont"/>
    <w:link w:val="Heading6"/>
    <w:uiPriority w:val="9"/>
    <w:semiHidden/>
    <w:rsid w:val="007F205B"/>
    <w:rPr>
      <w:rFonts w:cstheme="majorBidi" w:eastAsiaTheme="majorEastAsia"/>
      <w:i/>
      <w:iCs/>
      <w:color w:val="595959" w:themeColor="text1" w:themeTint="A6"/>
    </w:rPr>
  </w:style>
  <w:style w:type="character" w:customStyle="1" w:styleId="Heading7Char">
    <w:name w:val="Heading 7 Char"/>
    <w:basedOn w:val="DefaultParagraphFont"/>
    <w:link w:val="Heading7"/>
    <w:uiPriority w:val="9"/>
    <w:semiHidden/>
    <w:rsid w:val="007F205B"/>
    <w:rPr>
      <w:rFonts w:cstheme="majorBidi" w:eastAsiaTheme="majorEastAsia"/>
      <w:color w:val="595959" w:themeColor="text1" w:themeTint="A6"/>
    </w:rPr>
  </w:style>
  <w:style w:type="character" w:customStyle="1" w:styleId="Heading8Char">
    <w:name w:val="Heading 8 Char"/>
    <w:basedOn w:val="DefaultParagraphFont"/>
    <w:link w:val="Heading8"/>
    <w:uiPriority w:val="9"/>
    <w:semiHidden/>
    <w:rsid w:val="007F205B"/>
    <w:rPr>
      <w:rFonts w:cstheme="majorBidi" w:eastAsiaTheme="majorEastAsia"/>
      <w:i/>
      <w:iCs/>
      <w:color w:val="272727" w:themeColor="text1" w:themeTint="D8"/>
    </w:rPr>
  </w:style>
  <w:style w:type="character" w:customStyle="1" w:styleId="Heading9Char">
    <w:name w:val="Heading 9 Char"/>
    <w:basedOn w:val="DefaultParagraphFont"/>
    <w:link w:val="Heading9"/>
    <w:uiPriority w:val="9"/>
    <w:semiHidden/>
    <w:rsid w:val="007F205B"/>
    <w:rPr>
      <w:rFonts w:cstheme="majorBidi" w:eastAsiaTheme="majorEastAsia"/>
      <w:color w:val="272727" w:themeColor="text1" w:themeTint="D8"/>
    </w:rPr>
  </w:style>
  <w:style w:type="paragraph" w:styleId="Title">
    <w:name w:val="Title"/>
    <w:basedOn w:val="Normal"/>
    <w:next w:val="Normal"/>
    <w:link w:val="TitleChar"/>
    <w:uiPriority w:val="10"/>
    <w:qFormat/>
    <w:rsid w:val="007F205B"/>
    <w:pPr>
      <w:spacing w:after="80" w:line="240" w:lineRule="auto"/>
      <w:contextualSpacing/>
    </w:pPr>
    <w:rPr>
      <w:rFonts w:asciiTheme="majorHAnsi" w:hAnsiTheme="majorHAnsi" w:cstheme="majorBidi" w:eastAsiaTheme="majorEastAsia"/>
      <w:kern w:val="28"/>
      <w:sz w:val="56"/>
      <w:szCs w:val="56"/>
    </w:rPr>
  </w:style>
  <w:style w:type="character" w:customStyle="1" w:styleId="TitleChar">
    <w:name w:val="Title Char"/>
    <w:basedOn w:val="DefaultParagraphFont"/>
    <w:link w:val="Title"/>
    <w:uiPriority w:val="10"/>
    <w:rsid w:val="007F205B"/>
    <w:rPr>
      <w:rFonts w:asciiTheme="majorHAnsi" w:hAnsiTheme="majorHAnsi" w:cstheme="majorBidi" w:eastAsiaTheme="majorEastAsia"/>
      <w:kern w:val="28"/>
      <w:sz w:val="56"/>
      <w:szCs w:val="56"/>
    </w:rPr>
  </w:style>
  <w:style w:type="paragraph" w:styleId="Subtitle">
    <w:name w:val="Subtitle"/>
    <w:basedOn w:val="Normal"/>
    <w:next w:val="Normal"/>
    <w:link w:val="SubtitleChar"/>
    <w:uiPriority w:val="11"/>
    <w:qFormat/>
    <w:rsid w:val="007F205B"/>
    <w:pPr>
      <w:numPr>
        <w:ilvl w:val="1"/>
      </w:numPr>
    </w:pPr>
    <w:rPr>
      <w:rFonts w:cstheme="majorBidi" w:eastAsiaTheme="majorEastAsia"/>
      <w:color w:val="595959" w:themeColor="text1" w:themeTint="A6"/>
      <w:sz w:val="28"/>
      <w:szCs w:val="28"/>
    </w:rPr>
  </w:style>
  <w:style w:type="character" w:customStyle="1" w:styleId="SubtitleChar">
    <w:name w:val="Subtitle Char"/>
    <w:basedOn w:val="DefaultParagraphFont"/>
    <w:link w:val="Subtitle"/>
    <w:uiPriority w:val="11"/>
    <w:rsid w:val="007F205B"/>
    <w:rPr>
      <w:rFonts w:cstheme="majorBidi" w:eastAsiaTheme="majorEastAsia"/>
      <w:color w:val="595959" w:themeColor="text1" w:themeTint="A6"/>
      <w:sz w:val="28"/>
      <w:szCs w:val="28"/>
    </w:rPr>
  </w:style>
  <w:style w:type="paragraph" w:styleId="Quote">
    <w:name w:val="Quote"/>
    <w:basedOn w:val="Normal"/>
    <w:next w:val="Normal"/>
    <w:link w:val="QuoteChar"/>
    <w:uiPriority w:val="29"/>
    <w:qFormat/>
    <w:rsid w:val="007F205B"/>
    <w:pPr>
      <w:spacing w:before="160"/>
      <w:jc w:val="center"/>
    </w:pPr>
    <w:rPr>
      <w:i/>
      <w:iCs/>
      <w:color w:val="404040" w:themeColor="text1" w:themeTint="BF"/>
    </w:rPr>
  </w:style>
  <w:style w:type="character" w:customStyle="1" w:styleId="QuoteChar">
    <w:name w:val="Quote Char"/>
    <w:basedOn w:val="DefaultParagraphFont"/>
    <w:link w:val="Quote"/>
    <w:uiPriority w:val="29"/>
    <w:rsid w:val="007F205B"/>
    <w:rPr>
      <w:i/>
      <w:iCs/>
      <w:color w:val="404040" w:themeColor="text1" w:themeTint="BF"/>
    </w:rPr>
  </w:style>
  <w:style w:type="paragraph" w:styleId="ListParagraph">
    <w:name w:val="List Paragraph"/>
    <w:basedOn w:val="Normal"/>
    <w:uiPriority w:val="34"/>
    <w:qFormat/>
    <w:rsid w:val="007F205B"/>
    <w:pPr>
      <w:ind w:left="720"/>
      <w:contextualSpacing/>
    </w:pPr>
  </w:style>
  <w:style w:type="character" w:styleId="IntenseEmphasis">
    <w:name w:val="Intense Emphasis"/>
    <w:basedOn w:val="DefaultParagraphFont"/>
    <w:uiPriority w:val="21"/>
    <w:qFormat/>
    <w:rsid w:val="007F205B"/>
    <w:rPr>
      <w:i/>
      <w:iCs/>
      <w:color w:val="0F4761" w:themeColor="accent1" w:themeShade="BF"/>
    </w:rPr>
  </w:style>
  <w:style w:type="paragraph" w:styleId="IntenseQuote">
    <w:name w:val="Intense Quote"/>
    <w:basedOn w:val="Normal"/>
    <w:next w:val="Normal"/>
    <w:link w:val="IntenseQuoteChar"/>
    <w:uiPriority w:val="30"/>
    <w:qFormat/>
    <w:rsid w:val="007F20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05B"/>
    <w:rPr>
      <w:i/>
      <w:iCs/>
      <w:color w:val="0F4761" w:themeColor="accent1" w:themeShade="BF"/>
    </w:rPr>
  </w:style>
  <w:style w:type="character" w:styleId="IntenseReference">
    <w:name w:val="Intense Reference"/>
    <w:basedOn w:val="DefaultParagraphFont"/>
    <w:uiPriority w:val="32"/>
    <w:qFormat/>
    <w:rsid w:val="007F205B"/>
    <w:rPr>
      <w:b/>
      <w:bCs/>
      <w:smallCaps/>
      <w:color w:val="0F4761" w:themeColor="accent1" w:themeShade="BF"/>
    </w:rPr>
  </w:style>
  <w:style w:type="table" w:styleId="TableGrid">
    <w:name w:val="Table Grid"/>
    <w:basedOn w:val="TableNormal"/>
    <w:uiPriority w:val="39"/>
    <w:rsid w:val="007F205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F20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205B"/>
    <w:rPr>
      <w:kern w:val="0"/>
      <w:sz w:val="20"/>
      <w:szCs w:val="20"/>
      <w14:ligatures w14:val="none"/>
    </w:rPr>
  </w:style>
  <w:style w:type="character" w:styleId="FootnoteReference">
    <w:name w:val="footnote reference"/>
    <w:basedOn w:val="DefaultParagraphFont"/>
    <w:uiPriority w:val="99"/>
    <w:semiHidden/>
    <w:unhideWhenUsed/>
    <w:rsid w:val="007F205B"/>
    <w:rPr>
      <w:vertAlign w:val="superscript"/>
    </w:rPr>
  </w:style>
  <w:style w:type="paragraph" w:styleId="Header">
    <w:name w:val="header"/>
    <w:basedOn w:val="Normal"/>
    <w:link w:val="HeaderChar"/>
    <w:uiPriority w:val="99"/>
    <w:unhideWhenUsed/>
    <w:rsid w:val="007F20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05B"/>
    <w:rPr>
      <w:kern w:val="0"/>
      <w:sz w:val="22"/>
      <w:szCs w:val="22"/>
      <w14:ligatures w14:val="none"/>
    </w:rPr>
  </w:style>
  <w:style w:type="paragraph" w:styleId="Footer">
    <w:name w:val="footer"/>
    <w:basedOn w:val="Normal"/>
    <w:link w:val="FooterChar"/>
    <w:uiPriority w:val="99"/>
    <w:unhideWhenUsed/>
    <w:rsid w:val="007F20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05B"/>
    <w:rPr>
      <w:kern w:val="0"/>
      <w:sz w:val="22"/>
      <w:szCs w:val="22"/>
      <w14:ligatures w14:val="none"/>
    </w:rPr>
  </w:style>
  <w:style w:type="paragraph" w:styleId="BodyText">
    <w:name w:val="Body Text"/>
    <w:basedOn w:val="Normal"/>
    <w:link w:val="BodyTextChar"/>
    <w:uiPriority w:val="1"/>
    <w:qFormat/>
    <w:rsid w:val="007F205B"/>
    <w:pPr>
      <w:widowControl w:val="0"/>
      <w:autoSpaceDE w:val="0"/>
      <w:autoSpaceDN w:val="0"/>
      <w:spacing w:after="0" w:line="240" w:lineRule="auto"/>
      <w:jc w:val="both"/>
    </w:pPr>
    <w:rPr>
      <w:rFonts w:ascii="Times New Roman" w:hAnsi="Times New Roman" w:cs="Times New Roman" w:eastAsia="Times New Roman"/>
      <w:sz w:val="24"/>
      <w:szCs w:val="20"/>
    </w:rPr>
  </w:style>
  <w:style w:type="character" w:customStyle="1" w:styleId="BodyTextChar">
    <w:name w:val="Body Text Char"/>
    <w:basedOn w:val="DefaultParagraphFont"/>
    <w:link w:val="BodyText"/>
    <w:uiPriority w:val="1"/>
    <w:rsid w:val="007F205B"/>
    <w:rPr>
      <w:rFonts w:ascii="Times New Roman" w:hAnsi="Times New Roman" w:cs="Times New Roman" w:eastAsia="Times New Roman"/>
      <w:kern w:val="0"/>
      <w:szCs w:val="20"/>
      <w14:ligatures w14:val="none"/>
    </w:rPr>
  </w:style>
  <w:style w:type="paragraph" w:customStyle="1" w:styleId="P68B1DB1-Title1">
    <w:name w:val="P68B1DB1-Title1"/>
    <w:basedOn w:val="Title"/>
    <w:rsid w:val="007F205B"/>
    <w:pPr>
      <w:widowControl w:val="0"/>
      <w:autoSpaceDE w:val="0"/>
      <w:autoSpaceDN w:val="0"/>
      <w:spacing w:before="59" w:after="0"/>
      <w:ind w:left="139"/>
      <w:contextualSpacing w:val="0"/>
      <w:jc w:val="center"/>
    </w:pPr>
    <w:rPr>
      <w:rFonts w:ascii="Times New Roman" w:hAnsi="Times New Roman" w:cs="Times New Roman" w:eastAsia="Times New Roman"/>
      <w:b/>
      <w:kern w:val="0"/>
      <w:sz w:val="32"/>
      <w:szCs w:val="20"/>
      <w:u w:val="single" w:color="000000"/>
    </w:rPr>
  </w:style>
  <w:style w:type="paragraph" w:customStyle="1" w:styleId="P68B1DB1-Normal3">
    <w:name w:val="P68B1DB1-Normal3"/>
    <w:basedOn w:val="Normal"/>
    <w:rsid w:val="007F205B"/>
    <w:pPr>
      <w:widowControl w:val="0"/>
      <w:autoSpaceDE w:val="0"/>
      <w:autoSpaceDN w:val="0"/>
      <w:spacing w:after="0" w:line="240" w:lineRule="auto"/>
    </w:pPr>
    <w:rPr>
      <w:rFonts w:ascii="Times New Roman" w:hAnsi="Times New Roman" w:cs="Times New Roman" w:eastAsia="Times New Roman"/>
      <w:b/>
      <w:smallCaps/>
      <w:sz w:val="24"/>
      <w:szCs w:val="20"/>
    </w:rPr>
  </w:style>
  <w:style w:type="paragraph" w:customStyle="1" w:styleId="P68B1DB1-BodyText4">
    <w:name w:val="P68B1DB1-BodyText4"/>
    <w:basedOn w:val="BodyText"/>
    <w:rsid w:val="007F205B"/>
    <w:rPr>
      <w:sz w:val="20"/>
    </w:rPr>
  </w:style>
  <w:style w:type="character" w:styleId="Hyperlink">
    <w:name w:val="Hyperlink"/>
    <w:basedOn w:val="DefaultParagraphFont"/>
    <w:uiPriority w:val="99"/>
    <w:unhideWhenUsed/>
    <w:rsid w:val="008E22D9"/>
    <w:rPr>
      <w:color w:val="467886" w:themeColor="hyperlink"/>
      <w:u w:val="single"/>
    </w:rPr>
  </w:style>
  <w:style w:type="paragraph" w:customStyle="1" w:styleId="P68B1DB1-ListParagraph2">
    <w:name w:val="P68B1DB1-ListParagraph2"/>
    <w:basedOn w:val="ListParagraph"/>
    <w:rsid w:val="004E15FB"/>
    <w:pPr>
      <w:widowControl w:val="0"/>
      <w:autoSpaceDE w:val="0"/>
      <w:autoSpaceDN w:val="0"/>
      <w:spacing w:after="0" w:line="240" w:lineRule="auto"/>
      <w:ind w:left="396" w:right="111" w:hanging="142"/>
      <w:contextualSpacing w:val="0"/>
      <w:jc w:val="both"/>
    </w:pPr>
    <w:rPr>
      <w:rFonts w:ascii="Times New Roman" w:hAnsi="Times New Roman" w:cs="Times New Roman" w:eastAsia="Times New Roman"/>
      <w:sz w:val="24"/>
      <w:szCs w:val="20"/>
    </w:rPr>
  </w:style>
  <w:style w:type="paragraph" w:customStyle="1" w:styleId="P68B1DB1-Heading15">
    <w:name w:val="P68B1DB1-Heading15"/>
    <w:basedOn w:val="Heading1"/>
    <w:rsid w:val="00AA4F20"/>
    <w:pPr>
      <w:keepNext w:val="0"/>
      <w:keepLines w:val="0"/>
      <w:widowControl w:val="0"/>
      <w:autoSpaceDE w:val="0"/>
      <w:autoSpaceDN w:val="0"/>
      <w:spacing w:before="0" w:after="0" w:line="240" w:lineRule="auto"/>
      <w:ind w:left="446"/>
    </w:pPr>
    <w:rPr>
      <w:rFonts w:ascii="Times New Roman" w:hAnsi="Times New Roman" w:cs="Times New Roman" w:eastAsia="Times New Roman"/>
      <w:b/>
      <w:color w:val="auto"/>
      <w:sz w:val="24"/>
      <w:szCs w:val="20"/>
      <w:u w:val="single"/>
    </w:rPr>
  </w:style>
  <w:style w:type="character" w:styleId="CommentReference">
    <w:name w:val="annotation reference"/>
    <w:basedOn w:val="DefaultParagraphFont"/>
    <w:uiPriority w:val="99"/>
    <w:semiHidden/>
    <w:unhideWhenUsed/>
    <w:rsid w:val="00AC368B"/>
    <w:rPr>
      <w:sz w:val="16"/>
      <w:szCs w:val="16"/>
    </w:rPr>
  </w:style>
  <w:style w:type="paragraph" w:styleId="CommentText">
    <w:name w:val="annotation text"/>
    <w:basedOn w:val="Normal"/>
    <w:link w:val="CommentTextChar"/>
    <w:uiPriority w:val="99"/>
    <w:unhideWhenUsed/>
    <w:rsid w:val="00AC368B"/>
    <w:pPr>
      <w:spacing w:line="240" w:lineRule="auto"/>
    </w:pPr>
    <w:rPr>
      <w:sz w:val="20"/>
      <w:szCs w:val="20"/>
    </w:rPr>
  </w:style>
  <w:style w:type="character" w:customStyle="1" w:styleId="CommentTextChar">
    <w:name w:val="Comment Text Char"/>
    <w:basedOn w:val="DefaultParagraphFont"/>
    <w:link w:val="CommentText"/>
    <w:uiPriority w:val="99"/>
    <w:rsid w:val="00AC368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C368B"/>
    <w:rPr>
      <w:b/>
      <w:bCs/>
    </w:rPr>
  </w:style>
  <w:style w:type="character" w:customStyle="1" w:styleId="CommentSubjectChar">
    <w:name w:val="Comment Subject Char"/>
    <w:basedOn w:val="CommentTextChar"/>
    <w:link w:val="CommentSubject"/>
    <w:uiPriority w:val="99"/>
    <w:semiHidden/>
    <w:rsid w:val="00AC368B"/>
    <w:rPr>
      <w:b/>
      <w:bCs/>
      <w:kern w:val="0"/>
      <w:sz w:val="20"/>
      <w:szCs w:val="20"/>
      <w14:ligatures w14:val="none"/>
    </w:rPr>
  </w:style>
  <w:style w:type="character" w:styleId="UnresolvedMention">
    <w:name w:val="Unresolved Mention"/>
    <w:basedOn w:val="DefaultParagraphFont"/>
    <w:uiPriority w:val="99"/>
    <w:semiHidden/>
    <w:unhideWhenUsed/>
    <w:rsid w:val="00D4431B"/>
    <w:rPr>
      <w:color w:val="605E5C"/>
      <w:shd w:val="clear" w:color="auto" w:fill="E1DFDD"/>
    </w:rPr>
  </w:style>
  <w:style w:type="character" w:styleId="FollowedHyperlink">
    <w:name w:val="FollowedHyperlink"/>
    <w:basedOn w:val="DefaultParagraphFont"/>
    <w:uiPriority w:val="99"/>
    <w:semiHidden/>
    <w:unhideWhenUsed/>
    <w:rsid w:val="00973E73"/>
    <w:rPr>
      <w:color w:val="96607D" w:themeColor="followedHyperlink"/>
      <w:u w:val="single"/>
    </w:rPr>
  </w:style>
  <w:style w:type="paragraph" w:styleId="Revision">
    <w:name w:val="Revision"/>
    <w:hidden/>
    <w:uiPriority w:val="99"/>
    <w:semiHidden/>
    <w:rsid w:val="008F17FD"/>
    <w:pPr>
      <w:spacing w:after="0" w:line="240" w:lineRule="auto"/>
    </w:pPr>
    <w:rPr>
      <w:kern w:val="0"/>
      <w:sz w:val="22"/>
      <w:szCs w:val="22"/>
      <w14:ligatures w14:val="none"/>
    </w:rPr>
  </w:style>
  <w:style w:type="paragraph" w:customStyle="1" w:styleId="P68B1DB1-BodyText1">
    <w:name w:val="P68B1DB1-BodyText1"/>
    <w:basedOn w:val="BodyText"/>
    <w:rPr>
      <w:sz w:val="20"/>
      <w:u w:val="single"/>
    </w:rPr>
  </w:style>
  <w:style w:type="paragraph" w:customStyle="1" w:styleId="P68B1DB1-BodyText2">
    <w:name w:val="P68B1DB1-BodyText2"/>
    <w:basedOn w:val="BodyText"/>
    <w:rPr>
      <w:i/>
      <w:sz w:val="16"/>
      <w:szCs w:val="16"/>
    </w:rPr>
  </w:style>
  <w:style w:type="paragraph" w:customStyle="1" w:styleId="P68B1DB1-Normal4">
    <w:name w:val="P68B1DB1-Normal4"/>
    <w:basedOn w:val="Normal"/>
    <w:rPr>
      <w:sz w:val="20"/>
    </w:rPr>
  </w:style>
  <w:style w:type="paragraph" w:customStyle="1" w:styleId="P68B1DB1-Normal5">
    <w:name w:val="P68B1DB1-Normal5"/>
    <w:basedOn w:val="Normal"/>
    <w:rPr>
      <w:rFonts w:ascii="Times New Roman" w:hAnsi="Times New Roman" w:cs="Times New Roman"/>
      <w:b/>
      <w:sz w:val="24"/>
      <w:szCs w:val="24"/>
      <w:u w:val="single"/>
    </w:rPr>
  </w:style>
  <w:style w:type="paragraph" w:customStyle="1" w:styleId="P68B1DB1-Normal6">
    <w:name w:val="P68B1DB1-Normal6"/>
    <w:basedOn w:val="Normal"/>
    <w:rPr>
      <w:rFonts w:ascii="Times New Roman" w:hAnsi="Times New Roman" w:cs="Times New Roman"/>
      <w:b/>
      <w:sz w:val="24"/>
      <w:szCs w:val="24"/>
    </w:rPr>
  </w:style>
  <w:style w:type="paragraph" w:customStyle="1" w:styleId="P68B1DB1-Normal7">
    <w:name w:val="P68B1DB1-Normal7"/>
    <w:basedOn w:val="Normal"/>
    <w:rPr>
      <w:rFonts w:ascii="Times New Roman" w:hAnsi="Times New Roman" w:cs="Times New Roman"/>
      <w:sz w:val="24"/>
      <w:szCs w:val="24"/>
    </w:rPr>
  </w:style>
  <w:style w:type="paragraph" w:customStyle="1" w:styleId="P68B1DB1-Normal8">
    <w:name w:val="P68B1DB1-Normal8"/>
    <w:basedOn w:val="Normal"/>
    <w:rPr>
      <w:rFonts w:ascii="Times New Roman" w:hAnsi="Times New Roman" w:cs="Times New Roman" w:eastAsia="Times New Roman"/>
      <w:sz w:val="24"/>
      <w:szCs w:val="24"/>
    </w:rPr>
  </w:style>
  <w:style w:type="paragraph" w:customStyle="1" w:styleId="P68B1DB1-P68B1DB1-Normal39">
    <w:name w:val="P68B1DB1-P68B1DB1-Normal39"/>
    <w:basedOn w:val="P68B1DB1-Normal3"/>
    <w:rPr>
      <w:sz w:val="28"/>
      <w:szCs w:val="22"/>
    </w:rPr>
  </w:style>
  <w:style w:type="paragraph" w:customStyle="1" w:styleId="P68B1DB1-BodyText10">
    <w:name w:val="P68B1DB1-BodyText10"/>
    <w:basedOn w:val="BodyText"/>
    <w:rPr>
      <w:b/>
    </w:rPr>
  </w:style>
  <w:style w:type="paragraph" w:customStyle="1" w:styleId="P68B1DB1-BodyText11">
    <w:name w:val="P68B1DB1-BodyText11"/>
    <w:basedOn w:val="BodyText"/>
    <w:rPr>
      <w:i/>
    </w:rPr>
  </w:style>
  <w:style w:type="paragraph" w:customStyle="1" w:styleId="P68B1DB1-Normal12">
    <w:name w:val="P68B1DB1-Normal12"/>
    <w:basedOn w:val="Normal"/>
    <w:rPr>
      <w:rFonts w:ascii="Times New Roman" w:hAnsi="Times New Roman" w:cs="Times New Roman"/>
      <w:i/>
      <w:sz w:val="24"/>
      <w:szCs w:val="24"/>
    </w:rPr>
  </w:style>
  <w:style w:type="paragraph" w:customStyle="1" w:styleId="P68B1DB1-Normal13">
    <w:name w:val="P68B1DB1-Normal13"/>
    <w:basedOn w:val="Normal"/>
    <w:rPr>
      <w:rFonts w:ascii="Times New Roman" w:hAnsi="Times New Roman" w:cs="Times New Roman" w:eastAsia="Times New Roman"/>
      <w:b/>
      <w:i/>
      <w:szCs w:val="20"/>
    </w:rPr>
  </w:style>
  <w:style w:type="paragraph" w:customStyle="1" w:styleId="P68B1DB1-Normal14">
    <w:name w:val="P68B1DB1-Normal14"/>
    <w:basedOn w:val="Normal"/>
    <w:rPr>
      <w:rFonts w:ascii="Times New Roman" w:hAnsi="Times New Roman" w:cs="Times New Roman" w:eastAsia="Times New Roman"/>
      <w:szCs w:val="20"/>
    </w:rPr>
  </w:style>
  <w:style w:type="paragraph" w:customStyle="1" w:styleId="P68B1DB1-Normal15">
    <w:name w:val="P68B1DB1-Normal15"/>
    <w:basedOn w:val="Normal"/>
    <w:rPr>
      <w:rFonts w:ascii="Times New Roman" w:hAnsi="Times New Roman" w:cs="Times New Roman" w:eastAsia="Times New Roman"/>
      <w:i/>
      <w:sz w:val="20"/>
      <w:szCs w:val="16"/>
    </w:rPr>
  </w:style>
  <w:style w:type="paragraph" w:customStyle="1" w:styleId="P68B1DB1-Normal16">
    <w:name w:val="P68B1DB1-Normal16"/>
    <w:basedOn w:val="Normal"/>
    <w:rPr>
      <w:rFonts w:ascii="Times New Roman" w:hAnsi="Times New Roman" w:cs="Times New Roman" w:eastAsia="Times New Roman"/>
      <w:sz w:val="20"/>
      <w:szCs w:val="16"/>
    </w:rPr>
  </w:style>
  <w:style w:type="paragraph" w:customStyle="1" w:styleId="P68B1DB1-Normal17">
    <w:name w:val="P68B1DB1-Normal17"/>
    <w:basedOn w:val="Normal"/>
    <w:rPr>
      <w:rFonts w:ascii="Times New Roman" w:hAnsi="Times New Roman" w:cs="Times New Roman" w:eastAsia="Times New Roman"/>
    </w:rPr>
  </w:style>
  <w:style w:type="paragraph" w:customStyle="1" w:styleId="P68B1DB1-Normal18">
    <w:name w:val="P68B1DB1-Normal18"/>
    <w:basedOn w:val="Normal"/>
    <w:rPr>
      <w:rFonts w:ascii="Times New Roman" w:hAnsi="Times New Roman" w:cs="Times New Roman" w:eastAsia="Times New Roman"/>
      <w:i/>
      <w:sz w:val="20"/>
      <w:szCs w:val="20"/>
    </w:rPr>
  </w:style>
  <w:style w:type="paragraph" w:customStyle="1" w:styleId="P68B1DB1-BodyText19">
    <w:name w:val="P68B1DB1-BodyText19"/>
    <w:basedOn w:val="BodyText"/>
    <w:rPr>
      <w:i/>
      <w:sz w:val="20"/>
    </w:rPr>
  </w:style>
  <w:style w:type="paragraph" w:customStyle="1" w:styleId="P68B1DB1-Normal20">
    <w:name w:val="P68B1DB1-Normal20"/>
    <w:basedOn w:val="Normal"/>
    <w:rPr>
      <w:rFonts w:ascii="Times New Roman" w:hAnsi="Times New Roman" w:cs="Times New Roman"/>
      <w:i/>
      <w:sz w:val="20"/>
      <w:szCs w:val="20"/>
    </w:rPr>
  </w:style>
  <w:style w:type="paragraph" w:customStyle="1" w:styleId="P68B1DB1-ListParagraph21">
    <w:name w:val="P68B1DB1-ListParagraph21"/>
    <w:basedOn w:val="ListParagraph"/>
    <w:rPr>
      <w:rFonts w:ascii="Times New Roman" w:hAnsi="Times New Roman" w:cs="Times New Roman"/>
      <w:i/>
      <w:sz w:val="24"/>
      <w:szCs w:val="24"/>
    </w:rPr>
  </w:style>
  <w:style w:type="paragraph" w:customStyle="1" w:styleId="P68B1DB1-BodyText22">
    <w:name w:val="P68B1DB1-BodyText22"/>
    <w:basedOn w:val="BodyText"/>
    <w:rPr>
      <w:sz w:val="22"/>
      <w:szCs w:val="18"/>
    </w:rPr>
  </w:style>
  <w:style w:type="paragraph" w:customStyle="1" w:styleId="P68B1DB1-BodyText23">
    <w:name w:val="P68B1DB1-BodyText23"/>
    <w:basedOn w:val="BodyText"/>
    <w:rPr>
      <w:i/>
      <w:szCs w:val="24"/>
    </w:rPr>
  </w:style>
  <w:style w:type="paragraph" w:customStyle="1" w:styleId="P68B1DB1-BodyText24">
    <w:name w:val="P68B1DB1-BodyText24"/>
    <w:basedOn w:val="BodyText"/>
    <w:rPr>
      <w:szCs w:val="24"/>
    </w:rPr>
  </w:style>
  <w:style w:type="paragraph" w:customStyle="1" w:styleId="P68B1DB1-BodyText25">
    <w:name w:val="P68B1DB1-BodyText25"/>
    <w:basedOn w:val="BodyText"/>
    <w:rPr>
      <w:i/>
      <w:sz w:val="20"/>
      <w:szCs w:val="16"/>
    </w:rPr>
  </w:style>
  <w:style w:type="paragraph" w:customStyle="1" w:styleId="P68B1DB1-P68B1DB1-ListParagraph226">
    <w:name w:val="P68B1DB1-P68B1DB1-ListParagraph226"/>
    <w:basedOn w:val="P68B1DB1-ListParagraph2"/>
    <w:rPr>
      <w:i/>
      <w:sz w:val="20"/>
      <w:szCs w:val="16"/>
    </w:rPr>
  </w:style>
  <w:style w:type="paragraph" w:customStyle="1" w:styleId="P68B1DB1-ListParagraph27">
    <w:name w:val="P68B1DB1-ListParagraph27"/>
    <w:basedOn w:val="ListParagraph"/>
    <w:rPr>
      <w:rFonts w:ascii="Times New Roman" w:hAnsi="Times New Roman" w:cs="Times New Roman" w:eastAsia="Times New Roman"/>
      <w:b/>
      <w:sz w:val="20"/>
      <w:szCs w:val="16"/>
    </w:rPr>
  </w:style>
  <w:style w:type="paragraph" w:customStyle="1" w:styleId="P68B1DB1-Normal28">
    <w:name w:val="P68B1DB1-Normal28"/>
    <w:basedOn w:val="Normal"/>
    <w:rPr>
      <w:rFonts w:ascii="Times New Roman" w:hAnsi="Times New Roman" w:cs="Times New Roman" w:eastAsia="Times New Roman"/>
      <w:i/>
      <w:sz w:val="24"/>
      <w:szCs w:val="24"/>
    </w:rPr>
  </w:style>
  <w:style w:type="paragraph" w:customStyle="1" w:styleId="P68B1DB1-Normal29">
    <w:name w:val="P68B1DB1-Normal29"/>
    <w:basedOn w:val="Normal"/>
    <w:rPr>
      <w:rFonts w:ascii="Times New Roman" w:hAnsi="Times New Roman" w:cs="Times New Roman"/>
      <w:sz w:val="20"/>
      <w:szCs w:val="20"/>
    </w:rPr>
  </w:style>
  <w:style w:type="paragraph" w:customStyle="1" w:styleId="P68B1DB1-ListParagraph30">
    <w:name w:val="P68B1DB1-ListParagraph30"/>
    <w:basedOn w:val="ListParagraph"/>
    <w:rPr>
      <w:rFonts w:ascii="Times New Roman" w:hAnsi="Times New Roman" w:cs="Times New Roman"/>
      <w:b/>
      <w:sz w:val="24"/>
      <w:szCs w:val="24"/>
    </w:rPr>
  </w:style>
  <w:style w:type="paragraph" w:customStyle="1" w:styleId="P68B1DB1-Normal31">
    <w:name w:val="P68B1DB1-Normal31"/>
    <w:basedOn w:val="Normal"/>
    <w:rPr>
      <w:rFonts w:ascii="Times New Roman" w:hAnsi="Times New Roman" w:cs="Times New Roman"/>
      <w:i/>
      <w:sz w:val="20"/>
      <w:szCs w:val="16"/>
    </w:rPr>
  </w:style>
  <w:style w:type="paragraph" w:customStyle="1" w:styleId="P68B1DB1-Normal32">
    <w:name w:val="P68B1DB1-Normal32"/>
    <w:basedOn w:val="Normal"/>
    <w:rPr>
      <w:rFonts w:ascii="Times New Roman" w:hAnsi="Times New Roman" w:cs="Times New Roman" w:eastAsia="Times New Roman"/>
      <w:sz w:val="20"/>
      <w:szCs w:val="20"/>
    </w:rPr>
  </w:style>
  <w:style w:type="paragraph" w:customStyle="1" w:styleId="P68B1DB1-Normal33">
    <w:name w:val="P68B1DB1-Normal33"/>
    <w:basedOn w:val="Normal"/>
    <w:rPr>
      <w:sz w:val="20"/>
      <w:szCs w:val="16"/>
    </w:rPr>
  </w:style>
  <w:style w:type="paragraph" w:customStyle="1" w:styleId="P68B1DB1-BodyText34">
    <w:name w:val="P68B1DB1-BodyText34"/>
    <w:basedOn w:val="BodyText"/>
    <w:rPr>
      <w:b/>
      <w:sz w:val="28"/>
      <w:szCs w:val="22"/>
    </w:rPr>
  </w:style>
  <w:style w:type="paragraph" w:styleId="TOCHeading">
    <w:name w:val="TOC Heading"/>
    <w:basedOn w:val="Heading1"/>
    <w:next w:val="Normal"/>
    <w:uiPriority w:val="39"/>
    <w:unhideWhenUsed/>
    <w:qFormat/>
    <w:rsid w:val="00FF0D22"/>
    <w:pPr>
      <w:spacing w:before="240" w:after="0"/>
      <w:outlineLvl w:val="9"/>
    </w:pPr>
    <w:rPr>
      <w:sz w:val="32"/>
      <w:szCs w:val="32"/>
    </w:rPr>
  </w:style>
  <w:style w:type="paragraph" w:styleId="TOC2">
    <w:name w:val="toc 2"/>
    <w:basedOn w:val="Normal"/>
    <w:next w:val="Normal"/>
    <w:autoRedefine/>
    <w:uiPriority w:val="39"/>
    <w:unhideWhenUsed/>
    <w:rsid w:val="00FF0D22"/>
    <w:pPr>
      <w:spacing w:after="0"/>
      <w:ind w:left="220"/>
    </w:pPr>
    <w:rPr>
      <w:smallCaps/>
      <w:sz w:val="20"/>
      <w:szCs w:val="20"/>
    </w:rPr>
  </w:style>
  <w:style w:type="paragraph" w:styleId="TOC1">
    <w:name w:val="toc 1"/>
    <w:basedOn w:val="Normal"/>
    <w:next w:val="Normal"/>
    <w:autoRedefine/>
    <w:uiPriority w:val="39"/>
    <w:unhideWhenUsed/>
    <w:rsid w:val="00FF0D22"/>
    <w:pPr>
      <w:spacing w:before="120" w:after="120"/>
    </w:pPr>
    <w:rPr>
      <w:b/>
      <w:bCs/>
      <w:caps/>
      <w:sz w:val="20"/>
      <w:szCs w:val="20"/>
    </w:rPr>
  </w:style>
  <w:style w:type="paragraph" w:styleId="TOC3">
    <w:name w:val="toc 3"/>
    <w:basedOn w:val="Normal"/>
    <w:next w:val="Normal"/>
    <w:autoRedefine/>
    <w:uiPriority w:val="39"/>
    <w:unhideWhenUsed/>
    <w:rsid w:val="00FF0D22"/>
    <w:pPr>
      <w:spacing w:after="0"/>
      <w:ind w:left="440"/>
    </w:pPr>
    <w:rPr>
      <w:i/>
      <w:iCs/>
      <w:sz w:val="20"/>
      <w:szCs w:val="20"/>
    </w:rPr>
  </w:style>
  <w:style w:type="paragraph" w:styleId="TOC4">
    <w:name w:val="toc 4"/>
    <w:basedOn w:val="Normal"/>
    <w:next w:val="Normal"/>
    <w:autoRedefine/>
    <w:uiPriority w:val="39"/>
    <w:unhideWhenUsed/>
    <w:rsid w:val="00FF0D22"/>
    <w:pPr>
      <w:spacing w:after="0"/>
      <w:ind w:left="660"/>
    </w:pPr>
    <w:rPr>
      <w:sz w:val="18"/>
      <w:szCs w:val="18"/>
    </w:rPr>
  </w:style>
  <w:style w:type="paragraph" w:styleId="TOC5">
    <w:name w:val="toc 5"/>
    <w:basedOn w:val="Normal"/>
    <w:next w:val="Normal"/>
    <w:autoRedefine/>
    <w:uiPriority w:val="39"/>
    <w:unhideWhenUsed/>
    <w:rsid w:val="00FF0D22"/>
    <w:pPr>
      <w:spacing w:after="0"/>
      <w:ind w:left="880"/>
    </w:pPr>
    <w:rPr>
      <w:sz w:val="18"/>
      <w:szCs w:val="18"/>
    </w:rPr>
  </w:style>
  <w:style w:type="paragraph" w:styleId="TOC6">
    <w:name w:val="toc 6"/>
    <w:basedOn w:val="Normal"/>
    <w:next w:val="Normal"/>
    <w:autoRedefine/>
    <w:uiPriority w:val="39"/>
    <w:unhideWhenUsed/>
    <w:rsid w:val="00FF0D22"/>
    <w:pPr>
      <w:spacing w:after="0"/>
      <w:ind w:left="1100"/>
    </w:pPr>
    <w:rPr>
      <w:sz w:val="18"/>
      <w:szCs w:val="18"/>
    </w:rPr>
  </w:style>
  <w:style w:type="paragraph" w:styleId="TOC7">
    <w:name w:val="toc 7"/>
    <w:basedOn w:val="Normal"/>
    <w:next w:val="Normal"/>
    <w:autoRedefine/>
    <w:uiPriority w:val="39"/>
    <w:unhideWhenUsed/>
    <w:rsid w:val="00FF0D22"/>
    <w:pPr>
      <w:spacing w:after="0"/>
      <w:ind w:left="1320"/>
    </w:pPr>
    <w:rPr>
      <w:sz w:val="18"/>
      <w:szCs w:val="18"/>
    </w:rPr>
  </w:style>
  <w:style w:type="paragraph" w:styleId="TOC8">
    <w:name w:val="toc 8"/>
    <w:basedOn w:val="Normal"/>
    <w:next w:val="Normal"/>
    <w:autoRedefine/>
    <w:uiPriority w:val="39"/>
    <w:unhideWhenUsed/>
    <w:rsid w:val="00FF0D22"/>
    <w:pPr>
      <w:spacing w:after="0"/>
      <w:ind w:left="1540"/>
    </w:pPr>
    <w:rPr>
      <w:sz w:val="18"/>
      <w:szCs w:val="18"/>
    </w:rPr>
  </w:style>
  <w:style w:type="paragraph" w:styleId="TOC9">
    <w:name w:val="toc 9"/>
    <w:basedOn w:val="Normal"/>
    <w:next w:val="Normal"/>
    <w:autoRedefine/>
    <w:uiPriority w:val="39"/>
    <w:unhideWhenUsed/>
    <w:rsid w:val="00FF0D22"/>
    <w:pPr>
      <w:spacing w:after="0"/>
      <w:ind w:left="1760"/>
    </w:pPr>
    <w:rPr>
      <w:sz w:val="18"/>
      <w:szCs w:val="18"/>
    </w:rPr>
  </w:style>
  <w:style w:type="paragraph" w:styleId="P68B1DB1-P68B1DB1-Title11">
    <w:name w:val="P68B1DB1-P68B1DB1-Title11"/>
    <w:basedOn w:val="P68B1DB1-Title1"/>
    <w:rPr>
      <w:i/>
      <w:color w:val="FF0000"/>
      <w:sz w:val="24"/>
      <w:szCs w:val="24"/>
      <w:u w:val="none"/>
    </w:rPr>
  </w:style>
  <w:style w:type="paragraph" w:styleId="P68B1DB1-TOC12">
    <w:name w:val="P68B1DB1-TOC12"/>
    <w:basedOn w:val="TOC1"/>
    <w:rPr>
      <w:rFonts w:ascii="Times New Roman" w:hAnsi="Times New Roman" w:cs="Times New Roman"/>
    </w:rPr>
  </w:style>
  <w:style w:type="paragraph" w:styleId="P68B1DB1-Heading13">
    <w:name w:val="P68B1DB1-Heading13"/>
    <w:basedOn w:val="Heading1"/>
    <w:rPr>
      <w:color w:val="auto"/>
    </w:rPr>
  </w:style>
  <w:style w:type="paragraph" w:styleId="P68B1DB1-Heading24">
    <w:name w:val="P68B1DB1-Heading24"/>
    <w:basedOn w:val="Heading2"/>
    <w:rPr>
      <w:color w:val="auto"/>
    </w:rPr>
  </w:style>
  <w:style w:type="paragraph" w:styleId="P68B1DB1-P68B1DB1-Normal135">
    <w:name w:val="P68B1DB1-P68B1DB1-Normal135"/>
    <w:basedOn w:val="P68B1DB1-Normal13"/>
    <w:rPr>
      <w:b w:val="0"/>
      <w:i w:val="0"/>
    </w:rPr>
  </w:style>
  <w:style w:type="paragraph" w:styleId="P68B1DB1-P68B1DB1-Normal146">
    <w:name w:val="P68B1DB1-P68B1DB1-Normal146"/>
    <w:basedOn w:val="P68B1DB1-Normal14"/>
    <w:rPr>
      <w:i/>
      <w:sz w:val="20"/>
    </w:rPr>
  </w:style>
  <w:style w:type="paragraph" w:styleId="P68B1DB1-P68B1DB1-Normal147">
    <w:name w:val="P68B1DB1-P68B1DB1-Normal147"/>
    <w:basedOn w:val="P68B1DB1-Normal14"/>
    <w:rPr>
      <w:i/>
      <w:sz w:val="20"/>
      <w:szCs w:val="18"/>
    </w:rPr>
  </w:style>
  <w:style w:type="paragraph" w:styleId="P68B1DB1-P68B1DB1-Normal168">
    <w:name w:val="P68B1DB1-P68B1DB1-Normal168"/>
    <w:basedOn w:val="P68B1DB1-Normal16"/>
    <w:rPr>
      <w:b/>
      <w:i/>
      <w:sz w:val="22"/>
      <w:szCs w:val="18"/>
    </w:rPr>
  </w:style>
  <w:style w:type="paragraph" w:styleId="P68B1DB1-P68B1DB1-Normal169">
    <w:name w:val="P68B1DB1-P68B1DB1-Normal169"/>
    <w:basedOn w:val="P68B1DB1-Normal16"/>
    <w:rPr>
      <w:b/>
      <w:i/>
      <w:sz w:val="24"/>
      <w:szCs w:val="20"/>
    </w:rPr>
  </w:style>
  <w:style w:type="paragraph" w:styleId="P68B1DB1-P68B1DB1-Normal1710">
    <w:name w:val="P68B1DB1-P68B1DB1-Normal1710"/>
    <w:basedOn w:val="P68B1DB1-Normal17"/>
    <w:rPr>
      <w:i/>
      <w:sz w:val="20"/>
      <w:szCs w:val="18"/>
    </w:rPr>
  </w:style>
  <w:style w:type="paragraph" w:styleId="P68B1DB1-Normal11">
    <w:name w:val="P68B1DB1-Normal11"/>
    <w:basedOn w:val="Normal"/>
    <w:rPr>
      <w:rFonts w:ascii="Times New Roman" w:hAnsi="Times New Roman" w:cs="Times New Roman" w:eastAsia="Times New Roman"/>
      <w:sz w:val="20"/>
      <w:szCs w:val="18"/>
    </w:rPr>
  </w:style>
  <w:style w:type="paragraph" w:styleId="P68B1DB1-Normal19">
    <w:name w:val="P68B1DB1-Normal19"/>
    <w:basedOn w:val="Normal"/>
    <w:rPr>
      <w:rFonts w:ascii="Times New Roman" w:hAnsi="Times New Roman" w:cs="Times New Roman" w:eastAsia="Times New Roman"/>
      <w:i/>
      <w:sz w:val="20"/>
      <w:szCs w:val="18"/>
    </w:rPr>
  </w:style>
  <w:style w:type="paragraph" w:styleId="P68B1DB1-P68B1DB1-Normal1820">
    <w:name w:val="P68B1DB1-P68B1DB1-Normal1820"/>
    <w:basedOn w:val="P68B1DB1-Normal18"/>
    <w:rPr>
      <w:sz w:val="18"/>
      <w:szCs w:val="18"/>
    </w:rPr>
  </w:style>
  <w:style w:type="paragraph" w:styleId="P68B1DB1-P68B1DB1-Normal1421">
    <w:name w:val="P68B1DB1-P68B1DB1-Normal1421"/>
    <w:basedOn w:val="P68B1DB1-Normal14"/>
    <w:rPr>
      <w:i/>
    </w:rPr>
  </w:style>
  <w:style w:type="paragraph" w:styleId="P68B1DB1-P68B1DB1-Normal1622">
    <w:name w:val="P68B1DB1-P68B1DB1-Normal1622"/>
    <w:basedOn w:val="P68B1DB1-Normal16"/>
    <w:rPr>
      <w:b/>
      <w:i/>
      <w:sz w:val="22"/>
      <w:szCs w:val="22"/>
    </w:rPr>
  </w:style>
  <w:style w:type="paragraph" w:styleId="P68B1DB1-P68B1DB1-Normal1623">
    <w:name w:val="P68B1DB1-P68B1DB1-Normal1623"/>
    <w:basedOn w:val="P68B1DB1-Normal16"/>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2432">
      <w:bodyDiv w:val="1"/>
      <w:marLeft w:val="0"/>
      <w:marRight w:val="0"/>
      <w:marTop w:val="0"/>
      <w:marBottom w:val="0"/>
      <w:divBdr>
        <w:top w:val="none" w:sz="0" w:space="0" w:color="auto"/>
        <w:left w:val="none" w:sz="0" w:space="0" w:color="auto"/>
        <w:bottom w:val="none" w:sz="0" w:space="0" w:color="auto"/>
        <w:right w:val="none" w:sz="0" w:space="0" w:color="auto"/>
      </w:divBdr>
    </w:div>
    <w:div w:id="26762372">
      <w:bodyDiv w:val="1"/>
      <w:marLeft w:val="0"/>
      <w:marRight w:val="0"/>
      <w:marTop w:val="0"/>
      <w:marBottom w:val="0"/>
      <w:divBdr>
        <w:top w:val="none" w:sz="0" w:space="0" w:color="auto"/>
        <w:left w:val="none" w:sz="0" w:space="0" w:color="auto"/>
        <w:bottom w:val="none" w:sz="0" w:space="0" w:color="auto"/>
        <w:right w:val="none" w:sz="0" w:space="0" w:color="auto"/>
      </w:divBdr>
    </w:div>
    <w:div w:id="34356982">
      <w:bodyDiv w:val="1"/>
      <w:marLeft w:val="0"/>
      <w:marRight w:val="0"/>
      <w:marTop w:val="0"/>
      <w:marBottom w:val="0"/>
      <w:divBdr>
        <w:top w:val="none" w:sz="0" w:space="0" w:color="auto"/>
        <w:left w:val="none" w:sz="0" w:space="0" w:color="auto"/>
        <w:bottom w:val="none" w:sz="0" w:space="0" w:color="auto"/>
        <w:right w:val="none" w:sz="0" w:space="0" w:color="auto"/>
      </w:divBdr>
    </w:div>
    <w:div w:id="37046487">
      <w:bodyDiv w:val="1"/>
      <w:marLeft w:val="0"/>
      <w:marRight w:val="0"/>
      <w:marTop w:val="0"/>
      <w:marBottom w:val="0"/>
      <w:divBdr>
        <w:top w:val="none" w:sz="0" w:space="0" w:color="auto"/>
        <w:left w:val="none" w:sz="0" w:space="0" w:color="auto"/>
        <w:bottom w:val="none" w:sz="0" w:space="0" w:color="auto"/>
        <w:right w:val="none" w:sz="0" w:space="0" w:color="auto"/>
      </w:divBdr>
    </w:div>
    <w:div w:id="89932279">
      <w:bodyDiv w:val="1"/>
      <w:marLeft w:val="0"/>
      <w:marRight w:val="0"/>
      <w:marTop w:val="0"/>
      <w:marBottom w:val="0"/>
      <w:divBdr>
        <w:top w:val="none" w:sz="0" w:space="0" w:color="auto"/>
        <w:left w:val="none" w:sz="0" w:space="0" w:color="auto"/>
        <w:bottom w:val="none" w:sz="0" w:space="0" w:color="auto"/>
        <w:right w:val="none" w:sz="0" w:space="0" w:color="auto"/>
      </w:divBdr>
    </w:div>
    <w:div w:id="90786061">
      <w:bodyDiv w:val="1"/>
      <w:marLeft w:val="0"/>
      <w:marRight w:val="0"/>
      <w:marTop w:val="0"/>
      <w:marBottom w:val="0"/>
      <w:divBdr>
        <w:top w:val="none" w:sz="0" w:space="0" w:color="auto"/>
        <w:left w:val="none" w:sz="0" w:space="0" w:color="auto"/>
        <w:bottom w:val="none" w:sz="0" w:space="0" w:color="auto"/>
        <w:right w:val="none" w:sz="0" w:space="0" w:color="auto"/>
      </w:divBdr>
    </w:div>
    <w:div w:id="96026439">
      <w:bodyDiv w:val="1"/>
      <w:marLeft w:val="0"/>
      <w:marRight w:val="0"/>
      <w:marTop w:val="0"/>
      <w:marBottom w:val="0"/>
      <w:divBdr>
        <w:top w:val="none" w:sz="0" w:space="0" w:color="auto"/>
        <w:left w:val="none" w:sz="0" w:space="0" w:color="auto"/>
        <w:bottom w:val="none" w:sz="0" w:space="0" w:color="auto"/>
        <w:right w:val="none" w:sz="0" w:space="0" w:color="auto"/>
      </w:divBdr>
    </w:div>
    <w:div w:id="100228059">
      <w:bodyDiv w:val="1"/>
      <w:marLeft w:val="0"/>
      <w:marRight w:val="0"/>
      <w:marTop w:val="0"/>
      <w:marBottom w:val="0"/>
      <w:divBdr>
        <w:top w:val="none" w:sz="0" w:space="0" w:color="auto"/>
        <w:left w:val="none" w:sz="0" w:space="0" w:color="auto"/>
        <w:bottom w:val="none" w:sz="0" w:space="0" w:color="auto"/>
        <w:right w:val="none" w:sz="0" w:space="0" w:color="auto"/>
      </w:divBdr>
    </w:div>
    <w:div w:id="120274445">
      <w:bodyDiv w:val="1"/>
      <w:marLeft w:val="0"/>
      <w:marRight w:val="0"/>
      <w:marTop w:val="0"/>
      <w:marBottom w:val="0"/>
      <w:divBdr>
        <w:top w:val="none" w:sz="0" w:space="0" w:color="auto"/>
        <w:left w:val="none" w:sz="0" w:space="0" w:color="auto"/>
        <w:bottom w:val="none" w:sz="0" w:space="0" w:color="auto"/>
        <w:right w:val="none" w:sz="0" w:space="0" w:color="auto"/>
      </w:divBdr>
    </w:div>
    <w:div w:id="126512856">
      <w:bodyDiv w:val="1"/>
      <w:marLeft w:val="0"/>
      <w:marRight w:val="0"/>
      <w:marTop w:val="0"/>
      <w:marBottom w:val="0"/>
      <w:divBdr>
        <w:top w:val="none" w:sz="0" w:space="0" w:color="auto"/>
        <w:left w:val="none" w:sz="0" w:space="0" w:color="auto"/>
        <w:bottom w:val="none" w:sz="0" w:space="0" w:color="auto"/>
        <w:right w:val="none" w:sz="0" w:space="0" w:color="auto"/>
      </w:divBdr>
    </w:div>
    <w:div w:id="155148478">
      <w:bodyDiv w:val="1"/>
      <w:marLeft w:val="0"/>
      <w:marRight w:val="0"/>
      <w:marTop w:val="0"/>
      <w:marBottom w:val="0"/>
      <w:divBdr>
        <w:top w:val="none" w:sz="0" w:space="0" w:color="auto"/>
        <w:left w:val="none" w:sz="0" w:space="0" w:color="auto"/>
        <w:bottom w:val="none" w:sz="0" w:space="0" w:color="auto"/>
        <w:right w:val="none" w:sz="0" w:space="0" w:color="auto"/>
      </w:divBdr>
    </w:div>
    <w:div w:id="223029111">
      <w:bodyDiv w:val="1"/>
      <w:marLeft w:val="0"/>
      <w:marRight w:val="0"/>
      <w:marTop w:val="0"/>
      <w:marBottom w:val="0"/>
      <w:divBdr>
        <w:top w:val="none" w:sz="0" w:space="0" w:color="auto"/>
        <w:left w:val="none" w:sz="0" w:space="0" w:color="auto"/>
        <w:bottom w:val="none" w:sz="0" w:space="0" w:color="auto"/>
        <w:right w:val="none" w:sz="0" w:space="0" w:color="auto"/>
      </w:divBdr>
    </w:div>
    <w:div w:id="244265254">
      <w:bodyDiv w:val="1"/>
      <w:marLeft w:val="0"/>
      <w:marRight w:val="0"/>
      <w:marTop w:val="0"/>
      <w:marBottom w:val="0"/>
      <w:divBdr>
        <w:top w:val="none" w:sz="0" w:space="0" w:color="auto"/>
        <w:left w:val="none" w:sz="0" w:space="0" w:color="auto"/>
        <w:bottom w:val="none" w:sz="0" w:space="0" w:color="auto"/>
        <w:right w:val="none" w:sz="0" w:space="0" w:color="auto"/>
      </w:divBdr>
    </w:div>
    <w:div w:id="257255821">
      <w:bodyDiv w:val="1"/>
      <w:marLeft w:val="0"/>
      <w:marRight w:val="0"/>
      <w:marTop w:val="0"/>
      <w:marBottom w:val="0"/>
      <w:divBdr>
        <w:top w:val="none" w:sz="0" w:space="0" w:color="auto"/>
        <w:left w:val="none" w:sz="0" w:space="0" w:color="auto"/>
        <w:bottom w:val="none" w:sz="0" w:space="0" w:color="auto"/>
        <w:right w:val="none" w:sz="0" w:space="0" w:color="auto"/>
      </w:divBdr>
    </w:div>
    <w:div w:id="259609206">
      <w:bodyDiv w:val="1"/>
      <w:marLeft w:val="0"/>
      <w:marRight w:val="0"/>
      <w:marTop w:val="0"/>
      <w:marBottom w:val="0"/>
      <w:divBdr>
        <w:top w:val="none" w:sz="0" w:space="0" w:color="auto"/>
        <w:left w:val="none" w:sz="0" w:space="0" w:color="auto"/>
        <w:bottom w:val="none" w:sz="0" w:space="0" w:color="auto"/>
        <w:right w:val="none" w:sz="0" w:space="0" w:color="auto"/>
      </w:divBdr>
    </w:div>
    <w:div w:id="261766769">
      <w:bodyDiv w:val="1"/>
      <w:marLeft w:val="0"/>
      <w:marRight w:val="0"/>
      <w:marTop w:val="0"/>
      <w:marBottom w:val="0"/>
      <w:divBdr>
        <w:top w:val="none" w:sz="0" w:space="0" w:color="auto"/>
        <w:left w:val="none" w:sz="0" w:space="0" w:color="auto"/>
        <w:bottom w:val="none" w:sz="0" w:space="0" w:color="auto"/>
        <w:right w:val="none" w:sz="0" w:space="0" w:color="auto"/>
      </w:divBdr>
    </w:div>
    <w:div w:id="269317752">
      <w:bodyDiv w:val="1"/>
      <w:marLeft w:val="0"/>
      <w:marRight w:val="0"/>
      <w:marTop w:val="0"/>
      <w:marBottom w:val="0"/>
      <w:divBdr>
        <w:top w:val="none" w:sz="0" w:space="0" w:color="auto"/>
        <w:left w:val="none" w:sz="0" w:space="0" w:color="auto"/>
        <w:bottom w:val="none" w:sz="0" w:space="0" w:color="auto"/>
        <w:right w:val="none" w:sz="0" w:space="0" w:color="auto"/>
      </w:divBdr>
    </w:div>
    <w:div w:id="271399507">
      <w:bodyDiv w:val="1"/>
      <w:marLeft w:val="0"/>
      <w:marRight w:val="0"/>
      <w:marTop w:val="0"/>
      <w:marBottom w:val="0"/>
      <w:divBdr>
        <w:top w:val="none" w:sz="0" w:space="0" w:color="auto"/>
        <w:left w:val="none" w:sz="0" w:space="0" w:color="auto"/>
        <w:bottom w:val="none" w:sz="0" w:space="0" w:color="auto"/>
        <w:right w:val="none" w:sz="0" w:space="0" w:color="auto"/>
      </w:divBdr>
    </w:div>
    <w:div w:id="278880907">
      <w:bodyDiv w:val="1"/>
      <w:marLeft w:val="0"/>
      <w:marRight w:val="0"/>
      <w:marTop w:val="0"/>
      <w:marBottom w:val="0"/>
      <w:divBdr>
        <w:top w:val="none" w:sz="0" w:space="0" w:color="auto"/>
        <w:left w:val="none" w:sz="0" w:space="0" w:color="auto"/>
        <w:bottom w:val="none" w:sz="0" w:space="0" w:color="auto"/>
        <w:right w:val="none" w:sz="0" w:space="0" w:color="auto"/>
      </w:divBdr>
    </w:div>
    <w:div w:id="291714760">
      <w:bodyDiv w:val="1"/>
      <w:marLeft w:val="0"/>
      <w:marRight w:val="0"/>
      <w:marTop w:val="0"/>
      <w:marBottom w:val="0"/>
      <w:divBdr>
        <w:top w:val="none" w:sz="0" w:space="0" w:color="auto"/>
        <w:left w:val="none" w:sz="0" w:space="0" w:color="auto"/>
        <w:bottom w:val="none" w:sz="0" w:space="0" w:color="auto"/>
        <w:right w:val="none" w:sz="0" w:space="0" w:color="auto"/>
      </w:divBdr>
    </w:div>
    <w:div w:id="300774190">
      <w:bodyDiv w:val="1"/>
      <w:marLeft w:val="0"/>
      <w:marRight w:val="0"/>
      <w:marTop w:val="0"/>
      <w:marBottom w:val="0"/>
      <w:divBdr>
        <w:top w:val="none" w:sz="0" w:space="0" w:color="auto"/>
        <w:left w:val="none" w:sz="0" w:space="0" w:color="auto"/>
        <w:bottom w:val="none" w:sz="0" w:space="0" w:color="auto"/>
        <w:right w:val="none" w:sz="0" w:space="0" w:color="auto"/>
      </w:divBdr>
    </w:div>
    <w:div w:id="305622349">
      <w:bodyDiv w:val="1"/>
      <w:marLeft w:val="0"/>
      <w:marRight w:val="0"/>
      <w:marTop w:val="0"/>
      <w:marBottom w:val="0"/>
      <w:divBdr>
        <w:top w:val="none" w:sz="0" w:space="0" w:color="auto"/>
        <w:left w:val="none" w:sz="0" w:space="0" w:color="auto"/>
        <w:bottom w:val="none" w:sz="0" w:space="0" w:color="auto"/>
        <w:right w:val="none" w:sz="0" w:space="0" w:color="auto"/>
      </w:divBdr>
    </w:div>
    <w:div w:id="308022613">
      <w:bodyDiv w:val="1"/>
      <w:marLeft w:val="0"/>
      <w:marRight w:val="0"/>
      <w:marTop w:val="0"/>
      <w:marBottom w:val="0"/>
      <w:divBdr>
        <w:top w:val="none" w:sz="0" w:space="0" w:color="auto"/>
        <w:left w:val="none" w:sz="0" w:space="0" w:color="auto"/>
        <w:bottom w:val="none" w:sz="0" w:space="0" w:color="auto"/>
        <w:right w:val="none" w:sz="0" w:space="0" w:color="auto"/>
      </w:divBdr>
    </w:div>
    <w:div w:id="322703479">
      <w:bodyDiv w:val="1"/>
      <w:marLeft w:val="0"/>
      <w:marRight w:val="0"/>
      <w:marTop w:val="0"/>
      <w:marBottom w:val="0"/>
      <w:divBdr>
        <w:top w:val="none" w:sz="0" w:space="0" w:color="auto"/>
        <w:left w:val="none" w:sz="0" w:space="0" w:color="auto"/>
        <w:bottom w:val="none" w:sz="0" w:space="0" w:color="auto"/>
        <w:right w:val="none" w:sz="0" w:space="0" w:color="auto"/>
      </w:divBdr>
    </w:div>
    <w:div w:id="345834890">
      <w:bodyDiv w:val="1"/>
      <w:marLeft w:val="0"/>
      <w:marRight w:val="0"/>
      <w:marTop w:val="0"/>
      <w:marBottom w:val="0"/>
      <w:divBdr>
        <w:top w:val="none" w:sz="0" w:space="0" w:color="auto"/>
        <w:left w:val="none" w:sz="0" w:space="0" w:color="auto"/>
        <w:bottom w:val="none" w:sz="0" w:space="0" w:color="auto"/>
        <w:right w:val="none" w:sz="0" w:space="0" w:color="auto"/>
      </w:divBdr>
    </w:div>
    <w:div w:id="347604481">
      <w:bodyDiv w:val="1"/>
      <w:marLeft w:val="0"/>
      <w:marRight w:val="0"/>
      <w:marTop w:val="0"/>
      <w:marBottom w:val="0"/>
      <w:divBdr>
        <w:top w:val="none" w:sz="0" w:space="0" w:color="auto"/>
        <w:left w:val="none" w:sz="0" w:space="0" w:color="auto"/>
        <w:bottom w:val="none" w:sz="0" w:space="0" w:color="auto"/>
        <w:right w:val="none" w:sz="0" w:space="0" w:color="auto"/>
      </w:divBdr>
    </w:div>
    <w:div w:id="351994588">
      <w:bodyDiv w:val="1"/>
      <w:marLeft w:val="0"/>
      <w:marRight w:val="0"/>
      <w:marTop w:val="0"/>
      <w:marBottom w:val="0"/>
      <w:divBdr>
        <w:top w:val="none" w:sz="0" w:space="0" w:color="auto"/>
        <w:left w:val="none" w:sz="0" w:space="0" w:color="auto"/>
        <w:bottom w:val="none" w:sz="0" w:space="0" w:color="auto"/>
        <w:right w:val="none" w:sz="0" w:space="0" w:color="auto"/>
      </w:divBdr>
    </w:div>
    <w:div w:id="374358084">
      <w:bodyDiv w:val="1"/>
      <w:marLeft w:val="0"/>
      <w:marRight w:val="0"/>
      <w:marTop w:val="0"/>
      <w:marBottom w:val="0"/>
      <w:divBdr>
        <w:top w:val="none" w:sz="0" w:space="0" w:color="auto"/>
        <w:left w:val="none" w:sz="0" w:space="0" w:color="auto"/>
        <w:bottom w:val="none" w:sz="0" w:space="0" w:color="auto"/>
        <w:right w:val="none" w:sz="0" w:space="0" w:color="auto"/>
      </w:divBdr>
    </w:div>
    <w:div w:id="390075643">
      <w:bodyDiv w:val="1"/>
      <w:marLeft w:val="0"/>
      <w:marRight w:val="0"/>
      <w:marTop w:val="0"/>
      <w:marBottom w:val="0"/>
      <w:divBdr>
        <w:top w:val="none" w:sz="0" w:space="0" w:color="auto"/>
        <w:left w:val="none" w:sz="0" w:space="0" w:color="auto"/>
        <w:bottom w:val="none" w:sz="0" w:space="0" w:color="auto"/>
        <w:right w:val="none" w:sz="0" w:space="0" w:color="auto"/>
      </w:divBdr>
    </w:div>
    <w:div w:id="394163680">
      <w:bodyDiv w:val="1"/>
      <w:marLeft w:val="0"/>
      <w:marRight w:val="0"/>
      <w:marTop w:val="0"/>
      <w:marBottom w:val="0"/>
      <w:divBdr>
        <w:top w:val="none" w:sz="0" w:space="0" w:color="auto"/>
        <w:left w:val="none" w:sz="0" w:space="0" w:color="auto"/>
        <w:bottom w:val="none" w:sz="0" w:space="0" w:color="auto"/>
        <w:right w:val="none" w:sz="0" w:space="0" w:color="auto"/>
      </w:divBdr>
    </w:div>
    <w:div w:id="394285497">
      <w:bodyDiv w:val="1"/>
      <w:marLeft w:val="0"/>
      <w:marRight w:val="0"/>
      <w:marTop w:val="0"/>
      <w:marBottom w:val="0"/>
      <w:divBdr>
        <w:top w:val="none" w:sz="0" w:space="0" w:color="auto"/>
        <w:left w:val="none" w:sz="0" w:space="0" w:color="auto"/>
        <w:bottom w:val="none" w:sz="0" w:space="0" w:color="auto"/>
        <w:right w:val="none" w:sz="0" w:space="0" w:color="auto"/>
      </w:divBdr>
    </w:div>
    <w:div w:id="408159956">
      <w:bodyDiv w:val="1"/>
      <w:marLeft w:val="0"/>
      <w:marRight w:val="0"/>
      <w:marTop w:val="0"/>
      <w:marBottom w:val="0"/>
      <w:divBdr>
        <w:top w:val="none" w:sz="0" w:space="0" w:color="auto"/>
        <w:left w:val="none" w:sz="0" w:space="0" w:color="auto"/>
        <w:bottom w:val="none" w:sz="0" w:space="0" w:color="auto"/>
        <w:right w:val="none" w:sz="0" w:space="0" w:color="auto"/>
      </w:divBdr>
    </w:div>
    <w:div w:id="427428655">
      <w:bodyDiv w:val="1"/>
      <w:marLeft w:val="0"/>
      <w:marRight w:val="0"/>
      <w:marTop w:val="0"/>
      <w:marBottom w:val="0"/>
      <w:divBdr>
        <w:top w:val="none" w:sz="0" w:space="0" w:color="auto"/>
        <w:left w:val="none" w:sz="0" w:space="0" w:color="auto"/>
        <w:bottom w:val="none" w:sz="0" w:space="0" w:color="auto"/>
        <w:right w:val="none" w:sz="0" w:space="0" w:color="auto"/>
      </w:divBdr>
    </w:div>
    <w:div w:id="479661570">
      <w:bodyDiv w:val="1"/>
      <w:marLeft w:val="0"/>
      <w:marRight w:val="0"/>
      <w:marTop w:val="0"/>
      <w:marBottom w:val="0"/>
      <w:divBdr>
        <w:top w:val="none" w:sz="0" w:space="0" w:color="auto"/>
        <w:left w:val="none" w:sz="0" w:space="0" w:color="auto"/>
        <w:bottom w:val="none" w:sz="0" w:space="0" w:color="auto"/>
        <w:right w:val="none" w:sz="0" w:space="0" w:color="auto"/>
      </w:divBdr>
    </w:div>
    <w:div w:id="485588516">
      <w:bodyDiv w:val="1"/>
      <w:marLeft w:val="0"/>
      <w:marRight w:val="0"/>
      <w:marTop w:val="0"/>
      <w:marBottom w:val="0"/>
      <w:divBdr>
        <w:top w:val="none" w:sz="0" w:space="0" w:color="auto"/>
        <w:left w:val="none" w:sz="0" w:space="0" w:color="auto"/>
        <w:bottom w:val="none" w:sz="0" w:space="0" w:color="auto"/>
        <w:right w:val="none" w:sz="0" w:space="0" w:color="auto"/>
      </w:divBdr>
    </w:div>
    <w:div w:id="504324013">
      <w:bodyDiv w:val="1"/>
      <w:marLeft w:val="0"/>
      <w:marRight w:val="0"/>
      <w:marTop w:val="0"/>
      <w:marBottom w:val="0"/>
      <w:divBdr>
        <w:top w:val="none" w:sz="0" w:space="0" w:color="auto"/>
        <w:left w:val="none" w:sz="0" w:space="0" w:color="auto"/>
        <w:bottom w:val="none" w:sz="0" w:space="0" w:color="auto"/>
        <w:right w:val="none" w:sz="0" w:space="0" w:color="auto"/>
      </w:divBdr>
    </w:div>
    <w:div w:id="544369820">
      <w:bodyDiv w:val="1"/>
      <w:marLeft w:val="0"/>
      <w:marRight w:val="0"/>
      <w:marTop w:val="0"/>
      <w:marBottom w:val="0"/>
      <w:divBdr>
        <w:top w:val="none" w:sz="0" w:space="0" w:color="auto"/>
        <w:left w:val="none" w:sz="0" w:space="0" w:color="auto"/>
        <w:bottom w:val="none" w:sz="0" w:space="0" w:color="auto"/>
        <w:right w:val="none" w:sz="0" w:space="0" w:color="auto"/>
      </w:divBdr>
    </w:div>
    <w:div w:id="553933142">
      <w:bodyDiv w:val="1"/>
      <w:marLeft w:val="0"/>
      <w:marRight w:val="0"/>
      <w:marTop w:val="0"/>
      <w:marBottom w:val="0"/>
      <w:divBdr>
        <w:top w:val="none" w:sz="0" w:space="0" w:color="auto"/>
        <w:left w:val="none" w:sz="0" w:space="0" w:color="auto"/>
        <w:bottom w:val="none" w:sz="0" w:space="0" w:color="auto"/>
        <w:right w:val="none" w:sz="0" w:space="0" w:color="auto"/>
      </w:divBdr>
    </w:div>
    <w:div w:id="560671658">
      <w:bodyDiv w:val="1"/>
      <w:marLeft w:val="0"/>
      <w:marRight w:val="0"/>
      <w:marTop w:val="0"/>
      <w:marBottom w:val="0"/>
      <w:divBdr>
        <w:top w:val="none" w:sz="0" w:space="0" w:color="auto"/>
        <w:left w:val="none" w:sz="0" w:space="0" w:color="auto"/>
        <w:bottom w:val="none" w:sz="0" w:space="0" w:color="auto"/>
        <w:right w:val="none" w:sz="0" w:space="0" w:color="auto"/>
      </w:divBdr>
    </w:div>
    <w:div w:id="586159051">
      <w:bodyDiv w:val="1"/>
      <w:marLeft w:val="0"/>
      <w:marRight w:val="0"/>
      <w:marTop w:val="0"/>
      <w:marBottom w:val="0"/>
      <w:divBdr>
        <w:top w:val="none" w:sz="0" w:space="0" w:color="auto"/>
        <w:left w:val="none" w:sz="0" w:space="0" w:color="auto"/>
        <w:bottom w:val="none" w:sz="0" w:space="0" w:color="auto"/>
        <w:right w:val="none" w:sz="0" w:space="0" w:color="auto"/>
      </w:divBdr>
    </w:div>
    <w:div w:id="599073000">
      <w:bodyDiv w:val="1"/>
      <w:marLeft w:val="0"/>
      <w:marRight w:val="0"/>
      <w:marTop w:val="0"/>
      <w:marBottom w:val="0"/>
      <w:divBdr>
        <w:top w:val="none" w:sz="0" w:space="0" w:color="auto"/>
        <w:left w:val="none" w:sz="0" w:space="0" w:color="auto"/>
        <w:bottom w:val="none" w:sz="0" w:space="0" w:color="auto"/>
        <w:right w:val="none" w:sz="0" w:space="0" w:color="auto"/>
      </w:divBdr>
    </w:div>
    <w:div w:id="601182359">
      <w:bodyDiv w:val="1"/>
      <w:marLeft w:val="0"/>
      <w:marRight w:val="0"/>
      <w:marTop w:val="0"/>
      <w:marBottom w:val="0"/>
      <w:divBdr>
        <w:top w:val="none" w:sz="0" w:space="0" w:color="auto"/>
        <w:left w:val="none" w:sz="0" w:space="0" w:color="auto"/>
        <w:bottom w:val="none" w:sz="0" w:space="0" w:color="auto"/>
        <w:right w:val="none" w:sz="0" w:space="0" w:color="auto"/>
      </w:divBdr>
    </w:div>
    <w:div w:id="624970419">
      <w:bodyDiv w:val="1"/>
      <w:marLeft w:val="0"/>
      <w:marRight w:val="0"/>
      <w:marTop w:val="0"/>
      <w:marBottom w:val="0"/>
      <w:divBdr>
        <w:top w:val="none" w:sz="0" w:space="0" w:color="auto"/>
        <w:left w:val="none" w:sz="0" w:space="0" w:color="auto"/>
        <w:bottom w:val="none" w:sz="0" w:space="0" w:color="auto"/>
        <w:right w:val="none" w:sz="0" w:space="0" w:color="auto"/>
      </w:divBdr>
    </w:div>
    <w:div w:id="634532364">
      <w:bodyDiv w:val="1"/>
      <w:marLeft w:val="0"/>
      <w:marRight w:val="0"/>
      <w:marTop w:val="0"/>
      <w:marBottom w:val="0"/>
      <w:divBdr>
        <w:top w:val="none" w:sz="0" w:space="0" w:color="auto"/>
        <w:left w:val="none" w:sz="0" w:space="0" w:color="auto"/>
        <w:bottom w:val="none" w:sz="0" w:space="0" w:color="auto"/>
        <w:right w:val="none" w:sz="0" w:space="0" w:color="auto"/>
      </w:divBdr>
    </w:div>
    <w:div w:id="637103948">
      <w:bodyDiv w:val="1"/>
      <w:marLeft w:val="0"/>
      <w:marRight w:val="0"/>
      <w:marTop w:val="0"/>
      <w:marBottom w:val="0"/>
      <w:divBdr>
        <w:top w:val="none" w:sz="0" w:space="0" w:color="auto"/>
        <w:left w:val="none" w:sz="0" w:space="0" w:color="auto"/>
        <w:bottom w:val="none" w:sz="0" w:space="0" w:color="auto"/>
        <w:right w:val="none" w:sz="0" w:space="0" w:color="auto"/>
      </w:divBdr>
    </w:div>
    <w:div w:id="639308424">
      <w:bodyDiv w:val="1"/>
      <w:marLeft w:val="0"/>
      <w:marRight w:val="0"/>
      <w:marTop w:val="0"/>
      <w:marBottom w:val="0"/>
      <w:divBdr>
        <w:top w:val="none" w:sz="0" w:space="0" w:color="auto"/>
        <w:left w:val="none" w:sz="0" w:space="0" w:color="auto"/>
        <w:bottom w:val="none" w:sz="0" w:space="0" w:color="auto"/>
        <w:right w:val="none" w:sz="0" w:space="0" w:color="auto"/>
      </w:divBdr>
    </w:div>
    <w:div w:id="659652558">
      <w:bodyDiv w:val="1"/>
      <w:marLeft w:val="0"/>
      <w:marRight w:val="0"/>
      <w:marTop w:val="0"/>
      <w:marBottom w:val="0"/>
      <w:divBdr>
        <w:top w:val="none" w:sz="0" w:space="0" w:color="auto"/>
        <w:left w:val="none" w:sz="0" w:space="0" w:color="auto"/>
        <w:bottom w:val="none" w:sz="0" w:space="0" w:color="auto"/>
        <w:right w:val="none" w:sz="0" w:space="0" w:color="auto"/>
      </w:divBdr>
    </w:div>
    <w:div w:id="667051423">
      <w:bodyDiv w:val="1"/>
      <w:marLeft w:val="0"/>
      <w:marRight w:val="0"/>
      <w:marTop w:val="0"/>
      <w:marBottom w:val="0"/>
      <w:divBdr>
        <w:top w:val="none" w:sz="0" w:space="0" w:color="auto"/>
        <w:left w:val="none" w:sz="0" w:space="0" w:color="auto"/>
        <w:bottom w:val="none" w:sz="0" w:space="0" w:color="auto"/>
        <w:right w:val="none" w:sz="0" w:space="0" w:color="auto"/>
      </w:divBdr>
    </w:div>
    <w:div w:id="669254184">
      <w:bodyDiv w:val="1"/>
      <w:marLeft w:val="0"/>
      <w:marRight w:val="0"/>
      <w:marTop w:val="0"/>
      <w:marBottom w:val="0"/>
      <w:divBdr>
        <w:top w:val="none" w:sz="0" w:space="0" w:color="auto"/>
        <w:left w:val="none" w:sz="0" w:space="0" w:color="auto"/>
        <w:bottom w:val="none" w:sz="0" w:space="0" w:color="auto"/>
        <w:right w:val="none" w:sz="0" w:space="0" w:color="auto"/>
      </w:divBdr>
    </w:div>
    <w:div w:id="685715688">
      <w:bodyDiv w:val="1"/>
      <w:marLeft w:val="0"/>
      <w:marRight w:val="0"/>
      <w:marTop w:val="0"/>
      <w:marBottom w:val="0"/>
      <w:divBdr>
        <w:top w:val="none" w:sz="0" w:space="0" w:color="auto"/>
        <w:left w:val="none" w:sz="0" w:space="0" w:color="auto"/>
        <w:bottom w:val="none" w:sz="0" w:space="0" w:color="auto"/>
        <w:right w:val="none" w:sz="0" w:space="0" w:color="auto"/>
      </w:divBdr>
    </w:div>
    <w:div w:id="694426801">
      <w:bodyDiv w:val="1"/>
      <w:marLeft w:val="0"/>
      <w:marRight w:val="0"/>
      <w:marTop w:val="0"/>
      <w:marBottom w:val="0"/>
      <w:divBdr>
        <w:top w:val="none" w:sz="0" w:space="0" w:color="auto"/>
        <w:left w:val="none" w:sz="0" w:space="0" w:color="auto"/>
        <w:bottom w:val="none" w:sz="0" w:space="0" w:color="auto"/>
        <w:right w:val="none" w:sz="0" w:space="0" w:color="auto"/>
      </w:divBdr>
    </w:div>
    <w:div w:id="728385506">
      <w:bodyDiv w:val="1"/>
      <w:marLeft w:val="0"/>
      <w:marRight w:val="0"/>
      <w:marTop w:val="0"/>
      <w:marBottom w:val="0"/>
      <w:divBdr>
        <w:top w:val="none" w:sz="0" w:space="0" w:color="auto"/>
        <w:left w:val="none" w:sz="0" w:space="0" w:color="auto"/>
        <w:bottom w:val="none" w:sz="0" w:space="0" w:color="auto"/>
        <w:right w:val="none" w:sz="0" w:space="0" w:color="auto"/>
      </w:divBdr>
    </w:div>
    <w:div w:id="799618016">
      <w:bodyDiv w:val="1"/>
      <w:marLeft w:val="0"/>
      <w:marRight w:val="0"/>
      <w:marTop w:val="0"/>
      <w:marBottom w:val="0"/>
      <w:divBdr>
        <w:top w:val="none" w:sz="0" w:space="0" w:color="auto"/>
        <w:left w:val="none" w:sz="0" w:space="0" w:color="auto"/>
        <w:bottom w:val="none" w:sz="0" w:space="0" w:color="auto"/>
        <w:right w:val="none" w:sz="0" w:space="0" w:color="auto"/>
      </w:divBdr>
    </w:div>
    <w:div w:id="801389786">
      <w:bodyDiv w:val="1"/>
      <w:marLeft w:val="0"/>
      <w:marRight w:val="0"/>
      <w:marTop w:val="0"/>
      <w:marBottom w:val="0"/>
      <w:divBdr>
        <w:top w:val="none" w:sz="0" w:space="0" w:color="auto"/>
        <w:left w:val="none" w:sz="0" w:space="0" w:color="auto"/>
        <w:bottom w:val="none" w:sz="0" w:space="0" w:color="auto"/>
        <w:right w:val="none" w:sz="0" w:space="0" w:color="auto"/>
      </w:divBdr>
    </w:div>
    <w:div w:id="806317562">
      <w:bodyDiv w:val="1"/>
      <w:marLeft w:val="0"/>
      <w:marRight w:val="0"/>
      <w:marTop w:val="0"/>
      <w:marBottom w:val="0"/>
      <w:divBdr>
        <w:top w:val="none" w:sz="0" w:space="0" w:color="auto"/>
        <w:left w:val="none" w:sz="0" w:space="0" w:color="auto"/>
        <w:bottom w:val="none" w:sz="0" w:space="0" w:color="auto"/>
        <w:right w:val="none" w:sz="0" w:space="0" w:color="auto"/>
      </w:divBdr>
    </w:div>
    <w:div w:id="808864558">
      <w:bodyDiv w:val="1"/>
      <w:marLeft w:val="0"/>
      <w:marRight w:val="0"/>
      <w:marTop w:val="0"/>
      <w:marBottom w:val="0"/>
      <w:divBdr>
        <w:top w:val="none" w:sz="0" w:space="0" w:color="auto"/>
        <w:left w:val="none" w:sz="0" w:space="0" w:color="auto"/>
        <w:bottom w:val="none" w:sz="0" w:space="0" w:color="auto"/>
        <w:right w:val="none" w:sz="0" w:space="0" w:color="auto"/>
      </w:divBdr>
    </w:div>
    <w:div w:id="812143656">
      <w:bodyDiv w:val="1"/>
      <w:marLeft w:val="0"/>
      <w:marRight w:val="0"/>
      <w:marTop w:val="0"/>
      <w:marBottom w:val="0"/>
      <w:divBdr>
        <w:top w:val="none" w:sz="0" w:space="0" w:color="auto"/>
        <w:left w:val="none" w:sz="0" w:space="0" w:color="auto"/>
        <w:bottom w:val="none" w:sz="0" w:space="0" w:color="auto"/>
        <w:right w:val="none" w:sz="0" w:space="0" w:color="auto"/>
      </w:divBdr>
    </w:div>
    <w:div w:id="817842752">
      <w:bodyDiv w:val="1"/>
      <w:marLeft w:val="0"/>
      <w:marRight w:val="0"/>
      <w:marTop w:val="0"/>
      <w:marBottom w:val="0"/>
      <w:divBdr>
        <w:top w:val="none" w:sz="0" w:space="0" w:color="auto"/>
        <w:left w:val="none" w:sz="0" w:space="0" w:color="auto"/>
        <w:bottom w:val="none" w:sz="0" w:space="0" w:color="auto"/>
        <w:right w:val="none" w:sz="0" w:space="0" w:color="auto"/>
      </w:divBdr>
    </w:div>
    <w:div w:id="818808023">
      <w:bodyDiv w:val="1"/>
      <w:marLeft w:val="0"/>
      <w:marRight w:val="0"/>
      <w:marTop w:val="0"/>
      <w:marBottom w:val="0"/>
      <w:divBdr>
        <w:top w:val="none" w:sz="0" w:space="0" w:color="auto"/>
        <w:left w:val="none" w:sz="0" w:space="0" w:color="auto"/>
        <w:bottom w:val="none" w:sz="0" w:space="0" w:color="auto"/>
        <w:right w:val="none" w:sz="0" w:space="0" w:color="auto"/>
      </w:divBdr>
    </w:div>
    <w:div w:id="820586418">
      <w:bodyDiv w:val="1"/>
      <w:marLeft w:val="0"/>
      <w:marRight w:val="0"/>
      <w:marTop w:val="0"/>
      <w:marBottom w:val="0"/>
      <w:divBdr>
        <w:top w:val="none" w:sz="0" w:space="0" w:color="auto"/>
        <w:left w:val="none" w:sz="0" w:space="0" w:color="auto"/>
        <w:bottom w:val="none" w:sz="0" w:space="0" w:color="auto"/>
        <w:right w:val="none" w:sz="0" w:space="0" w:color="auto"/>
      </w:divBdr>
    </w:div>
    <w:div w:id="825243672">
      <w:bodyDiv w:val="1"/>
      <w:marLeft w:val="0"/>
      <w:marRight w:val="0"/>
      <w:marTop w:val="0"/>
      <w:marBottom w:val="0"/>
      <w:divBdr>
        <w:top w:val="none" w:sz="0" w:space="0" w:color="auto"/>
        <w:left w:val="none" w:sz="0" w:space="0" w:color="auto"/>
        <w:bottom w:val="none" w:sz="0" w:space="0" w:color="auto"/>
        <w:right w:val="none" w:sz="0" w:space="0" w:color="auto"/>
      </w:divBdr>
    </w:div>
    <w:div w:id="851068949">
      <w:bodyDiv w:val="1"/>
      <w:marLeft w:val="0"/>
      <w:marRight w:val="0"/>
      <w:marTop w:val="0"/>
      <w:marBottom w:val="0"/>
      <w:divBdr>
        <w:top w:val="none" w:sz="0" w:space="0" w:color="auto"/>
        <w:left w:val="none" w:sz="0" w:space="0" w:color="auto"/>
        <w:bottom w:val="none" w:sz="0" w:space="0" w:color="auto"/>
        <w:right w:val="none" w:sz="0" w:space="0" w:color="auto"/>
      </w:divBdr>
    </w:div>
    <w:div w:id="853955006">
      <w:bodyDiv w:val="1"/>
      <w:marLeft w:val="0"/>
      <w:marRight w:val="0"/>
      <w:marTop w:val="0"/>
      <w:marBottom w:val="0"/>
      <w:divBdr>
        <w:top w:val="none" w:sz="0" w:space="0" w:color="auto"/>
        <w:left w:val="none" w:sz="0" w:space="0" w:color="auto"/>
        <w:bottom w:val="none" w:sz="0" w:space="0" w:color="auto"/>
        <w:right w:val="none" w:sz="0" w:space="0" w:color="auto"/>
      </w:divBdr>
    </w:div>
    <w:div w:id="861357653">
      <w:bodyDiv w:val="1"/>
      <w:marLeft w:val="0"/>
      <w:marRight w:val="0"/>
      <w:marTop w:val="0"/>
      <w:marBottom w:val="0"/>
      <w:divBdr>
        <w:top w:val="none" w:sz="0" w:space="0" w:color="auto"/>
        <w:left w:val="none" w:sz="0" w:space="0" w:color="auto"/>
        <w:bottom w:val="none" w:sz="0" w:space="0" w:color="auto"/>
        <w:right w:val="none" w:sz="0" w:space="0" w:color="auto"/>
      </w:divBdr>
    </w:div>
    <w:div w:id="866798977">
      <w:bodyDiv w:val="1"/>
      <w:marLeft w:val="0"/>
      <w:marRight w:val="0"/>
      <w:marTop w:val="0"/>
      <w:marBottom w:val="0"/>
      <w:divBdr>
        <w:top w:val="none" w:sz="0" w:space="0" w:color="auto"/>
        <w:left w:val="none" w:sz="0" w:space="0" w:color="auto"/>
        <w:bottom w:val="none" w:sz="0" w:space="0" w:color="auto"/>
        <w:right w:val="none" w:sz="0" w:space="0" w:color="auto"/>
      </w:divBdr>
    </w:div>
    <w:div w:id="868294175">
      <w:bodyDiv w:val="1"/>
      <w:marLeft w:val="0"/>
      <w:marRight w:val="0"/>
      <w:marTop w:val="0"/>
      <w:marBottom w:val="0"/>
      <w:divBdr>
        <w:top w:val="none" w:sz="0" w:space="0" w:color="auto"/>
        <w:left w:val="none" w:sz="0" w:space="0" w:color="auto"/>
        <w:bottom w:val="none" w:sz="0" w:space="0" w:color="auto"/>
        <w:right w:val="none" w:sz="0" w:space="0" w:color="auto"/>
      </w:divBdr>
    </w:div>
    <w:div w:id="873270522">
      <w:bodyDiv w:val="1"/>
      <w:marLeft w:val="0"/>
      <w:marRight w:val="0"/>
      <w:marTop w:val="0"/>
      <w:marBottom w:val="0"/>
      <w:divBdr>
        <w:top w:val="none" w:sz="0" w:space="0" w:color="auto"/>
        <w:left w:val="none" w:sz="0" w:space="0" w:color="auto"/>
        <w:bottom w:val="none" w:sz="0" w:space="0" w:color="auto"/>
        <w:right w:val="none" w:sz="0" w:space="0" w:color="auto"/>
      </w:divBdr>
    </w:div>
    <w:div w:id="878008076">
      <w:bodyDiv w:val="1"/>
      <w:marLeft w:val="0"/>
      <w:marRight w:val="0"/>
      <w:marTop w:val="0"/>
      <w:marBottom w:val="0"/>
      <w:divBdr>
        <w:top w:val="none" w:sz="0" w:space="0" w:color="auto"/>
        <w:left w:val="none" w:sz="0" w:space="0" w:color="auto"/>
        <w:bottom w:val="none" w:sz="0" w:space="0" w:color="auto"/>
        <w:right w:val="none" w:sz="0" w:space="0" w:color="auto"/>
      </w:divBdr>
    </w:div>
    <w:div w:id="882718537">
      <w:bodyDiv w:val="1"/>
      <w:marLeft w:val="0"/>
      <w:marRight w:val="0"/>
      <w:marTop w:val="0"/>
      <w:marBottom w:val="0"/>
      <w:divBdr>
        <w:top w:val="none" w:sz="0" w:space="0" w:color="auto"/>
        <w:left w:val="none" w:sz="0" w:space="0" w:color="auto"/>
        <w:bottom w:val="none" w:sz="0" w:space="0" w:color="auto"/>
        <w:right w:val="none" w:sz="0" w:space="0" w:color="auto"/>
      </w:divBdr>
    </w:div>
    <w:div w:id="893538847">
      <w:bodyDiv w:val="1"/>
      <w:marLeft w:val="0"/>
      <w:marRight w:val="0"/>
      <w:marTop w:val="0"/>
      <w:marBottom w:val="0"/>
      <w:divBdr>
        <w:top w:val="none" w:sz="0" w:space="0" w:color="auto"/>
        <w:left w:val="none" w:sz="0" w:space="0" w:color="auto"/>
        <w:bottom w:val="none" w:sz="0" w:space="0" w:color="auto"/>
        <w:right w:val="none" w:sz="0" w:space="0" w:color="auto"/>
      </w:divBdr>
    </w:div>
    <w:div w:id="895235720">
      <w:bodyDiv w:val="1"/>
      <w:marLeft w:val="0"/>
      <w:marRight w:val="0"/>
      <w:marTop w:val="0"/>
      <w:marBottom w:val="0"/>
      <w:divBdr>
        <w:top w:val="none" w:sz="0" w:space="0" w:color="auto"/>
        <w:left w:val="none" w:sz="0" w:space="0" w:color="auto"/>
        <w:bottom w:val="none" w:sz="0" w:space="0" w:color="auto"/>
        <w:right w:val="none" w:sz="0" w:space="0" w:color="auto"/>
      </w:divBdr>
    </w:div>
    <w:div w:id="925961939">
      <w:bodyDiv w:val="1"/>
      <w:marLeft w:val="0"/>
      <w:marRight w:val="0"/>
      <w:marTop w:val="0"/>
      <w:marBottom w:val="0"/>
      <w:divBdr>
        <w:top w:val="none" w:sz="0" w:space="0" w:color="auto"/>
        <w:left w:val="none" w:sz="0" w:space="0" w:color="auto"/>
        <w:bottom w:val="none" w:sz="0" w:space="0" w:color="auto"/>
        <w:right w:val="none" w:sz="0" w:space="0" w:color="auto"/>
      </w:divBdr>
    </w:div>
    <w:div w:id="928730430">
      <w:bodyDiv w:val="1"/>
      <w:marLeft w:val="0"/>
      <w:marRight w:val="0"/>
      <w:marTop w:val="0"/>
      <w:marBottom w:val="0"/>
      <w:divBdr>
        <w:top w:val="none" w:sz="0" w:space="0" w:color="auto"/>
        <w:left w:val="none" w:sz="0" w:space="0" w:color="auto"/>
        <w:bottom w:val="none" w:sz="0" w:space="0" w:color="auto"/>
        <w:right w:val="none" w:sz="0" w:space="0" w:color="auto"/>
      </w:divBdr>
    </w:div>
    <w:div w:id="939605178">
      <w:bodyDiv w:val="1"/>
      <w:marLeft w:val="0"/>
      <w:marRight w:val="0"/>
      <w:marTop w:val="0"/>
      <w:marBottom w:val="0"/>
      <w:divBdr>
        <w:top w:val="none" w:sz="0" w:space="0" w:color="auto"/>
        <w:left w:val="none" w:sz="0" w:space="0" w:color="auto"/>
        <w:bottom w:val="none" w:sz="0" w:space="0" w:color="auto"/>
        <w:right w:val="none" w:sz="0" w:space="0" w:color="auto"/>
      </w:divBdr>
    </w:div>
    <w:div w:id="961106863">
      <w:bodyDiv w:val="1"/>
      <w:marLeft w:val="0"/>
      <w:marRight w:val="0"/>
      <w:marTop w:val="0"/>
      <w:marBottom w:val="0"/>
      <w:divBdr>
        <w:top w:val="none" w:sz="0" w:space="0" w:color="auto"/>
        <w:left w:val="none" w:sz="0" w:space="0" w:color="auto"/>
        <w:bottom w:val="none" w:sz="0" w:space="0" w:color="auto"/>
        <w:right w:val="none" w:sz="0" w:space="0" w:color="auto"/>
      </w:divBdr>
    </w:div>
    <w:div w:id="962224947">
      <w:bodyDiv w:val="1"/>
      <w:marLeft w:val="0"/>
      <w:marRight w:val="0"/>
      <w:marTop w:val="0"/>
      <w:marBottom w:val="0"/>
      <w:divBdr>
        <w:top w:val="none" w:sz="0" w:space="0" w:color="auto"/>
        <w:left w:val="none" w:sz="0" w:space="0" w:color="auto"/>
        <w:bottom w:val="none" w:sz="0" w:space="0" w:color="auto"/>
        <w:right w:val="none" w:sz="0" w:space="0" w:color="auto"/>
      </w:divBdr>
    </w:div>
    <w:div w:id="964776247">
      <w:bodyDiv w:val="1"/>
      <w:marLeft w:val="0"/>
      <w:marRight w:val="0"/>
      <w:marTop w:val="0"/>
      <w:marBottom w:val="0"/>
      <w:divBdr>
        <w:top w:val="none" w:sz="0" w:space="0" w:color="auto"/>
        <w:left w:val="none" w:sz="0" w:space="0" w:color="auto"/>
        <w:bottom w:val="none" w:sz="0" w:space="0" w:color="auto"/>
        <w:right w:val="none" w:sz="0" w:space="0" w:color="auto"/>
      </w:divBdr>
    </w:div>
    <w:div w:id="975842363">
      <w:bodyDiv w:val="1"/>
      <w:marLeft w:val="0"/>
      <w:marRight w:val="0"/>
      <w:marTop w:val="0"/>
      <w:marBottom w:val="0"/>
      <w:divBdr>
        <w:top w:val="none" w:sz="0" w:space="0" w:color="auto"/>
        <w:left w:val="none" w:sz="0" w:space="0" w:color="auto"/>
        <w:bottom w:val="none" w:sz="0" w:space="0" w:color="auto"/>
        <w:right w:val="none" w:sz="0" w:space="0" w:color="auto"/>
      </w:divBdr>
    </w:div>
    <w:div w:id="982194863">
      <w:bodyDiv w:val="1"/>
      <w:marLeft w:val="0"/>
      <w:marRight w:val="0"/>
      <w:marTop w:val="0"/>
      <w:marBottom w:val="0"/>
      <w:divBdr>
        <w:top w:val="none" w:sz="0" w:space="0" w:color="auto"/>
        <w:left w:val="none" w:sz="0" w:space="0" w:color="auto"/>
        <w:bottom w:val="none" w:sz="0" w:space="0" w:color="auto"/>
        <w:right w:val="none" w:sz="0" w:space="0" w:color="auto"/>
      </w:divBdr>
    </w:div>
    <w:div w:id="1001586752">
      <w:bodyDiv w:val="1"/>
      <w:marLeft w:val="0"/>
      <w:marRight w:val="0"/>
      <w:marTop w:val="0"/>
      <w:marBottom w:val="0"/>
      <w:divBdr>
        <w:top w:val="none" w:sz="0" w:space="0" w:color="auto"/>
        <w:left w:val="none" w:sz="0" w:space="0" w:color="auto"/>
        <w:bottom w:val="none" w:sz="0" w:space="0" w:color="auto"/>
        <w:right w:val="none" w:sz="0" w:space="0" w:color="auto"/>
      </w:divBdr>
    </w:div>
    <w:div w:id="1015035849">
      <w:bodyDiv w:val="1"/>
      <w:marLeft w:val="0"/>
      <w:marRight w:val="0"/>
      <w:marTop w:val="0"/>
      <w:marBottom w:val="0"/>
      <w:divBdr>
        <w:top w:val="none" w:sz="0" w:space="0" w:color="auto"/>
        <w:left w:val="none" w:sz="0" w:space="0" w:color="auto"/>
        <w:bottom w:val="none" w:sz="0" w:space="0" w:color="auto"/>
        <w:right w:val="none" w:sz="0" w:space="0" w:color="auto"/>
      </w:divBdr>
    </w:div>
    <w:div w:id="1018240659">
      <w:bodyDiv w:val="1"/>
      <w:marLeft w:val="0"/>
      <w:marRight w:val="0"/>
      <w:marTop w:val="0"/>
      <w:marBottom w:val="0"/>
      <w:divBdr>
        <w:top w:val="none" w:sz="0" w:space="0" w:color="auto"/>
        <w:left w:val="none" w:sz="0" w:space="0" w:color="auto"/>
        <w:bottom w:val="none" w:sz="0" w:space="0" w:color="auto"/>
        <w:right w:val="none" w:sz="0" w:space="0" w:color="auto"/>
      </w:divBdr>
    </w:div>
    <w:div w:id="1024087676">
      <w:bodyDiv w:val="1"/>
      <w:marLeft w:val="0"/>
      <w:marRight w:val="0"/>
      <w:marTop w:val="0"/>
      <w:marBottom w:val="0"/>
      <w:divBdr>
        <w:top w:val="none" w:sz="0" w:space="0" w:color="auto"/>
        <w:left w:val="none" w:sz="0" w:space="0" w:color="auto"/>
        <w:bottom w:val="none" w:sz="0" w:space="0" w:color="auto"/>
        <w:right w:val="none" w:sz="0" w:space="0" w:color="auto"/>
      </w:divBdr>
    </w:div>
    <w:div w:id="1028021003">
      <w:bodyDiv w:val="1"/>
      <w:marLeft w:val="0"/>
      <w:marRight w:val="0"/>
      <w:marTop w:val="0"/>
      <w:marBottom w:val="0"/>
      <w:divBdr>
        <w:top w:val="none" w:sz="0" w:space="0" w:color="auto"/>
        <w:left w:val="none" w:sz="0" w:space="0" w:color="auto"/>
        <w:bottom w:val="none" w:sz="0" w:space="0" w:color="auto"/>
        <w:right w:val="none" w:sz="0" w:space="0" w:color="auto"/>
      </w:divBdr>
    </w:div>
    <w:div w:id="1032263687">
      <w:bodyDiv w:val="1"/>
      <w:marLeft w:val="0"/>
      <w:marRight w:val="0"/>
      <w:marTop w:val="0"/>
      <w:marBottom w:val="0"/>
      <w:divBdr>
        <w:top w:val="none" w:sz="0" w:space="0" w:color="auto"/>
        <w:left w:val="none" w:sz="0" w:space="0" w:color="auto"/>
        <w:bottom w:val="none" w:sz="0" w:space="0" w:color="auto"/>
        <w:right w:val="none" w:sz="0" w:space="0" w:color="auto"/>
      </w:divBdr>
    </w:div>
    <w:div w:id="1041369523">
      <w:bodyDiv w:val="1"/>
      <w:marLeft w:val="0"/>
      <w:marRight w:val="0"/>
      <w:marTop w:val="0"/>
      <w:marBottom w:val="0"/>
      <w:divBdr>
        <w:top w:val="none" w:sz="0" w:space="0" w:color="auto"/>
        <w:left w:val="none" w:sz="0" w:space="0" w:color="auto"/>
        <w:bottom w:val="none" w:sz="0" w:space="0" w:color="auto"/>
        <w:right w:val="none" w:sz="0" w:space="0" w:color="auto"/>
      </w:divBdr>
    </w:div>
    <w:div w:id="1086876873">
      <w:bodyDiv w:val="1"/>
      <w:marLeft w:val="0"/>
      <w:marRight w:val="0"/>
      <w:marTop w:val="0"/>
      <w:marBottom w:val="0"/>
      <w:divBdr>
        <w:top w:val="none" w:sz="0" w:space="0" w:color="auto"/>
        <w:left w:val="none" w:sz="0" w:space="0" w:color="auto"/>
        <w:bottom w:val="none" w:sz="0" w:space="0" w:color="auto"/>
        <w:right w:val="none" w:sz="0" w:space="0" w:color="auto"/>
      </w:divBdr>
    </w:div>
    <w:div w:id="1087574199">
      <w:bodyDiv w:val="1"/>
      <w:marLeft w:val="0"/>
      <w:marRight w:val="0"/>
      <w:marTop w:val="0"/>
      <w:marBottom w:val="0"/>
      <w:divBdr>
        <w:top w:val="none" w:sz="0" w:space="0" w:color="auto"/>
        <w:left w:val="none" w:sz="0" w:space="0" w:color="auto"/>
        <w:bottom w:val="none" w:sz="0" w:space="0" w:color="auto"/>
        <w:right w:val="none" w:sz="0" w:space="0" w:color="auto"/>
      </w:divBdr>
    </w:div>
    <w:div w:id="1091773831">
      <w:bodyDiv w:val="1"/>
      <w:marLeft w:val="0"/>
      <w:marRight w:val="0"/>
      <w:marTop w:val="0"/>
      <w:marBottom w:val="0"/>
      <w:divBdr>
        <w:top w:val="none" w:sz="0" w:space="0" w:color="auto"/>
        <w:left w:val="none" w:sz="0" w:space="0" w:color="auto"/>
        <w:bottom w:val="none" w:sz="0" w:space="0" w:color="auto"/>
        <w:right w:val="none" w:sz="0" w:space="0" w:color="auto"/>
      </w:divBdr>
    </w:div>
    <w:div w:id="1119835599">
      <w:bodyDiv w:val="1"/>
      <w:marLeft w:val="0"/>
      <w:marRight w:val="0"/>
      <w:marTop w:val="0"/>
      <w:marBottom w:val="0"/>
      <w:divBdr>
        <w:top w:val="none" w:sz="0" w:space="0" w:color="auto"/>
        <w:left w:val="none" w:sz="0" w:space="0" w:color="auto"/>
        <w:bottom w:val="none" w:sz="0" w:space="0" w:color="auto"/>
        <w:right w:val="none" w:sz="0" w:space="0" w:color="auto"/>
      </w:divBdr>
    </w:div>
    <w:div w:id="1131483721">
      <w:bodyDiv w:val="1"/>
      <w:marLeft w:val="0"/>
      <w:marRight w:val="0"/>
      <w:marTop w:val="0"/>
      <w:marBottom w:val="0"/>
      <w:divBdr>
        <w:top w:val="none" w:sz="0" w:space="0" w:color="auto"/>
        <w:left w:val="none" w:sz="0" w:space="0" w:color="auto"/>
        <w:bottom w:val="none" w:sz="0" w:space="0" w:color="auto"/>
        <w:right w:val="none" w:sz="0" w:space="0" w:color="auto"/>
      </w:divBdr>
    </w:div>
    <w:div w:id="1137605253">
      <w:bodyDiv w:val="1"/>
      <w:marLeft w:val="0"/>
      <w:marRight w:val="0"/>
      <w:marTop w:val="0"/>
      <w:marBottom w:val="0"/>
      <w:divBdr>
        <w:top w:val="none" w:sz="0" w:space="0" w:color="auto"/>
        <w:left w:val="none" w:sz="0" w:space="0" w:color="auto"/>
        <w:bottom w:val="none" w:sz="0" w:space="0" w:color="auto"/>
        <w:right w:val="none" w:sz="0" w:space="0" w:color="auto"/>
      </w:divBdr>
    </w:div>
    <w:div w:id="1145313133">
      <w:bodyDiv w:val="1"/>
      <w:marLeft w:val="0"/>
      <w:marRight w:val="0"/>
      <w:marTop w:val="0"/>
      <w:marBottom w:val="0"/>
      <w:divBdr>
        <w:top w:val="none" w:sz="0" w:space="0" w:color="auto"/>
        <w:left w:val="none" w:sz="0" w:space="0" w:color="auto"/>
        <w:bottom w:val="none" w:sz="0" w:space="0" w:color="auto"/>
        <w:right w:val="none" w:sz="0" w:space="0" w:color="auto"/>
      </w:divBdr>
    </w:div>
    <w:div w:id="1162625275">
      <w:bodyDiv w:val="1"/>
      <w:marLeft w:val="0"/>
      <w:marRight w:val="0"/>
      <w:marTop w:val="0"/>
      <w:marBottom w:val="0"/>
      <w:divBdr>
        <w:top w:val="none" w:sz="0" w:space="0" w:color="auto"/>
        <w:left w:val="none" w:sz="0" w:space="0" w:color="auto"/>
        <w:bottom w:val="none" w:sz="0" w:space="0" w:color="auto"/>
        <w:right w:val="none" w:sz="0" w:space="0" w:color="auto"/>
      </w:divBdr>
    </w:div>
    <w:div w:id="1181703073">
      <w:bodyDiv w:val="1"/>
      <w:marLeft w:val="0"/>
      <w:marRight w:val="0"/>
      <w:marTop w:val="0"/>
      <w:marBottom w:val="0"/>
      <w:divBdr>
        <w:top w:val="none" w:sz="0" w:space="0" w:color="auto"/>
        <w:left w:val="none" w:sz="0" w:space="0" w:color="auto"/>
        <w:bottom w:val="none" w:sz="0" w:space="0" w:color="auto"/>
        <w:right w:val="none" w:sz="0" w:space="0" w:color="auto"/>
      </w:divBdr>
    </w:div>
    <w:div w:id="1182205564">
      <w:bodyDiv w:val="1"/>
      <w:marLeft w:val="0"/>
      <w:marRight w:val="0"/>
      <w:marTop w:val="0"/>
      <w:marBottom w:val="0"/>
      <w:divBdr>
        <w:top w:val="none" w:sz="0" w:space="0" w:color="auto"/>
        <w:left w:val="none" w:sz="0" w:space="0" w:color="auto"/>
        <w:bottom w:val="none" w:sz="0" w:space="0" w:color="auto"/>
        <w:right w:val="none" w:sz="0" w:space="0" w:color="auto"/>
      </w:divBdr>
    </w:div>
    <w:div w:id="1223640665">
      <w:bodyDiv w:val="1"/>
      <w:marLeft w:val="0"/>
      <w:marRight w:val="0"/>
      <w:marTop w:val="0"/>
      <w:marBottom w:val="0"/>
      <w:divBdr>
        <w:top w:val="none" w:sz="0" w:space="0" w:color="auto"/>
        <w:left w:val="none" w:sz="0" w:space="0" w:color="auto"/>
        <w:bottom w:val="none" w:sz="0" w:space="0" w:color="auto"/>
        <w:right w:val="none" w:sz="0" w:space="0" w:color="auto"/>
      </w:divBdr>
    </w:div>
    <w:div w:id="1237932868">
      <w:bodyDiv w:val="1"/>
      <w:marLeft w:val="0"/>
      <w:marRight w:val="0"/>
      <w:marTop w:val="0"/>
      <w:marBottom w:val="0"/>
      <w:divBdr>
        <w:top w:val="none" w:sz="0" w:space="0" w:color="auto"/>
        <w:left w:val="none" w:sz="0" w:space="0" w:color="auto"/>
        <w:bottom w:val="none" w:sz="0" w:space="0" w:color="auto"/>
        <w:right w:val="none" w:sz="0" w:space="0" w:color="auto"/>
      </w:divBdr>
    </w:div>
    <w:div w:id="1241911787">
      <w:bodyDiv w:val="1"/>
      <w:marLeft w:val="0"/>
      <w:marRight w:val="0"/>
      <w:marTop w:val="0"/>
      <w:marBottom w:val="0"/>
      <w:divBdr>
        <w:top w:val="none" w:sz="0" w:space="0" w:color="auto"/>
        <w:left w:val="none" w:sz="0" w:space="0" w:color="auto"/>
        <w:bottom w:val="none" w:sz="0" w:space="0" w:color="auto"/>
        <w:right w:val="none" w:sz="0" w:space="0" w:color="auto"/>
      </w:divBdr>
    </w:div>
    <w:div w:id="1245140899">
      <w:bodyDiv w:val="1"/>
      <w:marLeft w:val="0"/>
      <w:marRight w:val="0"/>
      <w:marTop w:val="0"/>
      <w:marBottom w:val="0"/>
      <w:divBdr>
        <w:top w:val="none" w:sz="0" w:space="0" w:color="auto"/>
        <w:left w:val="none" w:sz="0" w:space="0" w:color="auto"/>
        <w:bottom w:val="none" w:sz="0" w:space="0" w:color="auto"/>
        <w:right w:val="none" w:sz="0" w:space="0" w:color="auto"/>
      </w:divBdr>
    </w:div>
    <w:div w:id="1253853942">
      <w:bodyDiv w:val="1"/>
      <w:marLeft w:val="0"/>
      <w:marRight w:val="0"/>
      <w:marTop w:val="0"/>
      <w:marBottom w:val="0"/>
      <w:divBdr>
        <w:top w:val="none" w:sz="0" w:space="0" w:color="auto"/>
        <w:left w:val="none" w:sz="0" w:space="0" w:color="auto"/>
        <w:bottom w:val="none" w:sz="0" w:space="0" w:color="auto"/>
        <w:right w:val="none" w:sz="0" w:space="0" w:color="auto"/>
      </w:divBdr>
    </w:div>
    <w:div w:id="1256548914">
      <w:bodyDiv w:val="1"/>
      <w:marLeft w:val="0"/>
      <w:marRight w:val="0"/>
      <w:marTop w:val="0"/>
      <w:marBottom w:val="0"/>
      <w:divBdr>
        <w:top w:val="none" w:sz="0" w:space="0" w:color="auto"/>
        <w:left w:val="none" w:sz="0" w:space="0" w:color="auto"/>
        <w:bottom w:val="none" w:sz="0" w:space="0" w:color="auto"/>
        <w:right w:val="none" w:sz="0" w:space="0" w:color="auto"/>
      </w:divBdr>
    </w:div>
    <w:div w:id="1274089464">
      <w:bodyDiv w:val="1"/>
      <w:marLeft w:val="0"/>
      <w:marRight w:val="0"/>
      <w:marTop w:val="0"/>
      <w:marBottom w:val="0"/>
      <w:divBdr>
        <w:top w:val="none" w:sz="0" w:space="0" w:color="auto"/>
        <w:left w:val="none" w:sz="0" w:space="0" w:color="auto"/>
        <w:bottom w:val="none" w:sz="0" w:space="0" w:color="auto"/>
        <w:right w:val="none" w:sz="0" w:space="0" w:color="auto"/>
      </w:divBdr>
    </w:div>
    <w:div w:id="1275594372">
      <w:bodyDiv w:val="1"/>
      <w:marLeft w:val="0"/>
      <w:marRight w:val="0"/>
      <w:marTop w:val="0"/>
      <w:marBottom w:val="0"/>
      <w:divBdr>
        <w:top w:val="none" w:sz="0" w:space="0" w:color="auto"/>
        <w:left w:val="none" w:sz="0" w:space="0" w:color="auto"/>
        <w:bottom w:val="none" w:sz="0" w:space="0" w:color="auto"/>
        <w:right w:val="none" w:sz="0" w:space="0" w:color="auto"/>
      </w:divBdr>
    </w:div>
    <w:div w:id="1290549286">
      <w:bodyDiv w:val="1"/>
      <w:marLeft w:val="0"/>
      <w:marRight w:val="0"/>
      <w:marTop w:val="0"/>
      <w:marBottom w:val="0"/>
      <w:divBdr>
        <w:top w:val="none" w:sz="0" w:space="0" w:color="auto"/>
        <w:left w:val="none" w:sz="0" w:space="0" w:color="auto"/>
        <w:bottom w:val="none" w:sz="0" w:space="0" w:color="auto"/>
        <w:right w:val="none" w:sz="0" w:space="0" w:color="auto"/>
      </w:divBdr>
    </w:div>
    <w:div w:id="1320496794">
      <w:bodyDiv w:val="1"/>
      <w:marLeft w:val="0"/>
      <w:marRight w:val="0"/>
      <w:marTop w:val="0"/>
      <w:marBottom w:val="0"/>
      <w:divBdr>
        <w:top w:val="none" w:sz="0" w:space="0" w:color="auto"/>
        <w:left w:val="none" w:sz="0" w:space="0" w:color="auto"/>
        <w:bottom w:val="none" w:sz="0" w:space="0" w:color="auto"/>
        <w:right w:val="none" w:sz="0" w:space="0" w:color="auto"/>
      </w:divBdr>
    </w:div>
    <w:div w:id="1323898560">
      <w:bodyDiv w:val="1"/>
      <w:marLeft w:val="0"/>
      <w:marRight w:val="0"/>
      <w:marTop w:val="0"/>
      <w:marBottom w:val="0"/>
      <w:divBdr>
        <w:top w:val="none" w:sz="0" w:space="0" w:color="auto"/>
        <w:left w:val="none" w:sz="0" w:space="0" w:color="auto"/>
        <w:bottom w:val="none" w:sz="0" w:space="0" w:color="auto"/>
        <w:right w:val="none" w:sz="0" w:space="0" w:color="auto"/>
      </w:divBdr>
    </w:div>
    <w:div w:id="1330671052">
      <w:bodyDiv w:val="1"/>
      <w:marLeft w:val="0"/>
      <w:marRight w:val="0"/>
      <w:marTop w:val="0"/>
      <w:marBottom w:val="0"/>
      <w:divBdr>
        <w:top w:val="none" w:sz="0" w:space="0" w:color="auto"/>
        <w:left w:val="none" w:sz="0" w:space="0" w:color="auto"/>
        <w:bottom w:val="none" w:sz="0" w:space="0" w:color="auto"/>
        <w:right w:val="none" w:sz="0" w:space="0" w:color="auto"/>
      </w:divBdr>
    </w:div>
    <w:div w:id="1358115293">
      <w:bodyDiv w:val="1"/>
      <w:marLeft w:val="0"/>
      <w:marRight w:val="0"/>
      <w:marTop w:val="0"/>
      <w:marBottom w:val="0"/>
      <w:divBdr>
        <w:top w:val="none" w:sz="0" w:space="0" w:color="auto"/>
        <w:left w:val="none" w:sz="0" w:space="0" w:color="auto"/>
        <w:bottom w:val="none" w:sz="0" w:space="0" w:color="auto"/>
        <w:right w:val="none" w:sz="0" w:space="0" w:color="auto"/>
      </w:divBdr>
    </w:div>
    <w:div w:id="1366566787">
      <w:bodyDiv w:val="1"/>
      <w:marLeft w:val="0"/>
      <w:marRight w:val="0"/>
      <w:marTop w:val="0"/>
      <w:marBottom w:val="0"/>
      <w:divBdr>
        <w:top w:val="none" w:sz="0" w:space="0" w:color="auto"/>
        <w:left w:val="none" w:sz="0" w:space="0" w:color="auto"/>
        <w:bottom w:val="none" w:sz="0" w:space="0" w:color="auto"/>
        <w:right w:val="none" w:sz="0" w:space="0" w:color="auto"/>
      </w:divBdr>
    </w:div>
    <w:div w:id="1382703684">
      <w:bodyDiv w:val="1"/>
      <w:marLeft w:val="0"/>
      <w:marRight w:val="0"/>
      <w:marTop w:val="0"/>
      <w:marBottom w:val="0"/>
      <w:divBdr>
        <w:top w:val="none" w:sz="0" w:space="0" w:color="auto"/>
        <w:left w:val="none" w:sz="0" w:space="0" w:color="auto"/>
        <w:bottom w:val="none" w:sz="0" w:space="0" w:color="auto"/>
        <w:right w:val="none" w:sz="0" w:space="0" w:color="auto"/>
      </w:divBdr>
    </w:div>
    <w:div w:id="1405033862">
      <w:bodyDiv w:val="1"/>
      <w:marLeft w:val="0"/>
      <w:marRight w:val="0"/>
      <w:marTop w:val="0"/>
      <w:marBottom w:val="0"/>
      <w:divBdr>
        <w:top w:val="none" w:sz="0" w:space="0" w:color="auto"/>
        <w:left w:val="none" w:sz="0" w:space="0" w:color="auto"/>
        <w:bottom w:val="none" w:sz="0" w:space="0" w:color="auto"/>
        <w:right w:val="none" w:sz="0" w:space="0" w:color="auto"/>
      </w:divBdr>
    </w:div>
    <w:div w:id="1409419333">
      <w:bodyDiv w:val="1"/>
      <w:marLeft w:val="0"/>
      <w:marRight w:val="0"/>
      <w:marTop w:val="0"/>
      <w:marBottom w:val="0"/>
      <w:divBdr>
        <w:top w:val="none" w:sz="0" w:space="0" w:color="auto"/>
        <w:left w:val="none" w:sz="0" w:space="0" w:color="auto"/>
        <w:bottom w:val="none" w:sz="0" w:space="0" w:color="auto"/>
        <w:right w:val="none" w:sz="0" w:space="0" w:color="auto"/>
      </w:divBdr>
    </w:div>
    <w:div w:id="1414620349">
      <w:bodyDiv w:val="1"/>
      <w:marLeft w:val="0"/>
      <w:marRight w:val="0"/>
      <w:marTop w:val="0"/>
      <w:marBottom w:val="0"/>
      <w:divBdr>
        <w:top w:val="none" w:sz="0" w:space="0" w:color="auto"/>
        <w:left w:val="none" w:sz="0" w:space="0" w:color="auto"/>
        <w:bottom w:val="none" w:sz="0" w:space="0" w:color="auto"/>
        <w:right w:val="none" w:sz="0" w:space="0" w:color="auto"/>
      </w:divBdr>
    </w:div>
    <w:div w:id="1427578041">
      <w:bodyDiv w:val="1"/>
      <w:marLeft w:val="0"/>
      <w:marRight w:val="0"/>
      <w:marTop w:val="0"/>
      <w:marBottom w:val="0"/>
      <w:divBdr>
        <w:top w:val="none" w:sz="0" w:space="0" w:color="auto"/>
        <w:left w:val="none" w:sz="0" w:space="0" w:color="auto"/>
        <w:bottom w:val="none" w:sz="0" w:space="0" w:color="auto"/>
        <w:right w:val="none" w:sz="0" w:space="0" w:color="auto"/>
      </w:divBdr>
    </w:div>
    <w:div w:id="1438065585">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8814079">
      <w:bodyDiv w:val="1"/>
      <w:marLeft w:val="0"/>
      <w:marRight w:val="0"/>
      <w:marTop w:val="0"/>
      <w:marBottom w:val="0"/>
      <w:divBdr>
        <w:top w:val="none" w:sz="0" w:space="0" w:color="auto"/>
        <w:left w:val="none" w:sz="0" w:space="0" w:color="auto"/>
        <w:bottom w:val="none" w:sz="0" w:space="0" w:color="auto"/>
        <w:right w:val="none" w:sz="0" w:space="0" w:color="auto"/>
      </w:divBdr>
    </w:div>
    <w:div w:id="1449395336">
      <w:bodyDiv w:val="1"/>
      <w:marLeft w:val="0"/>
      <w:marRight w:val="0"/>
      <w:marTop w:val="0"/>
      <w:marBottom w:val="0"/>
      <w:divBdr>
        <w:top w:val="none" w:sz="0" w:space="0" w:color="auto"/>
        <w:left w:val="none" w:sz="0" w:space="0" w:color="auto"/>
        <w:bottom w:val="none" w:sz="0" w:space="0" w:color="auto"/>
        <w:right w:val="none" w:sz="0" w:space="0" w:color="auto"/>
      </w:divBdr>
    </w:div>
    <w:div w:id="1519351655">
      <w:bodyDiv w:val="1"/>
      <w:marLeft w:val="0"/>
      <w:marRight w:val="0"/>
      <w:marTop w:val="0"/>
      <w:marBottom w:val="0"/>
      <w:divBdr>
        <w:top w:val="none" w:sz="0" w:space="0" w:color="auto"/>
        <w:left w:val="none" w:sz="0" w:space="0" w:color="auto"/>
        <w:bottom w:val="none" w:sz="0" w:space="0" w:color="auto"/>
        <w:right w:val="none" w:sz="0" w:space="0" w:color="auto"/>
      </w:divBdr>
    </w:div>
    <w:div w:id="1519544628">
      <w:bodyDiv w:val="1"/>
      <w:marLeft w:val="0"/>
      <w:marRight w:val="0"/>
      <w:marTop w:val="0"/>
      <w:marBottom w:val="0"/>
      <w:divBdr>
        <w:top w:val="none" w:sz="0" w:space="0" w:color="auto"/>
        <w:left w:val="none" w:sz="0" w:space="0" w:color="auto"/>
        <w:bottom w:val="none" w:sz="0" w:space="0" w:color="auto"/>
        <w:right w:val="none" w:sz="0" w:space="0" w:color="auto"/>
      </w:divBdr>
    </w:div>
    <w:div w:id="1539202657">
      <w:bodyDiv w:val="1"/>
      <w:marLeft w:val="0"/>
      <w:marRight w:val="0"/>
      <w:marTop w:val="0"/>
      <w:marBottom w:val="0"/>
      <w:divBdr>
        <w:top w:val="none" w:sz="0" w:space="0" w:color="auto"/>
        <w:left w:val="none" w:sz="0" w:space="0" w:color="auto"/>
        <w:bottom w:val="none" w:sz="0" w:space="0" w:color="auto"/>
        <w:right w:val="none" w:sz="0" w:space="0" w:color="auto"/>
      </w:divBdr>
    </w:div>
    <w:div w:id="1558660905">
      <w:bodyDiv w:val="1"/>
      <w:marLeft w:val="0"/>
      <w:marRight w:val="0"/>
      <w:marTop w:val="0"/>
      <w:marBottom w:val="0"/>
      <w:divBdr>
        <w:top w:val="none" w:sz="0" w:space="0" w:color="auto"/>
        <w:left w:val="none" w:sz="0" w:space="0" w:color="auto"/>
        <w:bottom w:val="none" w:sz="0" w:space="0" w:color="auto"/>
        <w:right w:val="none" w:sz="0" w:space="0" w:color="auto"/>
      </w:divBdr>
    </w:div>
    <w:div w:id="1577326650">
      <w:bodyDiv w:val="1"/>
      <w:marLeft w:val="0"/>
      <w:marRight w:val="0"/>
      <w:marTop w:val="0"/>
      <w:marBottom w:val="0"/>
      <w:divBdr>
        <w:top w:val="none" w:sz="0" w:space="0" w:color="auto"/>
        <w:left w:val="none" w:sz="0" w:space="0" w:color="auto"/>
        <w:bottom w:val="none" w:sz="0" w:space="0" w:color="auto"/>
        <w:right w:val="none" w:sz="0" w:space="0" w:color="auto"/>
      </w:divBdr>
    </w:div>
    <w:div w:id="1607535979">
      <w:bodyDiv w:val="1"/>
      <w:marLeft w:val="0"/>
      <w:marRight w:val="0"/>
      <w:marTop w:val="0"/>
      <w:marBottom w:val="0"/>
      <w:divBdr>
        <w:top w:val="none" w:sz="0" w:space="0" w:color="auto"/>
        <w:left w:val="none" w:sz="0" w:space="0" w:color="auto"/>
        <w:bottom w:val="none" w:sz="0" w:space="0" w:color="auto"/>
        <w:right w:val="none" w:sz="0" w:space="0" w:color="auto"/>
      </w:divBdr>
    </w:div>
    <w:div w:id="1618176952">
      <w:bodyDiv w:val="1"/>
      <w:marLeft w:val="0"/>
      <w:marRight w:val="0"/>
      <w:marTop w:val="0"/>
      <w:marBottom w:val="0"/>
      <w:divBdr>
        <w:top w:val="none" w:sz="0" w:space="0" w:color="auto"/>
        <w:left w:val="none" w:sz="0" w:space="0" w:color="auto"/>
        <w:bottom w:val="none" w:sz="0" w:space="0" w:color="auto"/>
        <w:right w:val="none" w:sz="0" w:space="0" w:color="auto"/>
      </w:divBdr>
    </w:div>
    <w:div w:id="1660233669">
      <w:bodyDiv w:val="1"/>
      <w:marLeft w:val="0"/>
      <w:marRight w:val="0"/>
      <w:marTop w:val="0"/>
      <w:marBottom w:val="0"/>
      <w:divBdr>
        <w:top w:val="none" w:sz="0" w:space="0" w:color="auto"/>
        <w:left w:val="none" w:sz="0" w:space="0" w:color="auto"/>
        <w:bottom w:val="none" w:sz="0" w:space="0" w:color="auto"/>
        <w:right w:val="none" w:sz="0" w:space="0" w:color="auto"/>
      </w:divBdr>
    </w:div>
    <w:div w:id="1666205262">
      <w:bodyDiv w:val="1"/>
      <w:marLeft w:val="0"/>
      <w:marRight w:val="0"/>
      <w:marTop w:val="0"/>
      <w:marBottom w:val="0"/>
      <w:divBdr>
        <w:top w:val="none" w:sz="0" w:space="0" w:color="auto"/>
        <w:left w:val="none" w:sz="0" w:space="0" w:color="auto"/>
        <w:bottom w:val="none" w:sz="0" w:space="0" w:color="auto"/>
        <w:right w:val="none" w:sz="0" w:space="0" w:color="auto"/>
      </w:divBdr>
    </w:div>
    <w:div w:id="1707371767">
      <w:bodyDiv w:val="1"/>
      <w:marLeft w:val="0"/>
      <w:marRight w:val="0"/>
      <w:marTop w:val="0"/>
      <w:marBottom w:val="0"/>
      <w:divBdr>
        <w:top w:val="none" w:sz="0" w:space="0" w:color="auto"/>
        <w:left w:val="none" w:sz="0" w:space="0" w:color="auto"/>
        <w:bottom w:val="none" w:sz="0" w:space="0" w:color="auto"/>
        <w:right w:val="none" w:sz="0" w:space="0" w:color="auto"/>
      </w:divBdr>
    </w:div>
    <w:div w:id="1726837295">
      <w:bodyDiv w:val="1"/>
      <w:marLeft w:val="0"/>
      <w:marRight w:val="0"/>
      <w:marTop w:val="0"/>
      <w:marBottom w:val="0"/>
      <w:divBdr>
        <w:top w:val="none" w:sz="0" w:space="0" w:color="auto"/>
        <w:left w:val="none" w:sz="0" w:space="0" w:color="auto"/>
        <w:bottom w:val="none" w:sz="0" w:space="0" w:color="auto"/>
        <w:right w:val="none" w:sz="0" w:space="0" w:color="auto"/>
      </w:divBdr>
    </w:div>
    <w:div w:id="1741638900">
      <w:bodyDiv w:val="1"/>
      <w:marLeft w:val="0"/>
      <w:marRight w:val="0"/>
      <w:marTop w:val="0"/>
      <w:marBottom w:val="0"/>
      <w:divBdr>
        <w:top w:val="none" w:sz="0" w:space="0" w:color="auto"/>
        <w:left w:val="none" w:sz="0" w:space="0" w:color="auto"/>
        <w:bottom w:val="none" w:sz="0" w:space="0" w:color="auto"/>
        <w:right w:val="none" w:sz="0" w:space="0" w:color="auto"/>
      </w:divBdr>
    </w:div>
    <w:div w:id="1747875453">
      <w:bodyDiv w:val="1"/>
      <w:marLeft w:val="0"/>
      <w:marRight w:val="0"/>
      <w:marTop w:val="0"/>
      <w:marBottom w:val="0"/>
      <w:divBdr>
        <w:top w:val="none" w:sz="0" w:space="0" w:color="auto"/>
        <w:left w:val="none" w:sz="0" w:space="0" w:color="auto"/>
        <w:bottom w:val="none" w:sz="0" w:space="0" w:color="auto"/>
        <w:right w:val="none" w:sz="0" w:space="0" w:color="auto"/>
      </w:divBdr>
    </w:div>
    <w:div w:id="1778408548">
      <w:bodyDiv w:val="1"/>
      <w:marLeft w:val="0"/>
      <w:marRight w:val="0"/>
      <w:marTop w:val="0"/>
      <w:marBottom w:val="0"/>
      <w:divBdr>
        <w:top w:val="none" w:sz="0" w:space="0" w:color="auto"/>
        <w:left w:val="none" w:sz="0" w:space="0" w:color="auto"/>
        <w:bottom w:val="none" w:sz="0" w:space="0" w:color="auto"/>
        <w:right w:val="none" w:sz="0" w:space="0" w:color="auto"/>
      </w:divBdr>
    </w:div>
    <w:div w:id="1778521265">
      <w:bodyDiv w:val="1"/>
      <w:marLeft w:val="0"/>
      <w:marRight w:val="0"/>
      <w:marTop w:val="0"/>
      <w:marBottom w:val="0"/>
      <w:divBdr>
        <w:top w:val="none" w:sz="0" w:space="0" w:color="auto"/>
        <w:left w:val="none" w:sz="0" w:space="0" w:color="auto"/>
        <w:bottom w:val="none" w:sz="0" w:space="0" w:color="auto"/>
        <w:right w:val="none" w:sz="0" w:space="0" w:color="auto"/>
      </w:divBdr>
    </w:div>
    <w:div w:id="1780639913">
      <w:bodyDiv w:val="1"/>
      <w:marLeft w:val="0"/>
      <w:marRight w:val="0"/>
      <w:marTop w:val="0"/>
      <w:marBottom w:val="0"/>
      <w:divBdr>
        <w:top w:val="none" w:sz="0" w:space="0" w:color="auto"/>
        <w:left w:val="none" w:sz="0" w:space="0" w:color="auto"/>
        <w:bottom w:val="none" w:sz="0" w:space="0" w:color="auto"/>
        <w:right w:val="none" w:sz="0" w:space="0" w:color="auto"/>
      </w:divBdr>
    </w:div>
    <w:div w:id="1790053855">
      <w:bodyDiv w:val="1"/>
      <w:marLeft w:val="0"/>
      <w:marRight w:val="0"/>
      <w:marTop w:val="0"/>
      <w:marBottom w:val="0"/>
      <w:divBdr>
        <w:top w:val="none" w:sz="0" w:space="0" w:color="auto"/>
        <w:left w:val="none" w:sz="0" w:space="0" w:color="auto"/>
        <w:bottom w:val="none" w:sz="0" w:space="0" w:color="auto"/>
        <w:right w:val="none" w:sz="0" w:space="0" w:color="auto"/>
      </w:divBdr>
    </w:div>
    <w:div w:id="1791703791">
      <w:bodyDiv w:val="1"/>
      <w:marLeft w:val="0"/>
      <w:marRight w:val="0"/>
      <w:marTop w:val="0"/>
      <w:marBottom w:val="0"/>
      <w:divBdr>
        <w:top w:val="none" w:sz="0" w:space="0" w:color="auto"/>
        <w:left w:val="none" w:sz="0" w:space="0" w:color="auto"/>
        <w:bottom w:val="none" w:sz="0" w:space="0" w:color="auto"/>
        <w:right w:val="none" w:sz="0" w:space="0" w:color="auto"/>
      </w:divBdr>
    </w:div>
    <w:div w:id="1848057232">
      <w:bodyDiv w:val="1"/>
      <w:marLeft w:val="0"/>
      <w:marRight w:val="0"/>
      <w:marTop w:val="0"/>
      <w:marBottom w:val="0"/>
      <w:divBdr>
        <w:top w:val="none" w:sz="0" w:space="0" w:color="auto"/>
        <w:left w:val="none" w:sz="0" w:space="0" w:color="auto"/>
        <w:bottom w:val="none" w:sz="0" w:space="0" w:color="auto"/>
        <w:right w:val="none" w:sz="0" w:space="0" w:color="auto"/>
      </w:divBdr>
    </w:div>
    <w:div w:id="1854808051">
      <w:bodyDiv w:val="1"/>
      <w:marLeft w:val="0"/>
      <w:marRight w:val="0"/>
      <w:marTop w:val="0"/>
      <w:marBottom w:val="0"/>
      <w:divBdr>
        <w:top w:val="none" w:sz="0" w:space="0" w:color="auto"/>
        <w:left w:val="none" w:sz="0" w:space="0" w:color="auto"/>
        <w:bottom w:val="none" w:sz="0" w:space="0" w:color="auto"/>
        <w:right w:val="none" w:sz="0" w:space="0" w:color="auto"/>
      </w:divBdr>
    </w:div>
    <w:div w:id="1862087048">
      <w:bodyDiv w:val="1"/>
      <w:marLeft w:val="0"/>
      <w:marRight w:val="0"/>
      <w:marTop w:val="0"/>
      <w:marBottom w:val="0"/>
      <w:divBdr>
        <w:top w:val="none" w:sz="0" w:space="0" w:color="auto"/>
        <w:left w:val="none" w:sz="0" w:space="0" w:color="auto"/>
        <w:bottom w:val="none" w:sz="0" w:space="0" w:color="auto"/>
        <w:right w:val="none" w:sz="0" w:space="0" w:color="auto"/>
      </w:divBdr>
    </w:div>
    <w:div w:id="1868248640">
      <w:bodyDiv w:val="1"/>
      <w:marLeft w:val="0"/>
      <w:marRight w:val="0"/>
      <w:marTop w:val="0"/>
      <w:marBottom w:val="0"/>
      <w:divBdr>
        <w:top w:val="none" w:sz="0" w:space="0" w:color="auto"/>
        <w:left w:val="none" w:sz="0" w:space="0" w:color="auto"/>
        <w:bottom w:val="none" w:sz="0" w:space="0" w:color="auto"/>
        <w:right w:val="none" w:sz="0" w:space="0" w:color="auto"/>
      </w:divBdr>
    </w:div>
    <w:div w:id="1881897225">
      <w:bodyDiv w:val="1"/>
      <w:marLeft w:val="0"/>
      <w:marRight w:val="0"/>
      <w:marTop w:val="0"/>
      <w:marBottom w:val="0"/>
      <w:divBdr>
        <w:top w:val="none" w:sz="0" w:space="0" w:color="auto"/>
        <w:left w:val="none" w:sz="0" w:space="0" w:color="auto"/>
        <w:bottom w:val="none" w:sz="0" w:space="0" w:color="auto"/>
        <w:right w:val="none" w:sz="0" w:space="0" w:color="auto"/>
      </w:divBdr>
    </w:div>
    <w:div w:id="1885170293">
      <w:bodyDiv w:val="1"/>
      <w:marLeft w:val="0"/>
      <w:marRight w:val="0"/>
      <w:marTop w:val="0"/>
      <w:marBottom w:val="0"/>
      <w:divBdr>
        <w:top w:val="none" w:sz="0" w:space="0" w:color="auto"/>
        <w:left w:val="none" w:sz="0" w:space="0" w:color="auto"/>
        <w:bottom w:val="none" w:sz="0" w:space="0" w:color="auto"/>
        <w:right w:val="none" w:sz="0" w:space="0" w:color="auto"/>
      </w:divBdr>
    </w:div>
    <w:div w:id="1906991026">
      <w:bodyDiv w:val="1"/>
      <w:marLeft w:val="0"/>
      <w:marRight w:val="0"/>
      <w:marTop w:val="0"/>
      <w:marBottom w:val="0"/>
      <w:divBdr>
        <w:top w:val="none" w:sz="0" w:space="0" w:color="auto"/>
        <w:left w:val="none" w:sz="0" w:space="0" w:color="auto"/>
        <w:bottom w:val="none" w:sz="0" w:space="0" w:color="auto"/>
        <w:right w:val="none" w:sz="0" w:space="0" w:color="auto"/>
      </w:divBdr>
    </w:div>
    <w:div w:id="1939410195">
      <w:bodyDiv w:val="1"/>
      <w:marLeft w:val="0"/>
      <w:marRight w:val="0"/>
      <w:marTop w:val="0"/>
      <w:marBottom w:val="0"/>
      <w:divBdr>
        <w:top w:val="none" w:sz="0" w:space="0" w:color="auto"/>
        <w:left w:val="none" w:sz="0" w:space="0" w:color="auto"/>
        <w:bottom w:val="none" w:sz="0" w:space="0" w:color="auto"/>
        <w:right w:val="none" w:sz="0" w:space="0" w:color="auto"/>
      </w:divBdr>
    </w:div>
    <w:div w:id="1940259784">
      <w:bodyDiv w:val="1"/>
      <w:marLeft w:val="0"/>
      <w:marRight w:val="0"/>
      <w:marTop w:val="0"/>
      <w:marBottom w:val="0"/>
      <w:divBdr>
        <w:top w:val="none" w:sz="0" w:space="0" w:color="auto"/>
        <w:left w:val="none" w:sz="0" w:space="0" w:color="auto"/>
        <w:bottom w:val="none" w:sz="0" w:space="0" w:color="auto"/>
        <w:right w:val="none" w:sz="0" w:space="0" w:color="auto"/>
      </w:divBdr>
    </w:div>
    <w:div w:id="1983074989">
      <w:bodyDiv w:val="1"/>
      <w:marLeft w:val="0"/>
      <w:marRight w:val="0"/>
      <w:marTop w:val="0"/>
      <w:marBottom w:val="0"/>
      <w:divBdr>
        <w:top w:val="none" w:sz="0" w:space="0" w:color="auto"/>
        <w:left w:val="none" w:sz="0" w:space="0" w:color="auto"/>
        <w:bottom w:val="none" w:sz="0" w:space="0" w:color="auto"/>
        <w:right w:val="none" w:sz="0" w:space="0" w:color="auto"/>
      </w:divBdr>
    </w:div>
    <w:div w:id="1983540761">
      <w:bodyDiv w:val="1"/>
      <w:marLeft w:val="0"/>
      <w:marRight w:val="0"/>
      <w:marTop w:val="0"/>
      <w:marBottom w:val="0"/>
      <w:divBdr>
        <w:top w:val="none" w:sz="0" w:space="0" w:color="auto"/>
        <w:left w:val="none" w:sz="0" w:space="0" w:color="auto"/>
        <w:bottom w:val="none" w:sz="0" w:space="0" w:color="auto"/>
        <w:right w:val="none" w:sz="0" w:space="0" w:color="auto"/>
      </w:divBdr>
    </w:div>
    <w:div w:id="1996687464">
      <w:bodyDiv w:val="1"/>
      <w:marLeft w:val="0"/>
      <w:marRight w:val="0"/>
      <w:marTop w:val="0"/>
      <w:marBottom w:val="0"/>
      <w:divBdr>
        <w:top w:val="none" w:sz="0" w:space="0" w:color="auto"/>
        <w:left w:val="none" w:sz="0" w:space="0" w:color="auto"/>
        <w:bottom w:val="none" w:sz="0" w:space="0" w:color="auto"/>
        <w:right w:val="none" w:sz="0" w:space="0" w:color="auto"/>
      </w:divBdr>
    </w:div>
    <w:div w:id="2014411544">
      <w:bodyDiv w:val="1"/>
      <w:marLeft w:val="0"/>
      <w:marRight w:val="0"/>
      <w:marTop w:val="0"/>
      <w:marBottom w:val="0"/>
      <w:divBdr>
        <w:top w:val="none" w:sz="0" w:space="0" w:color="auto"/>
        <w:left w:val="none" w:sz="0" w:space="0" w:color="auto"/>
        <w:bottom w:val="none" w:sz="0" w:space="0" w:color="auto"/>
        <w:right w:val="none" w:sz="0" w:space="0" w:color="auto"/>
      </w:divBdr>
    </w:div>
    <w:div w:id="2034761788">
      <w:bodyDiv w:val="1"/>
      <w:marLeft w:val="0"/>
      <w:marRight w:val="0"/>
      <w:marTop w:val="0"/>
      <w:marBottom w:val="0"/>
      <w:divBdr>
        <w:top w:val="none" w:sz="0" w:space="0" w:color="auto"/>
        <w:left w:val="none" w:sz="0" w:space="0" w:color="auto"/>
        <w:bottom w:val="none" w:sz="0" w:space="0" w:color="auto"/>
        <w:right w:val="none" w:sz="0" w:space="0" w:color="auto"/>
      </w:divBdr>
    </w:div>
    <w:div w:id="2107382766">
      <w:bodyDiv w:val="1"/>
      <w:marLeft w:val="0"/>
      <w:marRight w:val="0"/>
      <w:marTop w:val="0"/>
      <w:marBottom w:val="0"/>
      <w:divBdr>
        <w:top w:val="none" w:sz="0" w:space="0" w:color="auto"/>
        <w:left w:val="none" w:sz="0" w:space="0" w:color="auto"/>
        <w:bottom w:val="none" w:sz="0" w:space="0" w:color="auto"/>
        <w:right w:val="none" w:sz="0" w:space="0" w:color="auto"/>
      </w:divBdr>
    </w:div>
    <w:div w:id="2108306826">
      <w:bodyDiv w:val="1"/>
      <w:marLeft w:val="0"/>
      <w:marRight w:val="0"/>
      <w:marTop w:val="0"/>
      <w:marBottom w:val="0"/>
      <w:divBdr>
        <w:top w:val="none" w:sz="0" w:space="0" w:color="auto"/>
        <w:left w:val="none" w:sz="0" w:space="0" w:color="auto"/>
        <w:bottom w:val="none" w:sz="0" w:space="0" w:color="auto"/>
        <w:right w:val="none" w:sz="0" w:space="0" w:color="auto"/>
      </w:divBdr>
    </w:div>
    <w:div w:id="2115635652">
      <w:bodyDiv w:val="1"/>
      <w:marLeft w:val="0"/>
      <w:marRight w:val="0"/>
      <w:marTop w:val="0"/>
      <w:marBottom w:val="0"/>
      <w:divBdr>
        <w:top w:val="none" w:sz="0" w:space="0" w:color="auto"/>
        <w:left w:val="none" w:sz="0" w:space="0" w:color="auto"/>
        <w:bottom w:val="none" w:sz="0" w:space="0" w:color="auto"/>
        <w:right w:val="none" w:sz="0" w:space="0" w:color="auto"/>
      </w:divBdr>
    </w:div>
    <w:div w:id="2127849801">
      <w:bodyDiv w:val="1"/>
      <w:marLeft w:val="0"/>
      <w:marRight w:val="0"/>
      <w:marTop w:val="0"/>
      <w:marBottom w:val="0"/>
      <w:divBdr>
        <w:top w:val="none" w:sz="0" w:space="0" w:color="auto"/>
        <w:left w:val="none" w:sz="0" w:space="0" w:color="auto"/>
        <w:bottom w:val="none" w:sz="0" w:space="0" w:color="auto"/>
        <w:right w:val="none" w:sz="0" w:space="0" w:color="auto"/>
      </w:divBdr>
    </w:div>
    <w:div w:id="213255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curia.europa.eu/juris/document/document.jsf?text=&amp;docid=72270&amp;pageIndex=0&amp;doclang=EN&amp;mode=lst&amp;dir=&amp;occ=first&amp;part=1&amp;cid=9945922" TargetMode="External"/><Relationship Id="rId117" Type="http://schemas.openxmlformats.org/officeDocument/2006/relationships/header" Target="header3.xml"/><Relationship Id="rId21" Type="http://schemas.openxmlformats.org/officeDocument/2006/relationships/hyperlink" Target="https://curia.europa.eu/juris/document/document.jsf?text=&amp;docid=45721&amp;pageIndex=0&amp;doclang=EN&amp;mode=lst&amp;dir=&amp;occ=first&amp;part=1&amp;cid=10763343" TargetMode="External"/><Relationship Id="rId42" Type="http://schemas.openxmlformats.org/officeDocument/2006/relationships/hyperlink" Target="https://curia.europa.eu/juris/document/document.jsf?text=&amp;docid=184891&amp;pageIndex=0&amp;doclang=EN&amp;mode=lst&amp;dir=&amp;occ=first&amp;part=1&amp;cid=9777324" TargetMode="External"/><Relationship Id="rId47" Type="http://schemas.openxmlformats.org/officeDocument/2006/relationships/hyperlink" Target="https://curia.europa.eu/juris/document/document.jsf?text=&amp;docid=60336&amp;pageIndex=0&amp;doclang=EN&amp;mode=lst&amp;dir=&amp;occ=first&amp;part=1&amp;cid=1728241" TargetMode="External"/><Relationship Id="rId63" Type="http://schemas.openxmlformats.org/officeDocument/2006/relationships/hyperlink" Target="https://curia.europa.eu/juris/document/document.jsf?text=&amp;docid=125226&amp;pageIndex=0&amp;doclang=EN&amp;mode=lst&amp;dir=&amp;occ=first&amp;part=1&amp;cid=9889670" TargetMode="External"/><Relationship Id="rId68" Type="http://schemas.openxmlformats.org/officeDocument/2006/relationships/hyperlink" Target="https://curia.europa.eu/juris/document/document.jsf?text=C-98%252F14&amp;docid=164955&amp;pageIndex=0&amp;doclang=EN&amp;mode=req&amp;dir=&amp;occ=first&amp;part=1&amp;cid=9889670" TargetMode="External"/><Relationship Id="rId84" Type="http://schemas.openxmlformats.org/officeDocument/2006/relationships/hyperlink" Target="https://curia.europa.eu/juris/document/document.jsf?text=&amp;docid=81369&amp;pageIndex=0&amp;doclang=en&amp;mode=lst&amp;dir=&amp;occ=first&amp;part=1&amp;cid=10904675" TargetMode="External"/><Relationship Id="rId89" Type="http://schemas.openxmlformats.org/officeDocument/2006/relationships/hyperlink" Target="https://curia.europa.eu/juris/document/document.jsf?text=&amp;docid=47026&amp;pageIndex=0&amp;doclang=EN&amp;mode=lst&amp;dir=&amp;occ=first&amp;part=1&amp;cid=8919687" TargetMode="External"/><Relationship Id="rId112" Type="http://schemas.openxmlformats.org/officeDocument/2006/relationships/hyperlink" Target="https://curia.europa.eu/juris/document/document.jsf?text=&amp;docid=74815&amp;pageIndex=0&amp;doclang=EN&amp;mode=lst&amp;dir=&amp;occ=first&amp;part=1&amp;cid=12991943" TargetMode="External"/><Relationship Id="rId16" Type="http://schemas.openxmlformats.org/officeDocument/2006/relationships/hyperlink" Target="https://curia.europa.eu/juris/showPdf.jsf?text=&amp;docid=100042&amp;pageIndex=0&amp;doclang=EN&amp;mode=lst&amp;dir=&amp;occ=first&amp;part=1&amp;cid=10811412" TargetMode="External"/><Relationship Id="rId107" Type="http://schemas.openxmlformats.org/officeDocument/2006/relationships/hyperlink" Target="https://curia.europa.eu/juris/document/document.jsf?text=&amp;docid=217670&amp;pageIndex=0&amp;doclang=EN&amp;mode=lst&amp;dir=&amp;occ=first&amp;part=1&amp;cid=10880021" TargetMode="External"/><Relationship Id="rId11" Type="http://schemas.openxmlformats.org/officeDocument/2006/relationships/hyperlink" Target="https://curia.europa.eu/juris/document/document.jsf?text=&amp;docid=174105&amp;pageIndex=0&amp;doclang=EN&amp;mode=lst&amp;dir=&amp;occ=first&amp;part=1&amp;cid=10904675" TargetMode="External"/><Relationship Id="rId32" Type="http://schemas.openxmlformats.org/officeDocument/2006/relationships/hyperlink" Target="https://curia.europa.eu/juris/document/document.jsf?text=&amp;docid=187343&amp;pageIndex=0&amp;doclang=EN&amp;mode=lst&amp;dir=&amp;occ=first&amp;part=1&amp;cid=9777324" TargetMode="External"/><Relationship Id="rId37" Type="http://schemas.openxmlformats.org/officeDocument/2006/relationships/hyperlink" Target="https://curia.europa.eu/juris/document/document.jsf?text=&amp;docid=85136&amp;pageIndex=0&amp;doclang=EN&amp;mode=lst&amp;dir=&amp;occ=first&amp;part=1&amp;cid=15388659" TargetMode="External"/><Relationship Id="rId53" Type="http://schemas.openxmlformats.org/officeDocument/2006/relationships/hyperlink" Target="https://curia.europa.eu/juris/document/document.jsf?text=&amp;docid=217670&amp;pageIndex=0&amp;doclang=EN&amp;mode=lst&amp;dir=&amp;occ=first&amp;part=1&amp;cid=10880021" TargetMode="External"/><Relationship Id="rId58" Type="http://schemas.openxmlformats.org/officeDocument/2006/relationships/hyperlink" Target="https://curia.europa.eu/juris/document/document.jsf?text=&amp;docid=296555&amp;pageIndex=0&amp;doclang=EN&amp;mode=lst&amp;dir=&amp;occ=first&amp;part=1&amp;cid=14002600" TargetMode="External"/><Relationship Id="rId74" Type="http://schemas.openxmlformats.org/officeDocument/2006/relationships/hyperlink" Target="https://curia.europa.eu/juris/showPdf.jsf?text=&amp;docid=98918&amp;pageIndex=0&amp;doclang=EN&amp;mode=lst&amp;dir=&amp;occ=first&amp;part=1&amp;cid=12994086" TargetMode="External"/><Relationship Id="rId79" Type="http://schemas.openxmlformats.org/officeDocument/2006/relationships/hyperlink" Target="https://curia.europa.eu/juris/showPdf.jsf?text=&amp;docid=44625&amp;pageIndex=0&amp;doclang=en&amp;mode=lst&amp;dir=&amp;occ=first&amp;part=1&amp;cid=7836692" TargetMode="External"/><Relationship Id="rId102" Type="http://schemas.openxmlformats.org/officeDocument/2006/relationships/hyperlink" Target="https://curia.europa.eu/juris/document/document.jsf?docid=59571&amp;mode=req&amp;pageIndex=1&amp;dir=&amp;occ=first&amp;part=1&amp;text=&amp;doclang=EN&amp;cid=8886921" TargetMode="External"/><Relationship Id="rId5" Type="http://schemas.openxmlformats.org/officeDocument/2006/relationships/webSettings" Target="webSettings.xml"/><Relationship Id="rId90" Type="http://schemas.openxmlformats.org/officeDocument/2006/relationships/hyperlink" Target="https://curia.europa.eu/juris/document/document.jsf?text=&amp;docid=59577&amp;pageIndex=0&amp;doclang=FR&amp;mode=lst&amp;dir=&amp;occ=first&amp;part=1&amp;cid=12994086" TargetMode="External"/><Relationship Id="rId95" Type="http://schemas.openxmlformats.org/officeDocument/2006/relationships/hyperlink" Target="https://curia.europa.eu/juris/document/document.jsf?text=&amp;docid=133244&amp;pageIndex=0&amp;doclang=EN&amp;mode=lst&amp;dir=&amp;occ=first&amp;part=1&amp;cid=10904675" TargetMode="External"/><Relationship Id="rId22" Type="http://schemas.openxmlformats.org/officeDocument/2006/relationships/hyperlink" Target="https://curia.europa.eu/juris/document/document.jsf?text=&amp;docid=45811&amp;pageIndex=0&amp;doclang=EN&amp;mode=lst&amp;dir=&amp;occ=first&amp;part=1&amp;cid=8919687" TargetMode="External"/><Relationship Id="rId27" Type="http://schemas.openxmlformats.org/officeDocument/2006/relationships/hyperlink" Target="https://curia.europa.eu/juris/document/document.jsf?text=&amp;docid=81451&amp;pageIndex=0&amp;doclang=EN&amp;mode=lst&amp;dir=&amp;occ=first&amp;part=1&amp;cid=9945922" TargetMode="External"/><Relationship Id="rId43" Type="http://schemas.openxmlformats.org/officeDocument/2006/relationships/hyperlink" Target="https://curia.europa.eu/juris/document/document.jsf?text=&amp;docid=187343&amp;pageIndex=0&amp;doclang=EN&amp;mode=lst&amp;dir=&amp;occ=first&amp;part=1&amp;cid=9777324" TargetMode="External"/><Relationship Id="rId48" Type="http://schemas.openxmlformats.org/officeDocument/2006/relationships/hyperlink" Target="https://curia.europa.eu/juris/document/document.jsf?text=&amp;docid=174105&amp;pageIndex=0&amp;doclang=EN&amp;mode=lst&amp;dir=&amp;occ=first&amp;part=1&amp;cid=10904675" TargetMode="External"/><Relationship Id="rId64" Type="http://schemas.openxmlformats.org/officeDocument/2006/relationships/hyperlink" Target="https://curia.europa.eu/juris/document/document.jsf?text=&amp;docid=184891&amp;pageIndex=0&amp;doclang=EN&amp;mode=lst&amp;dir=&amp;occ=first&amp;part=1&amp;cid=9777324" TargetMode="External"/><Relationship Id="rId69" Type="http://schemas.openxmlformats.org/officeDocument/2006/relationships/hyperlink" Target="https://curia.europa.eu/juris/document/document.jsf?text=&amp;docid=232154&amp;pageIndex=0&amp;doclang=EN&amp;mode=lst&amp;dir=&amp;occ=first&amp;part=1&amp;cid=10904675" TargetMode="External"/><Relationship Id="rId113" Type="http://schemas.openxmlformats.org/officeDocument/2006/relationships/header" Target="header1.xml"/><Relationship Id="rId118" Type="http://schemas.openxmlformats.org/officeDocument/2006/relationships/footer" Target="footer3.xml"/><Relationship Id="rId80" Type="http://schemas.openxmlformats.org/officeDocument/2006/relationships/hyperlink" Target="https://curia.europa.eu/juris/document/document.jsf?text=&amp;docid=58142&amp;pageIndex=0&amp;doclang=EN&amp;mode=lst&amp;dir=&amp;occ=first&amp;part=1&amp;cid=8886921" TargetMode="External"/><Relationship Id="rId85" Type="http://schemas.openxmlformats.org/officeDocument/2006/relationships/hyperlink" Target="https://curia.europa.eu/juris/document/document.jsf?text=&amp;docid=133244&amp;pageIndex=0&amp;doclang=en&amp;mode=lst&amp;dir=&amp;occ=first&amp;part=1&amp;cid=10904675" TargetMode="External"/><Relationship Id="rId12" Type="http://schemas.openxmlformats.org/officeDocument/2006/relationships/hyperlink" Target="https://eur-lex.europa.eu/legal-content/EN/TXT/PDF/?uri=CELEX:61994CJ0194" TargetMode="External"/><Relationship Id="rId17" Type="http://schemas.openxmlformats.org/officeDocument/2006/relationships/hyperlink" Target="https://curia.europa.eu/juris/showPdf.jsf?text=&amp;docid=99992&amp;pageIndex=0&amp;doclang=EN&amp;mode=lst&amp;dir=&amp;occ=first&amp;part=1&amp;cid=10811412" TargetMode="External"/><Relationship Id="rId33" Type="http://schemas.openxmlformats.org/officeDocument/2006/relationships/hyperlink" Target="https://curia.europa.eu/juris/document/document.jsf?text=&amp;docid=206117&amp;pageIndex=0&amp;doclang=EN&amp;mode=lst&amp;dir=&amp;occ=first&amp;part=1&amp;cid=9777324" TargetMode="External"/><Relationship Id="rId38" Type="http://schemas.openxmlformats.org/officeDocument/2006/relationships/hyperlink" Target="https://curia.europa.eu/juris/document/document.jsf?text=&amp;docid=125226&amp;pageIndex=0&amp;doclang=EN&amp;mode=lst&amp;dir=&amp;occ=first&amp;part=1&amp;cid=9889670" TargetMode="External"/><Relationship Id="rId59" Type="http://schemas.openxmlformats.org/officeDocument/2006/relationships/hyperlink" Target="https://curia.europa.eu/juris/showPdf.jsf?text=&amp;docid=43725&amp;pageIndex=0&amp;doclang=EN&amp;mode=lst&amp;dir=&amp;occ=first&amp;part=1&amp;cid=10811412" TargetMode="External"/><Relationship Id="rId103" Type="http://schemas.openxmlformats.org/officeDocument/2006/relationships/hyperlink" Target="https://curia.europa.eu/juris/document/document.jsf?text=&amp;docid=133244&amp;pageIndex=0&amp;doclang=EN&amp;mode=lst&amp;dir=&amp;occ=first&amp;part=1&amp;cid=10904675" TargetMode="External"/><Relationship Id="rId108" Type="http://schemas.openxmlformats.org/officeDocument/2006/relationships/hyperlink" Target="https://curia.europa.eu/juris/document/document.jsf?text=&amp;docid=45692&amp;pageIndex=0&amp;doclang=EN&amp;mode=lst&amp;dir=&amp;occ=first&amp;part=1&amp;cid=10763343" TargetMode="External"/><Relationship Id="rId54" Type="http://schemas.openxmlformats.org/officeDocument/2006/relationships/hyperlink" Target="https://curia.europa.eu/juris/document/document.jsf?text=&amp;docid=221791&amp;pageIndex=0&amp;doclang=EN&amp;mode=lst&amp;dir=&amp;occ=first&amp;part=1&amp;cid=10861227" TargetMode="External"/><Relationship Id="rId70" Type="http://schemas.openxmlformats.org/officeDocument/2006/relationships/hyperlink" Target="https://curia.europa.eu/juris/document/document.jsf?text=&amp;docid=268786&amp;pageIndex=0&amp;doclang=EN&amp;mode=lst&amp;dir=&amp;occ=first&amp;part=1&amp;cid=14061944" TargetMode="External"/><Relationship Id="rId75" Type="http://schemas.openxmlformats.org/officeDocument/2006/relationships/hyperlink" Target="https://curia.europa.eu/juris/showPdf.jsf?text=&amp;docid=98889&amp;pageIndex=0&amp;doclang=EN&amp;mode=lst&amp;dir=&amp;occ=first&amp;part=1&amp;cid=12994086" TargetMode="External"/><Relationship Id="rId91" Type="http://schemas.openxmlformats.org/officeDocument/2006/relationships/hyperlink" Target="https://curia.europa.eu/juris/document/document.jsf?text=&amp;docid=59577&amp;pageIndex=0&amp;doclang=FR&amp;mode=lst&amp;dir=&amp;occ=first&amp;part=1&amp;cid=12994086" TargetMode="External"/><Relationship Id="rId96" Type="http://schemas.openxmlformats.org/officeDocument/2006/relationships/hyperlink" Target="https://curia.europa.eu/juris/showPdf.jsf?text=&amp;docid=100042&amp;pageIndex=0&amp;doclang=EN&amp;mode=lst&amp;dir=&amp;occ=first&amp;part=1&amp;cid=10811412"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curia.europa.eu/juris/document/document.jsf?text=&amp;docid=45877&amp;pageIndex=0&amp;doclang=EN&amp;mode=lst&amp;dir=&amp;occ=first&amp;part=1&amp;cid=8919687" TargetMode="External"/><Relationship Id="rId28" Type="http://schemas.openxmlformats.org/officeDocument/2006/relationships/hyperlink" Target="https://curia.europa.eu/juris/document/document.jsf?text=&amp;docid=85136&amp;pageIndex=0&amp;doclang=EN&amp;mode=lst&amp;dir=&amp;occ=first&amp;part=1&amp;cid=15388659" TargetMode="External"/><Relationship Id="rId49" Type="http://schemas.openxmlformats.org/officeDocument/2006/relationships/hyperlink" Target="https://curia.europa.eu/juris/document/document.jsf?text=&amp;docid=184507&amp;pageIndex=0&amp;doclang=EN&amp;mode=lst&amp;dir=&amp;occ=first&amp;part=1&amp;cid=9889670" TargetMode="External"/><Relationship Id="rId114" Type="http://schemas.openxmlformats.org/officeDocument/2006/relationships/header" Target="header2.xml"/><Relationship Id="rId119" Type="http://schemas.openxmlformats.org/officeDocument/2006/relationships/fontTable" Target="fontTable.xml"/><Relationship Id="rId10" Type="http://schemas.openxmlformats.org/officeDocument/2006/relationships/hyperlink" Target="https://eur-lex.europa.eu/eli/dir/1983/189/oj/eng" TargetMode="External"/><Relationship Id="rId31" Type="http://schemas.openxmlformats.org/officeDocument/2006/relationships/hyperlink" Target="https://curia.europa.eu/juris/document/document.jsf?text=&amp;docid=184891&amp;pageIndex=0&amp;doclang=EN&amp;mode=lst&amp;dir=&amp;occ=first&amp;part=1&amp;cid=9777324" TargetMode="External"/><Relationship Id="rId44" Type="http://schemas.openxmlformats.org/officeDocument/2006/relationships/hyperlink" Target="https://curia.europa.eu/juris/document/document.jsf?text=C-727%252F17&amp;docid=226861&amp;pageIndex=0&amp;doclang=EN&amp;mode=req&amp;dir=&amp;occ=first&amp;part=1&amp;cid=9761408" TargetMode="External"/><Relationship Id="rId52" Type="http://schemas.openxmlformats.org/officeDocument/2006/relationships/hyperlink" Target="https://curia.europa.eu/juris/document/document.jsf?text=&amp;docid=206117&amp;pageIndex=0&amp;doclang=EN&amp;mode=lst&amp;dir=&amp;occ=first&amp;part=1&amp;cid=9777324" TargetMode="External"/><Relationship Id="rId60" Type="http://schemas.openxmlformats.org/officeDocument/2006/relationships/hyperlink" Target="https://curia.europa.eu/juris/document/document.jsf?text=&amp;docid=58142&amp;pageIndex=0&amp;doclang=EN&amp;mode=lst&amp;dir=&amp;occ=first&amp;part=1&amp;cid=8886921" TargetMode="External"/><Relationship Id="rId65" Type="http://schemas.openxmlformats.org/officeDocument/2006/relationships/hyperlink" Target="https://curia.europa.eu/juris/document/document.jsf?text=C-727%252F17&amp;docid=226861&amp;pageIndex=0&amp;doclang=EN&amp;mode=req&amp;dir=&amp;occ=first&amp;part=1&amp;cid=9761408" TargetMode="External"/><Relationship Id="rId73" Type="http://schemas.openxmlformats.org/officeDocument/2006/relationships/hyperlink" Target="https://curia.europa.eu/juris/showPdf.jsf?text=&amp;docid=98488&amp;pageIndex=0&amp;doclang=EN&amp;mode=lst&amp;dir=&amp;occ=first&amp;part=1&amp;cid=12994086" TargetMode="External"/><Relationship Id="rId78" Type="http://schemas.openxmlformats.org/officeDocument/2006/relationships/hyperlink" Target="https://curia.europa.eu/juris/showPdf.jsf?text=&amp;docid=98765&amp;pageIndex=0&amp;doclang=EN&amp;mode=lst&amp;dir=&amp;occ=first&amp;part=1&amp;cid=10811412" TargetMode="External"/><Relationship Id="rId81" Type="http://schemas.openxmlformats.org/officeDocument/2006/relationships/hyperlink" Target="https://curia.europa.eu/juris/document/document.jsf?text=&amp;docid=296555&amp;pageIndex=0&amp;doclang=en&amp;mode=lst&amp;dir=&amp;occ=first&amp;part=1&amp;cid=14002600" TargetMode="External"/><Relationship Id="rId86" Type="http://schemas.openxmlformats.org/officeDocument/2006/relationships/hyperlink" Target="https://curia.europa.eu/juris/document/document.jsf?text=&amp;docid=154825&amp;pageIndex=0&amp;doclang=EN&amp;mode=lst&amp;dir=&amp;occ=first&amp;part=1&amp;cid=9889670" TargetMode="External"/><Relationship Id="rId94" Type="http://schemas.openxmlformats.org/officeDocument/2006/relationships/hyperlink" Target="https://curia.europa.eu/juris/document/document.jsf?text=&amp;docid=271072&amp;pageIndex=0&amp;doclang=EN&amp;mode=lst&amp;dir=&amp;occ=first&amp;part=1&amp;cid=14061944" TargetMode="External"/><Relationship Id="rId99" Type="http://schemas.openxmlformats.org/officeDocument/2006/relationships/hyperlink" Target="https://curia.europa.eu/juris/showPdf.jsf?text=&amp;docid=99809&amp;pageIndex=0&amp;doclang=en&amp;mode=lst&amp;dir=&amp;occ=first&amp;part=1&amp;cid=10904675" TargetMode="External"/><Relationship Id="rId101" Type="http://schemas.openxmlformats.org/officeDocument/2006/relationships/hyperlink" Target="https://curia.europa.eu/juris/document/document.jsf?text=&amp;docid=47386&amp;pageIndex=0&amp;doclang=EN&amp;mode=lst&amp;dir=&amp;occ=first&amp;part=1&amp;cid=8919687" TargetMode="External"/><Relationship Id="rId4" Type="http://schemas.openxmlformats.org/officeDocument/2006/relationships/settings" Target="settings.xml"/><Relationship Id="rId9" Type="http://schemas.openxmlformats.org/officeDocument/2006/relationships/hyperlink" Target="https://eur-lex.europa.eu/legal-content/EN/TXT/PDF/?uri=CELEX:01998L0034-19980805" TargetMode="External"/><Relationship Id="rId13" Type="http://schemas.openxmlformats.org/officeDocument/2006/relationships/hyperlink" Target="https://curia.europa.eu/juris/showPdf.jsf?text=&amp;docid=100864&amp;pageIndex=0&amp;doclang=EN&amp;mode=lst&amp;dir=&amp;occ=first&amp;part=1&amp;cid=10811412" TargetMode="External"/><Relationship Id="rId18" Type="http://schemas.openxmlformats.org/officeDocument/2006/relationships/hyperlink" Target="https://curia.europa.eu/juris/document/document.jsf?text=&amp;docid=44578&amp;pageIndex=0&amp;doclang=EN&amp;mode=lst&amp;dir=&amp;occ=first&amp;part=1&amp;cid=10779034" TargetMode="External"/><Relationship Id="rId39" Type="http://schemas.openxmlformats.org/officeDocument/2006/relationships/hyperlink" Target="https://curia.europa.eu/juris/document/document.jsf?text=&amp;docid=154825&amp;pageIndex=0&amp;doclang=EN&amp;mode=lst&amp;dir=&amp;occ=first&amp;part=1&amp;cid=9889670" TargetMode="External"/><Relationship Id="rId109" Type="http://schemas.openxmlformats.org/officeDocument/2006/relationships/hyperlink" Target="https://curia.europa.eu/juris/document/document.jsf?text=&amp;docid=165924&amp;pageIndex=0&amp;doclang=EN&amp;mode=lst&amp;dir=&amp;occ=first&amp;part=1&amp;cid=12979947" TargetMode="External"/><Relationship Id="rId34" Type="http://schemas.openxmlformats.org/officeDocument/2006/relationships/hyperlink" Target="https://curia.europa.eu/juris/document/document.jsf?text=C-727%252F17&amp;docid=226861&amp;pageIndex=0&amp;doclang=EN&amp;mode=req&amp;dir=&amp;occ=first&amp;part=1&amp;cid=9761408" TargetMode="External"/><Relationship Id="rId50" Type="http://schemas.openxmlformats.org/officeDocument/2006/relationships/hyperlink" Target="https://curia.europa.eu/juris/document/document.jsf?text=&amp;docid=198047&amp;pageIndex=0&amp;doclang=EN&amp;mode=lst&amp;dir=&amp;occ=first&amp;part=1&amp;cid=10880021" TargetMode="External"/><Relationship Id="rId55" Type="http://schemas.openxmlformats.org/officeDocument/2006/relationships/hyperlink" Target="https://curia.europa.eu/juris/document/document.jsf?text=&amp;docid=232725&amp;pageIndex=0&amp;doclang=EN&amp;mode=lst&amp;dir=&amp;occ=first&amp;part=1&amp;cid=7847310" TargetMode="External"/><Relationship Id="rId76" Type="http://schemas.openxmlformats.org/officeDocument/2006/relationships/hyperlink" Target="https://curia.europa.eu/juris/document/document.jsf?text=&amp;docid=59577&amp;pageIndex=0&amp;doclang=FR&amp;mode=lst&amp;dir=&amp;occ=first&amp;part=1&amp;cid=12994086" TargetMode="External"/><Relationship Id="rId97" Type="http://schemas.openxmlformats.org/officeDocument/2006/relationships/hyperlink" Target="https://curia.europa.eu/juris/document/document.jsf?text=&amp;docid=43935&amp;pageIndex=0&amp;doclang=EN&amp;mode=lst&amp;dir=&amp;occ=first&amp;part=1&amp;cid=10779034" TargetMode="External"/><Relationship Id="rId104" Type="http://schemas.openxmlformats.org/officeDocument/2006/relationships/hyperlink" Target="https://curia.europa.eu/juris/document/document.jsf?text=&amp;docid=174105&amp;pageIndex=0&amp;doclang=EN&amp;mode=lst&amp;dir=&amp;occ=first&amp;part=1&amp;cid=10904675"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curia.europa.eu/juris/document/document.jsf?text=&amp;docid=60336&amp;pageIndex=0&amp;doclang=EN&amp;mode=lst&amp;dir=&amp;occ=first&amp;part=1&amp;cid=1728241" TargetMode="External"/><Relationship Id="rId92" Type="http://schemas.openxmlformats.org/officeDocument/2006/relationships/hyperlink" Target="https://curia.europa.eu/juris/document/document.jsf?text=&amp;docid=232150&amp;pageIndex=0&amp;doclang=EN&amp;mode=lst&amp;dir=&amp;occ=first&amp;part=1&amp;cid=12985433" TargetMode="External"/><Relationship Id="rId2" Type="http://schemas.openxmlformats.org/officeDocument/2006/relationships/numbering" Target="numbering.xml"/><Relationship Id="rId29" Type="http://schemas.openxmlformats.org/officeDocument/2006/relationships/hyperlink" Target="https://curia.europa.eu/juris/document/document.jsf?text=&amp;docid=125226&amp;pageIndex=0&amp;doclang=EN&amp;mode=lst&amp;dir=&amp;occ=first&amp;part=1&amp;cid=9889670" TargetMode="External"/><Relationship Id="rId24" Type="http://schemas.openxmlformats.org/officeDocument/2006/relationships/hyperlink" Target="https://curia.europa.eu/juris/document/document.jsf?text=&amp;docid=47386&amp;pageIndex=0&amp;doclang=EN&amp;mode=lst&amp;dir=&amp;occ=first&amp;part=1&amp;cid=8919687" TargetMode="External"/><Relationship Id="rId40" Type="http://schemas.openxmlformats.org/officeDocument/2006/relationships/hyperlink" Target="https://curia.europa.eu/juris/document/document.jsf?text=C-98%252F14&amp;docid=164955&amp;pageIndex=0&amp;doclang=EN&amp;mode=req&amp;dir=&amp;occ=first&amp;part=1&amp;cid=9889670" TargetMode="External"/><Relationship Id="rId45" Type="http://schemas.openxmlformats.org/officeDocument/2006/relationships/hyperlink" Target="https://curia.europa.eu/juris/document/document.jsf?text=&amp;docid=267738&amp;pageIndex=0&amp;doclang=EN&amp;mode=lst&amp;dir=&amp;occ=first&amp;part=1&amp;cid=14061944" TargetMode="External"/><Relationship Id="rId66" Type="http://schemas.openxmlformats.org/officeDocument/2006/relationships/hyperlink" Target="https://curia.europa.eu/juris/showPdf.jsf?text=&amp;docid=100864&amp;pageIndex=0&amp;doclang=EN&amp;mode=lst&amp;dir=&amp;occ=first&amp;part=1&amp;cid=10811412" TargetMode="External"/><Relationship Id="rId87" Type="http://schemas.openxmlformats.org/officeDocument/2006/relationships/hyperlink" Target="https://curia.europa.eu/juris/showPdf.jsf?text=&amp;docid=99992&amp;pageIndex=0&amp;doclang=EN&amp;mode=lst&amp;dir=&amp;occ=first&amp;part=1&amp;cid=10811412" TargetMode="External"/><Relationship Id="rId110" Type="http://schemas.openxmlformats.org/officeDocument/2006/relationships/hyperlink" Target="https://curia.europa.eu/juris/document/document.jsf?text=&amp;docid=280771&amp;pageIndex=0&amp;doclang=EN&amp;mode=lst&amp;dir=&amp;occ=first&amp;part=1&amp;cid=14061944" TargetMode="External"/><Relationship Id="rId115" Type="http://schemas.openxmlformats.org/officeDocument/2006/relationships/footer" Target="footer1.xml"/><Relationship Id="rId61" Type="http://schemas.openxmlformats.org/officeDocument/2006/relationships/hyperlink" Target="https://curia.europa.eu/juris/document/document.jsf?docid=59571&amp;mode=req&amp;pageIndex=1&amp;dir=&amp;occ=first&amp;part=1&amp;text=&amp;doclang=EN&amp;cid=8886921" TargetMode="External"/><Relationship Id="rId82" Type="http://schemas.openxmlformats.org/officeDocument/2006/relationships/hyperlink" Target="https://curia.europa.eu/juris/showPdf.jsf?text=&amp;docid=43725&amp;pageIndex=0&amp;doclang=en&amp;mode=lst&amp;dir=&amp;occ=first&amp;part=1&amp;cid=10904675" TargetMode="External"/><Relationship Id="rId19" Type="http://schemas.openxmlformats.org/officeDocument/2006/relationships/hyperlink" Target="https://curia.europa.eu/juris/document/document.jsf?text=&amp;docid=47026&amp;pageIndex=0&amp;doclang=EN&amp;mode=lst&amp;dir=&amp;occ=first&amp;part=1&amp;cid=8919687" TargetMode="External"/><Relationship Id="rId14" Type="http://schemas.openxmlformats.org/officeDocument/2006/relationships/hyperlink" Target="https://curia.europa.eu/juris/document/document.jsf?text=&amp;docid=45811&amp;pageIndex=0&amp;doclang=EN&amp;mode=lst&amp;dir=&amp;occ=first&amp;part=1&amp;cid=8919687" TargetMode="External"/><Relationship Id="rId30" Type="http://schemas.openxmlformats.org/officeDocument/2006/relationships/hyperlink" Target="https://curia.europa.eu/juris/document/document.jsf?text=&amp;docid=154825&amp;pageIndex=0&amp;doclang=EN&amp;mode=lst&amp;dir=&amp;occ=first&amp;part=1&amp;cid=9889670" TargetMode="External"/><Relationship Id="rId35" Type="http://schemas.openxmlformats.org/officeDocument/2006/relationships/hyperlink" Target="https://curia.europa.eu/juris/document/document.jsf?text=&amp;docid=232725&amp;pageIndex=0&amp;doclang=EN&amp;mode=lst&amp;dir=&amp;occ=first&amp;part=1&amp;cid=7847310" TargetMode="External"/><Relationship Id="rId56" Type="http://schemas.openxmlformats.org/officeDocument/2006/relationships/hyperlink" Target="https://curia.europa.eu/juris/document/document.jsf?text=&amp;docid=234921&amp;pageIndex=0&amp;doclang=EN&amp;mode=lst&amp;dir=&amp;occ=first&amp;part=1&amp;cid=10811412" TargetMode="External"/><Relationship Id="rId77" Type="http://schemas.openxmlformats.org/officeDocument/2006/relationships/hyperlink" Target="https://curia.europa.eu/juris/document/document.jsf?text=&amp;docid=185545&amp;pageIndex=0&amp;doclang=EN&amp;mode=lst&amp;dir=&amp;occ=first&amp;part=1&amp;cid=13138882" TargetMode="External"/><Relationship Id="rId100" Type="http://schemas.openxmlformats.org/officeDocument/2006/relationships/hyperlink" Target="https://curia.europa.eu/juris/document/document.jsf?text=&amp;docid=43935&amp;pageIndex=0&amp;doclang=EN&amp;mode=lst&amp;dir=&amp;occ=first&amp;part=1&amp;cid=10779034" TargetMode="External"/><Relationship Id="rId105" Type="http://schemas.openxmlformats.org/officeDocument/2006/relationships/hyperlink" Target="https://curia.europa.eu/juris/document/document.jsf?text=&amp;docid=177362&amp;pageIndex=0&amp;doclang=FR&amp;mode=lst&amp;dir=&amp;occ=first&amp;part=1&amp;cid=12982840" TargetMode="External"/><Relationship Id="rId8" Type="http://schemas.openxmlformats.org/officeDocument/2006/relationships/hyperlink" Target="https://eur-lex.europa.eu/eli/dir/2015/1535/oj/eng" TargetMode="External"/><Relationship Id="rId51" Type="http://schemas.openxmlformats.org/officeDocument/2006/relationships/hyperlink" Target="https://curia.europa.eu/juris/document/document.jsf?text=&amp;docid=200882&amp;pageIndex=0&amp;doclang=EN&amp;mode=lst&amp;dir=&amp;occ=first&amp;part=1&amp;cid=10880021" TargetMode="External"/><Relationship Id="rId72" Type="http://schemas.openxmlformats.org/officeDocument/2006/relationships/hyperlink" Target="https://curia.europa.eu/juris/document/document.jsf?text=&amp;docid=217670&amp;pageIndex=0&amp;doclang=EN&amp;mode=lst&amp;dir=&amp;occ=first&amp;part=1&amp;cid=10880021" TargetMode="External"/><Relationship Id="rId93" Type="http://schemas.openxmlformats.org/officeDocument/2006/relationships/hyperlink" Target="https://curia.europa.eu/juris/document/document.jsf?text=&amp;docid=226981&amp;pageIndex=0&amp;doclang=EN&amp;mode=lst&amp;dir=&amp;occ=first&amp;part=1&amp;cid=5973987" TargetMode="External"/><Relationship Id="rId98" Type="http://schemas.openxmlformats.org/officeDocument/2006/relationships/hyperlink" Target="https://curia.europa.eu/juris/document/document.jsf?text=&amp;docid=58142&amp;pageIndex=0&amp;doclang=EN&amp;mode=lst&amp;dir=&amp;occ=first&amp;part=1&amp;cid=8886921" TargetMode="External"/><Relationship Id="rId3" Type="http://schemas.openxmlformats.org/officeDocument/2006/relationships/styles" Target="styles.xml"/><Relationship Id="rId25" Type="http://schemas.openxmlformats.org/officeDocument/2006/relationships/hyperlink" Target="https://curia.europa.eu/juris/document/document.jsf?text=&amp;docid=59577&amp;pageIndex=0&amp;doclang=FR&amp;mode=lst&amp;dir=&amp;occ=first&amp;part=1&amp;cid=12994086" TargetMode="External"/><Relationship Id="rId46" Type="http://schemas.openxmlformats.org/officeDocument/2006/relationships/hyperlink" Target="https://curia.europa.eu/juris/document/document.jsf?text=&amp;docid=271072&amp;pageIndex=0&amp;doclang=EN&amp;mode=lst&amp;dir=&amp;occ=first&amp;part=1&amp;cid=14061944" TargetMode="External"/><Relationship Id="rId67" Type="http://schemas.openxmlformats.org/officeDocument/2006/relationships/hyperlink" Target="https://curia.europa.eu/juris/document/document.jsf?text=&amp;docid=154825&amp;pageIndex=0&amp;doclang=EN&amp;mode=lst&amp;dir=&amp;occ=first&amp;part=1&amp;cid=9889670" TargetMode="External"/><Relationship Id="rId116" Type="http://schemas.openxmlformats.org/officeDocument/2006/relationships/footer" Target="footer2.xml"/><Relationship Id="rId20" Type="http://schemas.openxmlformats.org/officeDocument/2006/relationships/hyperlink" Target="https://curia.europa.eu/juris/document/document.jsf?text=&amp;docid=45692&amp;pageIndex=0&amp;doclang=EN&amp;mode=lst&amp;dir=&amp;occ=first&amp;part=1&amp;cid=10763343" TargetMode="External"/><Relationship Id="rId41" Type="http://schemas.openxmlformats.org/officeDocument/2006/relationships/hyperlink" Target="https://curia.europa.eu/juris/document/document.jsf?text=&amp;docid=184507&amp;pageIndex=0&amp;doclang=EN&amp;mode=lst&amp;dir=&amp;occ=first&amp;part=1&amp;cid=9889670" TargetMode="External"/><Relationship Id="rId62" Type="http://schemas.openxmlformats.org/officeDocument/2006/relationships/hyperlink" Target="https://curia.europa.eu/juris/document/document.jsf?text=&amp;docid=63941&amp;pageIndex=0&amp;doclang=EN&amp;mode=lst&amp;dir=&amp;occ=first&amp;part=1&amp;cid=8886921" TargetMode="External"/><Relationship Id="rId83" Type="http://schemas.openxmlformats.org/officeDocument/2006/relationships/hyperlink" Target="https://curia.europa.eu/juris/document/document.jsf?text=&amp;docid=43839&amp;pageIndex=0&amp;doclang=EN&amp;mode=lst&amp;dir=&amp;occ=first&amp;part=1&amp;cid=10811412" TargetMode="External"/><Relationship Id="rId88" Type="http://schemas.openxmlformats.org/officeDocument/2006/relationships/hyperlink" Target="https://curia.europa.eu/juris/document/document.jsf?text=&amp;docid=45692&amp;pageIndex=0&amp;doclang=EN&amp;mode=lst&amp;dir=&amp;occ=first&amp;part=1&amp;cid=10763343" TargetMode="External"/><Relationship Id="rId111" Type="http://schemas.openxmlformats.org/officeDocument/2006/relationships/hyperlink" Target="https://curia.europa.eu/juris/document/document.jsf?text=C-98%252F14&amp;docid=164955&amp;pageIndex=0&amp;doclang=EN&amp;mode=req&amp;dir=&amp;occ=first&amp;part=1&amp;cid=9889670" TargetMode="External"/><Relationship Id="rId15" Type="http://schemas.openxmlformats.org/officeDocument/2006/relationships/hyperlink" Target="https://curia.europa.eu/juris/document/document.jsf?text=&amp;docid=234921&amp;pageIndex=0&amp;doclang=EN&amp;mode=lst&amp;dir=&amp;occ=first&amp;part=1&amp;cid=7739074" TargetMode="External"/><Relationship Id="rId36" Type="http://schemas.openxmlformats.org/officeDocument/2006/relationships/hyperlink" Target="https://curia.europa.eu/juris/document/document.jsf?text=&amp;docid=58142&amp;pageIndex=0&amp;doclang=EN&amp;mode=lst&amp;dir=&amp;occ=first&amp;part=1&amp;cid=8886921" TargetMode="External"/><Relationship Id="rId57" Type="http://schemas.openxmlformats.org/officeDocument/2006/relationships/hyperlink" Target="https://curia.europa.eu/juris/document/document.jsf?text=&amp;docid=283281&amp;pageIndex=0&amp;doclang=EN&amp;mode=lst&amp;dir=&amp;occ=first&amp;part=1&amp;cid=14054161" TargetMode="External"/><Relationship Id="rId106" Type="http://schemas.openxmlformats.org/officeDocument/2006/relationships/hyperlink" Target="https://curia.europa.eu/juris/document/document.jsf?text=&amp;docid=187343&amp;pageIndex=0&amp;doclang=EN&amp;mode=lst&amp;dir=&amp;occ=first&amp;part=1&amp;cid=9777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2775D-4CE0-4D03-B06F-D0E027526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32170</Words>
  <Characters>174042</Characters>
  <Application>Microsoft Office Word</Application>
  <DocSecurity>0</DocSecurity>
  <Lines>3053</Lines>
  <Paragraphs>900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205312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 Brice (GROW)</dc:creator>
  <cp:keywords/>
  <dc:description/>
  <cp:lastModifiedBy>ANTOSOVA Sarka (GROW)</cp:lastModifiedBy>
  <cp:revision>2</cp:revision>
  <cp:lastPrinted>2025-05-13T14:46:00Z</cp:lastPrinted>
  <dcterms:created xsi:type="dcterms:W3CDTF">2025-09-23T15:13:00Z</dcterms:created>
  <dcterms:modified xsi:type="dcterms:W3CDTF">2025-09-23T15:13:00Z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2025-04-02T09:32:03Z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b0298679-eda4-43ad-8f56-7a14780fa596</vt:lpwstr>
  </property>
  <property fmtid="{D5CDD505-2E9C-101B-9397-08002B2CF9AE}" pid="8" name="MSIP_Label_6bd9ddd1-4d20-43f6-abfa-fc3c07406f94_ContentBits">
    <vt:lpwstr>0</vt:lpwstr>
  </property>
</Properties>
</file>