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8CA5" w14:textId="71F4B4E0" w:rsidR="002478C1" w:rsidRPr="002478C1" w:rsidRDefault="002478C1" w:rsidP="002478C1">
      <w:pPr>
        <w:rPr>
          <w:rFonts w:ascii="Courier New" w:hAnsi="Courier New"/>
          <w:sz w:val="20"/>
          <w:szCs w:val="20"/>
        </w:rPr>
      </w:pPr>
      <w:r>
        <w:rPr>
          <w:rFonts w:ascii="Courier New" w:hAnsi="Courier New"/>
          <w:sz w:val="20"/>
          <w:szCs w:val="20"/>
        </w:rPr>
        <w:t>1. ------IND- 2020 0658 E-- FI-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LUONNOS LAIKSI JÄTTEISTÄ JA SAASTUNEISTA MAAPERISTÄ – MUOVIA KOSKEVAT SÄÄNNÖKSET</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bCs/>
          <w:sz w:val="24"/>
          <w:szCs w:val="24"/>
        </w:rPr>
        <w:t xml:space="preserve">2 § </w:t>
      </w:r>
      <w:r>
        <w:rPr>
          <w:rFonts w:ascii="Arial" w:hAnsi="Arial"/>
          <w:b/>
          <w:bCs/>
          <w:i/>
          <w:iCs/>
          <w:sz w:val="24"/>
          <w:szCs w:val="24"/>
        </w:rPr>
        <w:t>Määritelmät.</w:t>
      </w:r>
    </w:p>
    <w:p w14:paraId="708E7869" w14:textId="7C44797C" w:rsidR="0F588873" w:rsidRDefault="0F588873" w:rsidP="00512B74">
      <w:pPr>
        <w:keepNext/>
        <w:keepLines/>
        <w:jc w:val="both"/>
        <w:rPr>
          <w:rFonts w:ascii="Arial" w:eastAsia="Arial" w:hAnsi="Arial" w:cs="Arial"/>
          <w:sz w:val="24"/>
          <w:szCs w:val="24"/>
        </w:rPr>
      </w:pPr>
      <w:r>
        <w:rPr>
          <w:rFonts w:ascii="Arial" w:hAnsi="Arial"/>
          <w:sz w:val="24"/>
          <w:szCs w:val="24"/>
        </w:rPr>
        <w:t>Tässä laissa käytetään seuraavia määritelmiä:</w:t>
      </w:r>
    </w:p>
    <w:p w14:paraId="63AB60FA" w14:textId="741E4A52" w:rsidR="0F588873" w:rsidRDefault="0F588873" w:rsidP="002478C1">
      <w:pPr>
        <w:jc w:val="both"/>
        <w:rPr>
          <w:rFonts w:ascii="Arial" w:eastAsia="Arial" w:hAnsi="Arial" w:cs="Arial"/>
          <w:sz w:val="24"/>
          <w:szCs w:val="24"/>
        </w:rPr>
      </w:pPr>
      <w:r>
        <w:rPr>
          <w:rFonts w:ascii="Arial" w:hAnsi="Arial"/>
          <w:sz w:val="24"/>
          <w:szCs w:val="24"/>
        </w:rPr>
        <w:t>a) ”Jäte”: kaikki aineet tai esineet, joista niiden omistaja hankkiutuu, aikoo hankkiutua tai joutuu hankkiutumaan eroon.</w:t>
      </w:r>
    </w:p>
    <w:p w14:paraId="4EBE1F1C" w14:textId="26E35B40" w:rsidR="0F588873" w:rsidRDefault="0F588873" w:rsidP="002478C1">
      <w:pPr>
        <w:jc w:val="both"/>
        <w:rPr>
          <w:rFonts w:ascii="Arial" w:eastAsia="Arial" w:hAnsi="Arial" w:cs="Arial"/>
          <w:sz w:val="24"/>
          <w:szCs w:val="24"/>
        </w:rPr>
      </w:pPr>
      <w:r>
        <w:rPr>
          <w:rFonts w:ascii="Arial" w:hAnsi="Arial"/>
          <w:sz w:val="24"/>
          <w:szCs w:val="24"/>
        </w:rPr>
        <w:t>b) ”Kotitalousjäte”: kodeissa kotitaloustoiminnan seurauksena syntyvät jätteet. Kotitalousjätteiksi katsotaan myös osana palveluita ja teollisuutta syntyvät vastaavat jätteet, jotka eivät synny osana palvelun tai teollisuudenalan pääasiallista toimintaa.</w:t>
      </w:r>
    </w:p>
    <w:p w14:paraId="24B4C1F4" w14:textId="37E72098" w:rsidR="0F588873" w:rsidRDefault="0F588873" w:rsidP="002478C1">
      <w:pPr>
        <w:jc w:val="both"/>
        <w:rPr>
          <w:rFonts w:ascii="Arial" w:eastAsia="Arial" w:hAnsi="Arial" w:cs="Arial"/>
          <w:sz w:val="24"/>
          <w:szCs w:val="24"/>
        </w:rPr>
      </w:pPr>
      <w:r>
        <w:rPr>
          <w:rFonts w:ascii="Arial" w:hAnsi="Arial"/>
          <w:sz w:val="24"/>
          <w:szCs w:val="24"/>
        </w:rPr>
        <w:t>Tähän luokkaan sisältyvät myös kodeissa sähkö- ja elektroniikkalaitteista, vaatteista, paristoista, akuista, huonekaluista ja kalusteista syntyvät jätteet sekä vähäisistä rakennustöistä ja kodin korjaustöistä syntyvät jätteet ja roskat.</w:t>
      </w:r>
    </w:p>
    <w:p w14:paraId="75DBDA38" w14:textId="1CA89DE0" w:rsidR="0F588873" w:rsidRDefault="0F588873" w:rsidP="002478C1">
      <w:pPr>
        <w:jc w:val="both"/>
        <w:rPr>
          <w:rFonts w:ascii="Arial" w:eastAsia="Arial" w:hAnsi="Arial" w:cs="Arial"/>
          <w:sz w:val="24"/>
          <w:szCs w:val="24"/>
        </w:rPr>
      </w:pPr>
      <w:r>
        <w:rPr>
          <w:rFonts w:ascii="Arial" w:hAnsi="Arial"/>
          <w:sz w:val="24"/>
          <w:szCs w:val="24"/>
        </w:rPr>
        <w:t>Kotitalousjätteiksi luokitellaan julkisten teiden, viheralueiden, virkistysalueiden ja rantojen, kuolleiden kotieläinten ja hylättyjen ajoneuvojen siivoamisesta syntyvät jätteet.</w:t>
      </w:r>
    </w:p>
    <w:p w14:paraId="39C8C7DC" w14:textId="0082B682" w:rsidR="0F588873" w:rsidRDefault="0F588873" w:rsidP="002478C1">
      <w:pPr>
        <w:jc w:val="both"/>
        <w:rPr>
          <w:rFonts w:ascii="Arial" w:eastAsia="Arial" w:hAnsi="Arial" w:cs="Arial"/>
          <w:sz w:val="24"/>
          <w:szCs w:val="24"/>
        </w:rPr>
      </w:pPr>
      <w:r>
        <w:rPr>
          <w:rFonts w:ascii="Arial" w:hAnsi="Arial"/>
          <w:sz w:val="24"/>
          <w:szCs w:val="24"/>
        </w:rPr>
        <w:t>c) ”Kaupallinen jäte”: tukku- ja vähittäisliiketoiminnan, ravintola- ja baaripalveluiden, toimistojen ja markkinapaikkojen sekä muun palvelualan omasta toiminnasta syntyvä jäte.</w:t>
      </w:r>
    </w:p>
    <w:p w14:paraId="27F68E63" w14:textId="5A11FE90" w:rsidR="0F588873" w:rsidRDefault="0F588873" w:rsidP="002478C1">
      <w:pPr>
        <w:jc w:val="both"/>
        <w:rPr>
          <w:rFonts w:ascii="Arial" w:eastAsia="Arial" w:hAnsi="Arial" w:cs="Arial"/>
          <w:sz w:val="24"/>
          <w:szCs w:val="24"/>
        </w:rPr>
      </w:pPr>
      <w:r>
        <w:rPr>
          <w:rFonts w:ascii="Arial" w:hAnsi="Arial"/>
          <w:sz w:val="24"/>
          <w:szCs w:val="24"/>
        </w:rPr>
        <w:t xml:space="preserve">d) ”Teollinen jäte”: teollisuustoiminnan valmistus-, jalostus-, käyttö-, kulutus-, puhdistus- ja ylläpitotoimenpiteistä syntyvä jäte. </w:t>
      </w:r>
    </w:p>
    <w:p w14:paraId="5859F5E2" w14:textId="6103E5BF" w:rsidR="0F588873" w:rsidRDefault="0F588873" w:rsidP="002478C1">
      <w:pPr>
        <w:jc w:val="both"/>
        <w:rPr>
          <w:rFonts w:ascii="Arial" w:eastAsia="Arial" w:hAnsi="Arial" w:cs="Arial"/>
          <w:sz w:val="24"/>
          <w:szCs w:val="24"/>
        </w:rPr>
      </w:pPr>
      <w:r>
        <w:rPr>
          <w:rFonts w:ascii="Arial" w:hAnsi="Arial"/>
          <w:sz w:val="24"/>
          <w:szCs w:val="24"/>
        </w:rPr>
        <w:t>e) ”Paikallisesti huolehdittavat jätteet”: jätteet, joiden käsittelystä vastaavat paikalliset tahot 12 §:n 5 momentin mukaisesti.</w:t>
      </w:r>
    </w:p>
    <w:p w14:paraId="57BB0354" w14:textId="0E640E33" w:rsidR="0F588873" w:rsidRDefault="0F588873" w:rsidP="00512B74">
      <w:pPr>
        <w:keepNext/>
        <w:keepLines/>
        <w:jc w:val="both"/>
        <w:rPr>
          <w:rFonts w:ascii="Arial" w:eastAsia="Arial" w:hAnsi="Arial" w:cs="Arial"/>
          <w:sz w:val="24"/>
          <w:szCs w:val="24"/>
        </w:rPr>
      </w:pPr>
      <w:r>
        <w:rPr>
          <w:rFonts w:ascii="Arial" w:hAnsi="Arial"/>
          <w:sz w:val="24"/>
          <w:szCs w:val="24"/>
        </w:rPr>
        <w:t xml:space="preserve">f) ”Yhdyskuntajätteet”: </w:t>
      </w:r>
    </w:p>
    <w:p w14:paraId="26F01E84" w14:textId="6D85E59D" w:rsidR="0F588873" w:rsidRDefault="0F588873" w:rsidP="002478C1">
      <w:pPr>
        <w:jc w:val="both"/>
        <w:rPr>
          <w:rFonts w:ascii="Arial" w:eastAsia="Arial" w:hAnsi="Arial" w:cs="Arial"/>
          <w:sz w:val="24"/>
          <w:szCs w:val="24"/>
        </w:rPr>
      </w:pPr>
      <w:r>
        <w:rPr>
          <w:rFonts w:ascii="Arial" w:hAnsi="Arial"/>
          <w:sz w:val="24"/>
          <w:szCs w:val="24"/>
        </w:rPr>
        <w:t>1. Kotitalouksista peräisin olevat sekajätteet ja erikseen kerättävät jätteet, mukaan luettuina paperi ja kartonki, lasi, metallit, muovit, biojätteet, puu, tekstiilit, pakkaukset, sähkö- ja elektroniikkalaiteromu, käytetyt paristot ja akut sekä tilaa vievät jätteet, mukaan luettuina patjat ja huonekalut.</w:t>
      </w:r>
    </w:p>
    <w:p w14:paraId="3133CB51" w14:textId="68A17CF7" w:rsidR="0F588873" w:rsidRDefault="0F588873" w:rsidP="002478C1">
      <w:pPr>
        <w:jc w:val="both"/>
        <w:rPr>
          <w:rFonts w:ascii="Arial" w:eastAsia="Arial" w:hAnsi="Arial" w:cs="Arial"/>
          <w:sz w:val="24"/>
          <w:szCs w:val="24"/>
        </w:rPr>
      </w:pPr>
      <w:r>
        <w:rPr>
          <w:rFonts w:ascii="Arial" w:hAnsi="Arial"/>
          <w:sz w:val="24"/>
          <w:szCs w:val="24"/>
        </w:rPr>
        <w:t>2. Muista lähteistä peräisin olevat sekajätteet ja erikseen kerättävät jätteet, jos kyseiset jätteet vastaavat luonteeltaan ja koostumukseltaan kotitalouksista peräisin olevia jätteitä.</w:t>
      </w:r>
    </w:p>
    <w:p w14:paraId="22A0A140" w14:textId="2B9C0C08" w:rsidR="0F588873" w:rsidRDefault="0F588873" w:rsidP="002478C1">
      <w:pPr>
        <w:jc w:val="both"/>
        <w:rPr>
          <w:rFonts w:ascii="Arial" w:eastAsia="Arial" w:hAnsi="Arial" w:cs="Arial"/>
          <w:sz w:val="24"/>
          <w:szCs w:val="24"/>
        </w:rPr>
      </w:pPr>
      <w:r>
        <w:rPr>
          <w:rFonts w:ascii="Arial" w:hAnsi="Arial"/>
          <w:sz w:val="24"/>
          <w:szCs w:val="24"/>
        </w:rPr>
        <w:t>Yhdyskuntajätteisiin eivät sisälly jätteet, jotka ovat peräisin tuotannosta, maataloudesta, metsätaloudesta, kalastuksesta, sakokaivoista, viemärijärjestelmästä tai jätevesien käsittelylaitoksista, mukaan luettuina puhdistamolietteet, eivätkä romuajoneuvot tai rakennus- ja purkujätteet.</w:t>
      </w:r>
    </w:p>
    <w:p w14:paraId="6BFB726D" w14:textId="0FCB9E76" w:rsidR="0F588873" w:rsidRDefault="0F588873" w:rsidP="002478C1">
      <w:pPr>
        <w:jc w:val="both"/>
        <w:rPr>
          <w:rFonts w:ascii="Arial" w:eastAsia="Arial" w:hAnsi="Arial" w:cs="Arial"/>
          <w:sz w:val="24"/>
          <w:szCs w:val="24"/>
        </w:rPr>
      </w:pPr>
      <w:r>
        <w:rPr>
          <w:rFonts w:ascii="Arial" w:hAnsi="Arial"/>
          <w:sz w:val="24"/>
          <w:szCs w:val="24"/>
        </w:rPr>
        <w:t xml:space="preserve">Tämän määritelmän käyttöönoton myötä voidaan määrittää uudelleenkäyttöä ja kierrättämistä varten valmistelemista koskevien tavoitteiden ja niille tässä laissa annettujen laskentasäännösten soveltamisala, mikä ei vaikuta julkisten ja yksityisten toimijoiden </w:t>
      </w:r>
      <w:r>
        <w:rPr>
          <w:rFonts w:ascii="Arial" w:hAnsi="Arial"/>
          <w:sz w:val="24"/>
          <w:szCs w:val="24"/>
        </w:rPr>
        <w:lastRenderedPageBreak/>
        <w:t>väliseen jätehuoltovastuiden jakamiseen 12 §:n 5 momentin mukaisesti annettujen toimivaltuuksien jakamisen perusteella.</w:t>
      </w:r>
    </w:p>
    <w:p w14:paraId="6FCED93B" w14:textId="35EA644C" w:rsidR="0F588873" w:rsidRDefault="0F588873" w:rsidP="002478C1">
      <w:pPr>
        <w:jc w:val="both"/>
        <w:rPr>
          <w:rFonts w:ascii="Arial" w:eastAsia="Arial" w:hAnsi="Arial" w:cs="Arial"/>
          <w:sz w:val="24"/>
          <w:szCs w:val="24"/>
        </w:rPr>
      </w:pPr>
      <w:r>
        <w:rPr>
          <w:rFonts w:ascii="Arial" w:hAnsi="Arial"/>
          <w:sz w:val="24"/>
          <w:szCs w:val="24"/>
        </w:rPr>
        <w:t>g) ”Vaarallinen jäte”: jäte, jolla on yksi tai useampi liitteessä I esitetyistä vaarallisista ominaisuuksista, ja jäte, jonka hallitus voi hyväksyä Euroopan unionin lainsäädännön tai sellaisten kansainvälisten yleissopimusten nojalla, joissa Espanja on osapuolena. Tähän määritelmään sisältyvät myös astiat ja pakkaukset, jotka sisältävät vaarallisten aineiden jäämiä tai jotka ovat niiden saastuttamia.</w:t>
      </w:r>
    </w:p>
    <w:p w14:paraId="11D46221" w14:textId="233A520E" w:rsidR="0F588873" w:rsidRDefault="0F588873" w:rsidP="002478C1">
      <w:pPr>
        <w:jc w:val="both"/>
        <w:rPr>
          <w:rFonts w:ascii="Arial" w:eastAsia="Arial" w:hAnsi="Arial" w:cs="Arial"/>
          <w:sz w:val="24"/>
          <w:szCs w:val="24"/>
        </w:rPr>
      </w:pPr>
      <w:r>
        <w:rPr>
          <w:rFonts w:ascii="Arial" w:hAnsi="Arial"/>
          <w:sz w:val="24"/>
          <w:szCs w:val="24"/>
        </w:rPr>
        <w:t>h) ”Vaaraton jäte”: jäte, joka ei sisälly g alamomentin määritelmään.</w:t>
      </w:r>
    </w:p>
    <w:p w14:paraId="21E1A848" w14:textId="14C078B6" w:rsidR="0F588873" w:rsidRDefault="0F588873" w:rsidP="002478C1">
      <w:pPr>
        <w:jc w:val="both"/>
        <w:rPr>
          <w:rFonts w:ascii="Arial" w:eastAsia="Arial" w:hAnsi="Arial" w:cs="Arial"/>
          <w:sz w:val="24"/>
          <w:szCs w:val="24"/>
        </w:rPr>
      </w:pPr>
      <w:r>
        <w:rPr>
          <w:rFonts w:ascii="Arial" w:hAnsi="Arial"/>
          <w:sz w:val="24"/>
          <w:szCs w:val="24"/>
        </w:rPr>
        <w:t>i) ”Jäteöljyt”: kaikki mineraalipohjaiset tai synteettiset teollisuus- tai voiteluöljyt, joista on tullut sopimatonta niiden alkuperäiseen käyttötarkoitukseen, kuten käytetyt polttomoottoriöljyt, vaihteistoöljyt, voiteluöljyt, turbiineissa käytettävät öljyt ja hydrauliöljyt, lukuun ottamatta kasvi- tai eläinperäisiä käytettyjä ruokaöljyjä.</w:t>
      </w:r>
    </w:p>
    <w:p w14:paraId="143268EB" w14:textId="18184C87" w:rsidR="0F588873" w:rsidRDefault="0F588873" w:rsidP="002478C1">
      <w:pPr>
        <w:jc w:val="both"/>
        <w:rPr>
          <w:rFonts w:ascii="Arial" w:eastAsia="Arial" w:hAnsi="Arial" w:cs="Arial"/>
          <w:sz w:val="24"/>
          <w:szCs w:val="24"/>
        </w:rPr>
      </w:pPr>
      <w:r>
        <w:rPr>
          <w:rFonts w:ascii="Arial" w:hAnsi="Arial"/>
          <w:sz w:val="24"/>
          <w:szCs w:val="24"/>
        </w:rPr>
        <w:t>j) ”Rakennus- ja purkujätteet”: rakennus- ja purkutoiminnasta syntyvät jätteet.</w:t>
      </w:r>
    </w:p>
    <w:p w14:paraId="07179E8D" w14:textId="77777777" w:rsidR="009F092F" w:rsidRDefault="009F092F" w:rsidP="002478C1">
      <w:pPr>
        <w:jc w:val="both"/>
        <w:rPr>
          <w:rFonts w:ascii="Arial" w:eastAsia="Arial" w:hAnsi="Arial" w:cs="Arial"/>
          <w:sz w:val="24"/>
          <w:szCs w:val="24"/>
        </w:rPr>
      </w:pPr>
      <w:r>
        <w:rPr>
          <w:rFonts w:ascii="Arial" w:hAnsi="Arial"/>
          <w:sz w:val="24"/>
          <w:szCs w:val="24"/>
        </w:rPr>
        <w:t>k) ”Kalastusvälinejäte”: kalastusvälineet, jotka kuuluvat jätteen määritelmän soveltamisalaan, mukaan lukien kaikki erilliset osat, aineet tai materiaalit, jotka olivat osa kyseistä kalastusvälinettä tai liitetty siihen, kun se hävitettiin, hylätyt ja kadonneet kalastusvälineet mukaan luettuina.</w:t>
      </w:r>
    </w:p>
    <w:p w14:paraId="72C0E29D" w14:textId="59538BD2" w:rsidR="0F588873" w:rsidRDefault="0F588873" w:rsidP="002478C1">
      <w:pPr>
        <w:jc w:val="both"/>
        <w:rPr>
          <w:rFonts w:ascii="Arial" w:eastAsia="Arial" w:hAnsi="Arial" w:cs="Arial"/>
          <w:sz w:val="24"/>
          <w:szCs w:val="24"/>
        </w:rPr>
      </w:pPr>
      <w:r>
        <w:rPr>
          <w:rFonts w:ascii="Arial" w:hAnsi="Arial"/>
          <w:sz w:val="24"/>
          <w:szCs w:val="24"/>
        </w:rPr>
        <w:t>l) ”Elintarvikejätteet”: kaikki elintarvikelainsäädäntöä koskevista yleisistä periaatteista ja vaatimuksista, Euroopan elintarviketurvallisuusviranomaisen perustamisesta sekä elintarvikkeiden turvallisuuteen liittyvistä menettelyistä 28 päivänä tammikuuta 2002 annetun Euroopan parlamentin ja neuvoston asetuksen (EY) N:o 178/2002 2 artiklan määritelmän mukaiset elintarvikkeet, jotka ovat muuttuneet jätteeksi.</w:t>
      </w:r>
    </w:p>
    <w:p w14:paraId="4915AD57" w14:textId="69ABEB0F" w:rsidR="0F588873" w:rsidRDefault="0F588873" w:rsidP="002478C1">
      <w:pPr>
        <w:jc w:val="both"/>
        <w:rPr>
          <w:rFonts w:ascii="Arial" w:eastAsia="Arial" w:hAnsi="Arial" w:cs="Arial"/>
          <w:sz w:val="24"/>
          <w:szCs w:val="24"/>
        </w:rPr>
      </w:pPr>
      <w:r>
        <w:rPr>
          <w:rFonts w:ascii="Arial" w:hAnsi="Arial"/>
          <w:sz w:val="24"/>
          <w:szCs w:val="24"/>
        </w:rPr>
        <w:t>m) ”Biojäte”: puutarhoista ja puistoista peräisin oleva biohajoava jäte, kodeista, toimistoista, ravintoloista, tukkukauppiailta, ruokaloista, ateriapalveluista ja vähittäisliikkeistä peräisin oleva elintarvikejäte ja ruokajäte ja elintarvikkeiden jalostuslaitoksista peräisin olevat vastaavat jätteet.</w:t>
      </w:r>
    </w:p>
    <w:p w14:paraId="16BEBDFF" w14:textId="7E420C37" w:rsidR="0F588873" w:rsidRDefault="0F588873" w:rsidP="002478C1">
      <w:pPr>
        <w:jc w:val="both"/>
        <w:rPr>
          <w:rFonts w:ascii="Arial" w:eastAsia="Arial" w:hAnsi="Arial" w:cs="Arial"/>
          <w:sz w:val="24"/>
          <w:szCs w:val="24"/>
        </w:rPr>
      </w:pPr>
      <w:r>
        <w:rPr>
          <w:rFonts w:ascii="Arial" w:hAnsi="Arial"/>
          <w:sz w:val="24"/>
          <w:szCs w:val="24"/>
        </w:rPr>
        <w:t>n) ”Komposti”: orgaaninen maanparannusaine, jota saadaan erikseen kerättävistä biohajoavista jätteistä aerobisen ja termofiilisen biologisen käsittelyn avulla. Kompostiksi ei katsota sekajätteistä mekaanis-biologisen käsittelyn laitoksissa saatavaa orgaanista materiaalia, jota kutsutaan biostabiloiduksi materiaaliksi.</w:t>
      </w:r>
    </w:p>
    <w:p w14:paraId="24917409" w14:textId="1EDC63E3" w:rsidR="0F588873" w:rsidRDefault="0F588873" w:rsidP="002478C1">
      <w:pPr>
        <w:jc w:val="both"/>
        <w:rPr>
          <w:rFonts w:ascii="Arial" w:eastAsia="Arial" w:hAnsi="Arial" w:cs="Arial"/>
          <w:sz w:val="24"/>
          <w:szCs w:val="24"/>
        </w:rPr>
      </w:pPr>
      <w:r>
        <w:rPr>
          <w:rFonts w:ascii="Arial" w:hAnsi="Arial"/>
          <w:sz w:val="24"/>
          <w:szCs w:val="24"/>
        </w:rPr>
        <w:t>ñ) ”Mädätysliete”: orgaaninen maanparannusaine, jota saadaan erikseen kerättävistä biohajoavista jätteistä anaerobisen biologisen käsittelyn avulla. Mädätyslietteeksi ei katsota sekajätteistä mekaanis-biologisen ja anaerobisen käsittelyn laitoksissa saatavaa orgaanista materiaalia, jota kutsutaan biostabiloiduksi materiaaliksi.</w:t>
      </w:r>
    </w:p>
    <w:p w14:paraId="0CCECC99" w14:textId="52754674" w:rsidR="0F588873" w:rsidRDefault="0F588873" w:rsidP="002478C1">
      <w:pPr>
        <w:jc w:val="both"/>
        <w:rPr>
          <w:rFonts w:ascii="Arial" w:eastAsia="Arial" w:hAnsi="Arial" w:cs="Arial"/>
          <w:sz w:val="24"/>
          <w:szCs w:val="24"/>
        </w:rPr>
      </w:pPr>
      <w:r>
        <w:rPr>
          <w:rFonts w:ascii="Arial" w:hAnsi="Arial"/>
          <w:sz w:val="24"/>
          <w:szCs w:val="24"/>
        </w:rPr>
        <w:t>o) ”Ehkäiseminen”: aineen, materiaalin tai tuotteen kehittely-, suunnittelu-, tuotanto-, jakelu- ja kulutusvaiheen aikana käytettävien toimenpiteiden kokonaisuus, jonka tarkoituksena on vähentää</w:t>
      </w:r>
    </w:p>
    <w:p w14:paraId="2CEF2741" w14:textId="65B83D7D" w:rsidR="0F588873" w:rsidRDefault="0F588873" w:rsidP="002478C1">
      <w:pPr>
        <w:jc w:val="both"/>
        <w:rPr>
          <w:rFonts w:ascii="Arial" w:eastAsia="Arial" w:hAnsi="Arial" w:cs="Arial"/>
          <w:sz w:val="24"/>
          <w:szCs w:val="24"/>
        </w:rPr>
      </w:pPr>
      <w:r>
        <w:rPr>
          <w:rFonts w:ascii="Arial" w:hAnsi="Arial"/>
          <w:sz w:val="24"/>
          <w:szCs w:val="24"/>
        </w:rPr>
        <w:t>1. jätteiden määrää, mikä sisältää tuotteiden uudelleenkäytön tai tuotteiden käyttöiän pidentämisen;</w:t>
      </w:r>
    </w:p>
    <w:p w14:paraId="4C79ABBC" w14:textId="52256EF4" w:rsidR="0F588873" w:rsidRDefault="0F588873" w:rsidP="002478C1">
      <w:pPr>
        <w:jc w:val="both"/>
        <w:rPr>
          <w:rFonts w:ascii="Arial" w:eastAsia="Arial" w:hAnsi="Arial" w:cs="Arial"/>
          <w:sz w:val="24"/>
          <w:szCs w:val="24"/>
        </w:rPr>
      </w:pPr>
      <w:r>
        <w:rPr>
          <w:rFonts w:ascii="Arial" w:hAnsi="Arial"/>
          <w:sz w:val="24"/>
          <w:szCs w:val="24"/>
        </w:rPr>
        <w:lastRenderedPageBreak/>
        <w:t>2. syntyneistä jätteistä ympäristöön ja ihmisten terveyteen kohdistuvia haitallisia vaikutuksia, mikä sisältää materiaalien ja energian käyttöä koskevat säästöt;</w:t>
      </w:r>
    </w:p>
    <w:p w14:paraId="1C7454E0" w14:textId="4DC1FF87" w:rsidR="0F588873" w:rsidRDefault="0F588873" w:rsidP="002478C1">
      <w:pPr>
        <w:jc w:val="both"/>
        <w:rPr>
          <w:rFonts w:ascii="Arial" w:eastAsia="Arial" w:hAnsi="Arial" w:cs="Arial"/>
          <w:sz w:val="24"/>
          <w:szCs w:val="24"/>
        </w:rPr>
      </w:pPr>
      <w:r>
        <w:rPr>
          <w:rFonts w:ascii="Arial" w:hAnsi="Arial"/>
          <w:sz w:val="24"/>
          <w:szCs w:val="24"/>
        </w:rPr>
        <w:t>3. vaarallisten aineiden määrää materiaaleissa ja tuotteissa.</w:t>
      </w:r>
    </w:p>
    <w:p w14:paraId="44F459E3" w14:textId="02E63FA5" w:rsidR="0F588873" w:rsidRDefault="0F588873" w:rsidP="002478C1">
      <w:pPr>
        <w:jc w:val="both"/>
        <w:rPr>
          <w:rFonts w:ascii="Arial" w:eastAsia="Arial" w:hAnsi="Arial" w:cs="Arial"/>
          <w:sz w:val="24"/>
          <w:szCs w:val="24"/>
        </w:rPr>
      </w:pPr>
      <w:r>
        <w:rPr>
          <w:rFonts w:ascii="Arial" w:hAnsi="Arial"/>
          <w:sz w:val="24"/>
          <w:szCs w:val="24"/>
        </w:rPr>
        <w:t>p) ”Uudelleenkäyttö”: mikä tahansa toimenpide, jonka avulla tuotteet tai niiden osat, jotka eivät ole jätteitä, käytetään uudelleen niiden alkuperäisen käyttötarkoituksen mukaisesti.</w:t>
      </w:r>
    </w:p>
    <w:p w14:paraId="4B9FB7BB" w14:textId="6D91AE92" w:rsidR="0F588873" w:rsidRDefault="0F588873" w:rsidP="002478C1">
      <w:pPr>
        <w:jc w:val="both"/>
        <w:rPr>
          <w:rFonts w:ascii="Arial" w:eastAsia="Arial" w:hAnsi="Arial" w:cs="Arial"/>
          <w:sz w:val="24"/>
          <w:szCs w:val="24"/>
        </w:rPr>
      </w:pPr>
      <w:r>
        <w:rPr>
          <w:rFonts w:ascii="Arial" w:hAnsi="Arial"/>
          <w:sz w:val="24"/>
          <w:szCs w:val="24"/>
        </w:rPr>
        <w:t>q) ”Jätteiden tuottaja”: luonnolliset henkilöt tai oikeushenkilöt, joiden toiminnasta syntyy jätettä (jätteiden alkuperäinen tuottaja), ja henkilöt, joiden tekemien ennakkokäsittely- tai sekoitustoimenpiteiden tai muiden toimenpiteiden myötä mainittujen jätteiden luonne tai koostumus muuttuu. Jätteiden tuottajaksi katsotaan myös tullilainsäädännön määritelmien mukainen tuotteiden haltija tai tuotteen maahantuoja tai maastaviejä, jos kyse on valvonta- ja tarkastusviranomaisten rajalla sijaitsevissa laitoksissa haltuunsa ottamista tuotteista.</w:t>
      </w:r>
    </w:p>
    <w:p w14:paraId="5BBAE603" w14:textId="79DAF3D6" w:rsidR="0F588873" w:rsidRDefault="0F588873" w:rsidP="002478C1">
      <w:pPr>
        <w:jc w:val="both"/>
        <w:rPr>
          <w:rFonts w:ascii="Arial" w:eastAsia="Arial" w:hAnsi="Arial" w:cs="Arial"/>
          <w:sz w:val="24"/>
          <w:szCs w:val="24"/>
        </w:rPr>
      </w:pPr>
      <w:r>
        <w:rPr>
          <w:rFonts w:ascii="Arial" w:hAnsi="Arial"/>
          <w:sz w:val="24"/>
          <w:szCs w:val="24"/>
        </w:rPr>
        <w:t>r) ”Jätteiden haltija”: jätteiden tuottaja tai muu luonnollinen henkilö tai oikeushenkilö, jonka hallussa jätteet ovat.</w:t>
      </w:r>
    </w:p>
    <w:p w14:paraId="066CDE28" w14:textId="2796B1E7" w:rsidR="0F588873" w:rsidRDefault="0F588873" w:rsidP="002478C1">
      <w:pPr>
        <w:jc w:val="both"/>
        <w:rPr>
          <w:rFonts w:ascii="Arial" w:eastAsia="Arial" w:hAnsi="Arial" w:cs="Arial"/>
          <w:sz w:val="24"/>
          <w:szCs w:val="24"/>
        </w:rPr>
      </w:pPr>
      <w:r>
        <w:rPr>
          <w:rFonts w:ascii="Arial" w:hAnsi="Arial"/>
          <w:sz w:val="24"/>
          <w:szCs w:val="24"/>
        </w:rPr>
        <w:t>s) ”Jätehuolto”: jätteiden keräys, kuljetus, hyödyntäminen (mukaan luettuna lajittelu) ja hävittäminen, mukaan luettuna kyseisten toimenpiteiden valvonta, sekä kaatopaikan sulkemisen jälkeinen ylläpito, mukaan luettuina kauppiaan tai välittäjän roolissa tehtävät toimenpiteet.</w:t>
      </w:r>
    </w:p>
    <w:p w14:paraId="5242AE8B" w14:textId="4517330E" w:rsidR="0F588873" w:rsidRDefault="0F588873" w:rsidP="002478C1">
      <w:pPr>
        <w:jc w:val="both"/>
        <w:rPr>
          <w:rFonts w:ascii="Arial" w:eastAsia="Arial" w:hAnsi="Arial" w:cs="Arial"/>
          <w:sz w:val="24"/>
          <w:szCs w:val="24"/>
        </w:rPr>
      </w:pPr>
      <w:r>
        <w:rPr>
          <w:rFonts w:ascii="Arial" w:hAnsi="Arial"/>
          <w:sz w:val="24"/>
          <w:szCs w:val="24"/>
        </w:rPr>
        <w:t>t) ”Keräys”: toimenpide, joka sisältää jätteiden keräämisen, alustavan lajittelun ja alustavan varastoinnin ja jonka tarkoituksena on kuljettaa jätteet myöhemmin käsittelylaitokseen.</w:t>
      </w:r>
    </w:p>
    <w:p w14:paraId="5DD765A4" w14:textId="0723A28F" w:rsidR="0F588873" w:rsidRDefault="0F588873" w:rsidP="002478C1">
      <w:pPr>
        <w:jc w:val="both"/>
        <w:rPr>
          <w:rFonts w:ascii="Arial" w:eastAsia="Arial" w:hAnsi="Arial" w:cs="Arial"/>
          <w:sz w:val="24"/>
          <w:szCs w:val="24"/>
        </w:rPr>
      </w:pPr>
      <w:r>
        <w:rPr>
          <w:rFonts w:ascii="Arial" w:hAnsi="Arial"/>
          <w:sz w:val="24"/>
          <w:szCs w:val="24"/>
        </w:rPr>
        <w:t>u) "Erilliskeräys”: keräys, jossa jätevirta pidetään sen tyypin ja luonteen perusteella erillään erityiskäsittelyn helpottamiseksi.</w:t>
      </w:r>
    </w:p>
    <w:p w14:paraId="7E4879E8" w14:textId="5419A6E2" w:rsidR="0F588873" w:rsidRDefault="0F588873" w:rsidP="002478C1">
      <w:pPr>
        <w:jc w:val="both"/>
        <w:rPr>
          <w:rFonts w:ascii="Arial" w:eastAsia="Arial" w:hAnsi="Arial" w:cs="Arial"/>
          <w:sz w:val="24"/>
          <w:szCs w:val="24"/>
        </w:rPr>
      </w:pPr>
      <w:r>
        <w:rPr>
          <w:rFonts w:ascii="Arial" w:hAnsi="Arial"/>
          <w:sz w:val="24"/>
          <w:szCs w:val="24"/>
        </w:rPr>
        <w:t>v) ”Jätteiden kuljettaminen”: ammattimaista jätteiden kuljettamista muiden tahojen puolesta päätoimisesti harjoittavien yritysten toteuttamat käsittelytoimenpiteet sekä kuljetukset, joiden toteuttamisesta yritykset vastaavat yhtenä ammatillisen toimintansa yhteydessä tavallisesti toteuttamistaan toimista, vaikka ne eivät olisikaan sen pääasiallista toimintaa.</w:t>
      </w:r>
    </w:p>
    <w:p w14:paraId="34171A63" w14:textId="4BF26964" w:rsidR="0F588873" w:rsidRDefault="0F588873" w:rsidP="002478C1">
      <w:pPr>
        <w:jc w:val="both"/>
        <w:rPr>
          <w:rFonts w:ascii="Arial" w:eastAsia="Arial" w:hAnsi="Arial" w:cs="Arial"/>
          <w:sz w:val="24"/>
          <w:szCs w:val="24"/>
        </w:rPr>
      </w:pPr>
      <w:r>
        <w:rPr>
          <w:rFonts w:ascii="Arial" w:hAnsi="Arial"/>
          <w:sz w:val="24"/>
          <w:szCs w:val="24"/>
        </w:rPr>
        <w:t>w) ”Käsittely”: hyödyntämis- tai hävittämistoimenpiteet, mukaan luettuina ennen hyödyntämistä tai hävittämistä tehtävät valmistelut.</w:t>
      </w:r>
    </w:p>
    <w:p w14:paraId="39F4F6E4" w14:textId="7C167B6B" w:rsidR="0F588873" w:rsidRDefault="0F588873" w:rsidP="002478C1">
      <w:pPr>
        <w:jc w:val="both"/>
        <w:rPr>
          <w:rFonts w:ascii="Arial" w:eastAsia="Arial" w:hAnsi="Arial" w:cs="Arial"/>
          <w:sz w:val="24"/>
          <w:szCs w:val="24"/>
        </w:rPr>
      </w:pPr>
      <w:r>
        <w:rPr>
          <w:rFonts w:ascii="Arial" w:hAnsi="Arial"/>
          <w:sz w:val="24"/>
          <w:szCs w:val="24"/>
        </w:rPr>
        <w:t>x) ”Hyödyntäminen”: mikä tahansa toimenpide, jonka tärkeimpänä tuloksena on, että jätteestä on hyötyä korvattaessa muita materiaaleja, joita muuten olisi käytetty johonkin tiettyyn tarkoitukseen, tai että jäte on saatu valmisteltua kyseiseen tarkoitukseen samassa laitoksessa tai yleisesti taloudessa. Liitteessä II on esimerkinomainen luettelo hyödyntämistoimenpiteistä.</w:t>
      </w:r>
    </w:p>
    <w:p w14:paraId="1AF10599" w14:textId="5320F6ED" w:rsidR="0F588873" w:rsidRDefault="0F588873" w:rsidP="002478C1">
      <w:pPr>
        <w:jc w:val="both"/>
        <w:rPr>
          <w:rFonts w:ascii="Arial" w:eastAsia="Arial" w:hAnsi="Arial" w:cs="Arial"/>
          <w:sz w:val="24"/>
          <w:szCs w:val="24"/>
        </w:rPr>
      </w:pPr>
      <w:r>
        <w:rPr>
          <w:rFonts w:ascii="Arial" w:hAnsi="Arial"/>
          <w:sz w:val="24"/>
          <w:szCs w:val="24"/>
        </w:rPr>
        <w:t>y) ”Materiaalien hyödyntäminen”: kaikki hyödyntämistoimenpiteet, jotka eroavat energian talteenotosta ja sellaisiksi materiaaleiksi muuttamisesta, joita aiotaan käyttää polttoaineena tai muutoin energian tuottamisessa. Sisältää muiden toimenpiteiden muassa valmistelun uudelleenkäyttöä, kierrättämistä ja maantäyttämistä varten.</w:t>
      </w:r>
    </w:p>
    <w:p w14:paraId="207F23D6" w14:textId="5BA20980" w:rsidR="0F588873" w:rsidRDefault="0F588873" w:rsidP="002478C1">
      <w:pPr>
        <w:jc w:val="both"/>
        <w:rPr>
          <w:rFonts w:ascii="Arial" w:eastAsia="Arial" w:hAnsi="Arial" w:cs="Arial"/>
          <w:sz w:val="24"/>
          <w:szCs w:val="24"/>
        </w:rPr>
      </w:pPr>
      <w:r>
        <w:rPr>
          <w:rFonts w:ascii="Arial" w:hAnsi="Arial"/>
          <w:sz w:val="24"/>
          <w:szCs w:val="24"/>
        </w:rPr>
        <w:t xml:space="preserve">z) ”Uudelleenkäyttöä varten valmistelu”: hyödyntämistoimenpide, joka koostuu tarkastuksesta, puhdistuksesta tai korjaamisesta ja jonka avulla jätteeksi muuttuneet </w:t>
      </w:r>
      <w:r>
        <w:rPr>
          <w:rFonts w:ascii="Arial" w:hAnsi="Arial"/>
          <w:sz w:val="24"/>
          <w:szCs w:val="24"/>
        </w:rPr>
        <w:lastRenderedPageBreak/>
        <w:t>tuotteet tai tuotteiden osat valmistellaan siten, että ne voidaan käyttää uudelleen ilman muita ennalta tehtäviä jalostustoimenpiteitä.</w:t>
      </w:r>
    </w:p>
    <w:p w14:paraId="1257275F" w14:textId="7BF380C7" w:rsidR="0F588873" w:rsidRDefault="0F588873" w:rsidP="002478C1">
      <w:pPr>
        <w:jc w:val="both"/>
        <w:rPr>
          <w:rFonts w:ascii="Arial" w:eastAsia="Arial" w:hAnsi="Arial" w:cs="Arial"/>
          <w:sz w:val="24"/>
          <w:szCs w:val="24"/>
        </w:rPr>
      </w:pPr>
      <w:r>
        <w:rPr>
          <w:rFonts w:ascii="Arial" w:hAnsi="Arial"/>
          <w:sz w:val="24"/>
          <w:szCs w:val="24"/>
        </w:rPr>
        <w:t>aa) ”Kierrättäminen”: kaikki hyödyntämistoimenpiteet, joiden avulla jätemateriaalit muutetaan uudelleen tuotteiksi, materiaaleiksi tai aineiksi, joiden käyttötarkoitus voi olla joko sama tai eri kuin niiden alkuperäinen käyttötarkoitus. Tämä sisältää orgaanisen materiaalin jalostamisen, mutta ei sen energian talteenottoa eikä sen muuttamista materiaaleiksi, joita aiotaan käyttää polttoaineina tai maantäyttötoimissa.</w:t>
      </w:r>
    </w:p>
    <w:p w14:paraId="29B1B2E2" w14:textId="0ED8E8BE" w:rsidR="0F588873" w:rsidRDefault="0F588873" w:rsidP="002478C1">
      <w:pPr>
        <w:jc w:val="both"/>
        <w:rPr>
          <w:rFonts w:ascii="Arial" w:eastAsia="Arial" w:hAnsi="Arial" w:cs="Arial"/>
          <w:sz w:val="24"/>
          <w:szCs w:val="24"/>
        </w:rPr>
      </w:pPr>
      <w:r>
        <w:rPr>
          <w:rFonts w:ascii="Arial" w:hAnsi="Arial"/>
          <w:sz w:val="24"/>
          <w:szCs w:val="24"/>
        </w:rPr>
        <w:t>ab) ”Maantäyttö”: kaikki hyödyntämistoimenpiteet, joissa käytetään soveltuvia vaarattomia jätteitä kunnossapitotoimenpiteisiin louhituilla alueilla tai maisemointiin liittyvissä töissä. Maantäyttöön käytettävillä jätteillä on korvattava materiaalit, jotka eivät ole jätettä ja jotka soveltuvat edellä mainittuihin käyttötarkoituksiin. Maantäyttötoimenpiteet on lisäksi voitava perustella siten, että ne ovat tarpeellisia maaston alkuperäisen topografian ennallistamiseksi, ja jätettä voidaan käyttää vain sen verran kuin kyseistä tarkoitusta varten on ehdottoman välttämätöntä.</w:t>
      </w:r>
    </w:p>
    <w:p w14:paraId="3C1EB025" w14:textId="0292DB6A" w:rsidR="0F588873" w:rsidRDefault="0F588873" w:rsidP="002478C1">
      <w:pPr>
        <w:jc w:val="both"/>
        <w:rPr>
          <w:rFonts w:ascii="Arial" w:eastAsia="Arial" w:hAnsi="Arial" w:cs="Arial"/>
          <w:sz w:val="24"/>
          <w:szCs w:val="24"/>
        </w:rPr>
      </w:pPr>
      <w:r>
        <w:rPr>
          <w:rFonts w:ascii="Arial" w:hAnsi="Arial"/>
          <w:sz w:val="24"/>
          <w:szCs w:val="24"/>
        </w:rPr>
        <w:t>ac) ”Jäteöljyjen uudistaminen”: mikä tahansa kierrätystoimenpide, jonka avulla perusöljyjä voidaan tuottaa jäteöljyjä jalostamalla erityisesti poistamalla tällaisiin öljyihin sisältyvät kontaminantit, hapettumistuotteet ja lisäaineet.</w:t>
      </w:r>
    </w:p>
    <w:p w14:paraId="2CCD4725" w14:textId="57BD4629" w:rsidR="0F588873" w:rsidRDefault="0F588873" w:rsidP="002478C1">
      <w:pPr>
        <w:jc w:val="both"/>
        <w:rPr>
          <w:rFonts w:ascii="Arial" w:eastAsia="Arial" w:hAnsi="Arial" w:cs="Arial"/>
          <w:sz w:val="24"/>
          <w:szCs w:val="24"/>
        </w:rPr>
      </w:pPr>
      <w:r>
        <w:rPr>
          <w:rFonts w:ascii="Arial" w:hAnsi="Arial"/>
          <w:sz w:val="24"/>
          <w:szCs w:val="24"/>
        </w:rPr>
        <w:t>ad) ”Välikäsittely”: liitteiden II ja III mukaiset hyödyntämistoimenpiteet R12 ja R13 ja poistotoimenpiteet D8, D9, D13, D14 ja D15.</w:t>
      </w:r>
    </w:p>
    <w:p w14:paraId="27421964" w14:textId="0589A07A" w:rsidR="0F588873" w:rsidRDefault="0F588873" w:rsidP="002478C1">
      <w:pPr>
        <w:jc w:val="both"/>
        <w:rPr>
          <w:rFonts w:ascii="Arial" w:eastAsia="Arial" w:hAnsi="Arial" w:cs="Arial"/>
          <w:sz w:val="24"/>
          <w:szCs w:val="24"/>
        </w:rPr>
      </w:pPr>
      <w:r>
        <w:rPr>
          <w:rFonts w:ascii="Arial" w:hAnsi="Arial"/>
          <w:sz w:val="24"/>
          <w:szCs w:val="24"/>
        </w:rPr>
        <w:t>ae) ”Poistaminen”: mikä tahansa toimenpide, joka ei ole hyödyntämistoimenpide, mukaan luettuina toimenpiteet, joiden toissijaisena seurauksena on aineiden tai energian hyödyntäminen. Liitteessä III on esimerkinomainen luettelo poistamistoimenpiteistä.</w:t>
      </w:r>
    </w:p>
    <w:p w14:paraId="1FE4169A" w14:textId="2C0EC3E1" w:rsidR="0F588873" w:rsidRDefault="0F588873" w:rsidP="002478C1">
      <w:pPr>
        <w:jc w:val="both"/>
        <w:rPr>
          <w:rFonts w:ascii="Arial" w:eastAsia="Arial" w:hAnsi="Arial" w:cs="Arial"/>
          <w:sz w:val="24"/>
          <w:szCs w:val="24"/>
        </w:rPr>
      </w:pPr>
      <w:r>
        <w:rPr>
          <w:rFonts w:ascii="Arial" w:hAnsi="Arial"/>
          <w:sz w:val="24"/>
          <w:szCs w:val="24"/>
        </w:rPr>
        <w:t>af) ”Parhaat käytettävissä olevat menetelmät”: parhaat käytettävissä olevat menetelmät, sellaisina kuin ne on määritetty ympäristön pilaantumisen ehkäisemisen ja vähentämisen yhtenäistämisestä annetun lain kodifioidun tekstin 3 §:n ñ luetelmakohdassa; teksti on hyväksytty ympäristön pilaantumisen ehkäisemisen ja vähentämisen yhtenäistämisestä annetun lain kodifioidun tekstin hyväksymisestä 16 päivänä joulukuuta 2016 annetulla lain tasoisella kuninkaan asetuksella nro 1/2016.</w:t>
      </w:r>
    </w:p>
    <w:p w14:paraId="348F7F4C" w14:textId="7D4A05A8" w:rsidR="0F588873" w:rsidRDefault="0F588873" w:rsidP="002478C1">
      <w:pPr>
        <w:jc w:val="both"/>
        <w:rPr>
          <w:rFonts w:ascii="Arial" w:eastAsia="Arial" w:hAnsi="Arial" w:cs="Arial"/>
          <w:sz w:val="24"/>
          <w:szCs w:val="24"/>
        </w:rPr>
      </w:pPr>
      <w:r>
        <w:rPr>
          <w:rFonts w:ascii="Arial" w:hAnsi="Arial"/>
          <w:sz w:val="24"/>
          <w:szCs w:val="24"/>
        </w:rPr>
        <w:t>ag) ”Jätteiden käsittelijä”: yksityinen tai julkinen henkilö tai yhteisö, joka on rekisteröity valtuutuksen tai ilmoituksen avulla ja joka toteuttaa mitä tahansa jätehuoltoon liittyviä toimenpiteitä riippumatta siitä, onko kyseinen taho jätteiden tuottaja.</w:t>
      </w:r>
    </w:p>
    <w:p w14:paraId="3D8B249F" w14:textId="06997844" w:rsidR="0F588873" w:rsidRDefault="0F588873" w:rsidP="002478C1">
      <w:pPr>
        <w:jc w:val="both"/>
        <w:rPr>
          <w:rFonts w:ascii="Arial" w:eastAsia="Arial" w:hAnsi="Arial" w:cs="Arial"/>
          <w:sz w:val="24"/>
          <w:szCs w:val="24"/>
        </w:rPr>
      </w:pPr>
      <w:r>
        <w:rPr>
          <w:rFonts w:ascii="Arial" w:hAnsi="Arial"/>
          <w:sz w:val="24"/>
          <w:szCs w:val="24"/>
        </w:rPr>
        <w:t>ah) ”Kauppias”: kaikki luonnolliset henkilöt tai oikeushenkilöt, jotka toimivat itsenäisesti jätteiden ostajana ja myöhempänä myyjänä, mukaan luettuina tahot, jotka eivät ota jätteitä fyysisesti haltuunsa.</w:t>
      </w:r>
    </w:p>
    <w:p w14:paraId="430FDD99" w14:textId="2D519FC5" w:rsidR="0F588873" w:rsidRDefault="0F588873" w:rsidP="002478C1">
      <w:pPr>
        <w:jc w:val="both"/>
        <w:rPr>
          <w:rFonts w:ascii="Arial" w:eastAsia="Arial" w:hAnsi="Arial" w:cs="Arial"/>
          <w:sz w:val="24"/>
          <w:szCs w:val="24"/>
        </w:rPr>
      </w:pPr>
      <w:r>
        <w:rPr>
          <w:rFonts w:ascii="Arial" w:hAnsi="Arial"/>
          <w:sz w:val="24"/>
          <w:szCs w:val="24"/>
        </w:rPr>
        <w:t>ai) ”Välittäjä”: kaikki luonnolliset henkilöt tai oikeushenkilöt, jotka järjestävät jätteiden hyödyntämisen ja hävittämisen muiden puolesta, mukaan luettuina tahot, jotka eivät ota jätteitä fyysisesti haltuunsa.</w:t>
      </w:r>
    </w:p>
    <w:p w14:paraId="4C51DF62" w14:textId="77777777" w:rsidR="009F092F" w:rsidRDefault="009F092F" w:rsidP="002478C1">
      <w:pPr>
        <w:jc w:val="both"/>
        <w:rPr>
          <w:rFonts w:ascii="Arial" w:eastAsia="Arial" w:hAnsi="Arial" w:cs="Arial"/>
          <w:sz w:val="24"/>
          <w:szCs w:val="24"/>
        </w:rPr>
      </w:pPr>
      <w:r>
        <w:rPr>
          <w:rFonts w:ascii="Arial" w:hAnsi="Arial"/>
          <w:sz w:val="24"/>
          <w:szCs w:val="24"/>
        </w:rPr>
        <w:t xml:space="preserve">aj) ”Tuotteen tuottaja”: kaikki luonnolliset henkilöt tai oikeushenkilöt, jotka kehittävät, valmistavat, jalostavat, käsittelevät, täyttävät, myyvät tai tuovat maahan tuotteita ammattimaisesti tuotteiden kansallisille markkinoille saattamiseen käytetyistä </w:t>
      </w:r>
      <w:r>
        <w:rPr>
          <w:rFonts w:ascii="Arial" w:hAnsi="Arial"/>
          <w:sz w:val="24"/>
          <w:szCs w:val="24"/>
        </w:rPr>
        <w:lastRenderedPageBreak/>
        <w:t>myyntimenetelmistä riippumatta. Tämä käsite sisältää sekä Espanjan alueelle sijoittautuneet tahot, jotka saattavat tuotteita Espanjan kansallisille markkinoille, että toiseen jäsenvaltioon tai kolmanteen maahan sijoittautuneet tahot, jotka myyvät etäsopimusten perusteella suoraan yksityistalouksille tai muille käyttäjille kuluttajien ja käyttäjien suojasta annetun yleisen lain kodifioidun tekstin 92 §:n 1 momentin ja muiden täydentävien lakien määritelmien mukaisesti, sellaisena kuin teksti on hyväksyttynä 16 päivänä marraskuuta 2007 annetulla lain tasoisella kuninkaan asetuksella nro 1/2007.</w:t>
      </w:r>
    </w:p>
    <w:p w14:paraId="5FB46457" w14:textId="242DFF15" w:rsidR="0F588873" w:rsidRDefault="0F588873" w:rsidP="002478C1">
      <w:pPr>
        <w:jc w:val="both"/>
        <w:rPr>
          <w:rFonts w:ascii="Arial" w:eastAsia="Arial" w:hAnsi="Arial" w:cs="Arial"/>
          <w:sz w:val="24"/>
          <w:szCs w:val="24"/>
        </w:rPr>
      </w:pPr>
      <w:r>
        <w:rPr>
          <w:rFonts w:ascii="Arial" w:hAnsi="Arial"/>
          <w:sz w:val="24"/>
          <w:szCs w:val="24"/>
        </w:rPr>
        <w:t>ak) ”Tuottajan laajennettu vastuujärjestelmä”: sellaisten menetelmien kokonaisuus, jotka on otettu käyttöön sen varmistamiseksi, että tuotteiden tuottajat ottavat taloudellisen vastuun tai taloudellisen ja hallinnollisen vastuun tuotteen elinkaaren jätevaiheen käsittelystä.</w:t>
      </w:r>
    </w:p>
    <w:p w14:paraId="1BC5043B" w14:textId="3A012EF4" w:rsidR="0F588873" w:rsidRDefault="0F588873" w:rsidP="002478C1">
      <w:pPr>
        <w:jc w:val="both"/>
        <w:rPr>
          <w:rFonts w:ascii="Arial" w:eastAsia="Arial" w:hAnsi="Arial" w:cs="Arial"/>
          <w:sz w:val="24"/>
          <w:szCs w:val="24"/>
        </w:rPr>
      </w:pPr>
      <w:r>
        <w:rPr>
          <w:rFonts w:ascii="Arial" w:hAnsi="Arial"/>
          <w:sz w:val="24"/>
          <w:szCs w:val="24"/>
        </w:rPr>
        <w:t>al) ”Pakkaus”: pakkauksista ja pakkausjätteistä 24 päivänä huhtikuuta 1997 annetun lain nro 11/1997 määritelmän mukainen pakkaus.</w:t>
      </w:r>
    </w:p>
    <w:p w14:paraId="29A1C94A" w14:textId="7C9D8154" w:rsidR="0F588873" w:rsidRDefault="0F588873" w:rsidP="002478C1">
      <w:pPr>
        <w:jc w:val="both"/>
        <w:rPr>
          <w:rFonts w:ascii="Arial" w:eastAsia="Arial" w:hAnsi="Arial" w:cs="Arial"/>
          <w:sz w:val="24"/>
          <w:szCs w:val="24"/>
        </w:rPr>
      </w:pPr>
      <w:r>
        <w:rPr>
          <w:rFonts w:ascii="Arial" w:hAnsi="Arial"/>
          <w:sz w:val="24"/>
          <w:szCs w:val="24"/>
        </w:rPr>
        <w:t>am) ”Muovi”: polymeeristä koostuva materiaali, joka on määritetty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18 päivänä joulukuuta 2006 annetun Euroopan parlamentin ja neuvoston asetuksen (EY) N:o 1907/2006 3 artiklan 5 kohdassa ja johon on saatettu lisätä lisäaineita tai muita aineita ja joka voi toimia lopullisten tuotteiden päärakenneosana, lukuun ottamatta luonnonpolymeerejä, joita ei ole muutettu kemiallisesti.</w:t>
      </w:r>
    </w:p>
    <w:p w14:paraId="61327800" w14:textId="484C07B3" w:rsidR="0F588873" w:rsidRDefault="0F588873" w:rsidP="002478C1">
      <w:pPr>
        <w:jc w:val="both"/>
        <w:rPr>
          <w:rFonts w:ascii="Arial" w:eastAsia="Arial" w:hAnsi="Arial" w:cs="Arial"/>
          <w:sz w:val="24"/>
          <w:szCs w:val="24"/>
        </w:rPr>
      </w:pPr>
      <w:r>
        <w:rPr>
          <w:rFonts w:ascii="Arial" w:hAnsi="Arial"/>
          <w:sz w:val="24"/>
          <w:szCs w:val="24"/>
        </w:rPr>
        <w:t>an) ”Kertakäyttöinen muovituote”: täysin tai osittain muovista valmistettu tuote, jota ei ole kehitetty, suunniteltu tai saatettu markkinoille sitä varten, että se elinkaarensa aikana kävisi läpi useita kiertoja tai kierroksia siten, että se osana niitä palautetaan tuottajalle alkuperäisen käyttötarkoituksensa mukaista uudelleentäyttöä tai -käyttöä varten.</w:t>
      </w:r>
    </w:p>
    <w:p w14:paraId="5040CE5B" w14:textId="219DE949" w:rsidR="0F588873" w:rsidRDefault="0F588873" w:rsidP="002478C1">
      <w:pPr>
        <w:jc w:val="both"/>
        <w:rPr>
          <w:rFonts w:ascii="Arial" w:eastAsia="Arial" w:hAnsi="Arial" w:cs="Arial"/>
          <w:sz w:val="24"/>
          <w:szCs w:val="24"/>
        </w:rPr>
      </w:pPr>
      <w:r>
        <w:rPr>
          <w:rFonts w:ascii="Arial" w:hAnsi="Arial"/>
          <w:sz w:val="24"/>
          <w:szCs w:val="24"/>
        </w:rPr>
        <w:t>añ) ”Oxo-hajoava muovi”: muovimateriaalit, joiden sisältämät lisäaineet hapettumisen kautta aiheuttavat muovimateriaalin pilkkoutumisen mikrorakeiseksi tai sen kemiallisen hajoamisen.</w:t>
      </w:r>
    </w:p>
    <w:p w14:paraId="73518DB1" w14:textId="71A16E46" w:rsidR="0F588873" w:rsidRDefault="0F588873" w:rsidP="002478C1">
      <w:pPr>
        <w:jc w:val="both"/>
        <w:rPr>
          <w:rFonts w:ascii="Arial" w:eastAsia="Arial" w:hAnsi="Arial" w:cs="Arial"/>
          <w:sz w:val="24"/>
          <w:szCs w:val="24"/>
        </w:rPr>
      </w:pPr>
      <w:r>
        <w:rPr>
          <w:rFonts w:ascii="Arial" w:hAnsi="Arial"/>
          <w:sz w:val="24"/>
          <w:szCs w:val="24"/>
        </w:rPr>
        <w:t>ao) ”Biohajoava muovi”: muovi, joka kykenee hajoamaan fyysisesti tai biologisesti siten, että se hajoaa lopulta hiilidioksidiksi (CO</w:t>
      </w:r>
      <w:r>
        <w:rPr>
          <w:rFonts w:ascii="Arial" w:hAnsi="Arial"/>
          <w:sz w:val="24"/>
          <w:szCs w:val="24"/>
          <w:vertAlign w:val="subscript"/>
        </w:rPr>
        <w:t>2</w:t>
      </w:r>
      <w:r>
        <w:rPr>
          <w:rFonts w:ascii="Arial" w:hAnsi="Arial"/>
          <w:sz w:val="24"/>
          <w:szCs w:val="24"/>
        </w:rPr>
        <w:t>), biomassaksi ja vedeksi ja joka voidaan hyödyntää kompostin ja anaerobisen mädätyksen keinoin pakkauksia koskevien eurooppalaisten standardien mukaisesti.</w:t>
      </w:r>
    </w:p>
    <w:p w14:paraId="1F785278" w14:textId="0FBE0C15" w:rsidR="009F092F" w:rsidRDefault="009F092F" w:rsidP="002478C1">
      <w:pPr>
        <w:jc w:val="both"/>
        <w:rPr>
          <w:rFonts w:ascii="Arial" w:eastAsia="Arial" w:hAnsi="Arial" w:cs="Arial"/>
          <w:sz w:val="24"/>
          <w:szCs w:val="24"/>
        </w:rPr>
      </w:pPr>
      <w:r>
        <w:rPr>
          <w:rFonts w:ascii="Arial" w:hAnsi="Arial"/>
          <w:sz w:val="24"/>
          <w:szCs w:val="24"/>
        </w:rPr>
        <w:t>ap) ”Kalastusväline”: esine tai laitteen osa, jota käytetään kalastuksessa tai vesiviljelyssä meren elollisten luonnonvarojen pyyntiin tai kasvattamiseen tai joka kelluu merenpinnalla ja jolla pyritään houkuttelemaan ja pyytämään tai kasvattamaan tällaisia meren elollisia luonnonvaroja.</w:t>
      </w:r>
    </w:p>
    <w:p w14:paraId="0BFEBE26" w14:textId="0EE6A897" w:rsidR="0F588873" w:rsidRDefault="009F092F" w:rsidP="002478C1">
      <w:pPr>
        <w:spacing w:line="257" w:lineRule="auto"/>
        <w:jc w:val="both"/>
        <w:rPr>
          <w:rFonts w:ascii="Arial" w:eastAsia="Arial" w:hAnsi="Arial" w:cs="Arial"/>
          <w:sz w:val="24"/>
          <w:szCs w:val="24"/>
        </w:rPr>
      </w:pPr>
      <w:r>
        <w:rPr>
          <w:rFonts w:ascii="Arial" w:hAnsi="Arial"/>
          <w:sz w:val="24"/>
          <w:szCs w:val="24"/>
        </w:rPr>
        <w:t>aq) ”Satamien vastaanottolaitteet”: sellaiset satamien vastaanottolaitteet, jotka on määritelty aluksella syntyvän jätteen ja lastijäämien vastaanottolaitteista satamissa 20 päivänä joulukuuta 2002 annetussa kuninkaan asetuksessa nro 1381/2002.</w:t>
      </w:r>
    </w:p>
    <w:p w14:paraId="77247FCA" w14:textId="367404E2" w:rsidR="0F588873" w:rsidRDefault="009F092F" w:rsidP="002478C1">
      <w:pPr>
        <w:jc w:val="both"/>
        <w:rPr>
          <w:rFonts w:ascii="Arial" w:eastAsia="Arial" w:hAnsi="Arial" w:cs="Arial"/>
          <w:sz w:val="24"/>
          <w:szCs w:val="24"/>
        </w:rPr>
      </w:pPr>
      <w:r>
        <w:rPr>
          <w:rFonts w:ascii="Arial" w:hAnsi="Arial"/>
          <w:sz w:val="24"/>
          <w:szCs w:val="24"/>
        </w:rPr>
        <w:lastRenderedPageBreak/>
        <w:t>ar) ”Tupakkatuotteet”: tupakkatuotteita ja niihin liittyvien tuotteiden valmistamista, esillepanoa ja kaupan pitämistä koskevien eräiden näkökohtien sääntelystä 9 päivänä kesäkuuta 2017 annetun kuninkaan asetuksen nro 579/2017 3 §:n ac momentin mukaiset tupakkatuotteet.</w:t>
      </w:r>
    </w:p>
    <w:p w14:paraId="2ACA4D50" w14:textId="59C7C11B" w:rsidR="0F588873" w:rsidRDefault="009F092F" w:rsidP="002478C1">
      <w:pPr>
        <w:jc w:val="both"/>
        <w:rPr>
          <w:rFonts w:ascii="Arial" w:eastAsia="Arial" w:hAnsi="Arial" w:cs="Arial"/>
          <w:sz w:val="24"/>
          <w:szCs w:val="24"/>
        </w:rPr>
      </w:pPr>
      <w:r>
        <w:rPr>
          <w:rFonts w:ascii="Arial" w:hAnsi="Arial"/>
          <w:sz w:val="24"/>
          <w:szCs w:val="24"/>
        </w:rPr>
        <w:t>as) ”Markkinoille saattaminen”: tuotteen saattaminen ensimmäistä kertaa kansallisille markkinoille.</w:t>
      </w:r>
    </w:p>
    <w:p w14:paraId="735C131E" w14:textId="0E8A8541" w:rsidR="0F588873" w:rsidRDefault="009F092F" w:rsidP="002478C1">
      <w:pPr>
        <w:jc w:val="both"/>
        <w:rPr>
          <w:rFonts w:ascii="Arial" w:eastAsia="Arial" w:hAnsi="Arial" w:cs="Arial"/>
          <w:sz w:val="24"/>
          <w:szCs w:val="24"/>
        </w:rPr>
      </w:pPr>
      <w:r>
        <w:rPr>
          <w:rFonts w:ascii="Arial" w:hAnsi="Arial"/>
          <w:sz w:val="24"/>
          <w:szCs w:val="24"/>
        </w:rPr>
        <w:t>at) ”Kaupan pitäminen”: kansallisilla markkinoilla osana kaupallista toimintaa tapahtuva tuotteiden toimittaminen niiden jakelua, kuluttamista tai käyttämistä varten joko maksua vastaan tai vastikkeetta.</w:t>
      </w:r>
    </w:p>
    <w:p w14:paraId="59EADF24" w14:textId="538656F0" w:rsidR="0F588873" w:rsidRDefault="009F092F" w:rsidP="002478C1">
      <w:pPr>
        <w:jc w:val="both"/>
        <w:rPr>
          <w:rFonts w:ascii="Arial" w:eastAsia="Arial" w:hAnsi="Arial" w:cs="Arial"/>
          <w:sz w:val="24"/>
          <w:szCs w:val="24"/>
        </w:rPr>
      </w:pPr>
      <w:r>
        <w:rPr>
          <w:rFonts w:ascii="Arial" w:hAnsi="Arial"/>
          <w:sz w:val="24"/>
          <w:szCs w:val="24"/>
        </w:rPr>
        <w:t>au) ”Saastunut maaperä”: maaperä, jonka ominaisuudet ovat muuttuneet kielteiseen suuntaan sellaisten ihmisen toiminnasta peräisin olevien vaarallisten kemiallisten ainesosien vaikutuksesta, joiden pitoisuus on ollut sellainen, että siitä on hallituksen erillisellä päätöksellä määrittämien kriteerien ja standardien perusteella aiheutunut kohtuutonta vaaraa ihmisten terveydelle tai ympäristölle.</w:t>
      </w:r>
    </w:p>
    <w:p w14:paraId="62DFF878" w14:textId="7E1AB655" w:rsidR="0F588873" w:rsidRDefault="009F092F" w:rsidP="002478C1">
      <w:pPr>
        <w:jc w:val="both"/>
        <w:rPr>
          <w:rFonts w:ascii="Arial" w:eastAsia="Arial" w:hAnsi="Arial" w:cs="Arial"/>
          <w:sz w:val="24"/>
          <w:szCs w:val="24"/>
        </w:rPr>
      </w:pPr>
      <w:r>
        <w:rPr>
          <w:rFonts w:ascii="Arial" w:hAnsi="Arial"/>
          <w:sz w:val="24"/>
          <w:szCs w:val="24"/>
        </w:rPr>
        <w:t>av) ”Yhdenmukaistettu standardi”: eurooppalaisesta standardoinnista,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25 päivänä lokakuuta 2012 annetun Euroopan parlamentin ja neuvoston asetuksen (EU) N:o 1025/2012 (ETA:n kannalta merkityksellinen teksti) 2 artiklan 1 kohdan c alakohdassa annetun määritelmän mukainen yhdenmukaistettu standardi.</w:t>
      </w:r>
    </w:p>
    <w:p w14:paraId="71F9E11C" w14:textId="15DC75F2" w:rsidR="4B897C5B" w:rsidRPr="0046140C" w:rsidRDefault="009F092F" w:rsidP="002478C1">
      <w:pPr>
        <w:jc w:val="both"/>
        <w:rPr>
          <w:rFonts w:ascii="Arial" w:hAnsi="Arial"/>
          <w:sz w:val="24"/>
          <w:szCs w:val="24"/>
        </w:rPr>
      </w:pPr>
      <w:r>
        <w:rPr>
          <w:rFonts w:ascii="Arial" w:hAnsi="Arial"/>
          <w:sz w:val="24"/>
        </w:rPr>
        <w:t>aw) ”Toimivaltainen viranomainen”: viranomaiset, joiden vastuulla on tässä laissa säädettyjen tehtävien suorittaminen ja joiden nimittämisestä vastaavat vastuualueensa nojalla hallitus ja julkishallinnot: valtion keskushallinto, itsehallintoalueet ja Ceutan ja Melillan kaupungit tämän lain toimeenpanon osalta, maakuntaneuvostot ja paikallishallinnot 12 §:ssä säädetyn mukaisesti.</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3 § </w:t>
      </w:r>
      <w:r>
        <w:rPr>
          <w:rFonts w:ascii="Arial" w:hAnsi="Arial"/>
          <w:b/>
          <w:i/>
          <w:sz w:val="24"/>
        </w:rPr>
        <w:t>Soveltamisala.</w:t>
      </w:r>
    </w:p>
    <w:p w14:paraId="17C04B48" w14:textId="2F2308D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Tätä lakia sovelletaan seuraaviin:</w:t>
      </w:r>
    </w:p>
    <w:p w14:paraId="4714D97B"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a) Kaikentyyppiset jätteet ottaen huomioon 2 ja 3 momentissa esitetyt poikkeukset. </w:t>
      </w:r>
    </w:p>
    <w:p w14:paraId="05E812BD" w14:textId="77777777" w:rsidR="003F66C3" w:rsidRPr="006B1639" w:rsidRDefault="003F66C3" w:rsidP="002478C1">
      <w:pPr>
        <w:spacing w:before="120" w:after="120" w:line="240" w:lineRule="auto"/>
        <w:jc w:val="both"/>
        <w:rPr>
          <w:rFonts w:ascii="Arial" w:hAnsi="Arial"/>
          <w:sz w:val="24"/>
        </w:rPr>
      </w:pPr>
      <w:r>
        <w:rPr>
          <w:rFonts w:ascii="Arial" w:hAnsi="Arial"/>
          <w:sz w:val="24"/>
        </w:rPr>
        <w:t>b) Liitteessä I luetellut kertakäyttöiset muovituotteet. Kaikki oxo-hajoavasta muovista valmistetut tuotteet ja muovia sisältävät kalastusvälineet. Jos näille muovituotteille säädettävät toimenpiteet ovat ristiriidassa muiden tässä laissa tai pakkauksia koskevassa lainsäädännössä säädettyjen vaatimusten kanssa, etusijalle asetetaan tässä laissa kyseisille muovituotteille säädetyt toimenpiteet.</w:t>
      </w:r>
    </w:p>
    <w:p w14:paraId="332381FA" w14:textId="77777777" w:rsidR="003F66C3" w:rsidRPr="006B1639" w:rsidRDefault="003F66C3" w:rsidP="002478C1">
      <w:pPr>
        <w:spacing w:before="120" w:after="120" w:line="240" w:lineRule="auto"/>
        <w:jc w:val="both"/>
        <w:rPr>
          <w:rFonts w:ascii="Arial" w:hAnsi="Arial"/>
          <w:sz w:val="24"/>
        </w:rPr>
      </w:pPr>
      <w:r>
        <w:rPr>
          <w:rFonts w:ascii="Arial" w:hAnsi="Arial"/>
          <w:sz w:val="24"/>
        </w:rPr>
        <w:t>c) Saastuneet maaperät, joista säädetään saastuneita maaperiä koskevassa VI luvussa.</w:t>
      </w:r>
    </w:p>
    <w:p w14:paraId="743E18D4" w14:textId="2D5E140D"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Tätä lakia ei sovelleta seuraaviin:</w:t>
      </w:r>
    </w:p>
    <w:p w14:paraId="0D4B6206"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a) Ilmaan joutuvat päästöt, joita säännellään ilmanlaadusta ja ilmakehän suojelusta 15 päivänä marraskuuta 2007 annetulla lailla nro 34/2007, ja hiilidioksidin geologisesta </w:t>
      </w:r>
      <w:r>
        <w:rPr>
          <w:rFonts w:ascii="Arial" w:hAnsi="Arial"/>
          <w:sz w:val="24"/>
        </w:rPr>
        <w:lastRenderedPageBreak/>
        <w:t>varastoinnista 29 päivänä joulukuuta 2010 annetun lain nro 40/2010 mukaisesti talteen otettu ja geologista varastointia varten siirretty ja geologisesti varastoitu hiilidioksidi. Lakia ei sovelleta myöskään hiilidioksidin geologiseen varastointiin, joka on tehty tutkimus- tai kehittämistarkoituksia varten tai uusien tuotteiden ja menetelmien testaamista varten, jos suunniteltu varastointikapasiteetti on enintään 100 kilotonnia.</w:t>
      </w:r>
    </w:p>
    <w:p w14:paraId="1FFC2DF7" w14:textId="6EE526FE" w:rsidR="003F66C3" w:rsidRPr="005649E3" w:rsidRDefault="003F66C3" w:rsidP="002478C1">
      <w:pPr>
        <w:spacing w:before="120" w:after="120" w:line="240" w:lineRule="auto"/>
        <w:jc w:val="both"/>
        <w:rPr>
          <w:rFonts w:ascii="Arial" w:hAnsi="Arial"/>
          <w:sz w:val="24"/>
        </w:rPr>
      </w:pPr>
      <w:r>
        <w:rPr>
          <w:rFonts w:ascii="Arial" w:hAnsi="Arial"/>
          <w:sz w:val="24"/>
        </w:rPr>
        <w:t>b) Kaivetut saastumattomat maaperät ja muut rakennustoimien aikana kaivetut luonnolliset materiaalit, jos voidaan varmistaa, että näitä materiaaleja käytetään niiden luonnollisessa tilassa rakennustarkoituksiin siinä paikassa tai työmaalla, josta ne on kaivettu.</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Radioaktiiviset jätteet.</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Luokittelemattomat räjähteet.</w:t>
      </w:r>
    </w:p>
    <w:p w14:paraId="7745AE78" w14:textId="77777777" w:rsidR="003F66C3" w:rsidRPr="005649E3" w:rsidRDefault="003F66C3" w:rsidP="002478C1">
      <w:pPr>
        <w:spacing w:before="120" w:after="120" w:line="240" w:lineRule="auto"/>
        <w:jc w:val="both"/>
        <w:rPr>
          <w:rFonts w:ascii="Arial" w:hAnsi="Arial"/>
          <w:sz w:val="24"/>
        </w:rPr>
      </w:pPr>
      <w:r>
        <w:rPr>
          <w:rFonts w:ascii="Arial" w:hAnsi="Arial"/>
          <w:sz w:val="24"/>
        </w:rPr>
        <w:t>e) Ulosteet, jos 2 momentin b alamomentti ei koske niitä, oljet ja muut vaarattomat luonnonmateriaalit ja maa- ja metsätalouden materiaalit, joita käytetään maa- ja karjataloustiloilla, metsätaloudessa ja tällaisesta biomassasta sellaisin toimenpitein tai menetelmin saatavan energian tuotannossa, jotka eivät aiheuta vaaraa ihmisten terveydelle tai vahingoita ympäristöä.</w:t>
      </w:r>
    </w:p>
    <w:p w14:paraId="474322CF" w14:textId="77777777" w:rsidR="003F66C3" w:rsidRPr="005649E3" w:rsidRDefault="003F66C3" w:rsidP="002478C1">
      <w:pPr>
        <w:spacing w:before="120" w:after="120" w:line="240" w:lineRule="auto"/>
        <w:jc w:val="both"/>
        <w:rPr>
          <w:rFonts w:ascii="Arial" w:hAnsi="Arial"/>
          <w:sz w:val="24"/>
        </w:rPr>
      </w:pPr>
      <w:r>
        <w:rPr>
          <w:rFonts w:ascii="Arial" w:hAnsi="Arial"/>
          <w:sz w:val="24"/>
        </w:rPr>
        <w:t>3. Tätä lakia ei sovelleta jäljempänä mainittuihin jätteisiin siltä osin kuin niitä säännellään jo muilla yhteisön säädöksillä tai Espanjan kansallisilla säädöksillä, joilla yhteisön säädökset on saatettu osaksi Espanjan kansallista lainsäädäntöä:</w:t>
      </w:r>
    </w:p>
    <w:p w14:paraId="759B4AB8" w14:textId="77777777" w:rsidR="003F66C3" w:rsidRPr="005649E3" w:rsidRDefault="003F66C3" w:rsidP="002478C1">
      <w:pPr>
        <w:spacing w:before="120" w:after="120" w:line="240" w:lineRule="auto"/>
        <w:jc w:val="both"/>
        <w:rPr>
          <w:rFonts w:ascii="Arial" w:hAnsi="Arial"/>
          <w:sz w:val="24"/>
        </w:rPr>
      </w:pPr>
      <w:r>
        <w:rPr>
          <w:rFonts w:ascii="Arial" w:hAnsi="Arial"/>
          <w:sz w:val="24"/>
        </w:rPr>
        <w:t>a) Jätevedet.</w:t>
      </w:r>
    </w:p>
    <w:p w14:paraId="618E67C8"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b) Sellaiset eläimistä saatavat sivutuotteet, joita koskee muiden kuin ihmisravinnoksi tarkoitettujen eläimistä saatavien sivutuotteiden ja niistä johdettujen tuotteiden terveyssäännöistä sekä asetuksen (EY) N:o 1774/2002 kumoamisesta 21 päivänä lokakuuta 2009 annettu Euroopan parlamentin ja neuvoston asetus (EU) N:o 1069/2009. </w:t>
      </w:r>
    </w:p>
    <w:p w14:paraId="2F305613" w14:textId="77777777" w:rsidR="003F66C3" w:rsidRPr="006B1639" w:rsidRDefault="003F66C3" w:rsidP="002478C1">
      <w:pPr>
        <w:spacing w:before="120" w:after="120" w:line="240" w:lineRule="auto"/>
        <w:jc w:val="both"/>
        <w:rPr>
          <w:rFonts w:ascii="Arial" w:hAnsi="Arial"/>
          <w:sz w:val="24"/>
        </w:rPr>
      </w:pPr>
      <w:r>
        <w:rPr>
          <w:rFonts w:ascii="Arial" w:hAnsi="Arial"/>
          <w:sz w:val="24"/>
        </w:rPr>
        <w:t>Tätä poikkeusta ei sovelleta eläimistä saataviin sivutuotteisiin ja niistä johdettuihin tuotteisiin, jotka on tarkoitettu poltettaviksi, haudattaviksi kaatopaikalle tai käytettäviksi biokaasu- tai kompostointilaitoksissa tai polttoaineiden tuotannossa ja joita täten säännellään tällä lailla.</w:t>
      </w:r>
    </w:p>
    <w:p w14:paraId="6C62D863"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c) Sellaisten eläinten ruhot, jotka kuolevat muutoin kuin teurastamalla, mukaan luettuina eläinkulkutaudin hävittämiseksi lopetetut eläimet, ja jotka hävitetään 21 päivänä lokakuuta 2009 annetun Euroopan parlamentin ja neuvoston asetuksen (EY) N:o 1069/2009 mukaisesti. </w:t>
      </w:r>
    </w:p>
    <w:p w14:paraId="271444BA" w14:textId="530DC7DD" w:rsidR="003F66C3" w:rsidRPr="005649E3" w:rsidRDefault="003F66C3" w:rsidP="002478C1">
      <w:pPr>
        <w:spacing w:before="120" w:after="120" w:line="240" w:lineRule="auto"/>
        <w:jc w:val="both"/>
        <w:rPr>
          <w:rFonts w:ascii="Arial" w:hAnsi="Arial"/>
          <w:sz w:val="24"/>
        </w:rPr>
      </w:pPr>
      <w:r>
        <w:rPr>
          <w:rFonts w:ascii="Arial" w:hAnsi="Arial"/>
          <w:sz w:val="24"/>
        </w:rPr>
        <w:t>d) Jätteet, jotka syntyvät mineraalivarojen etsinnässä, louhinnassa, rikastuksessa tai varastoinnissa sekä louhosten toiminnassa kaivannaisteollisuuden jätehuollosta ja kaivostoiminnan kohteena olleiden alueiden suojelusta ja ennallistamisesta 12 päivänä kesäkuuta 2009 annetun kuninkaan asetuksen nro 975/2009 mukaisesti.</w:t>
      </w:r>
    </w:p>
    <w:p w14:paraId="4F9D69AA"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e) Aineet, jotka eivät ole eivätkä sisällä eläimistä saatavia sivutuotteita ja jotka on tarkoitettu käytettäviksi rehuaineena rehun markkinoille saattamisesta ja käytöstä, Euroopan parlamentin ja neuvoston asetuksen (EY) N:o 1831/2003 muuttamisesta sekä neuvoston direktiivin 79/373/ETY, komission direktiivin 80/511/ETY, neuvoston direktiivien 82/471/ETY, 83/228/ETY, 93/74/ETY, 93/113/EY ja 96/25/EY ja komission päätöksen 2004/217/EY kumoamisesta 13 päivänä heinäkuuta 2009 annetun Euroopan parlamentin ja neuvoston asetuksen (EY) N:o 767/2009 3 artiklan 2 kohdan g alakohdassa annetun määritelmän mukaisesti. </w:t>
      </w:r>
    </w:p>
    <w:p w14:paraId="17FACEC9" w14:textId="565DBC83" w:rsidR="00AD084A" w:rsidRPr="005649E3" w:rsidRDefault="003F66C3" w:rsidP="002478C1">
      <w:pPr>
        <w:spacing w:before="120" w:after="120" w:line="240" w:lineRule="auto"/>
        <w:jc w:val="both"/>
        <w:rPr>
          <w:rFonts w:ascii="Arial" w:hAnsi="Arial"/>
          <w:sz w:val="24"/>
        </w:rPr>
      </w:pPr>
      <w:r>
        <w:rPr>
          <w:rFonts w:ascii="Arial" w:hAnsi="Arial"/>
          <w:sz w:val="24"/>
        </w:rPr>
        <w:lastRenderedPageBreak/>
        <w:t>4. Tämän lain soveltamisalan ulkopuolelle jätetään sedimentit, jotka on osoitettu vaarattomiksi sellaisten hallituksen hyväksymien suuntaviivojen perusteella, jotka on hyväksytty merellisen ympäristön suojelusta 29 päivänä joulukuuta 2010 annetun lain nro 41/2010 4 §:n 2 momentin nojalla, ja jotka sijoitetaan uudelleen pintavesikerroksen alle seuraavia tarkoituksia varten: vesien ja laivaväylien hoito, uusien maa-alueiden luominen, tulvien ehkäiseminen tai tulvien ja kuivuuden vaikutusten lieventäminen; tämä ei vaikuta aihetta koskevan erityislainsäädännön nojalla määrättyihin velvoitteisiin.</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17 § </w:t>
      </w:r>
      <w:r>
        <w:rPr>
          <w:rFonts w:ascii="Arial" w:hAnsi="Arial"/>
          <w:b/>
          <w:i/>
          <w:sz w:val="24"/>
        </w:rPr>
        <w:t>Jätteiden syntymisen ehkäisemisen tavoitteet.</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Jotta taloudellisen kasvun ja jätteiden syntymisestä aiheutuvien ihmisten terveyteen ja ympäristöön kohdistuvien vaikutusten välinen yhteys voitaisiin katkaista, jätteiden syntymisen ehkäisemistä koskevilla toimintatavoilla on pyrittävä saavuttamaan seuraavat tuotettujen jätteiden painon vähentämistä koskevat tavoitteet:</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Vuonna 2020 10 prosentin vähennys suhteessa vuonna 2010 syntyneisiin jätteisiin.</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Vuonna 2025 13 prosentin vähennys suhteessa vuonna 2010 syntyneisiin jätteisiin.</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c) Vuonna 2030 15 prosentin vähennys suhteessa vuonna 2010 syntyneisiin jätteisiin.</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Hallitus voi edellisessä momentissa mainittujen tavoitteiden saavuttamiseksi ja saatavilla olevien tietojen perusteella asettaa säädöksellä tietyille tuotteille ehkäisemistä koskevat erityistavoitteet.</w:t>
      </w:r>
    </w:p>
    <w:p w14:paraId="2B7E2E3C" w14:textId="0A639C3C" w:rsidR="000A339B" w:rsidRPr="00D53AB1" w:rsidRDefault="000348A6" w:rsidP="002478C1">
      <w:pPr>
        <w:spacing w:before="120" w:after="120" w:line="240" w:lineRule="auto"/>
        <w:jc w:val="both"/>
        <w:rPr>
          <w:rFonts w:ascii="Arial" w:hAnsi="Arial"/>
          <w:sz w:val="24"/>
        </w:rPr>
      </w:pPr>
      <w:r>
        <w:rPr>
          <w:rFonts w:ascii="Arial" w:hAnsi="Arial"/>
          <w:sz w:val="24"/>
        </w:rPr>
        <w:t xml:space="preserve">3. Muun muassa tekstiilien, lelujen ja sähkölaitteiden kaltaisten pilaantumattomien ja myymättä jääneiden ylijäämätuotteiden tuhoaminen on kielletty vuodesta 2021 alkaen, lukuun ottamatta tuotteita, jotka on tuhottava muiden säädösten perusteella. </w:t>
      </w:r>
    </w:p>
    <w:p w14:paraId="39B451F7" w14:textId="2D5C18E8" w:rsidR="006F0C49" w:rsidRPr="00D53AB1" w:rsidRDefault="000348A6" w:rsidP="002478C1">
      <w:pPr>
        <w:spacing w:before="120" w:after="120" w:line="240" w:lineRule="auto"/>
        <w:jc w:val="both"/>
        <w:rPr>
          <w:rFonts w:ascii="Arial" w:hAnsi="Arial"/>
          <w:sz w:val="24"/>
        </w:rPr>
      </w:pPr>
      <w:r>
        <w:rPr>
          <w:rFonts w:ascii="Arial" w:hAnsi="Arial"/>
          <w:sz w:val="24"/>
        </w:rPr>
        <w:t xml:space="preserve">4. Pakkausten kuluttamisen vähentämiseksi julkishallintojen on otettava käyttöön toimenpiteitä, joita tarvitaan pullotetun veden kuluttamisen vähentämiseksi tiloissaan, muun muassa edistämällä hygienian ja elintarviketurvallisuuden varmistamista varten tarvittavissa olosuhteissa pidettävien juomavesilähteiden käyttöä ja jakelemalla vettä uudelleenkäytettävissä pakkauksissa, tämän kuitenkaan vaikuttamatta siihen, että veden pitäminen kaupan kertakäyttöisissä pakkauksissa on sallittua terveyskeskuksissa ja oppilaitoksissa.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Hotelli- ja ravintola-alan laitoksissa on saman tavoitteen saavuttamiseksi tarjottava kuluttajille, asiakkaille tai palvelujen käyttäjille aina mahdollisuus laitosten tarjoaman pakkaamattoman veden juomiseen ilmaiseksi ja kyseisen laitoksen tarjonnan lisänä, kunhan kunta tai veden jakelusta vastaava yritys voi taata, että vesi soveltuu ihmisten käyttöön ja on siten vaadittujen terveydellisten edellytysten mukaista.</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lastRenderedPageBreak/>
        <w:t>V LUKU</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Tiettyjen muovituotteiden ympäristövaikutusten vähentäminen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40 § </w:t>
      </w:r>
      <w:r>
        <w:rPr>
          <w:rFonts w:ascii="Arial" w:hAnsi="Arial"/>
          <w:b/>
          <w:i/>
          <w:sz w:val="24"/>
        </w:rPr>
        <w:t>Tiettyjen kertakäyttöisten muovituotteiden kulutuksen vähentäminen.</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Säädetään seuraava aikataulu liitteessä IV olevassa A osassa esitettyjen kertakäyttöisten muovituotteiden kaupan pitämisen vähentämiseksi:</w:t>
      </w:r>
    </w:p>
    <w:p w14:paraId="5EB586EF"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a) Vuonna 2026 on saavutettava 50 prosentin vähennys painosta suhteessa vuoteen 2022. </w:t>
      </w:r>
    </w:p>
    <w:p w14:paraId="7506555D"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Vuonna 2030 on saavutettava 70 prosentin vähennys painosta suhteessa vuoteen 2022. </w:t>
      </w:r>
    </w:p>
    <w:p w14:paraId="0F05C920" w14:textId="77777777" w:rsidR="009F092F" w:rsidRPr="00034253" w:rsidRDefault="009F092F" w:rsidP="002478C1">
      <w:pPr>
        <w:spacing w:before="120" w:after="120" w:line="240" w:lineRule="auto"/>
        <w:jc w:val="both"/>
        <w:rPr>
          <w:rFonts w:ascii="Arial" w:hAnsi="Arial"/>
          <w:sz w:val="24"/>
        </w:rPr>
      </w:pPr>
      <w:r>
        <w:rPr>
          <w:rFonts w:ascii="Arial" w:hAnsi="Arial"/>
          <w:sz w:val="24"/>
        </w:rPr>
        <w:t>2. Edellä esitettyjen tavoitteiden saavuttamiseksi kaikkien kaupan pitämiseen osallistuvien välittäjien on edistettävä uudelleenkäytettävien tai muista materiaaleista kuin muovista tehtyjen vaihtoehtojen käyttöä. Tammikuun 1 päivästä 2023 alkaen kaikista kuluttajille jaettavista muovituotteista on joka tapauksessa veloitettava maksu, joka eritellään kuitissa.</w:t>
      </w:r>
    </w:p>
    <w:p w14:paraId="6C017929"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Ekologisesta siirtymästä ja väestöhaasteista vastaavan ministeriön on seurattava kyseisten tuotteiden kulutuksen vähentämistä ja esitettävä saamiensa tulosten perusteella säädöksinä muutoksia edellä annettuun aikatauluun ja muita mahdollisia menetelmiä kulutuksen vähentämiseksi. Toimenpiteiden on oltava oikeasuhtaisia ja syrjimättömiä, ja niistä on ilmoitettava Euroopan komissiolle 31 päivänä heinäkuuta 1999 annetun kuninkaan asetuksen nro 1337/1999 mukaisesti 9 päivänä syyskuuta 2015 annetun Euroopan parlamentin ja neuvoston direktiivin (EU) 2015/1535 säännösten noudattamiseksi.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3. Elintarvikeastioiden katsotaan olevan kertakäyttöisiä muovituotteita, jos sen lisäksi, että ne ovat niiden määritelmässä lueteltujen ominaisuuksien mukaisia, on merkittävää, että niistä tulee määränsä tai kokonsa ja erityisesti yksittäispakkauskäytön vuoksi helposti hajajätettä. Tätä varten hyödynnetään 18 §:n 1 momentin k alamomentin soveltamisesta saatavia tietoja.</w:t>
      </w:r>
    </w:p>
    <w:p w14:paraId="6ECA1340" w14:textId="77777777" w:rsidR="009F092F" w:rsidRPr="00FD4230" w:rsidRDefault="009F092F" w:rsidP="002478C1">
      <w:pPr>
        <w:spacing w:before="120" w:after="120" w:line="240" w:lineRule="auto"/>
        <w:jc w:val="both"/>
        <w:rPr>
          <w:rFonts w:ascii="Arial" w:hAnsi="Arial"/>
          <w:sz w:val="24"/>
        </w:rPr>
      </w:pPr>
      <w:r>
        <w:rPr>
          <w:rFonts w:ascii="Arial" w:hAnsi="Arial"/>
          <w:sz w:val="24"/>
        </w:rPr>
        <w:t xml:space="preserve">4. Kaikkien sellaisten pakkauksena käytettävien muovialustojen, joita liite IV ei koske, muovisten kerta-annostuotteiden, muovirenkaiden, joiden avulla voidaan yhdistää useita yksittäisiä pakkauksia, ja elintarvikealalla tuotetukina käytettävien muovitikkujen (karamellien, jäätelöiden ja muiden tuotteiden tikkujen), jotka kaikki on valmistettu kompostoitumattomasta muovista, osalta tuotteiden markkinoille saattamisen kanssa tekemisissä olleiden välittäjien on edistettävä tuotteiden kulutuksen vähentämistä korvaamalla muovituotteet uudelleenkäytettävillä vaihtoehdoilla ja muilla materiaaleilla, kuten esimerkiksi kompostoituvalla muovilla, puulla, paperilla tai pahvilla.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Ekologisesta siirtymästä ja väestöhaasteista vastaavan ministeriön on seurattava kyseisten tuotteiden kulutuksen vähentämistä, ja se voi saamiensa tulosten perusteella antaa säädöksiä muista toimenpiteistä, joiden tarkoituksena on kulutuksen merkittävä vähentäminen; tämä koskee erityisesti vähentämisaikataulun säätämistä.</w:t>
      </w:r>
    </w:p>
    <w:p w14:paraId="223CCA0E" w14:textId="77777777" w:rsidR="009F092F" w:rsidRPr="00034253" w:rsidRDefault="009F092F" w:rsidP="002478C1">
      <w:pPr>
        <w:spacing w:before="120" w:after="120" w:line="240" w:lineRule="auto"/>
        <w:jc w:val="both"/>
        <w:rPr>
          <w:rFonts w:ascii="Arial" w:hAnsi="Arial"/>
          <w:sz w:val="24"/>
        </w:rPr>
      </w:pPr>
      <w:r>
        <w:rPr>
          <w:rFonts w:ascii="Arial" w:hAnsi="Arial"/>
          <w:sz w:val="24"/>
        </w:rPr>
        <w:t>5. Ekologisesta siirtymästä ja väestöhaasteista vastaavan ministeriön on 3 päivään heinäkuuta 2021 mennessä laadittava tiedonanto kaikista tämän pykälän mukaisesti käyttöön otetuista toimenpiteistä, lähetettävä se komissiolle ja saatettava se julkisesti saataville.</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41 § </w:t>
      </w:r>
      <w:r>
        <w:rPr>
          <w:rFonts w:ascii="Arial" w:hAnsi="Arial"/>
          <w:b/>
          <w:i/>
          <w:sz w:val="24"/>
        </w:rPr>
        <w:t>Tiettyjen muovituotteiden kieltäminen.</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Kielletään seuraavien tuotteiden saattaminen markkinoille 3 päivästä heinäkuuta 2021 alkaen: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Liitteessä IV olevassa B osassa mainitut muovituotteet.</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Kaikki oxo-hajoavasta muovista valmistetut tuotteet.</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Kosmeettiset valmisteet, sellaisina kuin ne on määritetty kosmeettisista valmisteista 30 päivänä marraskuuta 2009 annetussa Euroopan parlamentin ja neuvoston asetuksessa (EY) N:o 1223/2009, ja pesuaineet ja puhdistusaineet, sellaisina kuin ne on määritetty pesuaineiden ja puhdistusaineiden valmistamista, jakelua ja kaupan pitämistä koskevien teknis-terveydellisten määräysten hyväksymisestä 7 päivänä toukokuuta 1999 annetussa kuninkaan asetuksessa nro 770/1999, jos kyseiset aineet sisältävät tarkoituksella lisättyjä alle viiden millimetrin kokoisia mikromuovihelmiä.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42 § </w:t>
      </w:r>
      <w:r>
        <w:rPr>
          <w:rFonts w:ascii="Arial" w:hAnsi="Arial"/>
          <w:b/>
          <w:i/>
          <w:sz w:val="24"/>
        </w:rPr>
        <w:t>Muovisten juoma-astioiden suunnittelua koskevat vaatimukset.</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Heinäkuun 3 päivästä 2024 alkaen markkinoille voidaan saattaa ainoastaan sellaisia kertakäyttöisiä muovituotteita, jotka on lueteltu liitteessä IV olevassa C osassa ja joiden kannet ja korkit pysyvät kiinni pakkauksessa tuotteelle suunnitellun käyttövaiheen ajan. Muovisinetillä varustettuja metallikansia ja -korkkeja ei pidetä muovisina tässä yhteydessä. </w:t>
      </w:r>
    </w:p>
    <w:p w14:paraId="55270AC5"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Edellä mainittujen tuotteiden katsotaan noudattavan tämän momentin vaatimuksia, jos ne on valmistettu yhteisön tasolla käyttöön otettujen yhdenmukaistettujen standardien mukaisesti.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Vuodesta 2025 alkaen markkinoille voidaan saattaa vain sellaisia polyeteenitereftalaattipulloja (”PET-pullot”), jotka on mainittu liitteessä IV olevassa E osassa ja jotka sisältävät vähintään 25 prosenttia kierrätettyä muovia kaikkien markkinoille saatettavien PET-pullojen keskiarvona laskettuna.</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Vuodesta 2030 alkaen markkinoille voidaan saattaa vain sellaisia pulloja, jotka on mainittu liitteessä IV olevassa E osassa ja jotka sisältävät vähintään 30 prosenttia kierrätettyä muovia kaikkien markkinoille saatettavien pullojen keskiarvona laskettuna.</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t xml:space="preserve">4. Pakkauksia ja pakkausjätteitä koskevan tuottajan laajennetun vastuun osalta säädettyjen velvoitteiden noudattamiseksi perustetuissa järjestelmissä on määritettävä toimenpiteet näiden tavoitteiden saavuttamiseksi.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Edellä 2 ja 3 momentissa mainituissa muovipulloissa voi olla maininta niiden sisältämän muovin määrästä.</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43 § </w:t>
      </w:r>
      <w:r>
        <w:rPr>
          <w:rFonts w:ascii="Arial" w:hAnsi="Arial"/>
          <w:b/>
          <w:i/>
          <w:sz w:val="24"/>
        </w:rPr>
        <w:t>Tiettyjen kertakäyttöisten muovituotteiden merkintöjä koskevat vaatimukset.</w:t>
      </w:r>
    </w:p>
    <w:p w14:paraId="41CF11FB"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Liitteessä IV olevassa D osassa mainitut markkinoille saatettavat kertakäyttöiset muovituotteet on 3 päivästä heinäkuuta 2021 alkaen merkittävä näkyvällä paikalla helposti luettavissa olevalla pysyvällä merkinnällä, jonka on oltava yhteisön tasolla säädettyjen yhdenmukaisten standardien vaatimusten mukainen.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Tällä merkinnällä ilmoitetaan kuluttajille tuotteesta syntyvien jätteiden käsittelyä koskevista asianmukaisista vaihtoehdoista tai jätteiden hävittämistavoista, joita kyseessä olevasta tuotteesta syntyvien jätteiden osalta olisi vältettävä jätehierarkian mukaisesti, tuotteen sisältämistä muoveista sekä tuotteesta syntyvien jätteiden hajajätteenä poisheittämisen tai muiden asiaankuulumattomien hävitystapojen kielteisistä vaikutuksista ympäristöön.</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Lisätään tämän pykälän tupakkatuotteita koskevat säännökset 9 päivänä kesäkuuta 2017 annetun kuninkaan asetuksen nro 579/2017 säännöksiin.</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44 § </w:t>
      </w:r>
      <w:r>
        <w:rPr>
          <w:rFonts w:ascii="Arial" w:hAnsi="Arial"/>
          <w:b/>
          <w:i/>
          <w:sz w:val="24"/>
        </w:rPr>
        <w:t>Muovipullojen erilliskeräys.</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Säädetään seuraavat tavoitteet liitteessä IV olevassa E kohdassa mainittujen muovituotteiden erilliskeräykselle, jonka tavoitteena on saada ne kierrätettäviksi: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vuoteen 2025 mennessä 77 prosenttia markkinoille saatetusta nettopainosta;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vuoteen 2029 mennessä 90 prosenttia markkinoille saatetusta nettopainosta. </w:t>
      </w:r>
    </w:p>
    <w:p w14:paraId="2CB8330F" w14:textId="77777777" w:rsidR="009F092F" w:rsidRPr="00034253" w:rsidRDefault="009F092F" w:rsidP="002478C1">
      <w:pPr>
        <w:spacing w:before="120" w:after="120" w:line="240" w:lineRule="auto"/>
        <w:jc w:val="both"/>
        <w:rPr>
          <w:rFonts w:ascii="Arial" w:hAnsi="Arial"/>
          <w:sz w:val="24"/>
        </w:rPr>
      </w:pPr>
      <w:r>
        <w:rPr>
          <w:rFonts w:ascii="Arial" w:hAnsi="Arial"/>
          <w:sz w:val="24"/>
        </w:rPr>
        <w:t>Markkinoille saatettavien tuotteiden voidaan katsoa vastaavan niistä samana vuonna syntyvien jätteiden määrää, hajajätteisiin kuuluvat jätteet mukaan luettuina.</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Pakkauksia koskevissa toimeenpanosäädöksissä on tätä varten määritettävä mainittujen tavoitteiden saavuttamiseksi tarvittavat toimenpiteet, joihin voivat kuulua esimerkiksi pantti-, palautus- ja hyvitysjärjestelmästä säätäminen tai tavoitteiden asettaminen tuottajan laajennettua vastuuta koskeville järjestelmille.</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45 § </w:t>
      </w:r>
      <w:r>
        <w:rPr>
          <w:rFonts w:ascii="Arial" w:hAnsi="Arial"/>
          <w:b/>
          <w:i/>
          <w:sz w:val="24"/>
        </w:rPr>
        <w:t>Tuottajan laajennettua vastuuta koskevat järjestelmät.</w:t>
      </w:r>
    </w:p>
    <w:p w14:paraId="69EC59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Hallituksen on annettava säännöksiä tuottajan laajennettua vastuuta koskevista järjestelmistä liitteessä IV olevassa F osassa lueteltujen kertakäyttöisten muovituotteiden osalta. Järjestelmistä on säädettävä 1 päivään tammikuuta 2025 mennessä sellaisten kertakäyttöisten muovituotteiden osalta, jotka ovat F osan 1 kohdan mukaisia muita kuin pakkauksia ja 2.1 ja 2.2 kohdan mukaisia tuotteita, ja 6 päivään tammikuuta 2023 mennessä muiden liitteessä IV olevan F osan 1 kohdassa ja 2.3 kohdassa lueteltujen tuotteiden osalta.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Liitteessä IV olevan F osan 1 kohdassa lueteltuja kertakäyttöisiä muovituotteita varten toimeenpannuissa tuottajan laajennettua vastuuta koskevissa järjestelmissä kertakäyttöisten muovituotteiden tuottajat ovat 38 §:n mukaisten kulujen lisäksi vastuussa myös seuraavista kuluista, jos niitä ei ole jo sisällytetty muihin kuluihin:</w:t>
      </w:r>
    </w:p>
    <w:p w14:paraId="0914FB33" w14:textId="77777777" w:rsidR="009F092F" w:rsidRPr="00034253" w:rsidRDefault="009F092F" w:rsidP="002478C1">
      <w:pPr>
        <w:spacing w:before="120" w:after="120" w:line="240" w:lineRule="auto"/>
        <w:jc w:val="both"/>
        <w:rPr>
          <w:rFonts w:ascii="Arial" w:hAnsi="Arial"/>
          <w:sz w:val="24"/>
        </w:rPr>
      </w:pPr>
      <w:r>
        <w:rPr>
          <w:rFonts w:ascii="Arial" w:hAnsi="Arial"/>
          <w:sz w:val="24"/>
        </w:rPr>
        <w:t>a) 46 §:ssä mainittujen tiedotustoimien kulut;</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jätteeksi toimitettavien tuotteiden keräyksestä julkisissa keräysjärjestelmissä, infrastruktuuri ja sen käyttö mukaan luettuina, sekä jätteiden edelleen kuljettamisesta ja käsittelystä aiheutuvat kulut ja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mainituista tuotteista aiheutuvat kaatopaikkojen puhdistuskulut ja edelleen kuljettamisesta ja käsittelystä aiheutuvat kulut.</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Liitteessä IV olevan F osan 2 kohdassa lueteltuja muovituotteita varten toimeenpannuissa vastuuta koskevissa järjestelmissä tuotteiden tuottajat ovat 38 §:n mukaisesti vastuussa vähintään seuraavista kuluista:</w:t>
      </w:r>
    </w:p>
    <w:p w14:paraId="1FEAE6AD"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a) 46 §:ssä mainittujen tiedotustoimien kulut;</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mainituista tuotteista aiheutuvat kaatopaikkojen puhdistuskulut, viemäröinti- ja jätevesijärjestelmien puhdistamisesta aiheutuvat kulut mukaan luettuina, ja edelleen kuljettamisesta ja käsittelystä aiheutuvat kulut ja</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tietojen ja asiakirjojen keräämisestä aiheutuvat kulut, mikä koskee sekä säännöllisiä keräämisiä että yksittäisiä keräämisiä satunnaisten päästöjen tai ympäristössä olevien hajajätteiden takia.</w:t>
      </w:r>
    </w:p>
    <w:p w14:paraId="0738EBF4" w14:textId="0895832B" w:rsidR="009F092F" w:rsidRPr="00034253" w:rsidRDefault="009F092F" w:rsidP="002478C1">
      <w:pPr>
        <w:spacing w:before="120" w:after="120" w:line="240" w:lineRule="auto"/>
        <w:jc w:val="both"/>
        <w:rPr>
          <w:rFonts w:ascii="Arial" w:hAnsi="Arial"/>
          <w:sz w:val="24"/>
        </w:rPr>
      </w:pPr>
      <w:r>
        <w:rPr>
          <w:rFonts w:ascii="Arial" w:hAnsi="Arial"/>
          <w:sz w:val="24"/>
        </w:rPr>
        <w:t xml:space="preserve">Tupakkatuotteiden tuottajat ovat vastuussa myös jätteeksi toimitettavien tuotteiden keräyksestä julkisissa keräysjärjestelmissä, infrastruktuuri ja sen käyttö mukaan luettuina, sekä jätteiden edelleen kuljettamisesta ja käsittelystä aiheutuvista kuluista. Kulut voivat sisältää kuluja, jotka aiheutuvat kyseessä olevista tuotteista syntyvien jätteiden keräystä varten tarkoitetun erityisinfrastruktuurin perustamisesta, kuten asianmukaisten jätesäiliöiden toimittamisesta paikkoihin, joihin jätevirta keskittyy. Lisäksi niihin voivat sisältyä kulut, jotka aiheutuvat vaihtoehtojen kehittämisestä ja ehkäisytoimista, joiden tavoitteena on vähentää jätteiden syntymistä ja lisätä niiden materiaalien hyödyntämistä. </w:t>
      </w:r>
    </w:p>
    <w:p w14:paraId="2DC0A644" w14:textId="77777777" w:rsidR="009F092F" w:rsidRPr="00034253" w:rsidRDefault="009F092F" w:rsidP="002478C1">
      <w:pPr>
        <w:spacing w:before="120" w:after="120" w:line="240" w:lineRule="auto"/>
        <w:jc w:val="both"/>
        <w:rPr>
          <w:rFonts w:ascii="Arial" w:hAnsi="Arial"/>
          <w:sz w:val="24"/>
          <w:szCs w:val="24"/>
        </w:rPr>
      </w:pPr>
      <w:r>
        <w:rPr>
          <w:rFonts w:ascii="Arial" w:hAnsi="Arial"/>
          <w:sz w:val="24"/>
          <w:szCs w:val="24"/>
        </w:rPr>
        <w:t>4. Kulut, joista vastuussa oleminen määräytyy 2 ja 3 momentin nojalla, eivät voi olla suuremmat kuin mainittujen palveluiden taloudellisesti tehokkaalla tavalla tarjoamisesta aiheutuvat kulut, ja niiden suuruus määritetään avoimesti eri välittäjien kesken. Kaatopaikkojen puhdistamisesta aiheutuvat kulut rajataan julkisten viranomaisten tai niiden puolesta toimivien tahojen säännöllisesti toteuttamiin toimenpiteisiin. Laskentamenetelmä on kehitettävä sellaiseksi, että kaatopaikkojen puhdistamisesta aiheutuvat kulut voidaan määrittää suhteellisesti. Hallinnollisten kulujen vähimmäistämiseksi kaatopaikkojen puhdistamisesta aiheutuviin kuluihin liittyvät maksut voidaan määrittää säätämällä asianmukaiset kiinteät maksut monelle vuodelle.</w:t>
      </w:r>
    </w:p>
    <w:p w14:paraId="52B74223" w14:textId="77777777" w:rsidR="009F092F" w:rsidRPr="00034253" w:rsidRDefault="009F092F" w:rsidP="002478C1">
      <w:pPr>
        <w:spacing w:before="120" w:after="120" w:line="240" w:lineRule="auto"/>
        <w:jc w:val="both"/>
        <w:rPr>
          <w:rFonts w:ascii="Arial" w:hAnsi="Arial"/>
          <w:sz w:val="24"/>
        </w:rPr>
      </w:pPr>
      <w:r>
        <w:rPr>
          <w:rFonts w:ascii="Arial" w:hAnsi="Arial"/>
          <w:sz w:val="24"/>
        </w:rPr>
        <w:t>5. Hallituksen on säädösten avulla pantava täytäntöön tuottajan laajennettua vastuuta koskevat järjestelmät kalastusvälineille 37 ja 38 §:n mukaisesti 1 päivään tammikuuta 2025 mennessä. Säädöksissä on määritettävä muovia sisältävistä kalastusvälinejätteen kierrättämistä varten tarkoitettu kansallinen vähimmäiskeräysaste, ja niissä on esitettävä toimenpiteet markkinoille saatettujen muovia sisältävien kalastusvälineiden ja kerättyjen jätteiden seurannan toteuttamista varten. Kalastusvälineiden tuottajien on otettava vastuu sellaisten muovia sisältävistä kalastusvälineistä syntyneiden jätteiden erilliskeräyksen kuluista, jotka on toimitettu niiden keräilyä varten luvan saaneisiin laitoksiin, kuten 20 päivänä joulukuuta 2002 annetun kuninkaan asetuksen nro 1381/2002 mukaisiin satamien asianmukaisiin vastaanottolaitteisiin tai muihin vastaaviin keräysjärjestelmiin, jotka eivät kuulu kyseisen kuninkaan asetuksen soveltamisalaan, sekä tällaisten jätteiden edelleen kuljettamisesta, käsittelystä ja niistä tiedottamisesta aiheutuvista kuluista, joista säädetään 46 §:ssä.</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Tämän momentin perusteella säädettävillä vaatimuksilla täydennetään vaatimuksia, joita sovelletaan kalastusaluksista peräisin oleviin jätteisiin satamien vastaanottolaitteita koskevan Euroopan unionin lainsäädännön nojalla.</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46 § </w:t>
      </w:r>
      <w:r>
        <w:rPr>
          <w:rFonts w:ascii="Arial" w:hAnsi="Arial"/>
          <w:b/>
          <w:i/>
          <w:color w:val="000000" w:themeColor="text1"/>
          <w:sz w:val="24"/>
        </w:rPr>
        <w:t>Tiedotustoimenpiteet.</w:t>
      </w:r>
    </w:p>
    <w:p w14:paraId="147E5D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Toimivaltaisten viranomaisten on otettava käyttöön toimenpiteet, joita tarvitaan tiedon välittämiseksi kuluttajille ja joilla kannustetaan kuluttajia ja erityisesti nuoria vastuulliseen käyttäytymiseen, jonka tavoitteena on liitteessä IV olevassa F osassa luetelluista </w:t>
      </w:r>
      <w:r>
        <w:rPr>
          <w:rFonts w:ascii="Arial" w:hAnsi="Arial"/>
          <w:sz w:val="24"/>
        </w:rPr>
        <w:lastRenderedPageBreak/>
        <w:t>kertakäyttöisistä muovituotteista ja liitteessä IV olevan D osan 1 kohdassa mainituista naisten hygieniatuotteista syntyvien hajajätteiden poisheittämisen vähentäminen.</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Lisäksi on otettava käyttöön toimenpiteitä, joiden avulla edellisessä momentissa mainittujen kertakäyttöisten muovituotteiden ja muovia sisältävien kalastusvälineiden käyttäjille välitetään tietoa seuraavista asioista:</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a) kertakäyttöisille muovituotteille ja muovia sisältäville kalastusvälineille saatavilla olevat uudelleenkäytettävät vaihtoehdot, uudelleenkäyttöjärjestelmät ja jätehuoltovaihtoehdot sekä järkevän jätehuollon osalta parhaat toimintatavat, joita sovelletaan 7 §:n mukaisesti;</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kertakäyttöisistä muovituotteista ja muovia sisältävistä kalastusvälineistä peräisin olevien jätteiden kaltaisten hajajätteiden poisheittämisen ja muiden asiaankuulumattomien hävitystapojen vaikutukset ympäristöön ja erityisesti meriympäristöön sekä</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kertakäyttöisten muovituotteiden kaltaisten jätteiden epäasiallisen hävittämisen vaikutukset jätevesijärjestelmään.</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47 § </w:t>
      </w:r>
      <w:r>
        <w:rPr>
          <w:rFonts w:ascii="Arial" w:hAnsi="Arial"/>
          <w:b/>
          <w:i/>
          <w:sz w:val="24"/>
        </w:rPr>
        <w:t>Toimenpiteiden koordinointi.</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Osana tämän osaston toimeenpanoa käyttöön otettavat toimenpiteet ovat kiinteä osa toimenpideohjelmia, jotka on perustettu meriympäristön suojelusta annetun lainsäädännön, vesilainsäädännön ja 20 päivänä joulukuuta 2002 annetun kuninkaan asetuksen nro 1381/2002 mukaisesti. Toimenpiteiden on oltava yhdenmukaisia mainittujen ohjelmien ja suunnitelmien kanssa.</w:t>
      </w:r>
    </w:p>
    <w:p w14:paraId="7B0635D0" w14:textId="77777777" w:rsidR="009F092F" w:rsidRPr="00A32D87" w:rsidRDefault="009F092F" w:rsidP="002478C1">
      <w:pPr>
        <w:spacing w:before="120" w:after="120" w:line="240" w:lineRule="auto"/>
        <w:jc w:val="both"/>
        <w:rPr>
          <w:rFonts w:ascii="Arial" w:hAnsi="Arial"/>
          <w:sz w:val="24"/>
        </w:rPr>
      </w:pPr>
      <w:r>
        <w:rPr>
          <w:rFonts w:ascii="Arial" w:hAnsi="Arial"/>
          <w:sz w:val="24"/>
        </w:rPr>
        <w:t>2. Osana 40–45 §:n toimeenpanoa käyttöön otettavien toimenpiteiden on oltava Euroopan unionin elintarvikelainsäädännön mukaisia sen varmistamiseksi, että elintarvikehygienia ja elintarviketurvallisuus eivät vaarannu, minkä lisäksi elintarvikkeiden kanssa kosketukseen joutuvien materiaalien osalta edistetään mahdollisuuksien mukaan kertakäyttöisten muovituotteiden kestävien vaihtoehtojen käyttöä.</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LIITE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Kertakäyttöiset muovituotteet</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Kertakäyttöiset muovituotteet, jotka ovat vähentämistoimien kohteena:</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Juomamukit, niiden korkit ja kannet mukaan luettuina. </w:t>
      </w:r>
    </w:p>
    <w:p w14:paraId="3DB1C4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Elintarvikepakkaukset eli astiat, kuten kannelliset ja kannettomat rasiat, joissa säilytetään elintarvikkeita, jotka </w:t>
      </w:r>
    </w:p>
    <w:p w14:paraId="67BBB0A4" w14:textId="23A5625D" w:rsidR="00F13023" w:rsidRPr="00A32D87" w:rsidRDefault="00F13023" w:rsidP="002478C1">
      <w:pPr>
        <w:spacing w:before="120" w:after="120" w:line="240" w:lineRule="auto"/>
        <w:ind w:left="709"/>
        <w:jc w:val="both"/>
        <w:rPr>
          <w:rFonts w:ascii="Arial" w:hAnsi="Arial"/>
          <w:sz w:val="24"/>
        </w:rPr>
      </w:pPr>
      <w:r>
        <w:rPr>
          <w:rFonts w:ascii="Arial" w:hAnsi="Arial"/>
          <w:sz w:val="24"/>
        </w:rPr>
        <w:t>a) on tarkoitettu syötäväksi välittömästi joko paikalla tai mukaan otettuna</w:t>
      </w:r>
      <w:r w:rsidR="00F81D08">
        <w:rPr>
          <w:rFonts w:ascii="Arial" w:hAnsi="Arial"/>
          <w:sz w:val="24"/>
        </w:rPr>
        <w:t>,</w:t>
      </w:r>
      <w:r>
        <w:rPr>
          <w:rFonts w:ascii="Arial" w:hAnsi="Arial"/>
          <w:sz w:val="24"/>
        </w:rPr>
        <w:t xml:space="preserve">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syödään tavallisesti astiasta, ja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c) ovat valmiita syötäväksi ilman lisävalmistamista, kuten kypsentämistä, keittämistä tai lämmittämistä, mukaan lukien elintarvikepakkaukset, joita käytetään pikaruokaa tai muuta välittömästi syötäväksi tarkoitettua ateriaa varten, lukuun ottamatta juomapakkauksia, lautasia ja ruokaa sisältäviä annospakkauksia ja kääreitä.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lastRenderedPageBreak/>
        <w:t xml:space="preserve">B. Kertakäyttöiset muovituotteet, jotka ovat markkinoille saattamista koskevien rajoitusten alaisia: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Vanupuikot, jos ne eivät kuulu terveystuotteiden sääntelystä 16 päivänä lokakuuta 2009 annetun kuninkaan asetuksen nro 1591/2009 soveltamisalaan.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Ruokailuvälineet (haarukat, veitset, lusikat, syömäpuikot).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Lautaset.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Pillit, jos ne eivät kuulu 16 päivänä lokakuuta 2009 annetun kuninkaan asetuksen nro 1591/2009 soveltamisalaan.</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Juomien sekoitustikut.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Ilmapalloihin kiinnitettävät ja niitä tukevat varret, lukuun ottamatta ilmapalloja, jotka on tarkoitettu teolliseen tai muuhun ammattimaiseen käyttöön ja joita ei jaeta kuluttajille, mukaan lukien kyseisten varsien mekanismit.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Vaahdotetusta polystyreenistä valmistetut elintarvikepakkaukset, jotka on tarkoitettu A kohdan 2 alakohdassa mainittuja elintarvikkeita varten.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Vaahdotetusta polystyreenistä valmistetut juomapakkaukset, niiden korkit ja kannet mukaan luettuina.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Vaahdotetusta polystyreenistä valmistetut juomamukit, niiden korkit ja kannet mukaan luettuina.</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t>C. Kertakäyttöiset muovituotteet, jotka ovat ekologista suunnittelua koskevien vaatimusten alaisia:</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Tilavuudeltaan enintään kolmen litran juomapakkaukset eli astiat, joita käytetään nesteitä varten, kuten juomapullot ja niiden korkit ja kannet, sekä yhdistelmämateriaalipakkaukset niiden korkit ja kannet mukaan luettuina, paitsi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lasiset tai metalliset juomapakkaukset, joissa on muovikorkit tai -kannet,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juomapakkaukset, jotka on tarkoitettu ja joita käytetään imeväisille ja pikkulapsille tarkoitetuista ruoista, erityisiin lääkinnällisiin tarkoituksiin tarkoitetuista elintarvikkeista ja painonhallintaan tarkoitetuista ruokavalionkorvikkeista ja neuvoston direktiivin 92/52/ETY, komission direktiivien 96/8/EY, 1999/21/EY, 2006/125/EY ja 2006/141/EY, Euroopan parlamentin ja neuvoston direktiivin 2009/39/EY sekä komission asetusten (EY) N:o 41/2009 ja (EY) N:o 953/2009 kumoamisesta 12 päivänä kesäkuuta 2013 annetun Euroopan parlamentin ja neuvoston asetuksen (EU) N:o 609/2013 2 artiklan g alakohdassa määriteltyjä erityisiin lääkinnällisiin tarkoituksiin tarkoitettuja nestemäisessä muodossa olevia elintarvikkeita varten.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Kertakäyttöiset muovituotteet, jotka ovat merkintöjä koskevien vaatimusten alaisia: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Terveyssiteet, tamponit ja tamponien asettimet.</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Kosteuspyyhkeet eli henkilökohtaiseen hygieniaan ja kotitalouksien käyttöön tarkoitetut esikosteutetut pyyhkeet.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Suodattimelliset tupakkatuotteet ja suodattimet, joita pidetään kaupan käytettäväksi yhdessä tupakkatuotteiden kanssa.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Juomamukit.</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lastRenderedPageBreak/>
        <w:t>E. Kertakäyttöiset muovituotteet, jotka ovat erilliskeräystä ja ekologista suunnittelua koskevien vaatimusten alaisia:</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Tilavuudeltaan enintään kolmen litran juomapullot ja niiden korkit ja kannet, paitsi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lasiset tai metalliset juomapullot, joissa on muovikorkit tai -kannet,</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b) juomapullot, jotka on tarkoitettu ja joita käytetään 12 päivänä kesäkuuta 2013 annetun Euroopan parlamentin ja neuvoston asetuksen (EU) N:o 609/2013 2 artiklan g alakohdassa määriteltyjä erityisiin lääkinnällisiin tarkoituksiin tarkoitettuja nestemäisessä muodossa olevia elintarvikkeita varten.</w:t>
      </w:r>
    </w:p>
    <w:p w14:paraId="3E735C9D" w14:textId="62C2A9CC" w:rsidR="00F13023" w:rsidRPr="00A32D87" w:rsidRDefault="00F13023" w:rsidP="002478C1">
      <w:pPr>
        <w:spacing w:before="120" w:after="120" w:line="240" w:lineRule="auto"/>
        <w:jc w:val="both"/>
        <w:rPr>
          <w:rFonts w:ascii="Arial" w:hAnsi="Arial"/>
          <w:sz w:val="24"/>
        </w:rPr>
      </w:pPr>
      <w:r>
        <w:rPr>
          <w:rFonts w:ascii="Arial" w:hAnsi="Arial"/>
          <w:sz w:val="24"/>
        </w:rPr>
        <w:t>F. Kertakäyttöiset muovituotteet, joihin sovelletaan tuottajan laajennettua vastuujärjestelmää koskevaa 45 §:ää ja tiedotustoimenpiteitä koskevaa 46 §:ää.</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Kertakäyttöiset muovituotteet, joihin sovelletaan tuottajan laajennettua vastuujärjestelmää koskevaa 45 §:n 2 momenttia:</w:t>
      </w:r>
    </w:p>
    <w:p w14:paraId="328C7CEC" w14:textId="43ABAA56" w:rsidR="00F13023" w:rsidRPr="00A32D87" w:rsidRDefault="00F13023" w:rsidP="002F35DA">
      <w:pPr>
        <w:spacing w:before="120" w:after="120" w:line="240" w:lineRule="auto"/>
        <w:ind w:left="709"/>
        <w:jc w:val="both"/>
        <w:rPr>
          <w:rFonts w:ascii="Arial" w:hAnsi="Arial"/>
          <w:sz w:val="24"/>
        </w:rPr>
      </w:pPr>
      <w:r>
        <w:rPr>
          <w:rFonts w:ascii="Arial" w:hAnsi="Arial"/>
          <w:sz w:val="24"/>
        </w:rPr>
        <w:t>1) Elintarvikepakkaukset eli astiat, kuten kannelliset ja kannettomat rasiat, joissa säilytetään elintarvikkeita, jotka</w:t>
      </w:r>
    </w:p>
    <w:p w14:paraId="52A13C01" w14:textId="1D469836" w:rsidR="00F13023" w:rsidRPr="00A32D87" w:rsidRDefault="00F13023" w:rsidP="005E6A73">
      <w:pPr>
        <w:spacing w:before="120" w:after="120" w:line="240" w:lineRule="auto"/>
        <w:ind w:left="709"/>
        <w:jc w:val="both"/>
        <w:rPr>
          <w:rFonts w:ascii="Arial" w:hAnsi="Arial"/>
          <w:sz w:val="24"/>
        </w:rPr>
      </w:pPr>
      <w:r>
        <w:rPr>
          <w:rFonts w:ascii="Arial" w:hAnsi="Arial"/>
          <w:sz w:val="24"/>
        </w:rPr>
        <w:t>a) on tarkoitettu syötäväksi välittömästi joko paikalla tai mukaan otettuna</w:t>
      </w:r>
      <w:r w:rsidR="00F81D08">
        <w:rPr>
          <w:rFonts w:ascii="Arial" w:hAnsi="Arial"/>
          <w:sz w:val="24"/>
        </w:rPr>
        <w:t>,</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syödään tavallisesti astiasta, ja</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ovat valmiita syötäväksi ilman lisävalmistamista, kuten kypsentämistä, keittämistä tai lämmittämistä, mukaan lukien elintarvikepakkaukset, joita käytetään pikaruokaa tai muuta välittömästi syötäväksi tarkoitettua ateriaa varten, lukuun ottamatta juomapakkauksia, lautasia ja ruokaa sisältäviä annospakkauksia ja kääreitä.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Joustavasta materiaalista valmistetut annospakkaukset ja kääreet, joiden sisältämä ruoka on tarkoitettu nautittavaksi välittömästi annospakkauksesta tai kääreestä ilman lisävalmistusta.</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Tilavuudeltaan enintään kolmen litran juomapakkaukset eli astiat, joita käytetään nesteitä varten, kuten juomapullot ja niiden korkit ja kannet, sekä yhdistelmämateriaalipakkaukset korkkeineen ja kansineen, paitsi lasiset tai metalliset juomapakkaukset, joissa on muovikorkit tai -kannet.</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Juomamukit, niiden korkit ja kannet mukaan luettuina.</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Kevyet muoviset kantokassit, sellaisina kuin ne määritellään 18 päivänä toukokuuta 2018 annetussa kuninkaan asetuksessa nro 293/2018.</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Kertakäyttöiset muovituotteet, joihin sovelletaan tuottajan laajennettua vastuujärjestelmää koskevaa 45 §:n 3 momenttia:</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Kosteuspyyhkeet eli henkilökohtaiseen hygieniaan ja kotitalouksien käyttöön tarkoitetut esikosteutetut pyyhkeet.</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Ilmapallot, lukuun ottamatta ilmapalloja, jotka on tarkoitettu teollisiin tai muihin ammattimaisiin käyttötarkoituksiin ja sovelluksiin ja joita ei jaeta kuluttajille.</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Suodattimelliset tupakkatuotteet ja suodattimet, joita pidetään kaupan käytettäväksi yhdessä tupakkatuotteiden kanssa.</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8CD6" w14:textId="77777777" w:rsidR="00B736C6" w:rsidRDefault="00B736C6" w:rsidP="009F2382">
      <w:pPr>
        <w:spacing w:after="0" w:line="240" w:lineRule="auto"/>
      </w:pPr>
      <w:r>
        <w:separator/>
      </w:r>
    </w:p>
  </w:endnote>
  <w:endnote w:type="continuationSeparator" w:id="0">
    <w:p w14:paraId="1E35F661" w14:textId="77777777" w:rsidR="00B736C6" w:rsidRDefault="00B736C6" w:rsidP="009F2382">
      <w:pPr>
        <w:spacing w:after="0" w:line="240" w:lineRule="auto"/>
      </w:pPr>
      <w:r>
        <w:continuationSeparator/>
      </w:r>
    </w:p>
  </w:endnote>
  <w:endnote w:type="continuationNotice" w:id="1">
    <w:p w14:paraId="1C6EFC6D" w14:textId="77777777" w:rsidR="00B736C6" w:rsidRDefault="00B73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891639"/>
      <w:docPartObj>
        <w:docPartGallery w:val="Page Numbers (Bottom of Page)"/>
        <w:docPartUnique/>
      </w:docPartObj>
    </w:sdtPr>
    <w:sdtEndPr/>
    <w:sdtContent>
      <w:p w14:paraId="67F9EC45" w14:textId="20695983" w:rsidR="009F092F" w:rsidRDefault="009F092F">
        <w:pPr>
          <w:pStyle w:val="Alatunniste"/>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B1B6F" w14:textId="77777777" w:rsidR="00B736C6" w:rsidRDefault="00B736C6" w:rsidP="009F2382">
      <w:pPr>
        <w:spacing w:after="0" w:line="240" w:lineRule="auto"/>
      </w:pPr>
      <w:r>
        <w:separator/>
      </w:r>
    </w:p>
  </w:footnote>
  <w:footnote w:type="continuationSeparator" w:id="0">
    <w:p w14:paraId="02DA4773" w14:textId="77777777" w:rsidR="00B736C6" w:rsidRDefault="00B736C6" w:rsidP="009F2382">
      <w:pPr>
        <w:spacing w:after="0" w:line="240" w:lineRule="auto"/>
      </w:pPr>
      <w:r>
        <w:continuationSeparator/>
      </w:r>
    </w:p>
  </w:footnote>
  <w:footnote w:type="continuationNotice" w:id="1">
    <w:p w14:paraId="411DD9BB" w14:textId="77777777" w:rsidR="00B736C6" w:rsidRDefault="00B73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Yltunniste"/>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7.8pt">
                <v:imagedata r:id="rId1" o:title=""/>
              </v:shape>
              <o:OLEObject Type="Embed" ProgID="PBrush" ShapeID="_x0000_i1025" DrawAspect="Content" ObjectID="_1666175609"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EKOLOGISESTA SIIRTYMÄSTÄ JA VÄESTÖHAASTEISTA VASTAAVA MINISTERIÖ</w:t>
          </w:r>
        </w:p>
      </w:tc>
      <w:tc>
        <w:tcPr>
          <w:tcW w:w="1701" w:type="dxa"/>
        </w:tcPr>
        <w:p w14:paraId="39A2C2CC" w14:textId="2FCC2A45" w:rsidR="009F092F" w:rsidRPr="002478C1" w:rsidRDefault="009F092F" w:rsidP="009D7A73">
          <w:pPr>
            <w:pStyle w:val="Yltunniste"/>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Yltunniste"/>
            <w:rPr>
              <w:rFonts w:ascii="Arial" w:hAnsi="Arial" w:cs="Arial"/>
              <w:sz w:val="14"/>
              <w:szCs w:val="14"/>
            </w:rPr>
          </w:pPr>
        </w:p>
      </w:tc>
      <w:tc>
        <w:tcPr>
          <w:tcW w:w="2693" w:type="dxa"/>
        </w:tcPr>
        <w:p w14:paraId="139E2FCC" w14:textId="77777777" w:rsidR="009F092F" w:rsidRPr="002478C1" w:rsidRDefault="009F092F" w:rsidP="009D7A73">
          <w:pPr>
            <w:pStyle w:val="Yltunniste"/>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Yltunniste"/>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Yltunniste"/>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Yltunniste"/>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Yltunniste"/>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Yltunniste"/>
            <w:shd w:val="pct12" w:color="auto" w:fill="FFFFFF"/>
            <w:spacing w:line="160" w:lineRule="exact"/>
            <w:rPr>
              <w:rFonts w:ascii="Arial" w:hAnsi="Arial" w:cs="Arial"/>
              <w:sz w:val="14"/>
              <w:szCs w:val="14"/>
            </w:rPr>
          </w:pPr>
        </w:p>
        <w:p w14:paraId="16A22B78" w14:textId="77777777" w:rsidR="009F092F" w:rsidRDefault="009F092F" w:rsidP="002478C1">
          <w:pPr>
            <w:pStyle w:val="Yltunniste"/>
            <w:shd w:val="pct12" w:color="auto" w:fill="FFFFFF"/>
            <w:spacing w:line="160" w:lineRule="exact"/>
            <w:rPr>
              <w:rFonts w:ascii="Arial" w:hAnsi="Arial" w:cs="Arial"/>
              <w:sz w:val="14"/>
              <w:szCs w:val="14"/>
            </w:rPr>
          </w:pPr>
          <w:r>
            <w:rPr>
              <w:rFonts w:ascii="Arial" w:hAnsi="Arial"/>
              <w:sz w:val="14"/>
              <w:szCs w:val="14"/>
            </w:rPr>
            <w:t>YMPÄRISTÖASIOIDEN KESKUSVIRASTO</w:t>
          </w:r>
        </w:p>
        <w:p w14:paraId="2196AAB3" w14:textId="267C048C" w:rsidR="002478C1" w:rsidRPr="002478C1" w:rsidRDefault="002478C1" w:rsidP="002478C1">
          <w:pPr>
            <w:pStyle w:val="Yltunniste"/>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Yltunniste"/>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Yltunniste"/>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Yltunniste"/>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Yltunniste"/>
            <w:rPr>
              <w:rFonts w:ascii="Arial" w:hAnsi="Arial" w:cs="Arial"/>
              <w:sz w:val="14"/>
              <w:szCs w:val="14"/>
            </w:rPr>
          </w:pPr>
        </w:p>
      </w:tc>
      <w:tc>
        <w:tcPr>
          <w:tcW w:w="2693" w:type="dxa"/>
          <w:vAlign w:val="center"/>
        </w:tcPr>
        <w:p w14:paraId="18EE26F2" w14:textId="77777777" w:rsidR="002478C1" w:rsidRDefault="002478C1" w:rsidP="002478C1">
          <w:pPr>
            <w:pStyle w:val="Yltunniste"/>
            <w:spacing w:line="160" w:lineRule="exact"/>
            <w:rPr>
              <w:rFonts w:ascii="Arial" w:hAnsi="Arial" w:cs="Arial"/>
              <w:sz w:val="14"/>
              <w:szCs w:val="14"/>
            </w:rPr>
          </w:pPr>
        </w:p>
        <w:p w14:paraId="666A593B" w14:textId="77777777" w:rsidR="009F092F" w:rsidRDefault="009F092F" w:rsidP="002478C1">
          <w:pPr>
            <w:pStyle w:val="Yltunniste"/>
            <w:spacing w:line="160" w:lineRule="exact"/>
            <w:rPr>
              <w:rFonts w:ascii="Arial" w:hAnsi="Arial" w:cs="Arial"/>
              <w:sz w:val="14"/>
              <w:szCs w:val="14"/>
            </w:rPr>
          </w:pPr>
          <w:r>
            <w:rPr>
              <w:rFonts w:ascii="Arial" w:hAnsi="Arial"/>
              <w:sz w:val="14"/>
              <w:szCs w:val="14"/>
            </w:rPr>
            <w:t>YMPÄRISTÖN LAADUSTA JA ARVIOINNISTA VASTAAVA PÄÄOSASTO</w:t>
          </w:r>
        </w:p>
        <w:p w14:paraId="71B7FED1" w14:textId="7EC734D7" w:rsidR="002478C1" w:rsidRPr="002478C1" w:rsidRDefault="002478C1" w:rsidP="002478C1">
          <w:pPr>
            <w:pStyle w:val="Yltunniste"/>
            <w:spacing w:line="160" w:lineRule="exact"/>
            <w:rPr>
              <w:rFonts w:ascii="Arial" w:hAnsi="Arial" w:cs="Arial"/>
              <w:sz w:val="14"/>
              <w:szCs w:val="14"/>
            </w:rPr>
          </w:pPr>
        </w:p>
      </w:tc>
    </w:tr>
  </w:tbl>
  <w:p w14:paraId="05A40959" w14:textId="77777777" w:rsidR="009F092F" w:rsidRDefault="009F092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36C6"/>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08"/>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6224"/>
  </w:style>
  <w:style w:type="paragraph" w:styleId="Otsikko1">
    <w:name w:val="heading 1"/>
    <w:basedOn w:val="Normaali"/>
    <w:next w:val="Normaali"/>
    <w:link w:val="Otsikko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3">
    <w:name w:val="heading 3"/>
    <w:basedOn w:val="Normaali"/>
    <w:link w:val="Otsikko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Otsikko5">
    <w:name w:val="heading 5"/>
    <w:basedOn w:val="Normaali"/>
    <w:next w:val="Normaali"/>
    <w:link w:val="Otsikko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3">
    <w:name w:val="Text 3"/>
    <w:basedOn w:val="Normaali"/>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ali"/>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ali"/>
    <w:rsid w:val="00A96224"/>
    <w:pPr>
      <w:spacing w:before="120" w:after="120" w:line="360" w:lineRule="auto"/>
      <w:ind w:left="2551" w:hanging="567"/>
    </w:pPr>
    <w:rPr>
      <w:rFonts w:ascii="Times New Roman" w:hAnsi="Times New Roman" w:cs="Times New Roman"/>
      <w:sz w:val="24"/>
    </w:rPr>
  </w:style>
  <w:style w:type="character" w:styleId="Kommentinviite">
    <w:name w:val="annotation reference"/>
    <w:basedOn w:val="Kappaleenoletusfontti"/>
    <w:uiPriority w:val="99"/>
    <w:unhideWhenUsed/>
    <w:rsid w:val="00A96224"/>
    <w:rPr>
      <w:sz w:val="16"/>
      <w:szCs w:val="16"/>
    </w:rPr>
  </w:style>
  <w:style w:type="paragraph" w:styleId="Kommentinteksti">
    <w:name w:val="annotation text"/>
    <w:basedOn w:val="Normaali"/>
    <w:link w:val="KommentintekstiChar"/>
    <w:uiPriority w:val="99"/>
    <w:unhideWhenUsed/>
    <w:rsid w:val="00A96224"/>
    <w:pPr>
      <w:spacing w:line="240" w:lineRule="auto"/>
    </w:pPr>
    <w:rPr>
      <w:sz w:val="20"/>
      <w:szCs w:val="20"/>
    </w:rPr>
  </w:style>
  <w:style w:type="character" w:customStyle="1" w:styleId="KommentintekstiChar">
    <w:name w:val="Kommentin teksti Char"/>
    <w:basedOn w:val="Kappaleenoletusfontti"/>
    <w:link w:val="Kommentinteksti"/>
    <w:uiPriority w:val="99"/>
    <w:rsid w:val="00A96224"/>
    <w:rPr>
      <w:sz w:val="20"/>
      <w:szCs w:val="20"/>
    </w:rPr>
  </w:style>
  <w:style w:type="paragraph" w:customStyle="1" w:styleId="articulo">
    <w:name w:val="articulo"/>
    <w:basedOn w:val="Normaali"/>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eliteteksti">
    <w:name w:val="Balloon Text"/>
    <w:basedOn w:val="Normaali"/>
    <w:link w:val="SelitetekstiChar"/>
    <w:uiPriority w:val="99"/>
    <w:semiHidden/>
    <w:unhideWhenUsed/>
    <w:rsid w:val="00A9622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6224"/>
    <w:rPr>
      <w:rFonts w:ascii="Segoe UI" w:hAnsi="Segoe UI" w:cs="Segoe UI"/>
      <w:sz w:val="18"/>
      <w:szCs w:val="18"/>
    </w:rPr>
  </w:style>
  <w:style w:type="paragraph" w:styleId="Luettelokappale">
    <w:name w:val="List Paragraph"/>
    <w:basedOn w:val="Normaali"/>
    <w:uiPriority w:val="34"/>
    <w:qFormat/>
    <w:rsid w:val="00A96224"/>
    <w:pPr>
      <w:ind w:left="720"/>
      <w:contextualSpacing/>
    </w:pPr>
  </w:style>
  <w:style w:type="paragraph" w:customStyle="1" w:styleId="Point1">
    <w:name w:val="Point 1"/>
    <w:basedOn w:val="Normaali"/>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ali"/>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ali"/>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Alaviitteenviite">
    <w:name w:val="footnote reference"/>
    <w:basedOn w:val="Kappaleenoletusfontti"/>
    <w:uiPriority w:val="99"/>
    <w:unhideWhenUsed/>
    <w:rsid w:val="00A96224"/>
    <w:rPr>
      <w:b/>
      <w:bdr w:val="none" w:sz="0" w:space="0" w:color="auto"/>
      <w:shd w:val="clear" w:color="auto" w:fill="auto"/>
      <w:vertAlign w:val="superscript"/>
    </w:rPr>
  </w:style>
  <w:style w:type="paragraph" w:customStyle="1" w:styleId="Tiret3">
    <w:name w:val="Tiret 3"/>
    <w:basedOn w:val="Normaali"/>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ali"/>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ali"/>
    <w:rsid w:val="009F2382"/>
    <w:pPr>
      <w:spacing w:before="120" w:after="120" w:line="360" w:lineRule="auto"/>
      <w:ind w:left="850" w:hanging="850"/>
    </w:pPr>
    <w:rPr>
      <w:rFonts w:ascii="Times New Roman" w:hAnsi="Times New Roman" w:cs="Times New Roman"/>
      <w:sz w:val="24"/>
    </w:rPr>
  </w:style>
  <w:style w:type="paragraph" w:styleId="Alaviitteenteksti">
    <w:name w:val="footnote text"/>
    <w:basedOn w:val="Normaali"/>
    <w:link w:val="Alaviitteenteksti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AlaviitteentekstiChar">
    <w:name w:val="Alaviitteen teksti Char"/>
    <w:basedOn w:val="Kappaleenoletusfontti"/>
    <w:link w:val="Alaviitteenteksti"/>
    <w:uiPriority w:val="99"/>
    <w:rsid w:val="009F2382"/>
    <w:rPr>
      <w:rFonts w:ascii="Times New Roman" w:hAnsi="Times New Roman" w:cs="Times New Roman"/>
      <w:sz w:val="24"/>
      <w:szCs w:val="20"/>
      <w:lang w:val="fi-FI"/>
    </w:rPr>
  </w:style>
  <w:style w:type="paragraph" w:customStyle="1" w:styleId="NormalCentered">
    <w:name w:val="Normal Centered"/>
    <w:basedOn w:val="Normaali"/>
    <w:rsid w:val="009F2382"/>
    <w:pPr>
      <w:spacing w:before="120" w:after="120" w:line="360" w:lineRule="auto"/>
      <w:jc w:val="center"/>
    </w:pPr>
    <w:rPr>
      <w:rFonts w:ascii="Times New Roman" w:hAnsi="Times New Roman" w:cs="Times New Roman"/>
      <w:sz w:val="24"/>
    </w:rPr>
  </w:style>
  <w:style w:type="paragraph" w:styleId="Yltunniste">
    <w:name w:val="header"/>
    <w:basedOn w:val="Normaali"/>
    <w:link w:val="YltunnisteChar"/>
    <w:unhideWhenUsed/>
    <w:rsid w:val="00820AF9"/>
    <w:pPr>
      <w:tabs>
        <w:tab w:val="center" w:pos="4252"/>
        <w:tab w:val="right" w:pos="8504"/>
      </w:tabs>
      <w:spacing w:after="0" w:line="240" w:lineRule="auto"/>
    </w:pPr>
  </w:style>
  <w:style w:type="character" w:customStyle="1" w:styleId="YltunnisteChar">
    <w:name w:val="Ylätunniste Char"/>
    <w:basedOn w:val="Kappaleenoletusfontti"/>
    <w:link w:val="Yltunniste"/>
    <w:uiPriority w:val="99"/>
    <w:rsid w:val="00820AF9"/>
  </w:style>
  <w:style w:type="paragraph" w:styleId="Alatunniste">
    <w:name w:val="footer"/>
    <w:basedOn w:val="Normaali"/>
    <w:link w:val="AlatunnisteChar"/>
    <w:uiPriority w:val="99"/>
    <w:unhideWhenUsed/>
    <w:rsid w:val="00820AF9"/>
    <w:pPr>
      <w:tabs>
        <w:tab w:val="center" w:pos="4252"/>
        <w:tab w:val="right" w:pos="8504"/>
      </w:tabs>
      <w:spacing w:after="0" w:line="240" w:lineRule="auto"/>
    </w:pPr>
  </w:style>
  <w:style w:type="character" w:customStyle="1" w:styleId="AlatunnisteChar">
    <w:name w:val="Alatunniste Char"/>
    <w:basedOn w:val="Kappaleenoletusfontti"/>
    <w:link w:val="Alatunniste"/>
    <w:uiPriority w:val="99"/>
    <w:rsid w:val="00820AF9"/>
  </w:style>
  <w:style w:type="paragraph" w:styleId="Kommentinotsikko">
    <w:name w:val="annotation subject"/>
    <w:basedOn w:val="Kommentinteksti"/>
    <w:next w:val="Kommentinteksti"/>
    <w:link w:val="KommentinotsikkoChar"/>
    <w:uiPriority w:val="99"/>
    <w:semiHidden/>
    <w:unhideWhenUsed/>
    <w:rsid w:val="00C019CB"/>
    <w:rPr>
      <w:b/>
      <w:bCs/>
    </w:rPr>
  </w:style>
  <w:style w:type="character" w:customStyle="1" w:styleId="KommentinotsikkoChar">
    <w:name w:val="Kommentin otsikko Char"/>
    <w:basedOn w:val="KommentintekstiChar"/>
    <w:link w:val="Kommentinotsikko"/>
    <w:uiPriority w:val="99"/>
    <w:semiHidden/>
    <w:rsid w:val="00C019CB"/>
    <w:rPr>
      <w:b/>
      <w:bCs/>
      <w:sz w:val="20"/>
      <w:szCs w:val="20"/>
    </w:rPr>
  </w:style>
  <w:style w:type="paragraph" w:styleId="Muutos">
    <w:name w:val="Revision"/>
    <w:hidden/>
    <w:uiPriority w:val="99"/>
    <w:semiHidden/>
    <w:rsid w:val="00472D25"/>
    <w:pPr>
      <w:spacing w:after="0" w:line="240" w:lineRule="auto"/>
    </w:pPr>
  </w:style>
  <w:style w:type="paragraph" w:styleId="Leipteksti">
    <w:name w:val="Body Text"/>
    <w:basedOn w:val="Normaali"/>
    <w:link w:val="LeiptekstiChar"/>
    <w:uiPriority w:val="99"/>
    <w:unhideWhenUsed/>
    <w:rsid w:val="00300F1B"/>
    <w:pPr>
      <w:spacing w:before="100" w:after="120" w:line="276" w:lineRule="auto"/>
    </w:pPr>
    <w:rPr>
      <w:rFonts w:eastAsiaTheme="minorEastAsia"/>
      <w:sz w:val="20"/>
      <w:szCs w:val="20"/>
    </w:rPr>
  </w:style>
  <w:style w:type="character" w:customStyle="1" w:styleId="LeiptekstiChar">
    <w:name w:val="Leipäteksti Char"/>
    <w:basedOn w:val="Kappaleenoletusfontti"/>
    <w:link w:val="Leipteksti"/>
    <w:uiPriority w:val="99"/>
    <w:rsid w:val="00300F1B"/>
    <w:rPr>
      <w:rFonts w:eastAsiaTheme="minorEastAsia"/>
      <w:sz w:val="20"/>
      <w:szCs w:val="20"/>
    </w:rPr>
  </w:style>
  <w:style w:type="paragraph" w:customStyle="1" w:styleId="parrafo1">
    <w:name w:val="parrafo1"/>
    <w:basedOn w:val="Normaali"/>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Otsikko3Char">
    <w:name w:val="Otsikko 3 Char"/>
    <w:basedOn w:val="Kappaleenoletusfontti"/>
    <w:link w:val="Otsikko3"/>
    <w:uiPriority w:val="9"/>
    <w:rsid w:val="001D2A64"/>
    <w:rPr>
      <w:rFonts w:ascii="Times New Roman" w:eastAsia="Times New Roman" w:hAnsi="Times New Roman" w:cs="Times New Roman"/>
      <w:b/>
      <w:bCs/>
      <w:sz w:val="27"/>
      <w:szCs w:val="27"/>
      <w:lang w:eastAsia="es-ES"/>
    </w:rPr>
  </w:style>
  <w:style w:type="character" w:styleId="Hyperlinkki">
    <w:name w:val="Hyperlink"/>
    <w:basedOn w:val="Kappaleenoletusfontti"/>
    <w:uiPriority w:val="99"/>
    <w:semiHidden/>
    <w:unhideWhenUsed/>
    <w:rsid w:val="00A7577A"/>
    <w:rPr>
      <w:color w:val="0000FF"/>
      <w:u w:val="single"/>
    </w:rPr>
  </w:style>
  <w:style w:type="character" w:customStyle="1" w:styleId="Otsikko1Char">
    <w:name w:val="Otsikko 1 Char"/>
    <w:basedOn w:val="Kappaleenoletusfontti"/>
    <w:link w:val="Otsikko1"/>
    <w:uiPriority w:val="9"/>
    <w:rsid w:val="00A433BE"/>
    <w:rPr>
      <w:rFonts w:asciiTheme="majorHAnsi" w:eastAsiaTheme="majorEastAsia" w:hAnsiTheme="majorHAnsi" w:cstheme="majorBidi"/>
      <w:b/>
      <w:bCs/>
      <w:color w:val="2E74B5" w:themeColor="accent1" w:themeShade="BF"/>
      <w:sz w:val="28"/>
      <w:szCs w:val="28"/>
    </w:rPr>
  </w:style>
  <w:style w:type="paragraph" w:styleId="Sisllysluettelonotsikko">
    <w:name w:val="TOC Heading"/>
    <w:basedOn w:val="Otsikko1"/>
    <w:next w:val="Normaali"/>
    <w:uiPriority w:val="39"/>
    <w:semiHidden/>
    <w:unhideWhenUsed/>
    <w:qFormat/>
    <w:rsid w:val="00A433BE"/>
    <w:pPr>
      <w:spacing w:line="276" w:lineRule="auto"/>
      <w:outlineLvl w:val="9"/>
    </w:pPr>
    <w:rPr>
      <w:lang w:eastAsia="es-ES"/>
    </w:rPr>
  </w:style>
  <w:style w:type="paragraph" w:styleId="Sisluet2">
    <w:name w:val="toc 2"/>
    <w:basedOn w:val="Normaali"/>
    <w:next w:val="Normaali"/>
    <w:autoRedefine/>
    <w:uiPriority w:val="39"/>
    <w:semiHidden/>
    <w:unhideWhenUsed/>
    <w:qFormat/>
    <w:rsid w:val="00A433BE"/>
    <w:pPr>
      <w:spacing w:after="100" w:line="276" w:lineRule="auto"/>
      <w:ind w:left="220"/>
    </w:pPr>
    <w:rPr>
      <w:rFonts w:eastAsiaTheme="minorEastAsia"/>
      <w:lang w:eastAsia="es-ES"/>
    </w:rPr>
  </w:style>
  <w:style w:type="paragraph" w:styleId="Sisluet1">
    <w:name w:val="toc 1"/>
    <w:basedOn w:val="Normaali"/>
    <w:next w:val="Normaali"/>
    <w:autoRedefine/>
    <w:uiPriority w:val="39"/>
    <w:unhideWhenUsed/>
    <w:qFormat/>
    <w:rsid w:val="00A433BE"/>
    <w:pPr>
      <w:spacing w:after="100" w:line="276" w:lineRule="auto"/>
    </w:pPr>
    <w:rPr>
      <w:rFonts w:eastAsiaTheme="minorEastAsia"/>
      <w:bCs/>
      <w:lang w:eastAsia="es-ES"/>
    </w:rPr>
  </w:style>
  <w:style w:type="paragraph" w:styleId="Sisluet3">
    <w:name w:val="toc 3"/>
    <w:basedOn w:val="Normaali"/>
    <w:next w:val="Normaali"/>
    <w:autoRedefine/>
    <w:uiPriority w:val="39"/>
    <w:semiHidden/>
    <w:unhideWhenUsed/>
    <w:qFormat/>
    <w:rsid w:val="00A433BE"/>
    <w:pPr>
      <w:spacing w:after="100" w:line="276" w:lineRule="auto"/>
      <w:ind w:left="440"/>
    </w:pPr>
    <w:rPr>
      <w:rFonts w:eastAsiaTheme="minorEastAsia"/>
      <w:lang w:eastAsia="es-ES"/>
    </w:rPr>
  </w:style>
  <w:style w:type="character" w:styleId="Voimakas">
    <w:name w:val="Strong"/>
    <w:basedOn w:val="Kappaleenoletusfontti"/>
    <w:uiPriority w:val="22"/>
    <w:qFormat/>
    <w:rsid w:val="00BE001E"/>
    <w:rPr>
      <w:b/>
      <w:bCs/>
    </w:rPr>
  </w:style>
  <w:style w:type="paragraph" w:styleId="NormaaliWWW">
    <w:name w:val="Normal (Web)"/>
    <w:basedOn w:val="Normaali"/>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Otsikko5Char">
    <w:name w:val="Otsikko 5 Char"/>
    <w:basedOn w:val="Kappaleenoletusfontti"/>
    <w:link w:val="Otsikko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D4753-D60D-479E-8AA2-5379EB343703}">
  <ds:schemaRefs>
    <ds:schemaRef ds:uri="http://schemas.openxmlformats.org/officeDocument/2006/bibliography"/>
  </ds:schemaRefs>
</ds:datastoreItem>
</file>

<file path=customXml/itemProps2.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3.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4780</Words>
  <Characters>38721</Characters>
  <Application>Microsoft Office Word</Application>
  <DocSecurity>0</DocSecurity>
  <Lines>322</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Riikka Hokkinen</cp:lastModifiedBy>
  <cp:revision>5</cp:revision>
  <cp:lastPrinted>2020-02-20T16:31:00Z</cp:lastPrinted>
  <dcterms:created xsi:type="dcterms:W3CDTF">2020-10-23T09:37:00Z</dcterms:created>
  <dcterms:modified xsi:type="dcterms:W3CDTF">2020-11-06T12:47:00Z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