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HR-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ODREDBE PRELIMINARNOG NACRTA ZAKONA O OTPADU I PLASTIKOM ONEČIŠĆENOM TLU</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Članak 2.</w:t>
      </w:r>
      <w:r>
        <w:rPr>
          <w:b/>
          <w:bCs/>
          <w:sz w:val="24"/>
          <w:szCs w:val="24"/>
          <w:rFonts w:ascii="Arial" w:hAnsi="Arial"/>
        </w:rPr>
        <w:t xml:space="preserve"> </w:t>
      </w:r>
      <w:r>
        <w:rPr>
          <w:b/>
          <w:bCs/>
          <w:sz w:val="24"/>
          <w:szCs w:val="24"/>
          <w:i/>
          <w:iCs/>
          <w:rFonts w:ascii="Arial" w:hAnsi="Arial"/>
        </w:rPr>
        <w:t xml:space="preserve">Definicije.</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Za potrebe ovog Zakona, smatra se da:</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„otpad” znači svaka tvar ili predmet koje njegov vlasnik odbaci ili namjerava ili ima obvezu odbaciti;</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„kućni otpad” znači otpad koji nastaje u kućanstvima kao posljedica kućanskih aktivnosti.</w:t>
      </w:r>
      <w:r>
        <w:rPr>
          <w:sz w:val="24"/>
          <w:szCs w:val="24"/>
          <w:rFonts w:ascii="Arial" w:hAnsi="Arial"/>
        </w:rPr>
        <w:t xml:space="preserve"> </w:t>
      </w:r>
      <w:r>
        <w:rPr>
          <w:sz w:val="24"/>
          <w:szCs w:val="24"/>
          <w:rFonts w:ascii="Arial" w:hAnsi="Arial"/>
        </w:rPr>
        <w:t xml:space="preserve">Kućnim otpadom smatra se i njemu sličan otpad koji nastaje u službama i industriji, a koji ne nastaje kao posljedica glavne djelatnosti službe ili industrije.</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Ovom je kategorijom također obuhvaćena otpadna električna i elektronička oprema koja nastaje u kućanstvima, odjeća, baterije, akumulatori, namještaj i pribor kao i otpad i ostaci nastali od manjih građevinskih radova i popravaka u kućanstvu.</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Kućnim otpadom smatra se otpad nastao od čišćenja javnih prometnica, zelenih područja, područja za rekreaciju i plaža, mrtve domaće životinje i napuštena vozila;</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„komercijalni otpad” znači otpad koji nastaje od trgovačke djelatnosti na veliko i na malo, u restoranima i barovima, uredima i na tržnicama kao i u ostatku uslužnog sektora;</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„industrijski otpad” znači otpad koji nastaje u postupcima proizvodnje, prerade, uporabe, potrošnje, čišćenja ili održavanja kao rezultat industrijske djelatnosti;</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„otpad u lokalnoj nadležnosti” znači otpad koji nastaje na razini lokalne samouprave, u skladu s člankom 12. stavkom 5.;</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„komunalni otpad” znači:</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miješani otpad i odvojeno skupljeni otpad iz kućanstava, uključujući papir i karton, staklo, metale, plastiku, biootpad, drvo, tekstil, ambalažu, otpadnu električnu i elektroničku opremu, otpadne baterije i akumulatore te glomazni otpad, uključujući madrace i namještaj;</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miješani otpad i odvojeno skupljeni otpad iz ostalih izvora, kada je takav otpad po prirodi i sastavu sličan otpadu iz kućanstava.</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Komunalni otpad ne uključuje otpad iz proizvodnje, poljoprivrede, šumarstva, ribarstva, septičkih jama i kanalizacijske mreže i pročišćavanja otpadnih voda, uključujući kanalizacijski mulj, otpadna vozila ili građevinski otpad.</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Ova se definicija uvodi u svrhu određivanja područja primjene ciljeva za pripremu za ponovnu uporabu i za recikliranje te pravila za njihovo računanje uspostavljenih u ovom Zakonu i podrazumijeva se ne dovodeći u pitanje raspodjelu odgovornosti za gospodarenje otpadom između javnih i privatnih subjekata u kontekstu raspodjele nadležnosti utvrđene u članku 12. stavku 5.;</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„opasan otpad” znači otpad koji ima jedno ili više opasnih svojstava navedenih u Prilogu I. i koji Vlada može odobriti u skladu s odredbama propisa Europske unije ili u međunarodnim sporazumima čija je Španjolska potpisnica.</w:t>
      </w:r>
      <w:r>
        <w:rPr>
          <w:sz w:val="24"/>
          <w:szCs w:val="24"/>
          <w:rFonts w:ascii="Arial" w:hAnsi="Arial"/>
        </w:rPr>
        <w:t xml:space="preserve"> </w:t>
      </w:r>
      <w:r>
        <w:rPr>
          <w:sz w:val="24"/>
          <w:szCs w:val="24"/>
          <w:rFonts w:ascii="Arial" w:hAnsi="Arial"/>
        </w:rPr>
        <w:t xml:space="preserve">Ovom su definicijom obuhvaćene posude i ambalaža koje sadržavaju ostatke opasnih tvari ili su njima onečišćene;</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„neopasni otpad” znači otpad koji nije obuhvaćen stavkom (g);</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„otpadna ulja” znači mineralna ili sintetska, industrijska ili ulja za podmazivanje, koja su postala neprikladna za upotrebu za koju su prvobitno bila namijenjena, primjerice ulja iz motora s unutarnjim izgaranjem i ulja reduktora, ulja za podmazivanje, ulja za turbine i hidraulička ulja, isključujući otpadna ulja od kuhanja biljnog ili životinjskog podrijetla;</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„građevinski otpad i otpad od rušenja” znači otpad koji nastaje poslovima gradnje i rušenja;</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„otpadni ribolovni alat” znači svaki ribolovni alat koji je obuhvaćen definicijom otpada, uključujući sve zasebne komponente, tvari i materijale koji su bili dio takvog ribolovnog alata u trenutku njegova odbacivanja ili su bili pričvršćeni na njega.</w:t>
      </w:r>
      <w:r>
        <w:rPr>
          <w:sz w:val="24"/>
          <w:szCs w:val="24"/>
          <w:rFonts w:ascii="Arial" w:hAnsi="Arial"/>
        </w:rPr>
        <w:t xml:space="preserve"> </w:t>
      </w:r>
      <w:r>
        <w:rPr>
          <w:sz w:val="24"/>
          <w:szCs w:val="24"/>
          <w:rFonts w:ascii="Arial" w:hAnsi="Arial"/>
        </w:rPr>
        <w:t xml:space="preserve">Ovom je definicijom obuhvaćen i ostavljen ili izgubljeni ribolovni alat i njegove komponente;</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„otpad od hrane” znači sva hrana kako je definirana u članku 2. Uredbe (EZ) br. 178/2002 Europskog parlamenta i Vijeća od 28. siječnja 2002. o utvrđivanju općih načela i uvjeta zakona o hrani, osnivanju Europske agencije za sigurnost hrane te utvrđivanju postupaka u područjima sigurnosti hrane, a koja je pretvorena u otpad;</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„biootpad” znači biorazgradivi otpad iz vrtova i parkova, hrana i kuhinjski otpad iz kućanstava, ureda, restorana, veleprodaje, kantina, ugostiteljskih i maloprodajnih objekata i sličan otpad iz proizvodnje prehrambenih proizvoda;</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„kompost” znači organski poboljšivač dobiven aerobnom termofilnom biološkom preradom odvojeno prikupljenog biorazgradivog otpada.</w:t>
      </w:r>
      <w:r>
        <w:rPr>
          <w:sz w:val="24"/>
          <w:szCs w:val="24"/>
          <w:rFonts w:ascii="Arial" w:hAnsi="Arial"/>
        </w:rPr>
        <w:t xml:space="preserve"> </w:t>
      </w:r>
      <w:r>
        <w:rPr>
          <w:sz w:val="24"/>
          <w:szCs w:val="24"/>
          <w:rFonts w:ascii="Arial" w:hAnsi="Arial"/>
        </w:rPr>
        <w:t xml:space="preserve">Ne smatra se kompostom organski materijal dobiven mehaničko-biološkom obradom otpada, koji se naziva biostabiliziranim materijalom;</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(n) „digestat” znači organski poboljšivač dobiven anaerobnom biološkom preradom odvojeno prikupljenog biorazgradivog otpada.</w:t>
      </w:r>
      <w:r>
        <w:rPr>
          <w:sz w:val="24"/>
          <w:szCs w:val="24"/>
          <w:rFonts w:ascii="Arial" w:hAnsi="Arial"/>
        </w:rPr>
        <w:t xml:space="preserve"> </w:t>
      </w:r>
      <w:r>
        <w:rPr>
          <w:sz w:val="24"/>
          <w:szCs w:val="24"/>
          <w:rFonts w:ascii="Arial" w:hAnsi="Arial"/>
        </w:rPr>
        <w:t xml:space="preserve">Ne smatra se digestatom organski materijal dobiven anaerobnom mehaničko-biološkom obradom otpada, koji se naziva biostabiliziranim materijalom;</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„prevencija” znači skup mjera donesenih u fazi projektiranja i dizajniranja, proizvodnje, distribucije i potrošnje tvari, materijala ili proizvoda kojima se smanjuju:</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količina otpada, uključujući smanjenje ponovnom uporabom proizvoda ili produljenjem životnog vijeka proizvoda;</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štetni učinci otpada na okoliš i zdravlje ljudi, uključujući uštedu u uporabi materijala ili energije;</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sadržaj štetnih tvari u materijalima i proizvodima;</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„ponovna uporaba” znači svaki postupak kojim se proizvodi ili dijelovi proizvoda koji nisu otpad ponovno koriste u istu svrhu za koju su izvorno načinjeni;</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„proizvođač otpada” znači svaka fizička ili pravna osoba čijom aktivnošću nastaje otpad (izvorni proizvođač otpada) ili svaka osoba koja prethodnom obradom, miješanjem ili drugim postupkom mijenja sastav ili svojstva otpada.</w:t>
      </w:r>
      <w:r>
        <w:rPr>
          <w:sz w:val="24"/>
          <w:szCs w:val="24"/>
          <w:rFonts w:ascii="Arial" w:hAnsi="Arial"/>
        </w:rPr>
        <w:t xml:space="preserve"> </w:t>
      </w:r>
      <w:r>
        <w:rPr>
          <w:sz w:val="24"/>
          <w:szCs w:val="24"/>
          <w:rFonts w:ascii="Arial" w:hAnsi="Arial"/>
        </w:rPr>
        <w:t xml:space="preserve">Ako je riječ o robi koju su povukle službe za kontrolu i nadzor u pograničnim postrojenjima, proizvođačem otpada smatra se vlasnik robe ili imovine ili uvoznik ili izvoznik robe ili imovine, kako je definirano u carinskim zakonskim propisima;</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„posjednik otpada” znači proizvođač otpada odnosno fizička ili pravna osoba koja posjeduje otpad;</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„gospodarenje otpadom” znači skupljanje, prijevoz, oporaba (uključujući razvrstavanje) i zbrinjavanje otpada, uključujući nadzor nad tim postupcima i naknadno održavanje lokacija zbrinjavanja, a obuhvaća i radnje koje poduzimaju trgovac ili posrednik;</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„skupljanje” znači postupak koji se sastoji od prikupljanja i prethodnog razvrstavanja i skladištenja otpada u svrhu kasnijeg prijevoza do postrojenja za obradu;</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„odvojeno skupljanje” znači skupljanje prilikom kojega se tokovi otpada drže odvojeno prema njegovoj vrsti i svojstvima kako bi se olakšala obrada;</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„prijevoz otpada” znači postupak gospodarenja koji kao glavnu djelatnost provode specijalizirana poduzeća u ime drugih, kao i prijevoz koji obavljaju poduzeća u okviru svoje poslovne djelatnosti kao jednu od zadaća koje uobičajeno obavljaju, iako nije njihova glavna djelatnost;</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„obrada” znači postupci oporabe ili zbrinjavanja, uključujući i postupke pripreme prije oporabe ili zbrinjavanja;</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„oporaba” znači svaki postupak čiji je glavni rezultat otpad koji je koristan jer zamjenjuje druge materijale koje bi inače trebalo upotrijebiti za tu određenu svrhu, ili otpad koji se priprema kako bi ispunio tu svrhu, u tvornici ili u širem gospodarskom smislu.</w:t>
      </w:r>
      <w:r>
        <w:rPr>
          <w:sz w:val="24"/>
          <w:szCs w:val="24"/>
          <w:rFonts w:ascii="Arial" w:hAnsi="Arial"/>
        </w:rPr>
        <w:t xml:space="preserve"> </w:t>
      </w:r>
      <w:r>
        <w:rPr>
          <w:sz w:val="24"/>
          <w:szCs w:val="24"/>
          <w:rFonts w:ascii="Arial" w:hAnsi="Arial"/>
        </w:rPr>
        <w:t xml:space="preserve">U Prilogu II. naveden je neiscrpan popis postupaka oporabe;</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„materijalna oporaba” znači postupak oporabe koji nije energetska oporaba niti prerada u materijale koji se koristi kao gorivo ili druga sredstva za proizvodnju energije.</w:t>
      </w:r>
      <w:r>
        <w:rPr>
          <w:sz w:val="24"/>
          <w:szCs w:val="24"/>
          <w:rFonts w:ascii="Arial" w:hAnsi="Arial"/>
        </w:rPr>
        <w:t xml:space="preserve"> </w:t>
      </w:r>
      <w:r>
        <w:rPr>
          <w:sz w:val="24"/>
          <w:szCs w:val="24"/>
          <w:rFonts w:ascii="Arial" w:hAnsi="Arial"/>
        </w:rPr>
        <w:t xml:space="preserve">Osim ostalih postupka, uključuje pripremu za ponovnu uporabu, recikliranje i nasipavanje;</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„priprema za ponovnu uporabu” znači postupci oporabe kao što su provjera, čišćenje ili popravak, kojim se proizvodi ili dijelovi proizvoda koji su postali otpad pripremaju kako bi se mogli ponovno uporabiti bez dodatne predobrade;</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„recikliranje” znači svaki postupak oporabe kojim se otpadni materijali prerađuju u proizvode, materijale ili tvari za izvornu ili drugu svrhu.</w:t>
      </w:r>
      <w:r>
        <w:rPr>
          <w:sz w:val="24"/>
          <w:szCs w:val="24"/>
          <w:rFonts w:ascii="Arial" w:hAnsi="Arial"/>
        </w:rPr>
        <w:t xml:space="preserve"> </w:t>
      </w:r>
      <w:r>
        <w:rPr>
          <w:sz w:val="24"/>
          <w:szCs w:val="24"/>
          <w:rFonts w:ascii="Arial" w:hAnsi="Arial"/>
        </w:rPr>
        <w:t xml:space="preserve">Recikliranje obuhvaća preradu organskog materijala, ali ne uključuje energetsku oporabu i preradu u materijal koji se koristi kao gorivo ili materijal za nasipavanje;</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„nasipavanje” znači svaki postupak oporabe pri kojima se odgovarajući neopasan otpad uporabljuje za potrebe sanacije otkopanih prostora ili u tehničke svrhe pri uređenju krajolika;</w:t>
      </w:r>
      <w:r>
        <w:rPr>
          <w:sz w:val="24"/>
          <w:szCs w:val="24"/>
          <w:rFonts w:ascii="Arial" w:hAnsi="Arial"/>
        </w:rPr>
        <w:t xml:space="preserve"> </w:t>
      </w:r>
      <w:r>
        <w:rPr>
          <w:sz w:val="24"/>
          <w:szCs w:val="24"/>
          <w:rFonts w:ascii="Arial" w:hAnsi="Arial"/>
        </w:rPr>
        <w:t xml:space="preserve">Otpad koji se uporabljuje za nasipavanje mora zamijeniti materijale koji nisu otpad i odgovarati prethodno navedenim svrhama.</w:t>
      </w:r>
      <w:r>
        <w:rPr>
          <w:sz w:val="24"/>
          <w:szCs w:val="24"/>
          <w:rFonts w:ascii="Arial" w:hAnsi="Arial"/>
        </w:rPr>
        <w:t xml:space="preserve"> </w:t>
      </w:r>
      <w:r>
        <w:rPr>
          <w:sz w:val="24"/>
          <w:szCs w:val="24"/>
          <w:rFonts w:ascii="Arial" w:hAnsi="Arial"/>
        </w:rPr>
        <w:t xml:space="preserve">Postupci nasipavanja moraju, s druge strane, biti opravdani potrebom da se zamijeni izvorna topografija područja, a količina upotrijebljenog otpada mora biti ograničena na količinu strogo potrebnu za postizanje tih svrha;</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„regeneracija otpadnih ulja znači svaki postupak recikliranja kojim se bazna ulja mogu proizvesti rafiniranjem otpadnih ulja, posebno uklanjanjem nečistoća, proizvoda oksidacije i aditiva sadržanih u takvim uljima;</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„prijelazna obrada” znači postupci oporabe R12 i R13 i postupci zbrinjavanja D8, D9, D13, D14 i D15, u skladu s Prilozima II. i III;</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„zbrinjavanje” znači svaki postupak koji nije oporaba, čak i kad postupak ima za sekundarnu posljedicu obnovu tvari ili energije.</w:t>
      </w:r>
      <w:r>
        <w:rPr>
          <w:sz w:val="24"/>
          <w:szCs w:val="24"/>
          <w:rFonts w:ascii="Arial" w:hAnsi="Arial"/>
        </w:rPr>
        <w:t xml:space="preserve"> </w:t>
      </w:r>
      <w:r>
        <w:rPr>
          <w:sz w:val="24"/>
          <w:szCs w:val="24"/>
          <w:rFonts w:ascii="Arial" w:hAnsi="Arial"/>
        </w:rPr>
        <w:t xml:space="preserve">U Prilogu III. nalazi se neiscrpan popis postupaka zbrinjavanja;</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„najbolje raspoložive tehnike” znači najbolje raspoložive tehnike kako su definirane u članku 3.ñ pročišćenog teksta Zakona o integriranom sprečavanju i kontroli onečišćenja donesenog Zakonodavnom kraljevskom uredbom 1/2016 od 16. prosinca, kojim se donosi pročišćeni tekst Zakona o integriranom sprečavanju i kontroli onečišćenja;</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„subjekt za gospodarenje otpadom” znači osoba ili ustanova, javna ili privatna, registrirana odobrenjem ili obaviješću, koja obavlja postupke iz područja gospodarenja otpadom, bez obzira proizvodi li otpad ili ne proizvodi;</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„trgovac” znači svaka fizička ili pravna osoba koja u nabavci, a kasnije i prodaji otpada, djeluje u ulozi nalogodavca, uključujući i osobe koje otpad ne preuzimaju u fizički posjed;</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(ai) „posrednik” znači fizička ili pravna osoba koja organizira oporabu ili zbrinjavanje otpada u ime drugih, uključujući osobe koje otpad ne preuzimaju u fizički posjed;</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„proizvođač proizvoda” znači svaka fizička ili pravna osoba koja profesionalno razvija, proizvodi, prerađuje, obrađuje, prodaje ili uvozi proizvode, bez obzira na tehniku prodaje koju primjenjuje u njihovu stavljanju na nacionalno tržište.</w:t>
      </w:r>
      <w:r>
        <w:rPr>
          <w:sz w:val="24"/>
          <w:szCs w:val="24"/>
          <w:rFonts w:ascii="Arial" w:hAnsi="Arial"/>
        </w:rPr>
        <w:t xml:space="preserve"> </w:t>
      </w:r>
      <w:r>
        <w:rPr>
          <w:sz w:val="24"/>
          <w:szCs w:val="24"/>
          <w:rFonts w:ascii="Arial" w:hAnsi="Arial"/>
        </w:rPr>
        <w:t xml:space="preserve">Ovim su pojmom obuhvaćeni i proizvođači koji imaju poslovni nastan na državnom području i stavljaju proizvode na nacionalno tržište kao i oni koji imaju nastan u drugoj državi članici ili trećoj zemlji i prodaju izravno privatnim kućanstvima ili korisnicima koji nisu privatna kućanstva putem ugovora na daljinu, kako su definirani u članku 92. stavku 1. pročišćenog teksta Općeg zakona za zaštitu potrošača i korisnika i drugim dopunskim zakonima, donesenog Zakonodavnom kraljevskom uredbom 1/2007 od 16. studenoga;</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„sustav proširene odgovornosti proizvođača” znači skup mjera donesenih kako bi se jamčilo da proizvođači proizvoda preuzimaju financijsku odgovornost ili financijsku i organizacijsku odgovornost za gospodarenje proizvodom kada njegov životni ciklus dođe u fazu otpada;</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„ambalaža” znači ambalaža kako je definirana u Zakonu 11/1997 od 24. travnja o ambalaži i ambalažnom otpadu;</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„plastika” znači materijal sastavljen od polimera kako je definiran u članku 3. stavku 5.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a kojem se mogu dodati aditivi ili druge tvari i koji može funkcionirati kao glavna strukturna sastavnica gotovih proizvoda, osim prirodnih polimera koji nisu kemijski modificirani;</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„plastični proizvod za jednokratnu uporabu” znači proizvod koji je u cijelosti ili djelomično izrađen od plastike te nije osmišljen, dizajniran ili stavljen na tržište tako da tijekom svojeg životnog vijeka podnese višekratna kruženja ili višekratne cikluse uporabe na način da se vrati proizvođaču na ponovno punjenje ili da se ponovno upotrijebi u istu svrhu u koju je osmišljen;</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(añ) „oksorazgradiva plastika” znači plastični materijali kojima su dodani aditivi koji oksidacijom dovode do fragmentacije plastičnog materijala u mikrofragmente ili do kemijske razgradnje;</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„biorazgradiva plastika” znači plastika koja se može fizički ili biološki raspasti, tako da se na kraju razgradi na ugljikov dioksid (CO</w:t>
      </w:r>
      <w:r>
        <w:rPr>
          <w:sz w:val="24"/>
          <w:szCs w:val="24"/>
          <w:vertAlign w:val="subscript"/>
          <w:rFonts w:ascii="Arial" w:hAnsi="Arial"/>
        </w:rPr>
        <w:t xml:space="preserve">2</w:t>
      </w:r>
      <w:r>
        <w:rPr>
          <w:sz w:val="24"/>
          <w:szCs w:val="24"/>
          <w:rFonts w:ascii="Arial" w:hAnsi="Arial"/>
        </w:rPr>
        <w:t xml:space="preserve">), biomasu i vodu i da se, u skladu s europskim normama za ambalažu, može oporabiti kompostiranjem i anaerobnom digestijom;</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„ribolovni alat” znači svaki predmet ili komad opreme koji se upotrebljava u ribolovu ili akvakulturi za traženje, hvatanje ili uzgoj morskih bioloških resursa i resursa iz kontinentalnih voda ili koji pluta na površini mora i upotrebljava se za privlačenje i hvatanje ili uzgoj takvih morskih bioloških resursa ili resursa iz kontinentalnih voda;</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„lučki uređaji za prihvat” znači lučki uređaji za prihvat kako su definirani u Kraljevskoj uredbi 1381/2002 od 20. prosinca o lučkim uređajima za prihvat brodskog otpada i ostataka tereta;</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„duhanski proizvodi” znači duhanski proizvodi kako su definirani u članku 3.ac Kraljevske uredbe 579/2017 od 9. lipnja o reguliranju određenih aspekata proizvodnje, predstavljanja i omogućavanja dostupnosti na tržištu duhanskih i srodnih proizvoda;</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„stavljanje na tržište” znači omogućavanje dostupnosti proizvoda prvi put, na nacionalnom tržištu;</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„omogućavanje dostupnosti na tržištu” znači svaka dobava proizvoda za distribuciju, potrošnju ili uporabu na nacionalnom tržištu u okviru trgovačke djelatnosti, u zamjenu za plaćanje ili besplatno;</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„onečišćeno tlo” znači tlo čije su značajke negativno izmijenjene prisutnošću opasnih kemijskih tvari dobivenih ljudskim djelovanjem u koncentraciji koja predstavlja neprihvatljivi rizik za zdravlje ljudi ili okoliš, u skladu s kriterijima i standardima koje utvrđuje Vlada i koje je takvim proglašeno izričitom odlukom;</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„usklađena norma” znači usklađena norma u skladu s definicijom iz članka 2. stavka 1. točke (c) Uredbe (EU) br. 1025/2012 Europskog parlamenta i Vijeća od 25. listopada 2012. o europskoj normizaciji, o izmjeni direktiva Vijeća 89/686/EEZ i 93/15/EEZ i direktiva 94/9/EZ, 94/25/EZ, 95/16/EZ, 97/23/EZ, 98/34/EZ, 2004/22/EZ, 2007/23/EZ, 2009/23/EZ i 2009/105/EZ Europskog parlamenta i Vijeća te o stavljanju izvan snage Odluke Vijeća 87/95/EEZ i Odluke br. 1673/2006/EZ Europskog parlamenta i Vijeća Tekst značajan za EGP;</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„nadležno tijelo” znači tijelo koje je zaduženo za obavljanje zadaća propisanih ovim Zakonom, a koje, prema svojem odgovarajućem području nadležnosti, imenuju Vlada i javne uprave: Glavna državna uprava, autonomne zajednice kao i gradovi Ceuta i Melilla za provedbu ovog Zakona, pokrajinska vijeća i tijela lokalne samouprave, u skladu s odredbama članka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Članak 3.</w:t>
      </w:r>
      <w:r>
        <w:rPr>
          <w:b/>
          <w:sz w:val="24"/>
          <w:rFonts w:ascii="Arial" w:hAnsi="Arial"/>
        </w:rPr>
        <w:t xml:space="preserve"> </w:t>
      </w:r>
      <w:r>
        <w:rPr>
          <w:b/>
          <w:sz w:val="24"/>
          <w:i/>
          <w:rFonts w:ascii="Arial" w:hAnsi="Arial"/>
        </w:rPr>
        <w:t xml:space="preserve">Područje primjene</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Ovaj se Zakon primjenjuje na:</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sve vrste otpada, uzimajući u obzir iznimke sadržane u stavcima 2. i 3.;</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plastične proizvode za jednokratnu uporabu navedene u Prilogu I. Sve proizvode proizvedene od oksorazgradive plastike i na ribolovni alat koji sadržava plastiku.</w:t>
      </w:r>
      <w:r>
        <w:rPr>
          <w:sz w:val="24"/>
          <w:rFonts w:ascii="Arial" w:hAnsi="Arial"/>
        </w:rPr>
        <w:t xml:space="preserve"> </w:t>
      </w:r>
      <w:r>
        <w:rPr>
          <w:sz w:val="24"/>
          <w:rFonts w:ascii="Arial" w:hAnsi="Arial"/>
        </w:rPr>
        <w:t xml:space="preserve">Kada se mjere utvrđene za ove plastične proizvode ne podudaraju s ostalim odredbama utvrđenima u ovom Zakonu ili u propisima o ambalaži, prednost imaju mjere za plastične proizvode utvrđene u ovom Zakonu;</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onečišćena tla koja podliježu glavi VI. o onečišćenom tlu.</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Ovaj se Zakon ne primjenjuje na:</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emisije u atmosferu regulirane Zakonom 34/2007 od 15. studenoao kvaliteti zraka i zaštiti atmosfere kao i na ugljikov dioksid koji se hvata i prevozi za potrebe geološkog skladištenja i koji se stvarno skladišti u geološkim formacijama u skladu sa Zakonom 40/2010 od 29. prosinca o geološkom skladištenju ugljikova dioksida.</w:t>
      </w:r>
      <w:r>
        <w:rPr>
          <w:sz w:val="24"/>
          <w:rFonts w:ascii="Arial" w:hAnsi="Arial"/>
        </w:rPr>
        <w:t xml:space="preserve"> </w:t>
      </w:r>
      <w:r>
        <w:rPr>
          <w:sz w:val="24"/>
          <w:rFonts w:ascii="Arial" w:hAnsi="Arial"/>
        </w:rPr>
        <w:t xml:space="preserve">Također se ne primjenjuje na geološko skladištenje ugljikova dioksida za potrebe istraživanja, razvoja ili ispitivanja novih proizvoda i postupaka pod uvjetom da je predviđeni kapacitet skladištenja manji od 100 kilotona;</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neonečišćena iskopana tla i ostale prirodne materijale iskopane tijekom građevinskih aktivnosti, kada je sigurno da će se ti materijali upotrijebiti za potrebe gradnje u prirodnom stanju na mjestu ili objektu na kojem su bili izvađeni;</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radioaktivni otpad;</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deaktivirani eksplozivi;</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fekalije, ako nisu obuhvaćene stavkom 2. točkom (b), slamu i drugi neopasni prirodni, poljoprivredni ili šumski materijal koji se upotrebljava na poljoprivrednim i stočarskim gospodarstvima, u šumarstvu ili proizvodnji energije od te biomase postupcima ili metodama koje ne dovode u opasnost zdravlje ljudi i nisu štetni za okoliš.</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Ovaj se zakon ne primjenjuje na otpad naveden u nastavku u dijelovima koji su već regulirani drugim propisom Zajednice ili nacionalnim propisom kojim se u naš poredak uvode propisi Zajednice:</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otpadne vode;</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nusproizvode životinjskog podrijetla obuhvaćene Uredbom (EZ) br. 1069/2009 Europskog parlamenta i Vijeća od 21. listopada 2009. o utvrđivanju zdravstvenih pravila za nusproizvode životinjskog podrijetla i od njih dobivene proizvode koji nisu namijenjeni prehrani ljudi te o stavljanju izvan snage Uredbe (EZ) br. 1774/2002.</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Ovom iznimkom nisu obuhvaćeni i stoga podliježu ovom Zakonu, nusproizvodi životinjskog podrijetla i od njih dobiveni proizvodi kada su namijenjeni spaljivanju, odlaganju na odlagališta ili se upotrebljavaju u pogonu za proizvodnju bioplina, komposta ili za dobivanje goriva;</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leševe životinja koje nisu uginule klanjem, uključujući životinje koje su usmrćene radi iskorjenjivanja epizootske bolesti i koje se zbrinjavaju u skladu s Uredbom (EZ) br. 1069/2009 Europskog parlamenta i Vijeća od 21. listopada 2009;</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otpad nastao istraživanjem, vađenjem, obradom ili skladištenjem mineralnih sirovina te radom kamenoloma, u skladu s Kraljevskom uredbom 975/2009 od 12. lipnja o gospodarenju otpadom od industrija vađenja minerala i o zaštiti i obnovi prostora na koji je utjecala rudarska djelatnost;</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tvari koje nisu nusproizvodi životinjskog podrijetla niti ih sadržavaju i koje su namijenjene za uporabu kao sirovine za hranu za životinje kako su definirane u članku 3. stavku 2. točki (g) Uredbe (EZ) br. 767/2009 Europskog parlamenta i Vijeća od 13. srpnja 2009. o stavljanju na tržište i korištenju hrane za životinje, izmjeni Uredbe (EZ) br. 1831/2003 Europskog parlamenta i Vijeća i stavljanju izvan snage Direktive Vijeća 79/373/EEZ, Direktive Komisije 80/511/EEZ, direktiva Vijeća 82/471/EEZ, 83/228/EEZ, 93/74/EEZ, 93/113/EZ i 96/25/EZ te Odluke Komisije 2004/217/EZ.</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Ne dovodeći u pitanje obveze propisane na temelju posebnih primjenjivih propisa, iz područja primjene ovog Zakona isključuju se sedimenti za koje se dokaže da nisu opasni, u skladu sa smjernicama koje odobri Vlada, u skladu s odredbama članka 4. stavka 2. Zakona 41/2010 od 29. prosinca o zaštiti morskog okoliša, i koji se nalaze ispod površine vode, a koji se upotrebljavaju u sljedeće svrhe: gospodarenje vodama i plovnim putovima, stvaranje novih zemljišta ili sprečavanje poplava ili ublažavanje učinaka poplava i suša.</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Članak 17.</w:t>
      </w:r>
      <w:r>
        <w:rPr>
          <w:b/>
          <w:sz w:val="24"/>
          <w:rFonts w:ascii="Arial" w:hAnsi="Arial"/>
        </w:rPr>
        <w:t xml:space="preserve"> </w:t>
      </w:r>
      <w:r>
        <w:rPr>
          <w:b/>
          <w:sz w:val="24"/>
          <w:i/>
          <w:rFonts w:ascii="Arial" w:hAnsi="Arial"/>
        </w:rPr>
        <w:t xml:space="preserve">Ciljevi sprečavanja otpada.</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U svrhu prekidanja veze između gospodarskog rasta i učinaka na zdravlje ljudi i okoliš, povezanih s nastankom otpada, politikama sprečavanja nastanka otpada želi se ostvariti cilj smanjenja težine proizvedenog otpada u skladu sa sljedećim vremenskim rasporedom:</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2020. godine 10 % u odnosu na otpad nastao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2025. godine 13 % u odnosu na otpad nastao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2030. godine 15% u odnosu na otpad nastao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Kako bi se ostvarili ciljevi utvrđeni u prethodnom stavku, Vlada, uzimajući u obzir dostupne informacije, može propisima utvrditi posebne ciljeve sprečavanja za određene proizvode.</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2021. zabranjeno je uništavanje neprodanih viškova nekvarljivih proizvoda kao što su, između ostalog, tekstil, igračke, električni uređaji, osim ako se navedeni proizvodi ne moraju uništiti u skladu s drugim propisima.</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Kako bi se smanjila potrošnja ambalaže, javne uprave donose mjere potrebne za smanjivanje potrošnje vode u bocama u svojim ispostavama, između ostalog poticanjem izvora pitke vode u uvjetima koji jamče higijenu i sigurnost hrane, opskrbljujući vodom u ponovno uporabljivoj ambalaži, ne dovodeći u pitanje da se u zdravstvenim i obrazovnim ustanovama omogućuje dostupnost u ambalaži za jednokratnu uporabu.</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U tu istu svrhu u ustanovama iz sektora hotelijerstva i ugostiteljstva potrošačima, klijentima ili korisnicima njihovih usluga uvijek se mora ponuditi mogućnost konzumacije vode koja nije u ambalaži, i to besplatno i dodatno uz ponudu te iste ustanove, pod uvjetom da općina ili poduzeće koje opskrbljuje vodom jamče da je prikladna za konzumaciju ljudima i da stoga ispunjava tražene zdravstvene uvjete.</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GLAVA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Smanjenje utjecaja određenih plastičnih proizvoda na okoliš</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Članak 40.</w:t>
      </w:r>
      <w:r>
        <w:rPr>
          <w:b/>
          <w:sz w:val="24"/>
          <w:rFonts w:ascii="Arial" w:hAnsi="Arial"/>
        </w:rPr>
        <w:t xml:space="preserve"> </w:t>
      </w:r>
      <w:r>
        <w:rPr>
          <w:b/>
          <w:sz w:val="24"/>
          <w:i/>
          <w:rFonts w:ascii="Arial" w:hAnsi="Arial"/>
        </w:rPr>
        <w:t xml:space="preserve">Smanjenje potrošnje određenih plastičnih proizvoda za jednokratnu uporabu.</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Za plastične proizvode za jednokratnu uporabu obuhvaćene dijelom A Priloga IV. utvrđuje se sljedeći vremenski raspored smanjenja omogućavanja dostupnosti na tržištu:</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2026. godine mora se ostvariti smanjenje težine od 50 % u odnosu na 2022;</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2030. godine mora se ostvariti smanjenje težine od 70 % u odnosu na 2022.</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Kako bi se ostvarili prethodno navedeni ciljevi, svi posrednici koji sudjeluju u omogućavanju dostupnosti na tržištu moraju poticati uporabu alternativnih ponovno uporabljivih proizvoda ili drugog materijala koji nije plastika.</w:t>
      </w:r>
      <w:r>
        <w:rPr>
          <w:sz w:val="24"/>
          <w:rFonts w:ascii="Arial" w:hAnsi="Arial"/>
        </w:rPr>
        <w:t xml:space="preserve"> </w:t>
      </w:r>
      <w:r>
        <w:rPr>
          <w:sz w:val="24"/>
          <w:rFonts w:ascii="Arial" w:hAnsi="Arial"/>
        </w:rPr>
        <w:t xml:space="preserve">U svakom slučaju, od 1. siječnja 2023. mora se naplatiti cijena za svaki plastični proizvod koji se predaje potrošaču, uz jasnu naznaku cijene na računu.</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Ministarstvo ekološke tranzicije i demografskih izazova mora pratiti smanjenje potrošnje tih proizvoda i ovisno o rezultatima može predložiti izmjene prijašnjeg vremenskog rasporeda i druge moguće načine za smanjenje potrošnje, što se mora urediti propisima.</w:t>
      </w:r>
      <w:r>
        <w:rPr>
          <w:sz w:val="24"/>
          <w:rFonts w:ascii="Arial" w:hAnsi="Arial"/>
        </w:rPr>
        <w:t xml:space="preserve"> </w:t>
      </w:r>
      <w:r>
        <w:rPr>
          <w:sz w:val="24"/>
          <w:rFonts w:ascii="Arial" w:hAnsi="Arial"/>
        </w:rPr>
        <w:t xml:space="preserve">Te mjere moraju biti proporcionalne i nediskriminacijske i o njima se treba obavijestiti Europska komisija u skladu s Kraljevskom uredbom 1337/1999 od 31. srpnja kako bi se ispunile odredbe Direktive (EU) 2015/1535 Europskog parlamenta i Vijeća od 9. rujna 2015.</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Spremnici za hranu smatraju se plastičnim proizvodima za jednokratnu uporabu kada, osim što ispunjavaju kriterije navedene u svojoj definiciji, mogućnost da se pretvore u smeće zbog svoje količine ili veličine, osobito pojedinačna pakiranja, ima odlučujuću ulogu.</w:t>
      </w:r>
      <w:r>
        <w:rPr>
          <w:sz w:val="24"/>
          <w:rFonts w:ascii="Arial" w:hAnsi="Arial"/>
        </w:rPr>
        <w:t xml:space="preserve"> </w:t>
      </w:r>
      <w:r>
        <w:rPr>
          <w:sz w:val="24"/>
          <w:rFonts w:ascii="Arial" w:hAnsi="Arial"/>
        </w:rPr>
        <w:t xml:space="preserve">U tu se svrhu primjenjuju informacije dobivene primjenom odredbi članka 18. stavka 1. točke (k).</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U vezi s plastičnim poslužavnicima koji su ambalaža i na njih se ne odnosi Prilog IV., plastičnim proizvodima za jednokratnu uporabu, plastičnim prstenovima kojima se grupira više pojedinačnih pakiranja, plastičnim štapićima koji se upotrebljavaju u prehrambenom sektoru kao držači proizvoda (štapići za bombone, sladoled i ostale proizvode), proizvedenima od plastike koja se ne može kompostirati, posrednici koji sudjeluju u omogućavanju njihove dostupnosti na tržištu moraju smanjiti njihovu potrošnju na način da ove plastične proizvode zamijene alternativnim ponovno uporabljivim proizvodima i drugim materijalima kao što su, između ostalog, plastika koja se može kompostirati, drvo, papir ili karton.</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Ministarstvo ekološke tranzicije i demografskih izazova mora pratiti smanjenje potrošnje tih proizvoda i ovisno o rezultatima može propisima utvrditi druge mjere čija je svrha ostvarivanje značajnog smanjenja, osobito utvrđivanjem vremenskog rasporeda smanjenja.</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Ministarstvo ekološke tranzicije i demografskih izazova mora do 3. srpnja 2021. izraditi izvješće o svim mjerama koje donese u skladu s ovim člankom, dostaviti ga Komisiji i staviti na raspolaganje javnosti.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Članak 41.</w:t>
      </w:r>
      <w:r>
        <w:rPr>
          <w:b/>
          <w:sz w:val="24"/>
          <w:rFonts w:ascii="Arial" w:hAnsi="Arial"/>
        </w:rPr>
        <w:t xml:space="preserve"> </w:t>
      </w:r>
      <w:r>
        <w:rPr>
          <w:b/>
          <w:sz w:val="24"/>
          <w:i/>
          <w:rFonts w:ascii="Arial" w:hAnsi="Arial"/>
        </w:rPr>
        <w:t xml:space="preserve">Zabrana određenih plastičnih proizvoda.</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Od 3. srpnja 2021. zabranjeno je stavljanje na tržište sljedećih proizvoda:</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plastičnih proizvoda navedenih u odjeljku B Priloga IV;</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svih plastičnih proizvoda izrađenih od oksorazgradive plastike;</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kozmetičkih proizvoda kako su definirani u Uredbi (EZ) br. 1223/2009 Europskog parlamenta i Vijeća od 30. studenoga 2009. o kozmetičkim proizvodima i deterdženata i sredstava za čišćenje kako su definirani u Kraljevskoj uredbi 770/1999 od 7. svibnja kojom se donose Tehničko-sanitarni propisi za izradu, kretanje i trgovinu deterdžentima i sredstvima za čišćenje koji sadržavaju namjerno dodane plastične mikrokuglice manje od pet milimetara.</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Članak 42.</w:t>
      </w:r>
      <w:r>
        <w:rPr>
          <w:b/>
          <w:sz w:val="24"/>
          <w:rFonts w:ascii="Arial" w:hAnsi="Arial"/>
        </w:rPr>
        <w:t xml:space="preserve"> </w:t>
      </w:r>
      <w:r>
        <w:rPr>
          <w:b/>
          <w:sz w:val="24"/>
          <w:i/>
          <w:rFonts w:ascii="Arial" w:hAnsi="Arial"/>
        </w:rPr>
        <w:t xml:space="preserve">Zahtjevi u pogledu dizajna za plastične posude za pića.</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3. srpnja 2024. na tržište će se moći stavljati samo plastični proizvodi za jednokratnu uporabu navedeni u dijelu C Priloga IV. čiji poklopci i čepovi ostaju pričvršćeni za spremnike tijekom faze predviđene uporabe proizvoda.</w:t>
      </w:r>
      <w:r>
        <w:rPr>
          <w:sz w:val="24"/>
          <w:rFonts w:ascii="Arial" w:hAnsi="Arial"/>
        </w:rPr>
        <w:t xml:space="preserve"> </w:t>
      </w:r>
      <w:r>
        <w:rPr>
          <w:sz w:val="24"/>
          <w:rFonts w:ascii="Arial" w:hAnsi="Arial"/>
        </w:rPr>
        <w:t xml:space="preserve">Za te se potrebe ne smatra se da su metalni čepovi ili poklopci s plastičnim brtvama izrađeni od plastike.</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Smatra se da prethodno navedeni proizvodi ispunjavaju odredbe iz ovog stavka ako su proizvedeni u skladu s usklađenim normama koje se u tu svrhu donose na razini Zajednice.</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Od 2025. na tržište će se moći stavljati boce od polietilen-tereftalata („PET boce”) navedene u stavku E Priloga IV. koje sadržavaju najmanje 25 % reciklirane plastike, izračunano kao prosjek za sve PET boce stavljene na tržište na državnom području te države članice.</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2030. na tržište će se moći stavljati boce navedene u stavku E Priloga IV. koje sadržavaju najmanje 30 % reciklirane plastike izračunano kao prosjek za sve PET boce stavljene na tržište na državnom području te države članice.</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Sustavi uspostavljeni za ispunjavanje obveza utvrđenih u okviru proširene odgovornosti proizvođača u području ambalaže i ambalažnog otpada utvrđuju mjere za olakšavanje ostvarivanja ovih ciljeva.</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Plastične boce navedene u stavcima 2. i 3. mogu sadržavati informacije o postotku reciklirane plastike koju sadržavaju.</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Članak 43.</w:t>
      </w:r>
      <w:r>
        <w:rPr>
          <w:b/>
          <w:sz w:val="24"/>
          <w:rFonts w:ascii="Arial" w:hAnsi="Arial"/>
        </w:rPr>
        <w:t xml:space="preserve"> </w:t>
      </w:r>
      <w:r>
        <w:rPr>
          <w:b/>
          <w:sz w:val="24"/>
          <w:i/>
          <w:rFonts w:ascii="Arial" w:hAnsi="Arial"/>
        </w:rPr>
        <w:t xml:space="preserve">Zahtjevi u pogledu označivanja određenih plastičnih proizvoda za jednokratnu uporabu.</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3. srpnja 2021. plastični proizvodi za jednokratnu uporabu navedeni u stavku D Priloga IV. koji se stavljaju na tržište moraju biti označeni vidljivo, jasno čitljivo i neizbrisivo, u skladu sa usklađenim specifikacijama označivanja utvrđenima na razini Zajednice.</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Tim se označivanjem potrošače mora obavijestiti o odgovarajućim mogućnostima u pogledu gospodarenja otpadom za proizvod ili načinima zbrinjavanja otpada koje za taj proizvod treba izbjegavati, u skladu s hijerarhijom otpada; i o prisutnosti plastike u proizvodu te posljedičnom negativnom utjecaju koji na okoliš ima odbacivanje smeća ili drugo neodgovarajuće zbrinjavanje otpada od proizvoda.</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Odredbe ovog članka o duhanskim proizvodima dodaju se odredbama predviđenima u Kraljevskoj uredbi 579/2017 od 9. lipnja.</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Članak 44.</w:t>
      </w:r>
      <w:r>
        <w:rPr>
          <w:b/>
          <w:sz w:val="24"/>
          <w:rFonts w:ascii="Arial" w:hAnsi="Arial"/>
        </w:rPr>
        <w:t xml:space="preserve"> </w:t>
      </w:r>
      <w:r>
        <w:rPr>
          <w:b/>
          <w:sz w:val="24"/>
          <w:i/>
          <w:rFonts w:ascii="Arial" w:hAnsi="Arial"/>
        </w:rPr>
        <w:t xml:space="preserve">Odvojeno skupljanje plastičnih boca.</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Utvrđuju se sljedeći ciljevi za odvojeno skupljanje plastičnih proizvoda navedenih u stavku E. Priloga IV. kako bi ih se recikliralo:</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najkasnije 2025. godine 77 % težine u odnosu na količinu proizvoda stavljenih na tržište;</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najkasnije 2029. godine 90 % težine u odnosu na količinu proizvoda stavljenih na tržište.</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Ti proizvodi stavljeni na tržište mogu se smatrati jednakima količini otpada koji nastaje od takvih proizvoda u istoj godini, uključujući smeće koje se odbacuje u okoliš.</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Za te potrebe u propisima o provedbi u pogledu ambalaže utvrđuju se mjere potrebne za ostvarivanje ovih ciljeva, a mogu se uspostaviti programi povrata pologa ili utvrditi ciljevi u sustavima proširene odgovornosti proizvođača.</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Članak 45.</w:t>
      </w:r>
      <w:r>
        <w:rPr>
          <w:b/>
          <w:sz w:val="24"/>
          <w:rFonts w:ascii="Arial" w:hAnsi="Arial"/>
        </w:rPr>
        <w:t xml:space="preserve"> </w:t>
      </w:r>
      <w:r>
        <w:rPr>
          <w:b/>
          <w:sz w:val="24"/>
          <w:i/>
          <w:rFonts w:ascii="Arial" w:hAnsi="Arial"/>
        </w:rPr>
        <w:t xml:space="preserve">Sustavi proširene odgovornosti proizvođača.</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Vlada propisima utvrđuje sustave proširene odgovornosti proizvođača plastične proizvode za jednokratnu uporabu navedene u dijelu F Priloga IV.</w:t>
      </w:r>
      <w:r>
        <w:rPr>
          <w:sz w:val="24"/>
          <w:rFonts w:ascii="Arial" w:hAnsi="Arial"/>
        </w:rPr>
        <w:t xml:space="preserve"> </w:t>
      </w:r>
      <w:r>
        <w:rPr>
          <w:sz w:val="24"/>
          <w:rFonts w:ascii="Arial" w:hAnsi="Arial"/>
        </w:rPr>
        <w:t xml:space="preserve">Navedeni sustav mora se uspostaviti do 1. siječnja 2025. za plastične proizvode za jednokratnu uporabu koji nisu ambalaža iz stavka 1. i za proizvode iz stavka 2.1. i 2.2. dijela F, a do 6. siječnja 2023. za ostale proizvode navedene u stavku 1. i u stavku 2.3. dijela F Priloga IV.</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U sustavima proširene odgovornosti proizvođača uvedenima za plastične proizvode za jednokratnu uporabu navedene u stavku 1. dijela F Priloga IV., proizvođači plastičnih proizvoda za jednokratnu uporabu osim troškova propisanih u skladu s člankom 38. pokrivaju sljedeće troškove ako već nisu uključeni:</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troškove mjera za podizanje svijesti iz članka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troškove skupljanja otpada od tih proizvoda koji su odbačeni u javnim sustavima skupljanja otpada, uključujući infrastrukturu i njezino funkcioniranje, te naknadnog prijevoza i obrade tog otpada, i</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troškove čišćenja smeća od tih proizvoda i naknadnog prijevoza i obrade tog smeća.</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U vezi sa sustavima proširene odgovornosti proizvođača uvedenima za plastične proizvode navedene u stavku 2. dijela F Priloga IV. u skladu s člankom 38., proizvođači proizvoda moraju pokrivati najmanje sljedeće troškove:</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troškove mjera za podizanje svijesti iz članka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troškove čišćenja smeća od tih proizvoda, uključujući čišćenje infrastruktura za zbrinjavanje i pročišćavanje, i naknadnog prijevoza i obrade tog smeća, i</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troškove prikupljanja podataka i izvješćivanja, bez obzira je li riječ o redovnom ili povremenom skupljanju koje se provodi zbog povremeno nakupljenog smeća ili smeća bačenog u okoliš.</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Kada je riječ o duhanskim proizvodima, njihovi proizvođači također pokrivaju troškove skupljanja otpada od navedenih proizvoda koji su odbačeni u javnim sustavima skupljanja otpada, uključujući infrastrukturu i njezino funkcioniranje, te naknadnog prijevoza i obrade tog otpada.</w:t>
      </w:r>
      <w:r>
        <w:rPr>
          <w:sz w:val="24"/>
          <w:rFonts w:ascii="Arial" w:hAnsi="Arial"/>
        </w:rPr>
        <w:t xml:space="preserve"> </w:t>
      </w:r>
      <w:r>
        <w:rPr>
          <w:sz w:val="24"/>
          <w:rFonts w:ascii="Arial" w:hAnsi="Arial"/>
        </w:rPr>
        <w:t xml:space="preserve">Ti troškovi mogu uključivati uspostavu posebne infrastrukture za skupljanje otpada od tih proizvoda, kao što su odgovarajući spremnici za otpad na mjestima na kojima se najviše smeća odbacuje u okoliš.</w:t>
      </w:r>
      <w:r>
        <w:rPr>
          <w:sz w:val="24"/>
          <w:rFonts w:ascii="Arial" w:hAnsi="Arial"/>
        </w:rPr>
        <w:t xml:space="preserve"> </w:t>
      </w:r>
      <w:r>
        <w:rPr>
          <w:sz w:val="24"/>
          <w:rFonts w:ascii="Arial" w:hAnsi="Arial"/>
        </w:rPr>
        <w:t xml:space="preserve">Također mogu obuhvaćati troškove povezane s mjerama za razvoj alternativnih rješenja i s mjerama sprečavanja radi smanjenja nastanka otpada i povećanja njegove materijalne oporabe.</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Troškovi koji se moraju pokrivati u skladu sa stavcima 2. i 3. ne smiju premašiti troškove koji su potrebni za isplativo pružanje navedenih usluga i transparentno se utvrđuju među dotičnim posrednicima.</w:t>
      </w:r>
      <w:r>
        <w:rPr>
          <w:sz w:val="24"/>
          <w:szCs w:val="24"/>
          <w:rFonts w:ascii="Arial" w:hAnsi="Arial"/>
        </w:rPr>
        <w:t xml:space="preserve"> </w:t>
      </w:r>
      <w:r>
        <w:rPr>
          <w:sz w:val="24"/>
          <w:szCs w:val="24"/>
          <w:rFonts w:ascii="Arial" w:hAnsi="Arial"/>
        </w:rPr>
        <w:t xml:space="preserve">Troškovi čišćenja smeća ograničeni su na aktivnosti koje provode tijela javne vlasti ili koje se uobičajeno provode u njihovo ime.</w:t>
      </w:r>
      <w:r>
        <w:rPr>
          <w:sz w:val="24"/>
          <w:szCs w:val="24"/>
          <w:rFonts w:ascii="Arial" w:hAnsi="Arial"/>
        </w:rPr>
        <w:t xml:space="preserve"> </w:t>
      </w:r>
      <w:r>
        <w:rPr>
          <w:sz w:val="24"/>
          <w:szCs w:val="24"/>
          <w:rFonts w:ascii="Arial" w:hAnsi="Arial"/>
        </w:rPr>
        <w:t xml:space="preserve">Metodologija izračuna izrađuje se na način kojim se omogućuje da se troškovi čišćenja smeća utvrde na proporcionalan način.</w:t>
      </w:r>
      <w:r>
        <w:rPr>
          <w:sz w:val="24"/>
          <w:szCs w:val="24"/>
          <w:rFonts w:ascii="Arial" w:hAnsi="Arial"/>
        </w:rPr>
        <w:t xml:space="preserve"> </w:t>
      </w:r>
      <w:r>
        <w:rPr>
          <w:sz w:val="24"/>
          <w:szCs w:val="24"/>
          <w:rFonts w:ascii="Arial" w:hAnsi="Arial"/>
        </w:rPr>
        <w:t xml:space="preserve">Kako bi se minimizirali administrativni troškovi, mogu se odrediti financijski doprinosi za pokriće troškova čišćenja smeća utvrđivanjem odgovarajućih višegodišnjih fiksnih iznosa.</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U skladu s propisima Vlada će do 1. siječnja 2025. razviti sustave proširene odgovornosti proizvođača za ribolovni alat u skladu s odredbama članaka 37. i 38.</w:t>
      </w:r>
      <w:r>
        <w:rPr>
          <w:sz w:val="24"/>
          <w:rFonts w:ascii="Arial" w:hAnsi="Arial"/>
        </w:rPr>
        <w:t xml:space="preserve"> </w:t>
      </w:r>
      <w:r>
        <w:rPr>
          <w:sz w:val="24"/>
          <w:rFonts w:ascii="Arial" w:hAnsi="Arial"/>
        </w:rPr>
        <w:t xml:space="preserve">U navedenom propisu utvrđuje se nacionalna minimalna godišnja stopa skupljanja otpadnog ribolovnog alata koji sadržava plastiku namijenjenu recikliranju i utvrđuju se mjere potrebne za praćenje ribolovnog alata koji sadržava plastiku i stavljen je na tržište, kao i skupljenog otpada.</w:t>
      </w:r>
      <w:r>
        <w:rPr>
          <w:sz w:val="24"/>
          <w:rFonts w:ascii="Arial" w:hAnsi="Arial"/>
        </w:rPr>
        <w:t xml:space="preserve"> </w:t>
      </w:r>
      <w:r>
        <w:rPr>
          <w:sz w:val="24"/>
          <w:rFonts w:ascii="Arial" w:hAnsi="Arial"/>
        </w:rPr>
        <w:t xml:space="preserve">Proizvođači ribolovnog alata moraju pokrivati troškove odvojenog skupljanja otpadnog ribolovnog alata koji sadržava plastiku i koji je predan ovlaštenih objektima za njegovo skupljanja, kao što su odgovarajući lučki uređaji za prihvat u skladu s Kraljevskom uredbom 1381/2002 od 20. prosinca, ili drugim jednakovrijednim sustavima za skupljanje koji nisu obuhvaćeni područjem primjene navedene Kraljevske uredbe, i troškove njegova naknadnog prijevoza i obrade, kao i troškove podizanja svijesti, koji proizlaze iz članka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Zahtjevima utvrđenima u ovom stavku dopunjuju se zahtjevi koji se u pravu Unije o lučkim uređajima za prihvat primjenjuju na otpad s ribarskih plovila.</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Članak 46.</w:t>
      </w:r>
      <w:r>
        <w:rPr>
          <w:b/>
          <w:color w:val="000000" w:themeColor="text1"/>
          <w:sz w:val="24"/>
          <w:rFonts w:ascii="Arial" w:hAnsi="Arial"/>
        </w:rPr>
        <w:t xml:space="preserve"> </w:t>
      </w:r>
      <w:r>
        <w:rPr>
          <w:b/>
          <w:color w:val="000000" w:themeColor="text1"/>
          <w:sz w:val="24"/>
          <w:i/>
          <w:rFonts w:ascii="Arial" w:hAnsi="Arial"/>
        </w:rPr>
        <w:t xml:space="preserve">Mjere podizanja svijesti.</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Nadležna tijela donose potrebne mjere za obavješćivanje potrošača i poticanje odgovornog ponašanja potrošača, osobito mladih, kako bi se smanjio otpad od plastičnih proizvoda za jednokratnu uporabu navedenih u odjeljku F Priloga IV. kao i za proizvode za žensku higijenu navedene u odjeljku D.1. Priloga IV.</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Usto, poduzimaju mjere za obavješćivanje potrošača plastičnih proizvoda za jednokratnu uporabu navedenih u prethodnom stavku i potrošače ribolovnog alata koji sadrži plastiku o sljedećem:</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dostupnosti alternativa koje se mogu ponovno upotrijebiti, sustavima za ponovnu uporabu i mogućnostima u pogledu gospodarenja otpadom za te plastične proizvode za jednokratnu uporabu i ribolovni alat koji sadržava plastiku, kao i o najboljim praksama dobroga gospodarenja otpadom koje se primjenjuju u skladu s člankom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posljedicama koje za okoliš, a posebno morski okoliš ima odbacivanje smeća u okoliš i drugo neodgovarajuće zbrinjavanje otpada od tih plastičnih proizvoda za jednokratnu uporabu i ribolovnog alata koji sadržava plastiku, i</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posljedicama koje neodgovarajuće zbrinjavanje otpada od tih plastičnih proizvoda za jednokratnu uporabu ima za kanalizacijsku mrežu.</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Članak 47.</w:t>
      </w:r>
      <w:r>
        <w:rPr>
          <w:b/>
          <w:sz w:val="24"/>
          <w:rFonts w:ascii="Arial" w:hAnsi="Arial"/>
        </w:rPr>
        <w:t xml:space="preserve"> </w:t>
      </w:r>
      <w:r>
        <w:rPr>
          <w:b/>
          <w:sz w:val="24"/>
          <w:i/>
          <w:rFonts w:ascii="Arial" w:hAnsi="Arial"/>
        </w:rPr>
        <w:t xml:space="preserve">Koordiniranje mjera.</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Mjere poduzete na temelju ove glave sastavni su dio programa mjera uspostavljenih u skladu s propisima o zaštiti morskog okoliša, s propisima u pogledu voda i s Kraljevskom uredbom 1381/2002 od 20. prosinca.</w:t>
      </w:r>
      <w:r>
        <w:rPr>
          <w:sz w:val="24"/>
          <w:rFonts w:ascii="Arial" w:hAnsi="Arial"/>
        </w:rPr>
        <w:t xml:space="preserve"> </w:t>
      </w:r>
      <w:r>
        <w:rPr>
          <w:sz w:val="24"/>
          <w:rFonts w:ascii="Arial" w:hAnsi="Arial"/>
        </w:rPr>
        <w:t xml:space="preserve">Te mjere usklađene su s navedenim programima i planovima.</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Mjere donesene na temelju članaka 40. do 45. moraju biti usklađene s pravom Unije u području hrane kako bi se osiguralo da higijena i sigurnost hrane ne budu dovedene u pitanje, a kada je riječ o materijalima koji dolaze u dodir s hranom, države članice potiču uporabu, kada je to moguće, održivih alternativa plastici za jednokratnu uporabu.</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PRILOG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Plastični predmeti za jednokratnu uporabu</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Plastični proizvodi za jednokratnu uporabu koji podliježu smanjenju:</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čaše za napitke, uključujući njihove čepove i poklopce;</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spremnici za hranu, tj. posude kao što su kutije, s poklopcem ili bez njega, koji se upotrebljavaju za držanje hrane:</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koja je namijenjena neposrednoj konzumaciji na licu mjesta ili kasnije;</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koja se obično konzumira iz posude;</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koja je spremna za konzumaciju bez ikakve daljnje pripreme, primjerice pečenja, kuhanja ili zagrijavanja, uključujući spremnike za hranu koji se upotrebljavaju za brzu hranu ili druge obroke spremne za neposrednu konzumaciju, osim spremnika za napitke, tanjura te vrećica i omota koji sadržavaju hranu.</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Plastični proizvodi za jednokratnu uporabu koji podliježu ograničenjima u vezi sa stavljanjem na tržište</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Štapići za uši, osim ako su obuhvaćeni područjem primjene Kraljevske uredbe 1591/2009 od 16. listopada kojom se reguliraju medicinski proizvodi;</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pribor za jelo (vilice, noževi, žlice, štapići za jelo);</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tanjuri;</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slamke, osim ako su obuhvaćene područjem primjene Kraljevske uredbe 1591/2009 od 16. listopada;</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štapići za miješanje napitaka;</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štapići namijenjeni pričvršćivanju na balone i njihovu pridržavanju, osim balona za industrijske ili druge profesionalne namjene i uporabe koji se ne dijele potrošačima, uključujući mehanizme takvih štapića;</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spremnici za hranu navedeni u odjeljku A.2. izrađeni od ekspandiranog polistirena;</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spremnici za napitke izrađeni od ekspandiranog polistirena, uključujući njihove čepove i poklopce;</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čaše za napitke izrađene od ekspandiranog polistirena, uključujući njihove čepove i poklopce.</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Plastični proizvodi za jednokratnu uporabu koji podliježu zahtjevima u pogledu ekološkog dizajna.</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Spremnici za napitke zapremine do tri litre, tj. posude za tekućine, kao što su boce za napitke, uključujući njihove čepove i poklopce, te višeslojna (kompozitna) ambalaža za napitke, uključujući njihove čepove i poklopce, ali ne i:</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staklene ili metalne spremnike za napitke s čepovima i poklopcima od plastike;</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spremnike za napitke koji su namijenjeni i koji se upotrebljavaju za hranu za posebne medicinske potrebe, kako je definirana u članku 2. točki (g) Uredbe (EU) br. 609/2013 Europskog parlamenta i Vijeća od 12. lipnja 2013. o hrani za dojenčad i malu djecu, hrani za posebne medicinske potrebe i zamjeni za cjelodnevnu prehranu pri redukcijskoj dijeti te o stavljanju izvan snage Direktive Vijeća 92/52/EEZ, direktiva Komisije 96/8/EZ, 1999/21/EZ, 2006/125/EZ i 2006/141/EZ, Direktive 2009/39/EZ Europskog parlamenta i Vijeća i uredbi Komisije (EZ) br. 41/2009 i (EZ) br. 953/2009, koja je u tekućem stanju.</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Plastični proizvodi za jednokratnu uporabu koji podliježu zahtjevima u pogledu označivanja</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Higijenski ulošci, tamponi i aplikatori za tampone;</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vlažne maramice, tj. prethodno ovlažene maramice za osobnu njegu i uporabu u kućanstvu;</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duhanski proizvodi s filtrom te filtri koji se stavljaju na tržište za uporabu u kombinaciji s duhanskim proizvodima;</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čaše za napitke.</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Plastični proizvodi za jednokratnu uporabu koji podliježu odvojenom skupljanju i zahtjevima u pogledu ekološkog dizajna:</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Boce za napitke zapremine do tri litre, uključujući njihove čepove i poklopce, ali ne i:</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staklene ili metalne boce za napitke s čepovima i poklopcima od plastike;</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boce za napitke koje su namijenjene i koje se upotrebljavaju za hranu za posebne medicinske potrebe, kako je definirana u članku 2. točki (g) Uredbe (EU) br. 609/2013 od 12. lipnja 2013., koja je u tekućem stanju.</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Plastični proizvodi za jednokratnu uporabu koji podliježu članku 45. o proširenoj odgovornosti proizvođača i članku 46. o mjerama podizanja svijesti.</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Plastični proizvodi za jednokratnu uporabu koji podliježu stavku 2. članka 45. o proširenoj odgovornosti proizvođača.</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Spremnici za hranu, tj. posude kao što su kutije, s poklopcem ili bez njega, koji se upotrebljavaju za držanje hrane:</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koja je namijenjena neposrednoj konzumaciji na licu mjesta ili kasnije;</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koja se obično konzumira iz vrećice ili omota;</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koja je spremna za konzumaciju bez ikakve daljnje pripreme, primjerice pečenja, kuhanja ili zagrijavanja, uključujući spremnike za hranu koji se upotrebljavaju za brzu hranu ili druge obroke spremne za neposrednu konzumaciju, osim spremnika za napitke, tanjura te vrećica i omota koji sadržavaju hranu;</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vrećice i omoti izrađeni od savitljivog materijala koji sadržavaju hranu namijenjenu konzumaciji izravno iz vrećice ili omota bez ikakve daljnje pripreme;</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spremnici za napitke zapremine do tri litre, tj. ambalaža za tekućine, kao što su boce za napitke, uključujući njihove čepove i poklopce, te višeslojna (kompozitna) ambalaža za napitke, uključujući njihove čepove i poklopce, ali ne i staklene ili metalne spremnike za napitke s čepovima i poklopcima od plastike;</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čaše za napitke, uključujući njihove čepove i poklopce;</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lagane plastične vrećice za nošenje kako su definirane u Kraljevskoj uredbi 293/2018 od 18. svibnja.</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Plastični proizvodi za jednokratnu uporabu koji podliježu stavku 3. članka 45. o proširenoj odgovornosti proizvođača</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Vlažne maramice, tj. prethodno ovlažene maramice za osobnu njegu i uporabu u kućanstvu;</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baloni, osim balona za industrijske ili druge profesionalne namjene i uporabe, koji se ne dijele potrošačima;</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duhanski proizvodi s filtrom te filtri koji se stavljaju na tržište za uporabu u kombinaciji s duhanskim proizvodima.</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MINISTARSTVO EKOLOŠKE TRANZICIJE I DEMOGRAFSKIH IZAZOVA</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DRŽAVNO TAJNIŠTVO ZA OKOLIŠ</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GLAVNA UPRAVA ZA KVALITETU I PROCJENU UTJECAJA NA OKOLIŠ</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hr-HR"/>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hr-HR"/>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hr-HR"/>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hr-HR"/>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hr-HR"/>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hr-HR"/>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hr-HR"/>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hr-HR"/>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hr-HR"/>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hr-HR"/>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hr-HR"/>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