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rPr>
        <w:t xml:space="preserve">1. ------IND- 2019 0524 D-- HR-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rPr>
        <w:t>Četvrta uredba o izmjeni Uredbe o voćnim sokovima i osvježavajućim pićima</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rPr>
        <w:t>Od 18. svibnja 2020.</w:t>
      </w:r>
    </w:p>
    <w:p w:rsidR="0018248F" w:rsidRPr="00833F01" w:rsidRDefault="0018248F" w:rsidP="00E717D1">
      <w:pPr>
        <w:pStyle w:val="EingangsformelStandardnderungsdokument"/>
        <w:spacing w:before="0"/>
        <w:rPr>
          <w:rStyle w:val="Marker"/>
          <w:color w:val="000000" w:themeColor="text1"/>
          <w:sz w:val="20"/>
          <w:szCs w:val="20"/>
        </w:rPr>
      </w:pPr>
      <w:r>
        <w:rPr>
          <w:rStyle w:val="Marker"/>
          <w:color w:val="000000" w:themeColor="text1"/>
          <w:sz w:val="20"/>
        </w:rPr>
        <w:t xml:space="preserve">Na temelju članka 13. stavka 1. točke 1. </w:t>
      </w:r>
      <w:proofErr w:type="spellStart"/>
      <w:r>
        <w:rPr>
          <w:rStyle w:val="Marker"/>
          <w:color w:val="000000" w:themeColor="text1"/>
          <w:sz w:val="20"/>
        </w:rPr>
        <w:t>podtočke</w:t>
      </w:r>
      <w:proofErr w:type="spellEnd"/>
      <w:r>
        <w:rPr>
          <w:rStyle w:val="Marker"/>
          <w:color w:val="000000" w:themeColor="text1"/>
          <w:sz w:val="20"/>
        </w:rPr>
        <w:t xml:space="preserve"> a), točke 2. i stavka 4. točke 1. </w:t>
      </w:r>
      <w:proofErr w:type="spellStart"/>
      <w:r>
        <w:rPr>
          <w:rStyle w:val="Marker"/>
          <w:color w:val="000000" w:themeColor="text1"/>
          <w:sz w:val="20"/>
        </w:rPr>
        <w:t>podtočaka</w:t>
      </w:r>
      <w:proofErr w:type="spellEnd"/>
      <w:r>
        <w:rPr>
          <w:rStyle w:val="Marker"/>
          <w:color w:val="000000" w:themeColor="text1"/>
          <w:sz w:val="20"/>
        </w:rPr>
        <w:t xml:space="preserve"> a) i b) te članka 35. točke 1. Zakona o hrani i hrani za životinje u inačici objavljenoj 3. lipnja 2013. (Savezni službeni list, I. dio, str. 1426.), zadnje izmijenjenog člankom 1. Zakona od 24. travnja 2019. (Savezni službeni list, I. dio, str. 498.), Savezno ministarstvo za prehranu i poljoprivredu u sporazumu sa Saveznim ministarstvom gospodarstva i energije donosi:</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t>Članak 1.</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rPr>
        <w:t>Uredba o voćnim sokovima i osvježavajućim napitcima od 24. svibnja 2004. (Službeni savezni list, I. dio., str. 1016.), zadnje izmijenjena člankom 12. Uredbe od 5. srpnja 2017. (Savezni službeni list, I. dio, str. 2272.) izmjenjuje se kako slijedi:</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 xml:space="preserve">Naziv Uredbe glasi kako slijedi: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rPr>
        <w:t xml:space="preserve">„Uredba o voćnim sokovima, voćnim nektarima, osvježavajućim pićima koja sadrže kofein te biljnim i voćnim čajevima za dojenčad ili malu djecu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rPr>
        <w:t xml:space="preserve">(Uredba o voćnim sokovima, osvježavajućim pićima i čajevima – </w:t>
      </w:r>
      <w:proofErr w:type="spellStart"/>
      <w:r>
        <w:rPr>
          <w:rStyle w:val="Marker"/>
          <w:color w:val="000000" w:themeColor="text1"/>
          <w:sz w:val="20"/>
        </w:rPr>
        <w:t>FrSaftErfrischGetrTeeV</w:t>
      </w:r>
      <w:proofErr w:type="spellEnd"/>
      <w:r>
        <w:rPr>
          <w:rStyle w:val="Marker"/>
          <w:color w:val="000000" w:themeColor="text1"/>
          <w:sz w:val="20"/>
        </w:rPr>
        <w:t>)”.</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U članku 1. iza stavka 2. dodaje se sljedeći stavak 3.:</w:t>
      </w:r>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rPr>
        <w:t>„3. U skladu s odjeljkom 4. ova se Uredba primjenjuje i na biljne i voćne čajeve za dojenčad ili malu djecu.”</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Iza članka 6. umeće se sljedeći odjeljak 4.:</w:t>
      </w:r>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rPr>
        <w:t>„Odjeljak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rPr>
        <w:t xml:space="preserve">Biljni i voćni čaj za dojenčad ili malu djecu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rPr>
        <w:t xml:space="preserve">Definicije pojmova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rPr>
        <w:t>Biljni i voćni čaj za dojenčad ili malu djecu u smislu ove Uredbe znači</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proizvodi slični čaju, ekstrakti proizvoda sličnih čaju ili pripravci od namirnica koje sadrže ekstrakte proizvoda sličnih čaju, koji se u svrhu konzumacije još moraju pripremiti s vodom i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gotova pića od proizvoda sličnih čaju, njihovih ekstrakata ili pripravaka, </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rPr>
        <w:t>koji su prema svom nazivu, drugim podacima ili simbolima na ambalaži ili etiketi pričvršćenoj na ambalažu, prema svom stanju, izgledu ili na temelju promidžbenih tvrdnji namijenjeni konzumaciji novorođenčadi ili male djece.</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rPr>
        <w:t xml:space="preserve">Za potrebe ove Uredbe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za pojam „dojenče” primjenjuje se definicija u skladu s člankom 2. stavkom 2. točkom a) Uredbe (EU) br. 609/2013 Europskog parlamenta i Vijeća od 12. lipnja 2013. o hrani za dojenčad i malu djecu, hrani za posebne medicinske potrebe i zamjeni za cjelodnevnu prehranu pri redukcijskoj dijeti te o stavljanju izvan snage Direktive Vijeća 92/52/EEZ, direktiva Komisije 96/8/EZ, 1999/21/EZ, 2006/125/EZ i 2006/141/EZ, Direktive 2009/39/EZ Europskog parlamenta i Vijeća i uredbi Komisije (EZ) br. 41/2009 i (EZ) br. 953/2009 (SL L 181, 29.6.2013., str. 35.), a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za pojam „malo dijete” primjenjuje se definicija u skladu s člankom 2. stavkom 2. točkom b) Uredbe (EU) br.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rPr>
        <w:t xml:space="preserve">Posebni zahtjevi za proizvodnju i stavljanje na tržište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rPr>
        <w:t xml:space="preserve">Biljni i voćni čajevi za dojenčad ili malu djecu smiju se stavljati na tržište samo u obliku </w:t>
      </w:r>
      <w:proofErr w:type="spellStart"/>
      <w:r>
        <w:rPr>
          <w:color w:val="000000" w:themeColor="text1"/>
          <w:sz w:val="20"/>
        </w:rPr>
        <w:t>pretpakirane</w:t>
      </w:r>
      <w:proofErr w:type="spellEnd"/>
      <w:r>
        <w:rPr>
          <w:color w:val="000000" w:themeColor="text1"/>
          <w:sz w:val="20"/>
        </w:rPr>
        <w:t xml:space="preserve"> hrane.</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rPr>
        <w:lastRenderedPageBreak/>
        <w:t xml:space="preserve">Biljni i voćni čajevi za dojenčad ili malu djecu moraju biti prikladni kao piće za ove posebne skupine potrošača. Osobito, u proizvodnji biljnih i voćnih čajeva za dojenčad ili malu djecu </w:t>
      </w:r>
    </w:p>
    <w:p w:rsidR="0018248F" w:rsidRPr="00C4041A" w:rsidRDefault="0018248F" w:rsidP="00E717D1">
      <w:pPr>
        <w:pStyle w:val="RevisionNummerierungStufe2"/>
        <w:spacing w:before="0"/>
        <w:rPr>
          <w:rStyle w:val="Marker"/>
          <w:color w:val="000000" w:themeColor="text1"/>
          <w:sz w:val="20"/>
          <w:szCs w:val="20"/>
        </w:rPr>
      </w:pPr>
      <w:r>
        <w:rPr>
          <w:rStyle w:val="Marker"/>
          <w:color w:val="000000" w:themeColor="text1"/>
          <w:sz w:val="20"/>
        </w:rPr>
        <w:t>ne smiju se koristiti niti dodavati šećer u skladu s člankom 2. stavkom 4. u svezi s točkom 8. Priloga I. Uredbi (EU) br. 1169/2011 Europskog parlamenta i Vijeća od 25. listopada 2011. o informiranju potrošača o hrani i o izmjeni uredbi (EZ) br. 1924/2006 i (EZ) br. 1925/2006 Europskog parlamenta i Vijeća te o stavljanju izvan snage Direktive 87/250/EEZ Komisije, Direktive 90/496/EEZ Vijeća, Direktive 1999/10/EZ Komisije, Direktive 2000/13/EZ Europskog parlamenta i Vijeća, Direktiva 2002/67/EZ i 2008/5/EZ Komisije i Uredbe (EZ) br. 608/2004 Komisije (SL L 304 od 22.11.2011., str. 18.), niti</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rPr>
        <w:t>med,</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ekstrakt slada ili drugi sirupi ili gusti sokovi dobiveni od biljnih sirovina ili</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rPr>
        <w:t>proizvodi u skladu s Dodatkom 1</w:t>
      </w:r>
      <w:r w:rsidR="00EC4A0C">
        <w:rPr>
          <w:color w:val="000000" w:themeColor="text1"/>
          <w:sz w:val="20"/>
        </w:rPr>
        <w:t>.</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bookmarkStart w:id="0" w:name="_GoBack"/>
      <w:bookmarkEnd w:id="0"/>
      <w:r>
        <w:rPr>
          <w:color w:val="000000" w:themeColor="text1"/>
          <w:sz w:val="20"/>
        </w:rPr>
        <w:t>3. Na biljne i voćne čajeve za dojenčad ili malu djecu na odgovarajući način treba primijeniti članak 14. stavak 1. točku 1. Uredbe o dijetalnoj prehrani u inačici objavljenoj 28. travnja 2005. (Savezni službeni list, I. dio, str. 1161.), zadnje izmijenjene člankom 22. Uredbe od 5. srpnja 2017. (Savezni službeni list, I. dio, str. 2272.).</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rPr>
        <w:t>4. Biljni i voćni čajevi za dojenčad ili malu djecu koji ne udovoljavaju zahtjevima iz stavka 2. druge rečenice ili zahtjevima iz stavka 3. ne smiju se stavljati na tržište.</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rPr>
        <w:t xml:space="preserve">Označivanje biljnih i voćnih čajeva za dojenčad ili malu djecu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rPr>
        <w:t>Biljni i voćni čajevi za dojenčad ili malu djecu smiju se stavljati na tržište samo ako oznaka na ambalaži ili etiketi pričvršćenoj na ambalažu sadrži sljedeće napomene:</w:t>
      </w:r>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rPr>
        <w:t>napomena da tijekom pripreme i prije primjene treba izbjegavati dodavanje šećera i drugih sladila i</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napomena od koje dobi se čaj smije koristiti; dob ne smije biti manja od navršena četiri mjeseca.</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rPr>
        <w:t>Napomene iz prve rečenice moraju biti postavljene na ambalažu na način da su dobro vidljive, jasne i čitljive i ni na koji način ne smiju biti prekrivene drugim podacima, simbolima ili drugim dodatnim materijalom ili zbog njih postati nejasne.”</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Dosadašnji odjeljak 4. postaje odjeljak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Dosadašnji članak 7. postaje članak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rPr>
        <w:t>Dosadašnji članak 8. postaje članak 11. i izmjenjuje se kako slijedi:</w:t>
      </w:r>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rPr>
        <w:t xml:space="preserve">U stavku 1. iza riječi „protivno članku 5.” dodaju se riječi „ili članku 8. stavku 4.”.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rPr>
        <w:t xml:space="preserve">U stavku 2. riječi „članku 7.” zamjenjuju se riječima „članku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rPr>
        <w:t xml:space="preserve">U stavku 4. riječi „ili članku 6. stavku 1.” zamjenjuju se zarezom i riječima „članku 6. stavku 1., članku 8. stavku 1. ili članku 9. prvoj rečenici”.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Briše se dosadašnji članak 9.</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rPr>
        <w:t xml:space="preserve">Iza novog članka 11. umeće se sljedeći članak 12.: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rPr>
        <w:t>„Članak 12.</w:t>
      </w:r>
    </w:p>
    <w:p w:rsidR="0018248F" w:rsidRPr="00833F01" w:rsidRDefault="0018248F" w:rsidP="00E717D1">
      <w:pPr>
        <w:pStyle w:val="RevisionParagraphberschrift"/>
        <w:spacing w:before="0"/>
        <w:ind w:left="425"/>
        <w:rPr>
          <w:color w:val="000000" w:themeColor="text1"/>
          <w:sz w:val="20"/>
          <w:szCs w:val="20"/>
        </w:rPr>
      </w:pPr>
      <w:r>
        <w:rPr>
          <w:color w:val="000000" w:themeColor="text1"/>
          <w:sz w:val="20"/>
        </w:rPr>
        <w:t>Prijelazne odredbe za biljne i voćne čajeve za dojenčad ili malu djecu</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rPr>
        <w:t>Do 29. studenoga 2020. se biljni i voćni čajevi za dojenčad ili malu djecu smiju proizvoditi i označavati prema propisima koji vrijede do 28. svibnja 2020. Biljni i voćni čajevi za dojenčad ili malu djecu proizvedeni i označeni u skladu s prvom rečenicom još se smiju stavljati na tržište do isteka zaliha.”</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Dosadašnji članak 11. postaje članak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rPr>
        <w:t>U Dodatku 1. riječi „(uz članak 1. stavak 1., članak 2. stavci 1. do 5., članak 3. stavci 1. do 3. i članak 7.)” zamjenjuju se riječima „(uz članak 1. stavak 1., članak 2. stavci 1. do 5., članak 3. stavci 1. do 3. i članak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lastRenderedPageBreak/>
        <w:t>Članak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rPr>
        <w:t>Savezno ministarstvo za prehranu i poljoprivredu smije u Saveznom službenom listu objaviti tekst Uredbe o voćnim sokovima i osvježavajućim pićima pod novim nazivom u izdanju koje vrijedi prije stupanja ove Uredbe na snagu.</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t>Članak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rPr>
        <w:t>Uredba stupa na snagu dan nakon objave.</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rPr>
        <w:t>Odobreno od strane Saveznog vijeća.</w:t>
      </w:r>
    </w:p>
    <w:p w:rsidR="0018248F" w:rsidRPr="00C4041A" w:rsidRDefault="0018248F" w:rsidP="00E717D1">
      <w:pPr>
        <w:pStyle w:val="OrtDatum"/>
        <w:spacing w:before="0"/>
        <w:jc w:val="left"/>
        <w:rPr>
          <w:color w:val="000000" w:themeColor="text1"/>
          <w:sz w:val="20"/>
          <w:szCs w:val="20"/>
        </w:rPr>
      </w:pPr>
      <w:r>
        <w:rPr>
          <w:color w:val="000000" w:themeColor="text1"/>
          <w:sz w:val="20"/>
        </w:rPr>
        <w:t>Bonn, 18. svibnja 2020.</w:t>
      </w:r>
    </w:p>
    <w:p w:rsidR="0018248F" w:rsidRPr="00481960" w:rsidRDefault="0018248F" w:rsidP="00E717D1">
      <w:pPr>
        <w:pStyle w:val="Organisation"/>
        <w:spacing w:before="0"/>
        <w:rPr>
          <w:color w:val="000000" w:themeColor="text1"/>
          <w:sz w:val="20"/>
          <w:szCs w:val="20"/>
        </w:rPr>
      </w:pPr>
      <w:r>
        <w:rPr>
          <w:color w:val="000000" w:themeColor="text1"/>
          <w:sz w:val="20"/>
        </w:rPr>
        <w:t>Savezno ministarstvo za prehranu i poljoprivredu</w:t>
      </w:r>
    </w:p>
    <w:p w:rsidR="0018248F" w:rsidRPr="00481960" w:rsidRDefault="0018248F" w:rsidP="00E717D1">
      <w:pPr>
        <w:pStyle w:val="Person"/>
        <w:spacing w:before="0"/>
        <w:rPr>
          <w:color w:val="000000" w:themeColor="text1"/>
          <w:sz w:val="20"/>
          <w:szCs w:val="20"/>
        </w:rPr>
      </w:pPr>
      <w:r>
        <w:rPr>
          <w:color w:val="000000" w:themeColor="text1"/>
          <w:sz w:val="20"/>
        </w:rPr>
        <w:t xml:space="preserve">Julia </w:t>
      </w:r>
      <w:proofErr w:type="spellStart"/>
      <w:r>
        <w:rPr>
          <w:color w:val="000000" w:themeColor="text1"/>
          <w:sz w:val="20"/>
        </w:rPr>
        <w:t>Klöckner</w:t>
      </w:r>
      <w:proofErr w:type="spellEnd"/>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0A1" w:rsidRDefault="009F20A1" w:rsidP="0018248F">
      <w:pPr>
        <w:spacing w:after="0" w:line="240" w:lineRule="auto"/>
      </w:pPr>
      <w:r>
        <w:separator/>
      </w:r>
    </w:p>
  </w:endnote>
  <w:endnote w:type="continuationSeparator" w:id="0">
    <w:p w:rsidR="009F20A1" w:rsidRDefault="009F20A1"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0A1" w:rsidRDefault="009F20A1" w:rsidP="0018248F">
      <w:pPr>
        <w:spacing w:after="0" w:line="240" w:lineRule="auto"/>
      </w:pPr>
      <w:r>
        <w:separator/>
      </w:r>
    </w:p>
  </w:footnote>
  <w:footnote w:type="continuationSeparator" w:id="0">
    <w:p w:rsidR="009F20A1" w:rsidRDefault="009F20A1"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Priopćena u skladu s Direktivom (EU) 2015/1535 Europskog parlamenta i Vijeća od 9. rujna 2015. o utvrđivanju postupka pružanja informacija u području tehničkih propisa i pravila o uslugama informacijskog društva (SL L 241, 17.9.2015.,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81960"/>
    <w:rsid w:val="00560F9F"/>
    <w:rsid w:val="005B3438"/>
    <w:rsid w:val="00620B7E"/>
    <w:rsid w:val="006919AD"/>
    <w:rsid w:val="006D44D8"/>
    <w:rsid w:val="00833F01"/>
    <w:rsid w:val="008F7D08"/>
    <w:rsid w:val="009E24DE"/>
    <w:rsid w:val="009F20A1"/>
    <w:rsid w:val="00C4041A"/>
    <w:rsid w:val="00D05137"/>
    <w:rsid w:val="00D24F4A"/>
    <w:rsid w:val="00DA2A8E"/>
    <w:rsid w:val="00E717D1"/>
    <w:rsid w:val="00E84AC9"/>
    <w:rsid w:val="00EC4A0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Liu, Lei</cp:lastModifiedBy>
  <cp:revision>9</cp:revision>
  <dcterms:created xsi:type="dcterms:W3CDTF">2020-06-09T06:17:00Z</dcterms:created>
  <dcterms:modified xsi:type="dcterms:W3CDTF">2020-09-16T11:03:00Z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