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4AD1" w14:textId="77777777" w:rsidR="00694BF3" w:rsidRDefault="00694BF3" w:rsidP="00F54ECB">
      <w:pPr>
        <w:jc w:val="both"/>
      </w:pPr>
    </w:p>
    <w:p w14:paraId="3A200FF0" w14:textId="77777777" w:rsidR="009C128D" w:rsidRDefault="009C128D" w:rsidP="00F54ECB">
      <w:pPr>
        <w:jc w:val="both"/>
      </w:pPr>
    </w:p>
    <w:p w14:paraId="7B10461F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Návrh zákona, kterým se posiluje dodržování zásad republiky</w:t>
      </w:r>
    </w:p>
    <w:p w14:paraId="3A5F0E98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6BBFB675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34C78D28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/>
          <w:b/>
          <w:sz w:val="21"/>
        </w:rPr>
        <w:t>Článek 19</w:t>
      </w:r>
    </w:p>
    <w:p w14:paraId="667F0BA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2EFC503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Kapitola II hlavy I zákona č. 2004-575 ze dne 21. června 2004 o důvěře v digitální ekonomiku se mění takto:</w:t>
      </w:r>
    </w:p>
    <w:p w14:paraId="3365E3C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DFFB0B" w14:textId="77777777" w:rsidR="001048BC" w:rsidRDefault="0001397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 xml:space="preserve">1. Na začátku čl. 6 odst. I bodu 8 slova: „Soudní orgán může nařídit jako předběžné opatření nebo na žádost kterékoli osobě uvedené v bodě 2 nebo, není-li to možné, kterékoli osobě uvedené v bodě 1,“ se nahrazuje tímto: „Předseda soudu může ve zrychleném řízení ve věci samé stanovit jakoukoli osobu, která k němu může přispět“; </w:t>
      </w:r>
    </w:p>
    <w:p w14:paraId="39AEC637" w14:textId="77777777" w:rsidR="00742738" w:rsidRDefault="00742738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F6F112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2. Za článek 6-2 ve znění zákona č. 2020-1266 ze dne 19. října 2020, jehož cílem je upravit komerční využívání obrazu dětí mladších šestnácti let na on-line platformách, se vkládají nové články 6-3 a 6-4, které znějí:</w:t>
      </w:r>
    </w:p>
    <w:p w14:paraId="1C8ADEC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691950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 xml:space="preserve">Článek 6-4. </w:t>
      </w:r>
      <w:r>
        <w:rPr>
          <w:rFonts w:ascii="Times-Roman" w:hAnsi="Times-Roman"/>
          <w:sz w:val="21"/>
        </w:rPr>
        <w:t>— V případě, že vykonatelné rozhodnutí soudu nařídilo jakékoli opatření k zabránění přístupu k on-line veřejné komunikační službě, jejíž obsah spadá pod trestné činy stanovené v čl. 6 odst. I bodě 7, může správní orgán, pokud jej kterákoli dotčená osoba vyzve, požádat kteroukoli osobu, která by k ní mohla přispět, a po dobu nepřesahující dobu, která zbývá pro opatření nařízená tímto soudním rozhodnutím, aby zabránila přístupu k jakékoli on-line veřejné komunikační službě obsahující obsah stránky v plném nebo podstatném rozsahu.</w:t>
      </w:r>
    </w:p>
    <w:p w14:paraId="6A0FAC0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47C01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„Za stejných podmínek může správní orgán rovněž požádat provozovatele vyhledávače, adresáře nebo jiné referenční služby, aby stáhl odkaz na webové adresy umožňující přístup k těmto on-line komunikačním službám veřejnosti.</w:t>
      </w:r>
    </w:p>
    <w:p w14:paraId="39A0A984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93F6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„Správní orgán aktualizuje seznam on-line komunikačních služeb uvedených v prvním odstavci tohoto článku, které byly předmětem žádosti o blokování přístupu podle téhož prvního odstavce, jakož i internetových adres umožňujících přístup k těmto službám, a zpřístupní tento seznam inzerentům, jejich zástupcům a službám uvedeným v čl. 299 odst. II bodě 2 obecného zákona o daních. Tyto služby se na tento seznam zahrnou po zbytek doby trvání opatření nařízených soudním orgánem.</w:t>
      </w:r>
    </w:p>
    <w:p w14:paraId="3E5D07D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203C15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 xml:space="preserve">„Pokud tyto služby nebyly zablokovány nebo pozastaveny v souladu s tímto článkem, může předseda soudu ve zrychleném řízení ve věci samé nařídit jakékoli opatření směřující k ukončení přístupu k obsahu těchto služeb.“ </w:t>
      </w:r>
    </w:p>
    <w:p w14:paraId="351C08F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0F9072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337BD38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/>
          <w:bCs/>
          <w:i/>
          <w:iCs/>
          <w:sz w:val="21"/>
          <w:szCs w:val="21"/>
        </w:rPr>
      </w:pPr>
      <w:r>
        <w:rPr>
          <w:rFonts w:ascii="Times-Bold" w:hAnsi="Times-Bold"/>
          <w:b/>
          <w:sz w:val="21"/>
        </w:rPr>
        <w:t xml:space="preserve">Článek 19 </w:t>
      </w:r>
      <w:r>
        <w:rPr>
          <w:rFonts w:ascii="Times-BoldItalic" w:hAnsi="Times-BoldItalic"/>
          <w:b/>
          <w:i/>
          <w:sz w:val="21"/>
        </w:rPr>
        <w:t>bis (nový)</w:t>
      </w:r>
    </w:p>
    <w:p w14:paraId="306E801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A34C5FA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I. – Kapitola II hlavy I zákona č. 2004-575 ze dne 21. června 2004 o důvěře v digitální ekonomiku se mění takto:</w:t>
      </w:r>
    </w:p>
    <w:p w14:paraId="759BD69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83753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1. Ustanovení čl. 6 odst. I bodu 7 dílčího bodu 4 se mění takto:</w:t>
      </w:r>
    </w:p>
    <w:p w14:paraId="2C3447E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6CB70DB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i/>
          <w:iCs/>
          <w:sz w:val="21"/>
        </w:rPr>
        <w:t>a)</w:t>
      </w:r>
      <w:r>
        <w:rPr>
          <w:sz w:val="21"/>
        </w:rPr>
        <w:t xml:space="preserve"> První věta se doplňuje slovy:</w:t>
      </w:r>
      <w:r>
        <w:rPr>
          <w:rFonts w:ascii="Times-Roman" w:hAnsi="Times-Roman"/>
          <w:sz w:val="21"/>
        </w:rPr>
        <w:t xml:space="preserve"> „a zveřejní prostředky, které věnují boji proti nepovoleným činnostem uvedeným ve třetím odstavci tohoto bodu 7“;</w:t>
      </w:r>
    </w:p>
    <w:p w14:paraId="4595B9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1C0256C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i/>
          <w:iCs/>
          <w:sz w:val="21"/>
        </w:rPr>
        <w:t>b)</w:t>
      </w:r>
      <w:r>
        <w:rPr>
          <w:sz w:val="21"/>
        </w:rPr>
        <w:t xml:space="preserve"> za stejnou první větu se vkládá nová věta, která zní:</w:t>
      </w:r>
      <w:r>
        <w:rPr>
          <w:rFonts w:ascii="Times-Roman" w:hAnsi="Times-Roman"/>
          <w:sz w:val="21"/>
        </w:rPr>
        <w:t xml:space="preserve"> „Tyto povinnosti se nevztahují na hospodářské subjekty uvedené v čl. 6-5 odst. 1 s cílem bojovat proti šíření obsahu uvedeného ve stejném prvním odstavci.“; </w:t>
      </w:r>
    </w:p>
    <w:p w14:paraId="20C709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C70F9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i/>
          <w:iCs/>
          <w:sz w:val="21"/>
        </w:rPr>
        <w:t>c)</w:t>
      </w:r>
      <w:r>
        <w:rPr>
          <w:sz w:val="21"/>
        </w:rPr>
        <w:t xml:space="preserve"> Druhá věta se mění takto:</w:t>
      </w:r>
    </w:p>
    <w:p w14:paraId="05AED1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E9E6E93" w14:textId="1C39588A" w:rsidR="00317039" w:rsidRDefault="009C6A23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–</w:t>
      </w:r>
      <w:r w:rsidR="00317039">
        <w:rPr>
          <w:rFonts w:ascii="Times-Roman" w:hAnsi="Times-Roman"/>
          <w:sz w:val="21"/>
        </w:rPr>
        <w:t xml:space="preserve"> na začátku se slovo: „Tito“ nahrazuje slovy: „Osoby uvedené v bodech 1 a 2“;</w:t>
      </w:r>
    </w:p>
    <w:p w14:paraId="3F04C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64F67E1" w14:textId="14F88132" w:rsidR="00317039" w:rsidRDefault="009C6A23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–</w:t>
      </w:r>
      <w:r w:rsidR="00317039">
        <w:rPr>
          <w:sz w:val="21"/>
        </w:rPr>
        <w:t xml:space="preserve"> slova:</w:t>
      </w:r>
      <w:r w:rsidR="00317039">
        <w:rPr>
          <w:rFonts w:ascii="Times-Roman" w:hAnsi="Times-Roman"/>
          <w:sz w:val="21"/>
        </w:rPr>
        <w:t xml:space="preserve"> „, na jedné straně“ se vypouštějí;</w:t>
      </w:r>
    </w:p>
    <w:p w14:paraId="1F50F6A9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1375A9" w14:textId="1FD34777" w:rsidR="00317039" w:rsidRDefault="009C6A23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–</w:t>
      </w:r>
      <w:r w:rsidR="00317039">
        <w:rPr>
          <w:rFonts w:ascii="Times-Roman" w:hAnsi="Times-Roman"/>
          <w:sz w:val="21"/>
        </w:rPr>
        <w:t xml:space="preserve"> slova: „předchozího pododstavce“ se nahrazují slovy: „ve stejném třetím pododstavci“;</w:t>
      </w:r>
    </w:p>
    <w:p w14:paraId="059573B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850A79" w14:textId="76695617" w:rsidR="00317039" w:rsidRDefault="009C6A23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–</w:t>
      </w:r>
      <w:r w:rsidR="00317039">
        <w:rPr>
          <w:rFonts w:ascii="Times-Roman" w:hAnsi="Times-Roman"/>
          <w:sz w:val="21"/>
        </w:rPr>
        <w:t xml:space="preserve"> po slově: „služby“, se vypouští závěr;</w:t>
      </w:r>
    </w:p>
    <w:p w14:paraId="77EFA707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FE7B4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2. Za článek 6-2 ve znění výše uvedeného zákona č. 2020-1266 ze dne 19. října 2020 se vkládá nový článek 6-5, který zní:</w:t>
      </w:r>
    </w:p>
    <w:p w14:paraId="3710D11A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B32B31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 xml:space="preserve">Článek 6-5. </w:t>
      </w:r>
      <w:r>
        <w:rPr>
          <w:rFonts w:ascii="Times-Roman" w:hAnsi="Times-Roman"/>
          <w:sz w:val="21"/>
        </w:rPr>
        <w:t xml:space="preserve">— Provozovatelé on-line platforem definovaných v článku L111-7 spotřebitelského zákoníku, kteří nabízejí veřejnosti on-line komunikační službu založenou na klasifikaci, odkazování nebo sdílení obsahu umístěného na internetu třetími osobami a jejichž činnost na francouzském území přesahuje prahovou hodnotu počtu spojení stanoveného vyhláškou, bez ohledu na to, zda jsou usazeni na francouzském území, přispívají k boji proti veřejnému šíření obsahu v rozporu s ustanoveními uvedenými v čl. 6 části I odst. 7 bodě 3 tohoto zákona, jakož i v článku 24 </w:t>
      </w:r>
      <w:r>
        <w:rPr>
          <w:rFonts w:ascii="Times-Italic" w:hAnsi="Times-Italic"/>
          <w:i/>
          <w:sz w:val="21"/>
        </w:rPr>
        <w:t xml:space="preserve">bis </w:t>
      </w:r>
      <w:r>
        <w:rPr>
          <w:rFonts w:ascii="Times-Roman" w:hAnsi="Times-Roman"/>
          <w:sz w:val="21"/>
        </w:rPr>
        <w:t>a v čl. 33 odst. 3 a 4 zákona ze dne 29. července 1881 o svobodě tisku. V tomto ohledu:</w:t>
      </w:r>
    </w:p>
    <w:p w14:paraId="030DD26D" w14:textId="77777777" w:rsidR="00F54ECB" w:rsidRDefault="00F54ECB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444E5B3E" w14:textId="77777777" w:rsidR="00317039" w:rsidRDefault="00317039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„1. Zavádějí přiměřené lidské a technologické postupy a prostředky, které jim umožní:</w:t>
      </w:r>
    </w:p>
    <w:p w14:paraId="0D0F237C" w14:textId="77777777" w:rsidR="001048BC" w:rsidRDefault="001048BC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18D0FAE1" w14:textId="77777777" w:rsidR="00317039" w:rsidRPr="004E021A" w:rsidRDefault="001048BC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</w:t>
      </w:r>
      <w:r>
        <w:rPr>
          <w:rFonts w:ascii="Times-Roman" w:hAnsi="Times-Roman"/>
          <w:i/>
          <w:sz w:val="21"/>
        </w:rPr>
        <w:t>a)</w:t>
      </w:r>
      <w:r>
        <w:rPr>
          <w:rFonts w:ascii="Times-Roman" w:hAnsi="Times-Roman"/>
          <w:sz w:val="21"/>
        </w:rPr>
        <w:t xml:space="preserve"> co nejdříve informovat soudní nebo správní orgány o opatřeních, která přijaly v důsledku příkazů vydaných těmito orgány ohledně obsahu uvedeného v prvním pododstavci tohoto článku;</w:t>
      </w:r>
    </w:p>
    <w:p w14:paraId="2435515F" w14:textId="77777777" w:rsidR="004E021A" w:rsidRPr="004E021A" w:rsidRDefault="004E021A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2C7F75D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>b)</w:t>
      </w:r>
      <w:r>
        <w:rPr>
          <w:sz w:val="21"/>
        </w:rPr>
        <w:t xml:space="preserve"> neprodleně potvrdit bezpečné přijetí žádostí soudních nebo správních orgánů o sdělování údajů, které mají k dispozici, s cílem umožnit identifikaci uživatelů, kteří nahráli obsah uvedený ve stejném prvním odstavci, a co nejdříve informovat tyto orgány o následných opatřeních k těmto žádostem;</w:t>
      </w:r>
    </w:p>
    <w:p w14:paraId="30D97CA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28FAC3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 xml:space="preserve">c) </w:t>
      </w:r>
      <w:r>
        <w:rPr>
          <w:rFonts w:ascii="Times-Roman" w:hAnsi="Times-Roman"/>
          <w:sz w:val="21"/>
        </w:rPr>
        <w:t>dočasně zachovat obsah, který jim byl oznámen v rozporu s ustanoveními uvedenými v prvním pododstavci a který stáhli nebo učinili nepřístupným, za účelem jeho zpřístupnění soudním orgánům za účelem vyšetřování, identifikace a stíhání trestných činů; doba trvání a podmínky pro uchování tohoto obsahu se vymezují výnosem Státní rady na základě stanoviska</w:t>
      </w:r>
    </w:p>
    <w:p w14:paraId="7CCEB7D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Národní komise pro informační technologie a svobody;</w:t>
      </w:r>
    </w:p>
    <w:p w14:paraId="217052C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D239C3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„2. Určují jediné kontaktní místo, fyzickou osobu odpovědnou za komunikaci s orgány veřejné moci a za provádění ustanovení tohoto článku, jíž zejména všechny žádosti podané Nejvyšší radou pro audiovizuální záležitosti podle článku 62 zákona č. 86-1067 ze dne 30. září 1986 o svobodě komunikací mohou být zasílány elektronickými prostředky. Toto jediné kontaktní místo odpovídá zejména za přijímání žádostí podaných provozovateli soudním orgánem v souladu s řízením dle čl. 6 odst. II tohoto zákona s cílem zajistit jejich rychlé vyřízení;</w:t>
      </w:r>
    </w:p>
    <w:p w14:paraId="0A2DC01B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2F8DA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„3. Zpřístupňují veřejnosti snadno přístupným způsobem obecné podmínky využívání služeb, které nabízejí; zahrnují do nich ustanovení zakazující zveřejňování obsahu uvedeného v prvním pododstavci tohoto článku on-line; jasně a přesně v něm popisují opatření pro moderování, jejichž cílem je v případě potřeby odhalit a zpracovávat takový obsah, přičemž podrobně uvedou postupy a lidské nebo automatizované prostředky používané k tomuto účelu a opatření, která provádějí, a opatření, která mají vliv na dostupnost, viditelnost a přístupnost tohoto obsahu; uvádí v něm opatření, která provádějí, pokud jde o uživatele, kteří tento obsah zpřístupnili on-line, jakož i vnitrostátní a právní opravné prostředky, které mají tito uživatelé k dispozici;</w:t>
      </w:r>
    </w:p>
    <w:p w14:paraId="735ACC5C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D5ECD3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 xml:space="preserve">„4. Informují veřejnost o použitých prostředcích a opatřeních přijatých k boji proti šíření informací, pro uživatele na území Francie, o obsahu uvedeném v prvním odstavci, v souladu s postupy a intervaly stanovenými Nejvyšší radou pro audiovizuální záležitosti, o informacích a kvantifikovaných ukazatelích vymezených radou, které se týkají zejména zpracování příkazů nebo žádostí o informace od soudních nebo správních orgánů, obdržených oznámení a výběru vnitřní správy a kde je to vhodné, kritéria pro volbu </w:t>
      </w:r>
      <w:r>
        <w:rPr>
          <w:rFonts w:ascii="Times-Roman" w:hAnsi="Times-Roman"/>
          <w:sz w:val="21"/>
        </w:rPr>
        <w:lastRenderedPageBreak/>
        <w:t>důvěryhodných třetích stran, jejichž oznámení dostávají přednostní zacházení, přičemž se použijí kritéria týkající se důvěrnosti a třetí strany;</w:t>
      </w:r>
    </w:p>
    <w:p w14:paraId="38F2E708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995FF1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„5. Zavádějí snadno přístupný a snadno použitelný postup, který umožní každé osobě ohlásit elektronickými prostředky veškerý obsah, který je v rozporu s ustanoveními uvedenými v prvním odstavci, aby jasně upřesnil jeho umístění a důvody, pro které se má za to, že by tento obsah měl být považován za protiprávní, a poskytnout informace umožňující kontakt a oznamování sankcí vzniklých v případě nesprávného oznámení;</w:t>
      </w:r>
    </w:p>
    <w:p w14:paraId="6A67DF6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DF19E2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„6. Zavádějí přiměřené lidské a technologické postupy a prostředky, které jim umožňují:</w:t>
      </w:r>
    </w:p>
    <w:p w14:paraId="294BFE3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63DCC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Italic" w:hAnsi="Times-Italic"/>
          <w:i/>
          <w:sz w:val="21"/>
        </w:rPr>
        <w:t xml:space="preserve">„a) </w:t>
      </w:r>
      <w:r>
        <w:rPr>
          <w:rFonts w:ascii="Times-Roman" w:hAnsi="Times-Roman"/>
          <w:sz w:val="21"/>
        </w:rPr>
        <w:t>rychle potvrdit bezpečné přijetí oznámení týkajících se obsahu uvedeného v prvním odstavci, s výhradou informací nezbytných pro kontaktování autora;</w:t>
      </w:r>
    </w:p>
    <w:p w14:paraId="091A31A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CEFF90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Italic" w:hAnsi="Times-Italic"/>
          <w:i/>
          <w:sz w:val="21"/>
        </w:rPr>
        <w:t>„b)</w:t>
      </w:r>
      <w:r>
        <w:rPr>
          <w:sz w:val="21"/>
        </w:rPr>
        <w:t xml:space="preserve"> zajistit včasnou analýzu těchto oznámení;</w:t>
      </w:r>
    </w:p>
    <w:p w14:paraId="2D31A38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45BB3B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 xml:space="preserve">c) </w:t>
      </w:r>
      <w:r>
        <w:rPr>
          <w:rFonts w:ascii="Times-Roman" w:hAnsi="Times-Roman"/>
          <w:sz w:val="21"/>
        </w:rPr>
        <w:t>informovat autora o opatřeních, která v nich byla přijata, a o dostupných vnitrostátních a právních opravných prostředcích, s výhradou informací nezbytných pro jejich kontakt;</w:t>
      </w:r>
    </w:p>
    <w:p w14:paraId="2D0AFB8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96047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>d)</w:t>
      </w:r>
      <w:r>
        <w:rPr>
          <w:sz w:val="21"/>
        </w:rPr>
        <w:t xml:space="preserve"> Je-li rozhodnuto obsah odstranit nebo jej učinit nepřístupným z důvodu nerespektování ustanovení uvedených v prvním odstavci, informovat uživatele při jeho zveřejnění, pokud jsou k dispozici nezbytné informace pro jejich kontakt:</w:t>
      </w:r>
    </w:p>
    <w:p w14:paraId="1DAE800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A7335A2" w14:textId="157A9332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</w:t>
      </w:r>
      <w:r w:rsidR="009C6A23">
        <w:rPr>
          <w:rFonts w:ascii="Times-Roman" w:hAnsi="Times-Roman"/>
          <w:sz w:val="21"/>
        </w:rPr>
        <w:t>–</w:t>
      </w:r>
      <w:r>
        <w:rPr>
          <w:rFonts w:ascii="Times-Roman" w:hAnsi="Times-Roman"/>
          <w:sz w:val="21"/>
        </w:rPr>
        <w:t xml:space="preserve"> uvedení důvodů tohoto rozhodnutí;</w:t>
      </w:r>
    </w:p>
    <w:p w14:paraId="40DD698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276766" w14:textId="535A098A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</w:t>
      </w:r>
      <w:r w:rsidR="009C6A23">
        <w:rPr>
          <w:rFonts w:ascii="Times-Roman" w:hAnsi="Times-Roman"/>
          <w:sz w:val="21"/>
        </w:rPr>
        <w:t>–</w:t>
      </w:r>
      <w:r>
        <w:rPr>
          <w:rFonts w:ascii="Times-Roman" w:hAnsi="Times-Roman"/>
          <w:sz w:val="21"/>
        </w:rPr>
        <w:t xml:space="preserve"> upřesnění, zda bylo toto rozhodnutí učiněno prostřednictvím automatizovaného nástroje;</w:t>
      </w:r>
    </w:p>
    <w:p w14:paraId="47B65C5E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A02515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„– informovat je o vnitrostátních a právních opravných prostředcích, které mají k dispozici;</w:t>
      </w:r>
    </w:p>
    <w:p w14:paraId="05F79CF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74CD30C" w14:textId="17AAC048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</w:t>
      </w:r>
      <w:r w:rsidR="009C6A23">
        <w:rPr>
          <w:rFonts w:ascii="Times-Roman" w:hAnsi="Times-Roman"/>
          <w:sz w:val="21"/>
        </w:rPr>
        <w:t>–</w:t>
      </w:r>
      <w:r>
        <w:rPr>
          <w:rFonts w:ascii="Times-Roman" w:hAnsi="Times-Roman"/>
          <w:sz w:val="21"/>
        </w:rPr>
        <w:t xml:space="preserve"> a podat zprávy o občanských a trestních sankcích za zveřejnění nedovoleného obsahu;</w:t>
      </w:r>
    </w:p>
    <w:p w14:paraId="294932C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CBCD9" w14:textId="7B62C7C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„7. Zavádějí vnitřní nápravné prostředky, které umožňují:</w:t>
      </w:r>
    </w:p>
    <w:p w14:paraId="6755CD8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1B9FE0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 xml:space="preserve">a) </w:t>
      </w:r>
      <w:r>
        <w:rPr>
          <w:rFonts w:ascii="Times-Roman" w:hAnsi="Times-Roman"/>
          <w:sz w:val="21"/>
        </w:rPr>
        <w:t>Autor oznámení o obsahu uvedeném v prvním odstavci s cílem napadnout rozhodnutí provozovatele v reakci na toto oznámení;</w:t>
      </w:r>
    </w:p>
    <w:p w14:paraId="3752E11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1919F4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>b)</w:t>
      </w:r>
      <w:r>
        <w:rPr>
          <w:sz w:val="21"/>
        </w:rPr>
        <w:t xml:space="preserve"> Uživateli, který je původcem zveřejnění obsahu, jež byl předmětem rozhodnutí uvedeného v bodě 6 písm. d) zpochybnit toto rozhodnutí;</w:t>
      </w:r>
    </w:p>
    <w:p w14:paraId="4A970BB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A8CDBD" w14:textId="77777777" w:rsidR="00317039" w:rsidRPr="004E021A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 xml:space="preserve">c) </w:t>
      </w:r>
      <w:r>
        <w:rPr>
          <w:rFonts w:ascii="Times-Roman" w:hAnsi="Times-Roman"/>
          <w:sz w:val="21"/>
        </w:rPr>
        <w:t>Uživatel, který byl předmětem rozhodnutí uvedeného v bodu 8</w:t>
      </w:r>
      <w:r>
        <w:rPr>
          <w:rFonts w:ascii="Times-Italic" w:hAnsi="Times-Italic"/>
          <w:i/>
          <w:sz w:val="21"/>
        </w:rPr>
        <w:t xml:space="preserve"> písm. a) </w:t>
      </w:r>
      <w:r>
        <w:rPr>
          <w:rFonts w:ascii="Times-Roman" w:hAnsi="Times-Roman"/>
          <w:sz w:val="21"/>
        </w:rPr>
        <w:t xml:space="preserve">nebo </w:t>
      </w:r>
      <w:r>
        <w:rPr>
          <w:rFonts w:ascii="Times-Italic" w:hAnsi="Times-Italic"/>
          <w:i/>
          <w:sz w:val="21"/>
        </w:rPr>
        <w:t>b).</w:t>
      </w:r>
    </w:p>
    <w:p w14:paraId="29E98655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ED326F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Zajišťují, aby tyto systémy byly snadno přístupné a snadno použitelné a aby umožňovaly vhodné a rychlé zpracování opravných prostředků, které nejsou založeny pouze na použití automatizovaných prostředků, bezodkladně informují uživatele o přijatém rozhodnutí a neprodleně zruší opatření týkající se dotyčného obsahu nebo uživatele zavedeného provozovatelem, pokud kasační opravný prostředek vede k závěru, že napadené rozhodnutí nebylo odůvodněné;</w:t>
      </w:r>
    </w:p>
    <w:p w14:paraId="058AEBD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8722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„8. Při rozhodování o provádění těchto postupů stanoví ve svých podmínkách používání jasné a přesné postupy vedoucí k:</w:t>
      </w:r>
    </w:p>
    <w:p w14:paraId="044FD29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54DDD5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>„</w:t>
      </w:r>
      <w:r>
        <w:rPr>
          <w:rFonts w:ascii="Times-Italic" w:hAnsi="Times-Italic"/>
          <w:i/>
          <w:sz w:val="21"/>
        </w:rPr>
        <w:t>a)</w:t>
      </w:r>
      <w:r>
        <w:rPr>
          <w:sz w:val="21"/>
        </w:rPr>
        <w:t xml:space="preserve"> Pozastavení nebo v nejzávažnějších případech ukončení účtu uživatelů, kteří opakovaně nahrávali obsah v rozporu s ustanoveními uvedenými v prvním odstavci tohoto článku;</w:t>
      </w:r>
    </w:p>
    <w:p w14:paraId="173041B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155184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</w:t>
      </w:r>
      <w:r>
        <w:rPr>
          <w:rFonts w:ascii="Times-Italic" w:hAnsi="Times-Italic"/>
          <w:i/>
          <w:sz w:val="21"/>
        </w:rPr>
        <w:t xml:space="preserve">b) </w:t>
      </w:r>
      <w:r>
        <w:rPr>
          <w:rFonts w:ascii="Times-Roman" w:hAnsi="Times-Roman"/>
          <w:sz w:val="21"/>
        </w:rPr>
        <w:t>Pozastavení přístupu k oznamovacímu mechanismu uživatelům, kteří opakovaně předložili zjevně neopodstatněná oznámení týkající se obsahu uvedeného ve stejném prvním pododstavci.</w:t>
      </w:r>
    </w:p>
    <w:p w14:paraId="2890B0F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E09E8F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sz w:val="21"/>
        </w:rPr>
        <w:t xml:space="preserve">„Při provádění těchto postupů bude provedena případová analýza zaměřená na objektivní charakterizaci existence jednání uvedeného v písmenech </w:t>
      </w:r>
      <w:r>
        <w:rPr>
          <w:rFonts w:ascii="Times-Italic" w:hAnsi="Times-Italic"/>
          <w:i/>
          <w:sz w:val="21"/>
        </w:rPr>
        <w:t>a)</w:t>
      </w:r>
      <w:r>
        <w:rPr>
          <w:sz w:val="21"/>
        </w:rPr>
        <w:t xml:space="preserve"> nebo </w:t>
      </w:r>
      <w:r>
        <w:rPr>
          <w:rFonts w:ascii="Times-Italic" w:hAnsi="Times-Italic"/>
          <w:i/>
          <w:sz w:val="21"/>
        </w:rPr>
        <w:t>b)</w:t>
      </w:r>
      <w:r>
        <w:rPr>
          <w:sz w:val="21"/>
        </w:rPr>
        <w:t xml:space="preserve"> tohoto bodu 8, která zohledňuje zejména:</w:t>
      </w:r>
    </w:p>
    <w:p w14:paraId="312FB6B5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8100A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„— množství nezákonného obsahu uvedeného v prvním odstavci tohoto článku nebo počet zjevně neopodstatněných oznámení od uživatele v uplynulém roce, a to jak v absolutních číslech, tak v poměru k celkovému množství obsahu nebo počtu oznámení, za která byl odpovědný;</w:t>
      </w:r>
    </w:p>
    <w:p w14:paraId="06035B7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9D8B8A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„— a závažnost a důsledky tohoto zneužívání.</w:t>
      </w:r>
    </w:p>
    <w:p w14:paraId="1A31938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AF54AE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„Při provádění těchto postupů stanoví, že opatření uvedená v odst. 8 písm. a) a b) musí být svou povahou úměrná závažnosti dotyčného jednání a v případě pozastavení se prohlásí na přiměřenou dobu. Uživatel obdrží varování a informace o dostupných vnitrostátních a soudních opravných prostředcích;</w:t>
      </w:r>
    </w:p>
    <w:p w14:paraId="2F46735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CC426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„9. Hospodářské subjekty uvedené v prvním odstavci tohoto článku s činnostmi na území Francie, které přesahují hranici počtu spojů stanovených výnosem a které jsou vyšší než ty, které jsou uvedeny ve stejném prvním odstavci:</w:t>
      </w:r>
    </w:p>
    <w:p w14:paraId="4C12526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5F02CE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„a) provádějí hodnocení systémových rizik spojených s provozováním a využíváním jejich služeb s ohledem na šíření obsahu uvedeného v prvním odstavci a v souvislosti s porušováním základních práv, včetně svobody projevu. Toto posouzení zohlední charakteristiky těchto služeb, zejména jejich účinky na šíření viru nebo hromadné šíření výše uvedeného obsahu;</w:t>
      </w:r>
    </w:p>
    <w:p w14:paraId="19F6B06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7DADC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„b) provádějí přiměřená, účinná a úměrná opatření, zejména pokud jde o charakteristiky jejich služeb a rozsah a závažnost rizik zjištěných na konci posouzení uvedeného v bodě 9 písm. a), zaměřená na zmírnění rizik šíření tohoto obsahu, která se mohou týkat zejména postupů a lidských a technologických prostředků používaných ke zjišťování, identifikaci a zacházení s tímto obsahem, přičemž se zabraňuje riziku neoprávněného odstranění podle platného práva a podmínek jejich používání;</w:t>
      </w:r>
    </w:p>
    <w:p w14:paraId="1242513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5334D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„c) V souladu s postupy a intervaly stanovenými Nejvyšší radou pro audiovizuální záležitosti podává veřejnosti zprávu o hodnocení těchto systémových rizik a provedených opatřeních ke zmírnění rizika;</w:t>
      </w:r>
    </w:p>
    <w:p w14:paraId="6C3BA31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6ED3E8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 xml:space="preserve">„10. Provozovatelé uvedení v prvním odstavci podají Nejvyšší radě pro audiovizuální záležitosti zprávu o postupech a prostředcích používaných k uplatňování tohoto článku za podmínek stanovených v článku 62 zákona č. 86-1067 ze dne 30. září 1986, jak je uvedeno výše.“ </w:t>
      </w:r>
    </w:p>
    <w:p w14:paraId="1684239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566FA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II. — Zákon č. 86-1067 ze dne 30. září 1986 o svobodě komunikací se mění takto:</w:t>
      </w:r>
    </w:p>
    <w:p w14:paraId="1D06806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D780F3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1. V čl. 19 odst. I odst. 1 třetím pododstavci se slova: „a také platformy pro sdílení videa“ nahrazují slovy: „, platformy pro sdílení videa a provozovatelé on-line platforem uvedených v článku 62“;</w:t>
      </w:r>
    </w:p>
    <w:p w14:paraId="21EC5BC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3893D2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2. V čl. 42-7 prvním odstavci se odkaz: „a 48-3“ nahrazuje odkazy: „, 48-3 a 62“;</w:t>
      </w:r>
    </w:p>
    <w:p w14:paraId="42FCD26C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1425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3. Hlava IV se doplňuje kapitolou III, která zní takto:</w:t>
      </w:r>
    </w:p>
    <w:p w14:paraId="2EFBCE6A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D2A904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  <w:r>
        <w:rPr>
          <w:rFonts w:ascii="Times-Italic" w:hAnsi="Times-Italic"/>
          <w:i/>
        </w:rPr>
        <w:t>KAPITOLA III</w:t>
      </w:r>
    </w:p>
    <w:p w14:paraId="34ECB5A0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780094D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/>
          <w:bCs/>
          <w:i/>
          <w:iCs/>
          <w:sz w:val="21"/>
          <w:szCs w:val="21"/>
        </w:rPr>
      </w:pPr>
      <w:r>
        <w:rPr>
          <w:rFonts w:ascii="Times-BoldItalic" w:hAnsi="Times-BoldItalic"/>
          <w:b/>
          <w:i/>
          <w:sz w:val="21"/>
        </w:rPr>
        <w:t>Ustanovení vztahující se na on-line platformy pro boj proti nenávistnému obsahu</w:t>
      </w:r>
    </w:p>
    <w:p w14:paraId="4959D9A9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7000A07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i/>
          <w:sz w:val="21"/>
        </w:rPr>
        <w:t>„Článek 62.</w:t>
      </w:r>
      <w:r>
        <w:rPr>
          <w:rFonts w:ascii="Times-Italic" w:hAnsi="Times-Italic"/>
          <w:i/>
          <w:sz w:val="21"/>
        </w:rPr>
        <w:t xml:space="preserve"> </w:t>
      </w:r>
      <w:r>
        <w:rPr>
          <w:rFonts w:ascii="Times-Roman" w:hAnsi="Times-Roman"/>
          <w:sz w:val="21"/>
        </w:rPr>
        <w:t>– I. – Nejvyšší rada pro audiovizuální záležitosti zajistí, aby provozovatelé on-line platforem uvedení v článku 6-5 prvním odstavci zákona č. 2004-575 ze dne 21. června 2004 o důvěře v digitální ekonomiku dodržovali ustanovení tentýž článek 6-5, s ohledem na každou ze služeb, které nabízejí, charakteristiky služby a přiměřenost prostředků použitých provozovatelem, zejména s ohledem na rozsah a závažnost rizik šíření obsah uvedený v prvním odstavci uvedeného článku 6-5 a rizika neodůvodněného vyloučení podle platných zákonů a podmínek jejich použití. Poskytne těmto provozovatelům platforem pokyny pro uplatňování téhož článku 6-5.</w:t>
      </w:r>
    </w:p>
    <w:p w14:paraId="778D7C0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DB9E9E" w14:textId="77777777" w:rsidR="00317039" w:rsidRDefault="00317039" w:rsidP="00F02A1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 xml:space="preserve">„Shromažďuje od těchto provozovatelů za podmínek stanovených v článku 19 tohoto zákona informace nezbytné ke sledování jejich povinností. Jako takoví provozovatelé uvedení v čl. 6-5 odst. 9 zákona č. 2004-575 ze dne 21. června 2004 poskytují přístup k zásadám fungování automatizovaných nástrojů používaných </w:t>
      </w:r>
      <w:r>
        <w:rPr>
          <w:rFonts w:ascii="Times-Roman" w:hAnsi="Times-Roman"/>
          <w:sz w:val="21"/>
        </w:rPr>
        <w:lastRenderedPageBreak/>
        <w:t>k plnění těchto povinností, k parametrům používaným těmito nástroji, k metodám a údajům použitým pro hodnocení a zlepšení jejich výkonnosti a k jakýmkoli dalším informacím nebo údajům, které jim umožní vyhodnotit jejich účinnost v souladu s ustanoveními o ochraně osobních údajů. V souladu s těmito ustanoveními může Nejvyšší rada pro audiovizuální záležitosti zaslat přiměřené žádosti o přístup prostřednictvím zvláštních programovacích rozhraní k jakýmkoli údajům, které jsou důležité pro posouzení jejich účinnosti. V souladu s těmito ustanoveními a pro stejné účely může Nejvyšší rada pro audiovizuální záležitosti zavést přiměřené metody pro automatizovaný sběr veřejně přístupných údajů za účelem přístupu k nezbytným údajům.</w:t>
      </w:r>
    </w:p>
    <w:p w14:paraId="4960BBEF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16A3EE" w14:textId="77777777" w:rsidR="006522CF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„Definuje informace a kvantifikované ukazatele, které mají tito provozovatelé zveřejňovat v souladu s čl. 6-5 odst. 4, jakož i způsoby a intervaly tohoto zveřejnění.</w:t>
      </w:r>
    </w:p>
    <w:p w14:paraId="429BAE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98A605E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„Každoročně zveřejní přezkum uplatňování ustanovení článku 6-5.</w:t>
      </w:r>
    </w:p>
    <w:p w14:paraId="7C9FF7B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EE6A0B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„II. — Nejvyšší rada pro audiovizuální záležitosti může naléhat na subjekty, aby prostřednictvím formálního oznámení a ve stanovené lhůtě vyhověly výše uvedeným ustanovením článku 6-5 zákona č. 2004-575 ze dne 21. června 2004.</w:t>
      </w:r>
    </w:p>
    <w:p w14:paraId="1866D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4EFF02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V případě, že provozovatel nevyhoví obdrženému oznámení, může Nejvyšší rada pro audiovizuální záležitosti za podmínek stanovených v článku 42-7 tohoto zákona vydat pokutu, jejíž výše zohlední závažnost nesouladu a případně jeho opakovanou povahu, která nepřesahuje 20 milionů EUR nebo 6 % celkového ročního obratu za předchozí rok, podle toho, která hodnota je vyšší. V případě, že stejné porušení bylo v jiném státě předmětem finanční sankce vypočtené na stejném základě, vezme se výše této sankce v úvahu pro určení sankce uložené podle tohoto odstavce.</w:t>
      </w:r>
    </w:p>
    <w:p w14:paraId="1A99C8D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B9D2A5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„Odchylně od druhého odstavce tohoto bodu II nesmí v případě odmítnutí zveřejnit informace požadované regulačním orgánem podle druhého odstavce bodu I nebo v případě sdělení nepravdivých nebo zavádějících informací výše uložené sankce přesáhnout 1 % celkového ročního celosvětového obratu za předchozí rozpočtový rok.</w:t>
      </w:r>
    </w:p>
    <w:p w14:paraId="2BD2B9D1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E2F5167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„Nejvyšší rada pro audiovizuální záležitosti může oznámení a sankce zveřejnit. Ve svém rozhodnutí určí podrobnosti tohoto zveřejnění, které musí být úměrné závažnosti porušení. Může rovněž nařídit vložení svého rozhodnutí do určených publikací, novin a sdělovacích prostředků na náklady hospodářských subjektů, na něž se vztahuje formální oznámení nebo sankce.</w:t>
      </w:r>
    </w:p>
    <w:p w14:paraId="0852CB6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B516F2D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 xml:space="preserve">„Pokuty jsou vybírány jako nezdanitelné a nemovité dluhy vůči státu.“; </w:t>
      </w:r>
    </w:p>
    <w:p w14:paraId="2E2305D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0A4B426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 xml:space="preserve">4° za slovem: „výsledkem“ zní konec článku 108 pododstavce 1 takto: „ze zákona č.      ze dne      o posílení dodržování zásad republiky.“ </w:t>
      </w:r>
    </w:p>
    <w:p w14:paraId="199FC683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18F459E" w14:textId="77777777" w:rsidR="006522CF" w:rsidRPr="00F54ECB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/>
          <w:sz w:val="21"/>
        </w:rPr>
        <w:t>III. – Ustanovení tohoto článku se použijí do 31. prosince 2023.</w:t>
      </w:r>
    </w:p>
    <w:sectPr w:rsidR="006522CF" w:rsidRPr="00F5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F1FF0"/>
    <w:multiLevelType w:val="hybridMultilevel"/>
    <w:tmpl w:val="70DE856A"/>
    <w:lvl w:ilvl="0" w:tplc="73F84A00">
      <w:start w:val="1"/>
      <w:numFmt w:val="lowerLetter"/>
      <w:lvlText w:val="%1)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8D"/>
    <w:rsid w:val="00013979"/>
    <w:rsid w:val="0005174C"/>
    <w:rsid w:val="001048BC"/>
    <w:rsid w:val="00134B73"/>
    <w:rsid w:val="00196BE6"/>
    <w:rsid w:val="00317039"/>
    <w:rsid w:val="00485A93"/>
    <w:rsid w:val="004E021A"/>
    <w:rsid w:val="006522CF"/>
    <w:rsid w:val="00694BF3"/>
    <w:rsid w:val="00742738"/>
    <w:rsid w:val="00994AE4"/>
    <w:rsid w:val="009C128D"/>
    <w:rsid w:val="009C6A23"/>
    <w:rsid w:val="00EB212A"/>
    <w:rsid w:val="00F02A14"/>
    <w:rsid w:val="00F54ECB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D280"/>
  <w15:chartTrackingRefBased/>
  <w15:docId w15:val="{D7122478-4E01-4C1D-9BE7-99AC4826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2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 Chantal</dc:creator>
  <cp:keywords/>
  <dc:description/>
  <cp:lastModifiedBy>Dimitris Dimitriadis</cp:lastModifiedBy>
  <cp:revision>4</cp:revision>
  <dcterms:created xsi:type="dcterms:W3CDTF">2021-05-21T16:07:00Z</dcterms:created>
  <dcterms:modified xsi:type="dcterms:W3CDTF">2021-06-08T09:00:00Z</dcterms:modified>
</cp:coreProperties>
</file>