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Wetsontwerp ter versterking van de naleving van de beginselen van de Republiek</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Artikel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Hoofdstuk II van titel I van wet nr. 2004-575 van 21 juni 2004 inzake het Vertrouwen in de digitale economie wordt als volgt gewijzigd:</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Aan het begin van artikel 6, lid l, punt 8, worden de woorden:</w:t>
      </w:r>
      <w:r>
        <w:rPr>
          <w:sz w:val="21"/>
          <w:rFonts w:ascii="Times-Roman" w:hAnsi="Times-Roman"/>
        </w:rPr>
        <w:t xml:space="preserve"> </w:t>
      </w:r>
      <w:r>
        <w:rPr>
          <w:sz w:val="21"/>
          <w:rFonts w:ascii="Times-Roman" w:hAnsi="Times-Roman"/>
        </w:rPr>
        <w:t xml:space="preserve">'De gerechtelijke autoriteit kan bij wijze van voorlopige maatregel of op verzoek aan een in lid 2 bedoelde persoon of, bij gebreke daarvan, aan een onder 1 genoemde persoon' vervangen door:</w:t>
      </w:r>
      <w:r>
        <w:rPr>
          <w:sz w:val="21"/>
          <w:rFonts w:ascii="Times-Roman" w:hAnsi="Times-Roman"/>
        </w:rPr>
        <w:t xml:space="preserve"> </w:t>
      </w:r>
      <w:r>
        <w:rPr>
          <w:sz w:val="21"/>
          <w:rFonts w:ascii="Times-Roman" w:hAnsi="Times-Roman"/>
        </w:rPr>
        <w:t xml:space="preserve">'De president van het Hof mag volgens de versnelde procedure ten gronde eenieder voorschrijven die daaraan kan bijdragen';</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Na artikel 6-2, zoals gewijzigd bij wet nr. 2020-1266 van 19 oktober 2020, die de commerciële exploitatie van het imago van kinderen jonger dan zestien jaar op onlineplatforms regelt, worden de artikelen 6-3 en 6-4 ingevoegd als volgt:</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Artikel 6-4.</w:t>
      </w:r>
      <w:r>
        <w:rPr>
          <w:sz w:val="21"/>
          <w:i/>
          <w:rFonts w:ascii="Times-Italic" w:hAnsi="Times-Italic"/>
        </w:rPr>
        <w:t xml:space="preserve"> </w:t>
      </w:r>
      <w:r>
        <w:rPr>
          <w:sz w:val="21"/>
          <w:rFonts w:ascii="Times-Roman" w:hAnsi="Times-Roman"/>
        </w:rPr>
        <w:t xml:space="preserve">— Wanneer een uitvoerbare rechterlijke beslissing een maatregel heeft gelast om de toegang tot een openbare onlinecommunicatiedienst waarvan de inhoud onder de in artikel 6, lid I, punt 7, bedoelde strafbare feiten valt, te beletten, kan de administratieve autoriteit, indien zij daartoe door een belanghebbende wordt opgeroepen, elke persoon die daaraan kan bijdragen, verzoeken gedurende een periode die niet langer is dan die welke nog moet lopen voor de bij deze rechterlijke beslissing gelaste maatregelen, de toegang tot elke online openbare communicatiedienst waarin de inhoud van de site in zijn geheel of substantieel is opgenomen, te verhinderen.</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Onder dezelfde voorwaarden mag de administratieve autoriteit ook elke exploitant van een zoekmachine, een gids of een andere referentiedienst verzoeken om het verwijzen naar webadressen die toegang geven tot dergelijke onlinecommunicatiediensten aan het publiek te beëindigen.</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 administratieve autoriteit houdt een actuele lijst bij van de onlinecommunicatiediensten, bedoeld in het eerste lid van dit artikel, waarvoor een verzoek tot blokkering van de toegang overeenkomstig hetzelfde eerste lid is ingediend, alsmede van webadressen die toegang geven tot dergelijke diensten, stelt die lijst ter beschikking van adverteerders, hun agenten en de diensten bedoeld in artikel 299(II), lid 2 van het Algemeen belastingwetboek.</w:t>
      </w:r>
      <w:r>
        <w:rPr>
          <w:sz w:val="21"/>
          <w:rFonts w:ascii="Times-Roman" w:hAnsi="Times-Roman"/>
        </w:rPr>
        <w:t xml:space="preserve"> </w:t>
      </w:r>
      <w:r>
        <w:rPr>
          <w:sz w:val="21"/>
          <w:rFonts w:ascii="Times-Roman" w:hAnsi="Times-Roman"/>
        </w:rPr>
        <w:t xml:space="preserve">Deze diensten worden in de lijst opgenomen voor de rest van de duur van de maatregelen die door de gerechtelijke autoriteit zijn opgelegd.</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'Indien deze diensten niet overeenkomstig dit artikel zijn geblokkeerd of uitgesteld, mag de president van het Hof, handelend volgens de versnelde procedure ten gronde, maatregelen treffen om de toegang tot de inhoud van deze diensten te beëindigen.'</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Artikel 19 </w:t>
      </w:r>
      <w:r>
        <w:rPr>
          <w:b/>
          <w:sz w:val="21"/>
          <w:i/>
          <w:rFonts w:ascii="Times-BoldItalic" w:hAnsi="Times-BoldItalic"/>
        </w:rPr>
        <w:t xml:space="preserve">bis (nieuw)</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Hoofdstuk II van Titel I van wet nr. 2004-575 van 21 juni 2004 inzake het Vertrouwen in de digitale economie, wordt als volgt gewijzigd:</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Artikel 6, lid l, punt 7, punt 4, wordt als volgt gewijzigd:</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w:t>
      </w:r>
      <w:r>
        <w:rPr>
          <w:sz w:val="21"/>
        </w:rPr>
        <w:t xml:space="preserve"> De eerste zin wordt aangevuld met de woorden:</w:t>
      </w:r>
      <w:r>
        <w:rPr>
          <w:sz w:val="21"/>
          <w:rFonts w:ascii="Times-Roman" w:hAnsi="Times-Roman"/>
        </w:rPr>
        <w:t xml:space="preserve"> </w:t>
      </w:r>
      <w:r>
        <w:rPr>
          <w:sz w:val="21"/>
          <w:rFonts w:ascii="Times-Roman" w:hAnsi="Times-Roman"/>
        </w:rPr>
        <w:t xml:space="preserve">‘en openbaar maken van de middelen die zij besteden aan de strijd tegen de illegale activiteiten bedoeld in het derde lid van dit punt 7’;</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w:t>
      </w:r>
      <w:r>
        <w:rPr>
          <w:sz w:val="21"/>
        </w:rPr>
        <w:t xml:space="preserve"> Na dezelfde eerste zin wordt de volgende zin ingevoegd:</w:t>
      </w:r>
      <w:r>
        <w:rPr>
          <w:sz w:val="21"/>
          <w:rFonts w:ascii="Times-Roman" w:hAnsi="Times-Roman"/>
        </w:rPr>
        <w:t xml:space="preserve"> </w:t>
      </w:r>
      <w:r>
        <w:rPr>
          <w:sz w:val="21"/>
          <w:rFonts w:ascii="Times-Roman" w:hAnsi="Times-Roman"/>
        </w:rPr>
        <w:t xml:space="preserve">‘Deze verplichtingen zijn niet van toepassing op de in het eerste lid van artikel 6-5 vermelde exploitanten ter bestrijding van de verspreiding van de inhoud bedoeld in hetzelfde eerste lid.';</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w:t>
      </w:r>
      <w:r>
        <w:rPr>
          <w:sz w:val="21"/>
        </w:rPr>
        <w:t xml:space="preserve"> De tweede zin wordt als volgt gewijzigd:</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 het begin, het woord:</w:t>
      </w:r>
      <w:r>
        <w:rPr>
          <w:sz w:val="21"/>
          <w:rFonts w:ascii="Times-Roman" w:hAnsi="Times-Roman"/>
        </w:rPr>
        <w:t xml:space="preserve"> </w:t>
      </w:r>
      <w:r>
        <w:rPr>
          <w:sz w:val="21"/>
          <w:rFonts w:ascii="Times-Roman" w:hAnsi="Times-Roman"/>
        </w:rPr>
        <w:t xml:space="preserve">‘Zij’ wordt vervangen door:</w:t>
      </w:r>
      <w:r>
        <w:rPr>
          <w:sz w:val="21"/>
          <w:rFonts w:ascii="Times-Roman" w:hAnsi="Times-Roman"/>
        </w:rPr>
        <w:t xml:space="preserve"> </w:t>
      </w:r>
      <w:r>
        <w:rPr>
          <w:sz w:val="21"/>
          <w:rFonts w:ascii="Times-Roman" w:hAnsi="Times-Roman"/>
        </w:rPr>
        <w:t xml:space="preserve">'De in de punten 1 en 2 bedoelde personen';</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de woorden:</w:t>
      </w:r>
      <w:r>
        <w:rPr>
          <w:sz w:val="21"/>
          <w:rFonts w:ascii="Times-Roman" w:hAnsi="Times-Roman"/>
        </w:rPr>
        <w:t xml:space="preserve"> </w:t>
      </w:r>
      <w:r>
        <w:rPr>
          <w:sz w:val="21"/>
          <w:rFonts w:ascii="Times-Roman" w:hAnsi="Times-Roman"/>
        </w:rPr>
        <w:t xml:space="preserve">‘aan de ene kant’ worden verwijderd;</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 woorden:</w:t>
      </w:r>
      <w:r>
        <w:rPr>
          <w:sz w:val="21"/>
          <w:rFonts w:ascii="Times-Roman" w:hAnsi="Times-Roman"/>
        </w:rPr>
        <w:t xml:space="preserve"> </w:t>
      </w:r>
      <w:r>
        <w:rPr>
          <w:sz w:val="21"/>
          <w:rFonts w:ascii="Times-Roman" w:hAnsi="Times-Roman"/>
        </w:rPr>
        <w:t xml:space="preserve">'van de vorige alinea' wordt vervangen door:</w:t>
      </w:r>
      <w:r>
        <w:rPr>
          <w:sz w:val="21"/>
          <w:rFonts w:ascii="Times-Roman" w:hAnsi="Times-Roman"/>
        </w:rPr>
        <w:t xml:space="preserve"> </w:t>
      </w:r>
      <w:r>
        <w:rPr>
          <w:sz w:val="21"/>
          <w:rFonts w:ascii="Times-Roman" w:hAnsi="Times-Roman"/>
        </w:rPr>
        <w:t xml:space="preserve">'in dezelfde derde alinea';</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na het woord:</w:t>
      </w:r>
      <w:r>
        <w:rPr>
          <w:sz w:val="21"/>
          <w:rFonts w:ascii="Times-Roman" w:hAnsi="Times-Roman"/>
        </w:rPr>
        <w:t xml:space="preserve"> </w:t>
      </w:r>
      <w:r>
        <w:rPr>
          <w:sz w:val="21"/>
          <w:rFonts w:ascii="Times-Roman" w:hAnsi="Times-Roman"/>
        </w:rPr>
        <w:t xml:space="preserve">'diensten' het einde wordt verwijderd;</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Na artikel 6-2, zoals gewijzigd bij de bovengenoemde wet nr. 2020-1266 van 19 oktober 2020, wordt artikel 6-5 ingevoegd als volgt:</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Artikel 6-5.</w:t>
      </w:r>
      <w:r>
        <w:rPr>
          <w:sz w:val="21"/>
          <w:i/>
          <w:rFonts w:ascii="Times-Italic" w:hAnsi="Times-Italic"/>
        </w:rPr>
        <w:t xml:space="preserve"> </w:t>
      </w:r>
      <w:r>
        <w:rPr>
          <w:sz w:val="21"/>
          <w:rFonts w:ascii="Times-Roman" w:hAnsi="Times-Roman"/>
        </w:rPr>
        <w:t xml:space="preserve">– De exploitanten van onlineplatforms als omschreven in artikel L111-7 van het Consumentenwetboek die een onlinecommunicatiedienst aan het publiek aanbieden op basis van de classificatie, verwijzing of het delen van inhoud die door derden online is geplaatst en waarvan de activiteit op het Franse grondgebied een drempel overschrijdt van het aantal verbindingen dat bij decreet is vastgesteld, ongeacht of zij al dan niet op Frans grondgebied zijn gevestigd, dragen bij tot de bestrijding van de publieke verspreiding van inhoud die in strijd is met de bepalingen van artikel 6, lid I, punt 7, punt 3, van deze wet en in artikel 24 </w:t>
      </w:r>
      <w:r>
        <w:rPr>
          <w:sz w:val="21"/>
          <w:i/>
          <w:rFonts w:ascii="Times-Italic" w:hAnsi="Times-Italic"/>
        </w:rPr>
        <w:t xml:space="preserve">bis </w:t>
      </w:r>
      <w:r>
        <w:rPr>
          <w:sz w:val="21"/>
          <w:rFonts w:ascii="Times-Roman" w:hAnsi="Times-Roman"/>
        </w:rPr>
        <w:t xml:space="preserve">en in artikel 33, derde en vierde alinea, van de wet van 29 juli 1881 betreffende de persvrijheid.</w:t>
      </w:r>
      <w:r>
        <w:rPr>
          <w:sz w:val="21"/>
          <w:rFonts w:ascii="Times-Roman" w:hAnsi="Times-Roman"/>
        </w:rPr>
        <w:t xml:space="preserve"> </w:t>
      </w:r>
      <w:r>
        <w:rPr>
          <w:sz w:val="21"/>
          <w:rFonts w:ascii="Times-Roman" w:hAnsi="Times-Roman"/>
        </w:rPr>
        <w:t xml:space="preserve">In dit verband:</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Zij moeten evenredige menselijke en technologische procedures en middelen toepassen die hen in staat zullen stellen:</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iCs/>
          <w:rFonts w:ascii="Times-Roman" w:hAnsi="Times-Roman"/>
        </w:rPr>
        <w:t xml:space="preserve">a)</w:t>
      </w:r>
      <w:r>
        <w:rPr>
          <w:sz w:val="21"/>
          <w:rFonts w:ascii="Times-Roman" w:hAnsi="Times-Roman"/>
        </w:rPr>
        <w:t xml:space="preserve"> De gerechtelijke of administratieve autoriteiten zo spoedig mogelijk op de hoogte stellen van de maatregelen die zij naar aanleiding van de door deze autoriteiten uitgevaardigde bevelen hebben genomen met betrekking tot de in het eerste lid van dit artikel bedoelde inhoud;</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iCs/>
        </w:rPr>
        <w:t xml:space="preserve">b)</w:t>
      </w:r>
      <w:r>
        <w:rPr>
          <w:sz w:val="21"/>
        </w:rPr>
        <w:t xml:space="preserve"> De veilige ontvangst van verzoeken van gerechtelijke of administratieve autoriteiten om de mededeling van de gegevens waarover zij beschikken, om de identificatie van gebruikers die de in hetzelfde eerste lid vermelde inhoud hebben geüpload mogelijk te maken, direct te bevestigen, en om die autoriteiten zo spoedig mogelijk op de hoogte te stellen van de follow-up van dergelijke verzoeken;</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c) </w:t>
      </w:r>
      <w:r>
        <w:rPr>
          <w:sz w:val="21"/>
          <w:rFonts w:ascii="Times-Roman" w:hAnsi="Times-Roman"/>
        </w:rPr>
        <w:t xml:space="preserve">Inhoud tijdelijk bewaren die aan hen is gemeld als strijdig met de in de eerste alinea bedoelde bepalingen en die zij hebben ingetrokken of ontoegankelijk hebben gemaakt, teneinde deze ter beschikking te stellen van de gerechtelijke autoriteiten met het oog op onderzoek, identificatie en vervolging van strafbare feiten;</w:t>
      </w:r>
      <w:r>
        <w:rPr>
          <w:sz w:val="21"/>
          <w:rFonts w:ascii="Times-Roman" w:hAnsi="Times-Roman"/>
        </w:rPr>
        <w:t xml:space="preserve"> </w:t>
      </w:r>
      <w:r>
        <w:rPr>
          <w:sz w:val="21"/>
          <w:rFonts w:ascii="Times-Roman" w:hAnsi="Times-Roman"/>
        </w:rPr>
        <w:t xml:space="preserve">de duur en de voorwaarden voor het behoud van deze inhoud worden vastgesteld bij het besluit van de Raad van State, na het advies van de</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Nationale Commissie voor Informatietechnologie en Vrijheden;</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Zij wijzen één contactpunt, een natuurlijke persoon aan, die verantwoordelijk is voor de communicatie met de openbare autoriteiten voor de uitvoering van de bepalingen van dit artikel, aan wie in het bijzonder alle aanvragen die door de Hoge Raad voor Audiovisuele Aangelegenheden overeenkomstig artikel 62 van Wet nr. 86-1067 van 30 september 1986 betreffende de vrijheid van communicatie elektronisch worden mogen ingediend.</w:t>
      </w:r>
      <w:r>
        <w:rPr>
          <w:sz w:val="21"/>
          <w:rFonts w:ascii="Times-Roman" w:hAnsi="Times-Roman"/>
        </w:rPr>
        <w:t xml:space="preserve"> </w:t>
      </w:r>
      <w:r>
        <w:rPr>
          <w:sz w:val="21"/>
          <w:rFonts w:ascii="Times-Roman" w:hAnsi="Times-Roman"/>
        </w:rPr>
        <w:t xml:space="preserve">Dit enige contactpunt is namelijk verantwoordelijk voor het in ontvangst nemen van aanvragen die door de gerechtelijke autoriteit aan de exploitant worden gericht in overeenstemming met de procedure van artikel 6, lid II van deze wet, om ervoor te zorgen dat ze snel worden behandeld;</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Zij stellen de algemene gebruiksvoorwaarden van de door hen aangeboden dienst op een gemakkelijk toegankelijke wijze ter beschikking van het publiek;</w:t>
      </w:r>
      <w:r>
        <w:rPr>
          <w:sz w:val="21"/>
          <w:rFonts w:ascii="Times-Roman" w:hAnsi="Times-Roman"/>
        </w:rPr>
        <w:t xml:space="preserve"> </w:t>
      </w:r>
      <w:r>
        <w:rPr>
          <w:sz w:val="21"/>
          <w:rFonts w:ascii="Times-Roman" w:hAnsi="Times-Roman"/>
        </w:rPr>
        <w:t xml:space="preserve">zij bevatten daarin bepalingen die de online publicatie van de in de eerste alinea van dit artikel bedoelde inhoud verbieden;</w:t>
      </w:r>
      <w:r>
        <w:rPr>
          <w:sz w:val="21"/>
          <w:rFonts w:ascii="Times-Roman" w:hAnsi="Times-Roman"/>
        </w:rPr>
        <w:t xml:space="preserve"> </w:t>
      </w:r>
      <w:r>
        <w:rPr>
          <w:sz w:val="21"/>
          <w:rFonts w:ascii="Times-Roman" w:hAnsi="Times-Roman"/>
        </w:rPr>
        <w:t xml:space="preserve">zij beschrijven daarin in duidelijke en nauwkeurige bewoordingen hun matigingsregelingen die gericht zijn op het opsporen, in voorkomend geval, identificeren en verwerken van dergelijke inhoud, met vermelding van de procedures en de menselijke of geautomatiseerde middelen die voor dit doel worden gebruikt, en van de maatregelen die zij toepassen die van invloed zijn op de beschikbaarheid, zichtbaarheid en toegankelijkheid van dergelijke inhoud;</w:t>
      </w:r>
      <w:r>
        <w:rPr>
          <w:sz w:val="21"/>
          <w:rFonts w:ascii="Times-Roman" w:hAnsi="Times-Roman"/>
        </w:rPr>
        <w:t xml:space="preserve"> </w:t>
      </w:r>
      <w:r>
        <w:rPr>
          <w:sz w:val="21"/>
          <w:rFonts w:ascii="Times-Roman" w:hAnsi="Times-Roman"/>
        </w:rPr>
        <w:t xml:space="preserve">zij vermelden daarin de maatregelen die zij ten uitvoer leggen ten aanzien van gebruikers die deze inhoud online beschikbaar hebben gesteld, alsmede de nationale en juridische rechtsmiddelen waarover deze gebruikers beschikken;</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Stellen zij het publiek op de hoogte van de gebruikte middelen en van de maatregelen ter bestrijding van de verspreiding naar de gebruikers op Frans grondgebied, van de in het eerste lid bedoelde inhoud door middel van de publicatie overeenkomstig de door de Hoge Raad voor Audiovisuele Zaken vastgestelde procedures, van informatie en van gekwantificeerde indicatoren, gedefinieerd door deze laatste, met betrekking tot de verwerking van rechterlijke bevelen of verzoeken om informatie, de ontvangen kennisgevingen en de selectie van interne rechtsmiddelen, evenals, indien van toepassing, de criteria voor het selecteren van vertrouwde derde partijen wier kennisgevingen voorrang krijgen en de voorwaarden voor samenwerking met deze derde partijen;</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Zijn implementeren een gemakkelijk toegankelijke en gebruiksvriendelijke procedure, waarmee een persoon elektronisch inhoud kan melden die geacht wordt in strijd te zijn met de bepalingen van het eerste lid, om duidelijk de locatie te specificeren en de redenen waarom men van mening is dat deze inhoud als illegaal moet worden beschouwd, en om de informatie te verstrekken die het mogelijk maakt contact op te nemen en de sancties te melden die zijn opgelegd in het geval van een ongepaste kennisgeving;</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Zij moeten evenredige menselijke en technologische procedures en middelen implementeren die hen in staat stellen:</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 </w:t>
      </w:r>
      <w:r>
        <w:rPr>
          <w:sz w:val="21"/>
          <w:rFonts w:ascii="Times-Roman" w:hAnsi="Times-Roman"/>
        </w:rPr>
        <w:t xml:space="preserve"> Om de veilige ontvangst van meldingen met betrekking tot de in het eerste lid bedoelde inhoud onmiddellijk te bevestigen, onder voorbehoud van de informatie die nodig is om contact op te nemen met de auteur;</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iCs/>
        </w:rPr>
        <w:t xml:space="preserve">b)</w:t>
      </w:r>
      <w:r>
        <w:rPr>
          <w:sz w:val="21"/>
        </w:rPr>
        <w:t xml:space="preserve"> Ervoor te zorgen dat deze kennisgevingen tijdig en op de juiste manier worden geanalyseerd;</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c) </w:t>
      </w:r>
      <w:r>
        <w:rPr>
          <w:sz w:val="21"/>
          <w:rFonts w:ascii="Times-Roman" w:hAnsi="Times-Roman"/>
        </w:rPr>
        <w:t xml:space="preserve"> Om de auteur in kennis te stellen van de daarin ondernomen actie en van de beschikbare nationale en juridische rechtsmiddelen, mits zij over de nodige informatie beschikken om contact met hen op te nemen;</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d)</w:t>
      </w:r>
      <w:r>
        <w:rPr>
          <w:sz w:val="21"/>
        </w:rPr>
        <w:t xml:space="preserve"> Indien wordt besloten om de inhoud te verwijderen of ontoegankelijk te maken wegens niet-naleving van de in de eerste alinea bedoelde bepalingen, de gebruiker aan de bron van de publicatie hierover te informeren, op voorwaarde dat men over de nodige informatie beschikt om contact met hem op te nemen, met vermelding van:</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 redenen voor het besluit;</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het feit of deze beslissing is genomen door middel van een geautomatiseerd hulpmiddel;</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hen in kennis stellen van de nationale en juridische rechtsmiddelen waarover zij beschikken;</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en melden dat er civiele en strafrechtelijke sancties zijn opgelegd voor de publicatie van illegale inhoud;</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Zij implementeren interne herstelmaatregelen die het volgende mogelijk maken:</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a) </w:t>
      </w:r>
      <w:r>
        <w:rPr>
          <w:sz w:val="21"/>
          <w:rFonts w:ascii="Times-Roman" w:hAnsi="Times-Roman"/>
        </w:rPr>
        <w:t xml:space="preserve">De auteur van een in de eerste alinea bedoelde kennisgeving van inhoud om de beslissing van de exploitant naar aanleiding van die kennisgeving aan te vechten;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t>
      </w:r>
      <w:r>
        <w:rPr>
          <w:sz w:val="21"/>
          <w:i/>
          <w:rFonts w:ascii="Times-Italic" w:hAnsi="Times-Italic"/>
        </w:rPr>
        <w:t xml:space="preserve">b)</w:t>
      </w:r>
      <w:r>
        <w:rPr>
          <w:sz w:val="21"/>
        </w:rPr>
        <w:t xml:space="preserve"> De gebruiker die de initiator is van de publicatie van inhoud die het onderwerp is geweest van een beslissing bedoeld in 6, onder d, om die beslissing aan te vechten;</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rPr>
        <w:t xml:space="preserve">'</w:t>
      </w:r>
      <w:r>
        <w:rPr>
          <w:sz w:val="21"/>
          <w:i/>
          <w:rFonts w:ascii="Times-Italic" w:hAnsi="Times-Italic"/>
        </w:rPr>
        <w:t xml:space="preserve">c) </w:t>
      </w:r>
      <w:r>
        <w:rPr>
          <w:sz w:val="21"/>
          <w:rFonts w:ascii="Times-Roman" w:hAnsi="Times-Roman"/>
        </w:rPr>
        <w:t xml:space="preserve">De gebruiker tegen wie een besluit is genomen als bedoeld in 8</w:t>
      </w:r>
      <w:r>
        <w:rPr>
          <w:sz w:val="21"/>
        </w:rPr>
        <w:t xml:space="preserve">, onder </w:t>
      </w:r>
      <w:r>
        <w:rPr>
          <w:sz w:val="21"/>
          <w:i/>
          <w:rFonts w:ascii="Times-Italic" w:hAnsi="Times-Italic"/>
        </w:rPr>
        <w:t xml:space="preserve">a) </w:t>
      </w:r>
      <w:r>
        <w:rPr>
          <w:sz w:val="21"/>
          <w:rFonts w:ascii="Times-Roman" w:hAnsi="Times-Roman"/>
        </w:rPr>
        <w:t xml:space="preserve"> of </w:t>
      </w:r>
      <w:r>
        <w:rPr>
          <w:sz w:val="21"/>
          <w:i/>
          <w:rFonts w:ascii="Times-Italic" w:hAnsi="Times-Italic"/>
        </w:rPr>
        <w:t xml:space="preserve">onder b) </w:t>
      </w:r>
      <w:r>
        <w:rPr>
          <w:sz w:val="21"/>
          <w:rFonts w:ascii="Times-Roman" w:hAnsi="Times-Roman"/>
        </w:rPr>
        <w:t xml:space="preserve">om dat besluit aan te vechten.</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Zij zorgen ervoor dat deze systemen gemakkelijk toegankelijk en gebruiksvriendelijk zijn en dat zij een passende en snelle behandeling van beroepen mogelijk maken, die niet uitsluitend gebaseerd is op het gebruik van geautomatiseerde middelen, waarbij ze de gebruiker onverwijld op de hoogte stellen van het genomen besluit en onverwijld de maatregelen met betrekking tot de inhoud in kwestie of de gebruiker die door de exploitant ten uitvoer wordt gelegd toen het beroep hem ertoe bracht te oordelen dat de bestreden beslissing niet gerechtvaardigd was;</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Wanneer zij besluiten dergelijke procedures toe te passen, stellen zij in hun gebruiksvoorwaarden duidelijk en nauwkeurig de procedures vast, die leiden tot:</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'a) De opschorting of, in de ernstigste gevallen, beëindiging van de accounts van gebruikers die herhaaldelijk inhoud die in strijd is met de in het eerste lid van dit artikel bedoelde bepalingen hebben geüpload;</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b) </w:t>
      </w:r>
      <w:r>
        <w:rPr>
          <w:sz w:val="21"/>
          <w:rFonts w:ascii="Times-Roman" w:hAnsi="Times-Roman"/>
        </w:rPr>
        <w:t xml:space="preserve">De opschorting van de toegang tot het meldingsmechanisme van gebruikers die herhaaldelijk duidelijk ongegronde kennisgevingen hebben ingediend met betrekking tot de in dezelfde eerste alinea bedoelde inhoud.</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Wanneer dergelijke procedures worden geïmplementeerd , wordt een analyse per geval uitgevoerd die gericht is op het objectief karakteriseren van het bestaan van de onder i a of b van deze 8 bedoelde gedragingen</w:t>
      </w:r>
      <w:r>
        <w:rPr>
          <w:sz w:val="21"/>
          <w:rFonts w:ascii="Times-Roman" w:hAnsi="Times-Roman"/>
        </w:rPr>
        <w:t xml:space="preserve">, waarbij met name rekening wordt gehouden met:</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 hoeveelheid illegale inhoud als bedoeld in het eerste lid van dit artikel of het aantal kennelijk ongegronde kennisgevingen van de gebruiker in het afgelopen jaar, zowel in absolute termen als in verhouding tot de totale hoeveelheid inhoud of aantal kennisgevingen waarvoor hij of zijn verantwoordelijk was;</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en de ernst en de gevolgen van deze misbruiken.</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'Wanneer deze procedures zijn geïmplementeerd, bepalen zij dat de maatregelen bedoeld in 8, onder a) en b), naar hun aard, de ernst van de gedraging in kwestie en, in geval van schorsing, evenredig zijn en dat zij voor een redelijke termijn worden uitgesproken.</w:t>
      </w:r>
      <w:r>
        <w:rPr>
          <w:sz w:val="21"/>
          <w:rFonts w:ascii="Times-Roman" w:hAnsi="Times-Roman"/>
        </w:rPr>
        <w:t xml:space="preserve"> </w:t>
      </w:r>
      <w:r>
        <w:rPr>
          <w:sz w:val="21"/>
          <w:rFonts w:ascii="Times-Roman" w:hAnsi="Times-Roman"/>
        </w:rPr>
        <w:t xml:space="preserve">De gebruiker krijgt een waarschuwing en informatie over de beschikbare nationale en gerechtelijke rechtsmiddelen;</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De operatoren vermeld in het eerste lid van dit artikel, met activiteiten op het Franse grondgebied die de limiet van het aantal verbindingen bepaalt bij decreet overschrijden en hoger zijn dan die vermeld in hetzelfde eerste lid, zullen:</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Jaarlijks een evaluatie uitvoeren van de systeemrisico’s verbonden aan de werking en het gebruik van hun diensten met betrekking tot de verspreiding van de in het eerste lid bedoelde inhoud en met betrekking tot inbreuken op de grondrechten met inbegrip van de vrijheid van meningsuiting.</w:t>
      </w:r>
      <w:r>
        <w:rPr>
          <w:sz w:val="21"/>
          <w:rFonts w:ascii="Times-Roman" w:hAnsi="Times-Roman"/>
        </w:rPr>
        <w:t xml:space="preserve"> </w:t>
      </w:r>
      <w:r>
        <w:rPr>
          <w:sz w:val="21"/>
          <w:rFonts w:ascii="Times-Roman" w:hAnsi="Times-Roman"/>
        </w:rPr>
        <w:t xml:space="preserve">Bij deze beoordeling wordt rekening gehouden met de kenmerken van deze diensten, in het bijzonder met hun effecten op de virale of massale verspreiding van de bovengenoemde inhoud;</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Redelijke, effectieve en evenredige maatregelen implementeren met betrekking tot de kenmerken van hun diensten en omvang en ernst van de risico's die aan het einde van de in. 9, onder a) bedoelde beoordeling zijn vastgesteld, gericht op het vermindering van de risico's van de verspreiding van dergelijke inhoud, die met name betrekking kan hebben op de procedures en de menselijke en technologische middelen die worden gebruikt om dergelijke inhoud op te sporen, te identificeren en te behandelen, en tegelijkertijd de risico’s van ongerechtvaardigde verwijdering onder de toepasselijke wetgeving te voorkomen en hun gebruiksvoorwaarden;</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Aan het publiek rapporteren, in overeenstemming met de procedures en intervallen die zijn vastgesteld door de Hoge Raad voor Audiovisuele Aangelegenheden over de beoordeling van deze systeemrisico’s en de geïmplementeerde risicobeperkende maatregelen;</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De in het eerste lid bedoelde exploitanten brengen aan de Hoge Raad voor Audiovisuele Aangelegenheden verslag uit over de procedures en middelen die worden gebruikt voor de toepassing van dit artikel, onder de voorwaarden bepaald in het bovengenoemde artikel 62 van wet nr. 86-1067 van 30 september 1986.'</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Wet nr. 86-1067 van 30 september 1986 inzake de vrijheid van communicatie wordt als volgt gewijzigd:</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In artikel 19, lid l, punt 1, derde alinea,worden de woorden:</w:t>
      </w:r>
      <w:r>
        <w:rPr>
          <w:sz w:val="21"/>
          <w:rFonts w:ascii="Times-Roman" w:hAnsi="Times-Roman"/>
        </w:rPr>
        <w:t xml:space="preserve"> </w:t>
      </w:r>
      <w:r>
        <w:rPr>
          <w:sz w:val="21"/>
          <w:rFonts w:ascii="Times-Roman" w:hAnsi="Times-Roman"/>
        </w:rPr>
        <w:t xml:space="preserve">‘evenals videoplatformdienst’ wordt vervangen door:</w:t>
      </w:r>
      <w:r>
        <w:rPr>
          <w:sz w:val="21"/>
          <w:rFonts w:ascii="Times-Roman" w:hAnsi="Times-Roman"/>
        </w:rPr>
        <w:t xml:space="preserve"> </w:t>
      </w:r>
      <w:r>
        <w:rPr>
          <w:sz w:val="21"/>
          <w:rFonts w:ascii="Times-Roman" w:hAnsi="Times-Roman"/>
        </w:rPr>
        <w:t xml:space="preserve">‘, videoplatformdiensten en de exploitanten van onlineplatforms als bedoeld in artikel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In het eerste lid van artikel 42-7, wordt de verwijzing:</w:t>
      </w:r>
      <w:r>
        <w:rPr>
          <w:sz w:val="21"/>
          <w:rFonts w:ascii="Times-Roman" w:hAnsi="Times-Roman"/>
        </w:rPr>
        <w:t xml:space="preserve"> </w:t>
      </w:r>
      <w:r>
        <w:rPr>
          <w:sz w:val="21"/>
          <w:rFonts w:ascii="Times-Roman" w:hAnsi="Times-Roman"/>
        </w:rPr>
        <w:t xml:space="preserve">‘en 48-3’ vervangen door de verwijzing:</w:t>
      </w:r>
      <w:r>
        <w:rPr>
          <w:sz w:val="21"/>
          <w:rFonts w:ascii="Times-Roman" w:hAnsi="Times-Roman"/>
        </w:rPr>
        <w:t xml:space="preserve"> </w:t>
      </w:r>
      <w:r>
        <w:rPr>
          <w:sz w:val="21"/>
          <w:rFonts w:ascii="Times-Roman" w:hAnsi="Times-Roman"/>
        </w:rPr>
        <w:t xml:space="preserve">', 48-3 en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Titel IV wordt aangevuld met een hoofdstuk III, dat luidt als volgt:</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‘HOOFDSTUK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'Bepalingen die van toepassing zijn op online platforms ter bestrijding van haatinhoud</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w:t>
      </w:r>
      <w:r>
        <w:rPr>
          <w:sz w:val="21"/>
          <w:i/>
        </w:rPr>
        <w:t xml:space="preserve">Artikel 62.</w:t>
      </w:r>
      <w:r>
        <w:rPr>
          <w:sz w:val="21"/>
          <w:i/>
          <w:rFonts w:ascii="Times-Italic" w:hAnsi="Times-Italic"/>
        </w:rPr>
        <w:t xml:space="preserve"> </w:t>
      </w:r>
      <w:r>
        <w:rPr>
          <w:sz w:val="21"/>
          <w:rFonts w:ascii="Times-Roman" w:hAnsi="Times-Roman"/>
        </w:rPr>
        <w:t xml:space="preserve">– I. – De Hoge Raad voor Audiovisuele Aangelegenheden zorgt ervoor dat de exploitanten van online platforms bedoeld in het eerste lid van artikel 6-5 van wet nr. 2004-575 van 21 juni 2004 inzake het vertrouwen in de digitale economie voldoen aan de bepalingen van hetzelfde artikel 6-5, rekening houdend, met betrekking tot elk van de aangeboden diensten, met de kenmerken van de dienst en de geschiktheid van de middelen die door de operator worden gebruikt, namelijk de omvang en ernst van de risico's van verspreiding daarop van de inhoud vermeld in het eerste lid van het genoemde artikel 6-5 en de risico's van ongerechtvaardigde eliminatie onder de toepasselijke wetgeving en de gebruiksvoorwaarden.</w:t>
      </w:r>
      <w:r>
        <w:rPr>
          <w:sz w:val="21"/>
          <w:rFonts w:ascii="Times-Roman" w:hAnsi="Times-Roman"/>
        </w:rPr>
        <w:t xml:space="preserve"> </w:t>
      </w:r>
      <w:r>
        <w:rPr>
          <w:sz w:val="21"/>
          <w:rFonts w:ascii="Times-Roman" w:hAnsi="Times-Roman"/>
        </w:rPr>
        <w:t xml:space="preserve">Het geeft richtlijnen aan deze platformexploitanten voor de toepassing van hetzelfde artikel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Zij verzamelen, onder de voorwaarden bepaald in artikel 19 van deze wet, de informatie van dergelijke operatoren die nodig zijn om aan hun verplichtingen te voldoen.</w:t>
      </w:r>
      <w:r>
        <w:rPr>
          <w:sz w:val="21"/>
          <w:rFonts w:ascii="Times-Roman" w:hAnsi="Times-Roman"/>
        </w:rPr>
        <w:t xml:space="preserve"> </w:t>
      </w:r>
      <w:r>
        <w:rPr>
          <w:sz w:val="21"/>
          <w:rFonts w:ascii="Times-Roman" w:hAnsi="Times-Roman"/>
        </w:rPr>
        <w:t xml:space="preserve">Als zodanig bieden de operators vermeld in artikel 6-5, lid 9 van wet nr. 2004-575 van 21 juni 2004 hierboven toegang tot de werkingsprincipes van de geautomatiseerde instrumenten die worden gebruikt om aan deze verplichtingen te voldoen, tot de parameters die door deze instrumenten worden gebruikt, tot de methoden en gegevens die worden gebruikt voor de evaluatie en verbetering van hun prestaties, en tot alle andere informatie of gegevens waarmee zij hun doeltreffendheid kunnen beoordelen overeenkomstig de bepalingen betreffende de bescherming van persoonsgegevens.</w:t>
      </w:r>
      <w:r>
        <w:rPr>
          <w:sz w:val="21"/>
          <w:rFonts w:ascii="Times-Roman" w:hAnsi="Times-Roman"/>
        </w:rPr>
        <w:t xml:space="preserve"> </w:t>
      </w:r>
      <w:r>
        <w:rPr>
          <w:sz w:val="21"/>
          <w:rFonts w:ascii="Times-Roman" w:hAnsi="Times-Roman"/>
        </w:rPr>
        <w:t xml:space="preserve">In overeenstemming met deze bepalingen mag de Hoge Raad voor Audiovisuele Aangelegenheden evenredige verzoeken om toegang via speciale programmeerinterfaces sturen tot alle gegevens die relevant zijn om de doeltreffendheid ervan te beoordelen.</w:t>
      </w:r>
      <w:r>
        <w:rPr>
          <w:sz w:val="21"/>
          <w:rFonts w:ascii="Times-Roman" w:hAnsi="Times-Roman"/>
        </w:rPr>
        <w:t xml:space="preserve"> </w:t>
      </w:r>
      <w:r>
        <w:rPr>
          <w:sz w:val="21"/>
          <w:rFonts w:ascii="Times-Roman" w:hAnsi="Times-Roman"/>
        </w:rPr>
        <w:t xml:space="preserve">In overeenstemming met deze bepalingen en voor dezelfde doeleinden mag de Hoge Raad voor Audiovisuele Aangelegenheden evenredige methoden toepassen voor de geautomatiseerde verzameling van openbaar toegankelijke gegevens teneinde toegang te krijgen tot de nodige gegevens.</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 Raad stelt de informatie en gekwantificeerde indicatoren vast die deze exploitanten overeenkomstig lid 4 artikel 6-5 moeten publiceren, evenals de modaliteiten en de intervallen van deze publicatie.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'Zij publiceert jaarlijks een overzicht van de toepassing van de bepalingen van artikel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De Hoge Raad voor Audiovisuele Aangelegenheden mag de exploitanten ertoe aansporen om, via de indiening van een aanmaning en binnen het door hem vastgestelde tijdsbestek aan de bepalingen van bovengenoemd artikel 6-5 van wet nr. 2004-575 van 21 juni 2004 te voldoen.</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Indien de exploitant de ontvangen kennisgeving niet naleeft, mag de Hoge Raad voor Audiovisuele Aangelegenheden onder de voorwaarden van artikel 42-7 van deze wet een boete opleggen, waarvan het bedrag rekening houdend met de ernst van de niet-naleving en, in voorkomend geval, de repetitieve aard ervan, niet meer dan 20 miljoen EUR of 6 % van de totale jaaromzet van het voorgaande jaar bedraagt, welke hoger is.</w:t>
      </w:r>
      <w:r>
        <w:rPr>
          <w:sz w:val="21"/>
          <w:rFonts w:ascii="Times-Roman" w:hAnsi="Times-Roman"/>
        </w:rPr>
        <w:t xml:space="preserve"> </w:t>
      </w:r>
      <w:r>
        <w:rPr>
          <w:sz w:val="21"/>
          <w:rFonts w:ascii="Times-Roman" w:hAnsi="Times-Roman"/>
        </w:rPr>
        <w:t xml:space="preserve">Indien voor dezelfde overtreding in een andere staat een financiële sanctie is opgelegd die op dezelfde grondslag is berekend, wordt het bedrag van die boete in aanmerking genomen bij de bepaling van de sanctie op grond van dit lid.</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In afwijking van het tweede lid van II mag, in geval van weigering om de informatie die door de regelgever wordt gevraagd op grond van het tweede lid van I, of in geval van mededeling van onjuiste of misleidende informatie, het bedrag van de opgelegde boete niet meer dan 1% bedragen van de totale wereldwijde jaaromzet van het voorgaande boekjaar.</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 Hoge Raad voor Audiovisuele Aangelegenheden mag de opgelegde mededelingen en sancties openbaar maken.</w:t>
      </w:r>
      <w:r>
        <w:rPr>
          <w:sz w:val="21"/>
          <w:rFonts w:ascii="Times-Roman" w:hAnsi="Times-Roman"/>
        </w:rPr>
        <w:t xml:space="preserve"> </w:t>
      </w:r>
      <w:r>
        <w:rPr>
          <w:sz w:val="21"/>
          <w:rFonts w:ascii="Times-Roman" w:hAnsi="Times-Roman"/>
        </w:rPr>
        <w:t xml:space="preserve">Zij stelt in het besluit de details van een dergelijke publicatie, die in verhouding staan tot de ernst van de inbreuk, vast.</w:t>
      </w:r>
      <w:r>
        <w:rPr>
          <w:sz w:val="21"/>
          <w:rFonts w:ascii="Times-Roman" w:hAnsi="Times-Roman"/>
        </w:rPr>
        <w:t xml:space="preserve"> </w:t>
      </w:r>
      <w:r>
        <w:rPr>
          <w:sz w:val="21"/>
          <w:rFonts w:ascii="Times-Roman" w:hAnsi="Times-Roman"/>
        </w:rPr>
        <w:t xml:space="preserve">Zij mag ook gelasten dat zijn besluit in de daartoe aangewezen publicaties, kranten en media wordt opgenomen op kosten van de operatoren die onderworpen zijn aan de ingebrekestelling of sanctie.</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Boetes worden geïnd als niet-belastingschulden en als niet-eigendomsschulden aan de staat.';</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Na het woord:</w:t>
      </w:r>
      <w:r>
        <w:rPr>
          <w:sz w:val="21"/>
          <w:rFonts w:ascii="Times-Roman" w:hAnsi="Times-Roman"/>
        </w:rPr>
        <w:t xml:space="preserve"> </w:t>
      </w:r>
      <w:r>
        <w:rPr>
          <w:sz w:val="21"/>
          <w:rFonts w:ascii="Times-Roman" w:hAnsi="Times-Roman"/>
        </w:rPr>
        <w:t xml:space="preserve">'resulterend', luidt het slot van de eerste alinea van artikel 108 als volgt:</w:t>
      </w:r>
      <w:r>
        <w:rPr>
          <w:sz w:val="21"/>
          <w:rFonts w:ascii="Times-Roman" w:hAnsi="Times-Roman"/>
        </w:rPr>
        <w:t xml:space="preserve"> </w:t>
      </w:r>
      <w:r>
        <w:rPr>
          <w:sz w:val="21"/>
          <w:rFonts w:ascii="Times-Roman" w:hAnsi="Times-Roman"/>
        </w:rPr>
        <w:t xml:space="preserve">'vanuit wet nr.     van      tot versterking van de naleving van de beginselen van de Republiek.'</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De bepalingen van dit artikel zijn van toepassing tot en met 31 december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