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BEĻĢIJAS KARALISTE</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VALST FEDERĀLAIS TIESLIETU DIENESTS</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2022. GADA 19. JŪNIJS — Karaļa dekrēts, ar ko nosaka kārtību, kādā Beļģijas Azartspēļu komisija konsultējas ar Centrālo privātpersonu kredītu reģistru, un groza noteikumus par tiešsaistes azartspēļu ierobežošanu</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ZIŅOJUMS KARALIM</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Jūsu Augstība,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Jums iesniegtais karaļa dekrēta projekts sastāv no divām daļām. Pirmkārt, tā mērķis ir īstenot 1999. gada 7. maija Likuma par azartspēlēm, derībām, azartspēļu iestādēm un spēlētāju aizsardzību (turpmāk “Azartspēļu likums”) 55/1. pantu. Otrkārt, tajā ir iekļauti grozījumi un precizējumi 6. panta 1. punkta 1. apakšpunktam Karaļa 2018. gada 25. oktobra dekrētā par kārtību, kādā rīko azartspēles un derības, izmantojot informācijas sabiedrības pakalpojumus.</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Projekts tika iesniegts Datu aizsardzības iestādei, kas 2021. gada 4. oktobrī sniedza atzinumu Nr. 177/2021. Vairums Datu aizsardzības iestādes sniegto norādījumu ir ņemti vērā, un tie ir atspoguļoti turpmākajās piezīmēs, kas attiecas par katru atsevišķu pantu.</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Pēc 2021. gada 9. decembra paziņojuma 2021/0845/B Eiropas Komisijai saskaņā ar 5. panta 1. punktu Eiropas Parlamenta un Padomes 2015. gada 9. septembra Direktīvā (ES) 2015/1535, ar ko nosaka informācijas sniegšanas kārtību tehnisko noteikumu un Informācijas sabiedrības pakalpojumu noteikumu jomā, Eiropas Komisija vai dalībvalstis nav iesniegušas komentārus attiecībā uz šo projektu.</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Pirms pievērsties daļai, kas attiecas uz 55/1. panta īstenošanu, ir jāpaskaidro iepriekš minētā Karaļa 2018. gada 25. oktobra dekrēta 6. panta 1. punkta 1. apakšpunkta grozījums. Šā dekrēta 55/1. panta īstenošanas noteikumi tiek ieviesti, lai īstenotu Karaļa 2018. gada 25. oktobra dekrēta 6. panta 1. punkta 1. apakšpunkta b) punktā noteikto uzdevumu.</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Pirmais grozījums attiecas uz a) punktu, kurā noteikts, ka “</w:t>
            </w:r>
            <w:r>
              <w:rPr>
                <w:rFonts w:ascii="Calibri" w:hAnsi="Calibri"/>
                <w:i/>
                <w:iCs/>
                <w:sz w:val="24"/>
              </w:rPr>
              <w:t>spēlētājs savus tiešsaistes spēlētāja kontus var papildināt par summu, kas nepārsniedz 500 EUR nedēļā attiecībā uz visām azartspēlēm un derībām, kurās tas piedalās</w:t>
            </w:r>
            <w:r>
              <w:rPr>
                <w:rFonts w:ascii="Calibri" w:hAnsi="Calibri"/>
                <w:sz w:val="24"/>
              </w:rPr>
              <w:t xml:space="preserve">”. Azartspēļu noklusējuma robežsumma tiek samazināta līdz 200 EUR, lai palielinātu spēlētāju aizsardzību.  Turklāt tiek svītroti vārdi “attiecībā uz visām azartspēlēm un derībām, kurās tas piedalās”. Izrādās, ka kopējā azartspēlēs iztērējamā robežsumma (kas ir spēkā visās vietās), kura kopš karaļa dekrēta stāšanās spēkā 2018. gadā praksē joprojām nav ieviesta, tehniski nav īstenojama. Tai ir arī daudz trūkumu. Kopējā robežsumma tiek noteikta, lai pasargātu spēlētājus no azartspēļu radītajiem riskiem un samazinātu spēlētāju iespējas azartspēlēs iztērēt pārmērīgi lielas naudas summas. Tomēr jānorāda, ka pašreiz noteiktā </w:t>
            </w:r>
            <w:r>
              <w:rPr>
                <w:rFonts w:ascii="Calibri" w:hAnsi="Calibri"/>
                <w:sz w:val="24"/>
              </w:rPr>
              <w:lastRenderedPageBreak/>
              <w:t>kopējā azartspēļu robežsumma pienācīgi neaizsargā spēlētājus. Minētais noteikums attiecas tikai uz likumīgām tiešsaistes azartspēlēm, un spēlētājiem joprojām ir iespēja apmeklēt fiziskas azartspēļu iestādes. Ņemot vērā veidu, kādā tiek apstrādāta informācija par kopējām azartspēļu robežsummām, spēlētāji var masveidā pieprasīt robežsummas palielināšanu, lai informācija vairāk netiktu apkopota.</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Tāpēc, ņemot vērā iepriekš minēto, ir vēlams atcelt kopējo robežsummu un noteikt robežsummu attiecībā uz katru tīmekļa vietni, vienlaikus samazinot noklusējuma robežsummu. Tādējādi spēlētāji, it sevišķi neaizsargātākie no tiem, būs labāk pasargāti.</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Tas nozīmē, ka spēlētājam, kurš vēlas palielināt savu 200 EUR robežsummu, ar licences īpašnieka starpniecību ir jāiesniedz pieteikums Azartspēļu komisijai. Azartspēļu komisija trīs dienu laikā pārbauda Beļģijas Valsts bankas Centrālajā privātpersonu kredītu reģistrā pieejamo informāciju par to, vai spēlētājam ir kavēti maksājumi. Ja spēlētājam nav kavētu maksājumu, viņam atļaus līdz paša izvēlētai summai palielināt savu robežsummu.</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Saskaņā ar Azartspēļu likuma 55/1. pantu ir jādefinē noteikumi, saskaņā ar kuriem komisija var lūgt Beļģijas Valsts bankai sniegt informāciju no Beļģijas Valsts bankas Centrālā privātpersonu kredītu reģistra par to, vai personai ir kādas neizpildītas maksājumu saistības. Šo noteikumu mērķis atvieglot komisijai uzdevumus, kas saistīti ar spēlētāju aizsardzību un kas tai noteikti iepriekš minētajā likumā un tā īstenošanas dekrētos.</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Iepriekš minētā 2018. gada 25. oktobra rīkojuma 6. panta 1. punkta 1. apakšpunktā ir paredzēts ierobežojums, kas pēc noklusējuma attiecas uz visiem spēlētājiem, kas papildina savus azartspēļu un derību kontus, izmantojot informācijas sabiedrības pakalpojumus. Saskaņā ar Karaļa 2018. gada 25. oktobra dekrēta, kas grozīts ar šo dekrētu, 6. panta 1. punkta 1. apakšpunkta b) punktu spēlētāji var pieprasīt šīs robežsummas paaugstināšanu. Tomēr, izņemot gadījumus, kas noteikti Karaļa 2018. gada 25. oktobra dekrēta 13. panta 2. punktā paredzētajā pārejas pasākumā, minēto robežsummu var paaugstināt tikai tad, ja Valsts banka sniedz Azartspēļu komisijai apstiprinājumu par to, ka Centrālajā privātpersonu kredītu reģistrā nav atrodama informācija par to, ka spēlētājam ir kādas neizpildītas maksājumu saistības. Lai to pārbaudītu, azartspēļu organizētājiem Azartspēļu komisijai ir jāsniedz konkrēti spēlētāju dati, savukārt pašai komisijai ir jāsaņem informācija no Valsts bankas par to, vai reģistrā ir pieejama informācija par konkrēto spēlētāju.</w:t>
            </w:r>
            <w:r>
              <w:rPr>
                <w:rFonts w:ascii="Times New Roman" w:hAnsi="Times New Roman"/>
                <w:sz w:val="24"/>
              </w:rPr>
              <w:t xml:space="preserve"> </w:t>
            </w:r>
            <w:r>
              <w:rPr>
                <w:rFonts w:ascii="Calibri" w:hAnsi="Calibri"/>
                <w:sz w:val="24"/>
              </w:rPr>
              <w:t>Šī sistēma nozīmē, ka ir vajadzīgs karaļa dekrēts, kas reglamentētu kārtību, saskaņā ar kuru komisija var pieprasīt no Valsts bankas informāciju par to, vai saskaņā ar Centrālā privātpersonu kredītu reģistru spēlētājam ir kādas neizpildītas maksājumu saistības, kā noteikts Likuma 55/1 pantā.</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Tādēļ šajā rīkojumā izklāstīto noteikumu mērķis ir izpildīt iepriekš minētā dekrēta 6. panta 1. punkta 1. apakšpunkta b) punktā noteikto uzdevumu.</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Komentāri attiecībā uz pantiem</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1. pants</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Saskaņā ar Datu aizsardzības iestādes atzinumu šajā pantā ir precizēts mērķis, kādā Azartspēļu komisija var iegūt informāciju no Beļģijas Valsts bankas Centrālā privātpersonu kredītu reģistra. Azartspēļu komisija pārbauda, vai personai, kas pieprasa palielināt tās azartspēļu robežsummu, saskaņā ar Beļģijas Valsts bankas Centrālo privātpersonu kredītu reģistru nav kādas neizpildītas </w:t>
            </w:r>
            <w:r>
              <w:rPr>
                <w:rFonts w:ascii="Calibri" w:hAnsi="Calibri"/>
                <w:sz w:val="24"/>
              </w:rPr>
              <w:lastRenderedPageBreak/>
              <w:t>maksājumu saistības.</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2. pants</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Tā kā Beļģijas Valsts banka pilda datu kontroliera pienākumus, tā nosaka tehniskos noteikumus un nosacījumus, saskaņā ar kuriem Azartspēļu komisija pārbauda Beļģijas Valsts bankas Centrālajā privātpersonu kredītu reģistrā pieejamo informāciju.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Šis pants ir balstīts uz Datu aizsardzības iestādes atzinumu.</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3. pants</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Saskaņā ar Datu aizsardzības iestādes atzinumu 3. pantā ir noteikts, kādus identifikācijas datus Azartspēļu komisija var nosūtīt Beļģijas Valsts bankai.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Lai Azartspēļu komisija varētu iesniegt pieprasījumu Beļģijas Valsts bankai, tās rīcībā ir jābūt tā spēlētāja valsts reģistrācijas numuram, kurš pieprasa palielināt savu azartspēļu robežsummu, vai, ja operatoram, kas nosūta datus Azartspēļu komisijai, šī informācija nav zināma, tad ir jābūt zināmam spēlētāja vārdam, uzvārdam un dzimšanas datumam. Dati par reģistrētajiem aizdevumiem netiek paziņoti.</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Saskaņā ar šo noteikumi azartspēļu organizētājam ir arī pienākums pievienot šo informāciju 2018. gada 25. oktobra dekrēta 6. panta 1. punkta 1. apakšpunkta b) punkta 2. apakšpunktā minētajam paziņojumam. Ja organizētāji šo pienākumu neizpilda, Azartspēļu komisija nevar veikt tai noteiktos uzdevumus.</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4. pants</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Saskaņā ar Datu aizsardzības iestādes atzinumu 4. pantā ir noteikts, cik ilgi Azartspēļu komisija glabā valsts reģistrācijas numuru vai spēlētāja identifikācijas datus.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5. pants</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Dekrēta 5. pantā ir paredzēta kārtība, kādā Azartspēļu komisija un Beļģijas Valsts banka glabā reģistra ierakstus, kā noteikusi Datu aizsardzības iestāde.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Datu aizsardzības iestāde savā atzinumā ir norādījusi, ka “</w:t>
            </w:r>
            <w:r>
              <w:rPr>
                <w:rFonts w:ascii="Calibri" w:hAnsi="Calibri"/>
                <w:i/>
                <w:sz w:val="24"/>
              </w:rPr>
              <w:t xml:space="preserve">Šie ieraksti ir jāaizsargā pret jebkādām izmaiņām, tie ir jāglabā 10 gadus pēc apspriešanās dienas un pēc pirmā pieprasījuma jānosūta datu aizsardzības iestādei.” </w:t>
            </w:r>
            <w:r>
              <w:rPr>
                <w:rFonts w:ascii="Calibri" w:hAnsi="Calibri"/>
                <w:sz w:val="24"/>
              </w:rPr>
              <w:t xml:space="preserve">Tomēr šis glabāšanas periods ir jāpielāgo 2021. gada 28. novembra Likuma par Uzņēmumu kredītu reģistra organizāciju 12. panta 3. punktā paredzētajam glabāšanas periodam, t. i., 5 gadiem, jo Centrālā privātpersonu kredītu reģistra un Uzņēmumu kredītu reģistra dati tiek glabāti vienā sistēmā. Tādējādi Beļģijas Valsts banka nevar mainīt reģistra ierakstu glabāšanas laiku atkarībā no lietotāja kapacitātes vai izmantotās funkcionalitātes.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7C9BD94" w14:textId="77777777" w:rsidR="004D2175" w:rsidRDefault="004D2175" w:rsidP="00914531">
            <w:pPr>
              <w:widowControl w:val="0"/>
              <w:autoSpaceDE w:val="0"/>
              <w:autoSpaceDN w:val="0"/>
              <w:adjustRightInd w:val="0"/>
              <w:jc w:val="both"/>
              <w:rPr>
                <w:rFonts w:ascii="Calibri" w:hAnsi="Calibri"/>
                <w:b/>
                <w:sz w:val="24"/>
              </w:rPr>
            </w:pPr>
          </w:p>
          <w:p w14:paraId="6BB01820" w14:textId="1E810C83"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6. pants</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Saskaņā ar Datu aizsardzības iestādes atzinumu piekļuves tiesības Centrālajam privātpersonu kredītu reģistram ir tikai tām personām, kuras, pamatojoties uz viņu darba pienākumiem, ir </w:t>
            </w:r>
            <w:r>
              <w:rPr>
                <w:rFonts w:ascii="Calibri" w:hAnsi="Calibri"/>
                <w:sz w:val="24"/>
              </w:rPr>
              <w:lastRenderedPageBreak/>
              <w:t>pilnvarojusi Azartspēļu komisija. Saskaņā ar šo atzinumu šajā pantā ir arī noteikts, ka piekļuves pārvaldībai jāizmanto spēcīga autentifikācijas sistēma, t. i., autentifikācija, kurā, sniedzot pieteikumu vai nu Azartspēļu komisijai, vai Beļģijas Valsts bankai, tiek izmantota elektroniskā ID karte. Tādējādi, ja vienu no diviem pieteikumiem iespējams iesniegt, izmantojot autentifikāciju ar elektronisko ID karti, šis noteikums ir ievērots.</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 xml:space="preserve">Pašlaik, izmantojot Centrālo privātpersonu kredītu reģistru, autentifikācijas savienojums tiek veikts, izmantojot tikai (grupas) sertifikātu, ko izsniegusi Beļģijas Valsts banka, nevis ar elektronisko ID karti.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Jāatzīmē, ka šeit minēto procesu izpilda divos posmos: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ja spēlētājs ar organizētāja starpniecību ir nosūtījis Azartspēļu komisijai pieprasījumu par robežsummas paaugstināšanu, Beļģijas Valsts bankas Centrālajā privātpersonu kredītu reģistrā identitātes pārbaude tiek veikta automātiski — bez darbinieka iesaistes un neveicot autentifikāciju,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ja pēc tam ir jāiesaista darbinieks (šis it īpaši attiecas uz tiem Azartspēļu komisijas darbiniekiem, kuru darba pienākumos tas ietilpst) ir iespējams veikt autentifikāciju, izmantojot elektronisko ID karti. Tomēr šāda autentifikācijas sistēma vēl nav ieviesta, un tās izveide prasīs vairākus mēnešus.</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7. pants</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Dekrēta 7. pantā ir noteikts glabāšanas laiks attiecībā uz datiem, ko Azartspēļu komisija saņem no Centrālā privātpersonu kredītu reģistra.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8. pants</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Visbeidzot, šā dekrēta 8. pantā ir noteikts, ka izmaksas, kas saistītas ar Beļģijas Valsts bankas konsultēšanu, pilnā mērā tiek segtas no Azartspēļu komisijas līdzekļiem, kā noteikts Azartspēļu likuma 19. panta 2. punktā. Tādējādi licenču turētāji paši ir tie, kuri, izmantojot iemaksu sistēmu, veic maksājumu Valsts bankai. Tas ir pilnībā pamatoti no spēlētāju aizsardzības viedokļa.</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9. pants</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Ar šā dekrēta 9. pantu tiek grozīts 6. panta 1. punkta 1. apakšpunkts Karaļa 2018. gada 25. oktobra dekrētā par kārtību, kādā rīko azartspēles un derības, izmantojot informācijas sabiedrības pakalpojumus.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D417027" w14:textId="77777777" w:rsidR="004D2175" w:rsidRDefault="004D2175" w:rsidP="00914531">
            <w:pPr>
              <w:widowControl w:val="0"/>
              <w:autoSpaceDE w:val="0"/>
              <w:autoSpaceDN w:val="0"/>
              <w:adjustRightInd w:val="0"/>
              <w:jc w:val="both"/>
              <w:rPr>
                <w:rFonts w:ascii="Calibri" w:hAnsi="Calibri"/>
                <w:b/>
                <w:sz w:val="24"/>
              </w:rPr>
            </w:pPr>
          </w:p>
          <w:p w14:paraId="6527730E" w14:textId="717AC0C0"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10. pants</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Dekrēta 10. pantā ir noteikta kārtība,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kādā šis karaļa dekrēts stājas spēkā. Ņemot vērā Datu aizsardzības iestādes sniegtos komentārus, ir vajadzīgi vairāki tehnoloģiski risinājumi. Tādēļ Azartspēļu komisijai ir vajadzīgs trīs mēnešu laikposms.</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2D7F44" w14:textId="77777777" w:rsidR="004D2175" w:rsidRDefault="004D2175" w:rsidP="00914531">
            <w:pPr>
              <w:widowControl w:val="0"/>
              <w:autoSpaceDE w:val="0"/>
              <w:autoSpaceDN w:val="0"/>
              <w:adjustRightInd w:val="0"/>
              <w:jc w:val="both"/>
              <w:rPr>
                <w:rFonts w:ascii="Calibri" w:hAnsi="Calibri"/>
                <w:b/>
                <w:sz w:val="24"/>
              </w:rPr>
            </w:pPr>
          </w:p>
          <w:p w14:paraId="2AA50ADB" w14:textId="227838F3"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lastRenderedPageBreak/>
              <w:t>11. pants</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Dekrēta 11. pantā ir noteikts pārejas pasākums. Tādējādi ar šo pantu tiek noteikts, ka laikā, kad stājas spēkā karaļa dekrēts, spēļu robežsumma visiem spēlētāju kontiem ir jānosaka saskaņā ar 9. pantā minēto robežsummu, t. i.,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2022. gada 12. maija Dekrētā Nr. 253.722 Valsts padome skaidri ir norādījusi, ka robežsummas palielināšana, pamatojoties uz Karaļa 2018. gada 25. oktobra dekrēta 6. pantu, ir pieļaujama tikai pēc tam, kad, balstoties uz reģistra datiem, ir konstatēts, ka spēlētājs ir izpildījis visas savas maksājumu saistības. Citiem vārdiem sakot, ja vien netiek piemērots iepriekšējais Karaļa 2018. gada 25. oktobra dekrēta 13. panta pārejas noteikums, neviens nevar gūt labumu no robežsummas paaugstināšanas.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Praksē izrādās, ka Azartspēļu komisijai nav iespējams precīzi noskaidrot, vai šāds robežsummas paaugstinājums ir ticis piešķirts iepriekš. Labākais risinājums spēlētāju aizsardzībai ir visu robežsummu samazināšana līdz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12. pants</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Dekrēta 12. pantā ir iekļauts īstenošanas pants.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Jūsu Augstība,</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esam pagodināti būt</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Jūsu Majestātes</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cieņpilnākie un uzticamākie kalpi,</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ekonomikas ministrs</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P-Y DERMAGNE</w:t>
            </w:r>
            <w:r>
              <w:rPr>
                <w:rFonts w:ascii="Calibri" w:hAnsi="Calibri"/>
                <w:sz w:val="24"/>
              </w:rPr>
              <w:t>,</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finanšu ministrs</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V. VAN PETEGHEM</w:t>
            </w:r>
            <w:r>
              <w:rPr>
                <w:rFonts w:ascii="Calibri" w:hAnsi="Calibri"/>
                <w:sz w:val="24"/>
              </w:rPr>
              <w:t>,</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sabiedrības veselības ministrs</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F. VANDENBROUCKE</w:t>
            </w:r>
            <w:r>
              <w:rPr>
                <w:rFonts w:ascii="Calibri" w:hAnsi="Calibri"/>
                <w:sz w:val="24"/>
              </w:rPr>
              <w:t>,</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tieslietu ministrs</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V. VAN QUICKENBORNE</w:t>
            </w:r>
            <w:r>
              <w:rPr>
                <w:rFonts w:ascii="Calibri" w:hAnsi="Calibri"/>
                <w:sz w:val="24"/>
              </w:rPr>
              <w:t>,</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iekšlietu ministre</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A. VERLINDEN</w:t>
            </w:r>
            <w:r>
              <w:rPr>
                <w:rFonts w:ascii="Calibri" w:hAnsi="Calibri"/>
                <w:sz w:val="24"/>
              </w:rPr>
              <w:t>,</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valsts sekretārs Nacionālās loterijas jautājumos</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VALSTS PADOMES LIKUMDOŠANAS NODAĻAS 2022. GADA 19. APRĪĻA ATZINUMS 71.218/4 PAR KARAĻA DEKRĒTA PROJEKTU “AR KO NOSAKA KĀRTĪBU, KĀDĀ BEĻĢIJA AZARTSPĒĻU KOMISIJA KONSULTĒJAS AR CENTRĀLO PRIVĀTPERSONU KREDĪTU REĢISTRU, UN GROZA NOTEIKUMUS PAR TIEŠSAISTES AZARTSPĒĻU IEROBEŽOŠANU”</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2022. gada 18. martā premjerministra vietnieks un tieslietu un Ziemeļjūras lietu ministrs lūdza Valsts padomes Likumdošanas nodaļu 30 dienu laikā sniegt atzinumu par Karaļa dekrēta projektu “ar ko nosaka kārtību, kādā Beļģijas Azartspēļu komisija konsultējas ar Centrālo privātpersonu kredītu reģistru, un groza noteikumus par tiešsaistes azartspēļu ierobežošanu”.</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Ceturtā palāta likumprojektu izskatīja 2022. gada 19. aprīlī. Palātas sastāvā bija palātas priekšsēdētāja </w:t>
            </w:r>
            <w:r>
              <w:rPr>
                <w:rFonts w:ascii="Calibri" w:hAnsi="Calibri"/>
                <w:i/>
                <w:iCs/>
                <w:sz w:val="24"/>
              </w:rPr>
              <w:t>Martine BAGUET</w:t>
            </w:r>
            <w:r>
              <w:rPr>
                <w:rFonts w:ascii="Calibri" w:hAnsi="Calibri"/>
                <w:sz w:val="24"/>
              </w:rPr>
              <w:t xml:space="preserve">, valsts padomnieki </w:t>
            </w:r>
            <w:r>
              <w:rPr>
                <w:rFonts w:ascii="Calibri" w:hAnsi="Calibri"/>
                <w:i/>
                <w:iCs/>
                <w:sz w:val="24"/>
              </w:rPr>
              <w:t>Luc CAMBIER</w:t>
            </w:r>
            <w:r>
              <w:rPr>
                <w:rFonts w:ascii="Calibri" w:hAnsi="Calibri"/>
                <w:sz w:val="24"/>
              </w:rPr>
              <w:t xml:space="preserve"> un </w:t>
            </w:r>
            <w:r>
              <w:rPr>
                <w:rFonts w:ascii="Calibri" w:hAnsi="Calibri"/>
                <w:i/>
                <w:iCs/>
                <w:sz w:val="24"/>
              </w:rPr>
              <w:t>Bernard BLERO</w:t>
            </w:r>
            <w:r>
              <w:rPr>
                <w:rFonts w:ascii="Calibri" w:hAnsi="Calibri"/>
                <w:sz w:val="24"/>
              </w:rPr>
              <w:t xml:space="preserve"> un sekretārs </w:t>
            </w:r>
            <w:r>
              <w:rPr>
                <w:rFonts w:ascii="Calibri" w:hAnsi="Calibri"/>
                <w:i/>
                <w:iCs/>
                <w:sz w:val="24"/>
              </w:rPr>
              <w:t>Charles-Henri VAN HOVE</w:t>
            </w:r>
            <w:r>
              <w:rPr>
                <w:rFonts w:ascii="Calibri" w:hAnsi="Calibri"/>
                <w:sz w:val="24"/>
              </w:rPr>
              <w:t>.</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Ziņojumu iesniedza vecākais revidents </w:t>
            </w:r>
            <w:r>
              <w:rPr>
                <w:rFonts w:ascii="Calibri" w:hAnsi="Calibri"/>
                <w:i/>
                <w:iCs/>
                <w:sz w:val="24"/>
              </w:rPr>
              <w:t>Stéphane TELLIER.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i/>
                <w:iCs/>
                <w:sz w:val="24"/>
              </w:rPr>
              <w:t>Bernard BLERO</w:t>
            </w:r>
            <w:r>
              <w:rPr>
                <w:rFonts w:ascii="Calibri" w:hAnsi="Calibri"/>
                <w:sz w:val="24"/>
              </w:rPr>
              <w:t xml:space="preserve"> pārziņā bija pārbaudīt atbilstību starp projekta franču un nīderlandiešu valodas versiju.</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Turpmāk sniegtais atzinums tika izdots 2022. gada 19. aprīlī.</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Tā kā atzinuma pieprasījums ir iesniegts, pamatojoties uz konsolidētā likuma par Valsts padomi (konsolidēts 1973. gada 12. janvārī) 84. panta 1. punkta 1. apakšpunkta 2. punktu, Likumdošanas nodaļa savā izvērtējumā balstās tikai uz projekta juridisko pamatu, dokumenta izstrādātāja kompetenci un iepriekšējo formalitāšu izpildi saskaņā ar iepriekš minētā konsolidētā likuma 84. panta 3. punktu.</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Attiecībā uz šiem trim jautājumiem ir izdarīti šādi secinājumi.</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VISPĀRĪGAS PIEZĪMES</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Pamatojoties uz 1999. gada 7. maija Likuma par azartspēlēm, derībām, azartspēļu iestādēm un spēlētāju aizsardzību 55/1. pantu, karaļa dekrētā, kas izskatīts atzinumā, ir noteikta kārtība, kādā Azartspēļu Komisija (turpmāk “CJH”) apspriežas ar Beļģijas Valsts bankas Centrālo privātpersonu kredītu reģistru (turpmāk “CCP”).</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 darot, karaļa dekrēta projektā ir paredzēti jauna personas datu apstrādes kārtība.</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Likumdošanas nodaļa savā 2021. gada 7. aprīļa atzinumā Nr. 68.936/AG par provizorisko projektu, kas kļuva par 2021. gada 14. augusta Likumu par administratīviem policijas pasākumiem epidēmijas gadījumā (1), norādīja:</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Konstitūcijas 22. pants un ECTK 8. pants</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Provizoriskā projekta 6. pantā ir paredzēta personas datu apstrāde, kas ir uzskatāma par iejaukšanos attiecīgo personu tiesībās uz privātās dzīves neaizskaramību, kuras it īpaši garantē Konstitūcijas 22. pants un ECTK 8. pants.</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Lai saskaņā ar iepriekš minētajām tiesību normām būtu pieļaujama iejaukšanās tiesībās uz privāto dzīvi, tai ir jābūt definētai skaidrā un pietiekami precīzā veidā, kas ļauj iepriekš paredzamā veidā saprast gadījumus, kuros likumdevējs šādu iejaukšanos pieļauj.</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Turklāt šai rīcībai ir jābūt objektīvi un saprātīgi pamatotai, lai tā attiecīgi būtu samērīga arī ar likumdevēja izvirzītajiem mērķiem (2). Ja attiecīgajā likumprojektā paredzētā iejaukšanās ir </w:t>
            </w:r>
            <w:r>
              <w:rPr>
                <w:rFonts w:ascii="Calibri" w:hAnsi="Calibri"/>
                <w:sz w:val="24"/>
              </w:rPr>
              <w:lastRenderedPageBreak/>
              <w:t>plānota ar leģitīmu mērķi, proti, veselības aizsardzību un citu personu tiesību un brīvību aizsardzību (3), ir jāpārliecinās, ka ir ievērotas likumības, atbilstības un samērīguma prasības.</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c) Konstitūcijas 22. pantā nostiprinātais likumības princips</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Saskaņā ar Konstitūcijas 22. pantu jebkura personas datu apstrāde un, plašākā nozīmē, tiesību uz privāto dzīvi neaizskaramības pārkāpums ir pakļauts formālas likumības principam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Sniedzot kompetentajam likumdevējam pilnvaras noteikt, kādos gadījumos un ar kādiem nosacījumiem var tikt pārkāptas tiesības uz privātās dzīves neaizskaramību, Konstitūcijas 22. pants ikvienam pilsonim garantē, ka šīs tiesības nekādā veidā nedrīkst tikt pārkāptas, izņemot saskaņā ar noteikumiem, ko pieņēmusi demokrātiski ievēlēta lēmējinstitūcija. Tomēr pilnvaru deleģēšana citai iestādei nav pretrunā likumības principam, ja pilnvarojums ir pietiekami precīzi definēts un attiecas uz tādu pasākumu īstenošanu, kuru “būtiskos elementus” likumdevējs ir iepriekš noteicis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Tāpēc personas datu apstrādes “būtiskie elementi” ir jānosaka pašā tiesību aktā. Šajā sakarā Likumdošanas nodaļa uzskata, ka neatkarīgi no attiecīgā jautājuma “būtiski elementi” ir šādi: 1) apstrādāto datu kategorijas; 2) attiecīgo personu kategorijas; 3) datu apstrādes nolūks; 4) to personu kategorijas, kurām ir piekļuve apstrādātajiem datiem un 5) maksimālais datu glabāšanas laiks”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Uz jautājumu par atbilstību iepriekš minētajam likumības principam un par to, vai pastāv tiesību norma, kas precizē šos būtiskos elementus, ministra pārstāvis norādīja:</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“Mūsuprāt, būtiskie elementi jau ir ietverti likuma pantā, kas pilnvaro karali noteikt kārtību, kādā Azartspēļu komisija konsultējas ar Centrālo privātpersonu kredītu reģistru. 55/1. pants 1999. gada 7. maija Likumā par azartspēlēm, derībām, azartspēļu iestādēm un spēlētāju aizsardzību nosaka, ka: “Lai komisija varētu veikt ar spēlētāju aizsardzību saistītos uzdevumus, kas tai noteikti šajā tiesību aktā un tā īstenošanas dekrētos, karalis nosaka kārtību, kādā komisija var pieprasīt, lai Beļģijas Valsts banka pārbauda, vai personai saskaņā ar Beļģijas Valsts bankas Centrālo privātpersonu kredītu reģistru nav kādas neizpildītas maksājumu saistības”.</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Šis noteikums ietver būtiskus elementus, kas izklāstīti jūsu jautājumā:</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apstrādāto datu kategorija: par to, vai persona ir izpildījusi maksājumu saistības,</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attiecīgo personu kategorija: privātpersonas,</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datu apstrādes nolūks: lai komisija varētu veikt spēlētāju aizsardzības uzdevumus, kas tai noteikti saskaņā ar likumu un tā īstenošanas dekrētiem,</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to personu kategorijas, kurām ir piekļuve datiem: komisija</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Karaļa dekrēta projekts reglamentē konsultāciju tehnisko kārtību un šajā nolūkā detalizēti izklāsta dažādus būtiskus elementus, nemainot tos un tādējādi nemainot likumu.”</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Attiecībā uz apstrādāto datu kategorijām jānorāda, ka 1999. gada 7. maija Likuma 55/1. pants neļauj noteikt datu kategorijas, kas tiek apstrādātas CJH uzraudzības uzdevuma ietvaros. Šīs kategorijas ir precīzi noteiktas dekrēta projekta 3. panta 1. punkta 2. daļas 1. un 2. punktā un 2. punkta 3. daļā.</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Turklāt attiecībā uz maksimālo datu glabāšanas termiņu projekta 4. un 7. pantā šis termiņš ir noteikts ļoti plašs.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Karaļa ieviestais pilnvarojums attiecībā uz iepriekš minēto noteikumu pieņemšanu būtu jāformulē sīkāk, lai garantētu šā pilnvarojuma atbilstību iepriekš minētajam likumības principam un lai labāk </w:t>
            </w:r>
            <w:r>
              <w:rPr>
                <w:rFonts w:ascii="Calibri" w:hAnsi="Calibri"/>
                <w:sz w:val="24"/>
              </w:rPr>
              <w:lastRenderedPageBreak/>
              <w:t>nodrošinātu tiesisko drošību.</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2.    Projekta 9. pantā paredzētais grozījums attiecas uz Karaļa 2018. gada 25. oktobra dekrēta par kārtību, kādā rīko azartspēles un derības, izmantojot informācijas sabiedrības pakalpojumus, 6. panta 1. punkta 1. apakšpunkta a) punktu, un tā mērķis ir noteikt, ka maksimālā iemaksu summa tiešsaistes spēļu kontos ir 200 EUR nedēļā, nevis 500 EUR nedēļā, kā arī svītrot precizējumu, saskaņā ar kuru šis ierobežojums tiek piemērots spēlētājam “attiecībā uz visām azartspēlēm un derībām, kurās tas piedalās”.</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Attiecībā uz 9. pantā paredzētā pasākuma samērīgumu karalim adresētā ziņojuma, kas sniegts par Karaļa 2018. gada 25. oktobra dekrētu, vispārīgajā daļā ir norādīts, ka šā pasākuma izstrādē ir ņemta vērā Eiropas Savienības Tiesas judikatūra azartspēļu jomā, saskaņā ar kuru ar azartspēlēm saistīto darbību ierobežošanu var pamatot ar pārliecinošiem vispārējas nozīmes apsvērumiem, piemēram, patērētāju aizsardzību, cīņu pret krāpšanu un centieniem novērt darbības, kas mudina iedzīvotājus tērēt pārmērīgi daudz naudas azartspēlēs. Ziņojumā arī teikts, ka “ņemot vērā mērķus, kas saistīti ar spēlētāju aizsardzību, un vajadzību izvairīties no jebkādām darbībām, kuras mudina spēlētājus tērēt vairāk naudas, stingrāku noteikumu noteikšana ir pamatoti attaisnojama, ja konkrēta veida azartspēles rada augstu atkarības un naudas pārmērīgas tērēšanas risku.” Attiecībā uz Karaļa 2018. gada 25. oktobra dekrēta 6. pantu ziņojumā karalim teikts, ka “lai efektīvi cīnītos pret naudas pārmērīgu tērēšanu azartspēlēs un atkarību no azartspēlēm, ir jānosaka azartspēļu ierobežojumi: attiecībā uz visām spēlēm un derībām, kurās spēlētājs piedalās, tas savos spēlētāju kontos drīkst iemaksāt ne vairāk 500 EUR nedēļā.</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Lai gan ierosinātais Karaļa 2018. gada 25. oktobra dekrēta 6. panta 1. punkts 1. apakšpunkta a) punkta grozījums šķiet ierobežojošāks, jo ar to maksimālā spēlētāju kontos iemaksājamā summa tiek samazināta līdz 200 EUR, tas šķiet arī liberālāks, jo tajā vairs nav noteikts, ka šis ierobežojums attiecas “uz visām azartspēlēm un derībām, kurās piedalās spēlētājs”, kas jāsaprot tā, ka ierobežojums attiecas tikai uz tām tiešsaistes azartspēļu vai derību vietnēm, kurās spēlētājam ir konts.</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Ziņojumā karalim vārdkopas “attiecībā uz visām azartspēlēm un derībām, kurās tas piedalās” svītrošana ir pamatota ar šādiem argumentiem:</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Pirmais grozījums attiecas uz a) punktu, kurā noteikts, ka “spēlētājs savus tiešsaistes spēlētāja kontus var papildināt par summu, kas nepārsniedz 500 EUR nedēļā attiecībā uz visām azartspēlēm un derībām, kurās tas piedalās”. Azartspēļu noklusējuma robežsumma tiek samazināta līdz 200 EUR, lai palielinātu spēlētāju aizsardzību. Turklāt tiek svītroti vārdi “attiecībā uz visām azartspēlēm un derībām, kurās tas piedalās”. Izrādās, ka kopējā azartspēlēs iztērējamā robežsumma (kas ir spēkā visās vietās), kura kopš karaļa dekrēta stāšanās spēkā 2018. gadā praksē joprojām nav ieviesta, tehniski nav īstenojama. Tai ir arī daudz trūkumu. Tāpēc, ņemot vērā iepriekš minēto, ir vēlams atcelt kopējo robežsummu un noteikt robežsummu attiecībā uz katru tīmekļa vietni, vienlaikus samazinot noklusējuma robežsummu. Tādējādi spēlētāji, it sevišķi neaizsargātākie no tiem, būs labāk pasargāti.”</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No ierosinātā grozījuma izriet, ka, lai gan teorētiski (saskaņā ar esošajiem noteikumiem) spēlētājam attiecībā uz visām azartspēlēm ir noteikta iemaksas robežsumma (500 EUR nedēļā), saskaņā ar ierosināto shēmu, spēlētājs, ja tas ir reģistrējies vairāk nekā vienā tiešsaistes azartspēļu vietnē, var savus spēlētāja kontus papildināt par summu, kas ievērojami pārsniedz robežsummu, piemēram, kopā iemaksājot 1000 EUR nedēļā, ja tam ir konti piecās atsevišķās azartspēļu vietnēs.</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Ņemot vērā izvirzīto mērķi, proti, aizsargāt patērētājus un efektīvi cīnīties pret pārlieku naudas tērēšanu azartspēlēs un atkarību no azartspēlēm, ziņojums karalim tiks papildināts, lai skaidrāk noteiktu elementus, kas ļauj uzskatīt, ka ierosinātais grozījums patiešām labāk aizsargā spēlētājus, </w:t>
            </w:r>
            <w:r>
              <w:rPr>
                <w:rFonts w:ascii="Calibri" w:hAnsi="Calibri"/>
                <w:sz w:val="24"/>
              </w:rPr>
              <w:lastRenderedPageBreak/>
              <w:t>“it sevišķi neaizsargātākos no tiem”.</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3.</w:t>
            </w:r>
            <w:r>
              <w:rPr>
                <w:rFonts w:ascii="Calibri" w:hAnsi="Calibri"/>
                <w:sz w:val="24"/>
              </w:rPr>
              <w:tab/>
              <w:t>Ņemot vērā šīs vispārīgās piezīmes, tiek sniegtas šādas īpašas piezīmes.</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ĪPAŠAS PIEZĪMES</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PREAMBULA</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Pirmajā daļā minētā likumprojekta vienīgais juridiskais pamats ir 1999. gada 7. maija likuma 55/1. pants. Tomēr ar šo tiesību normu karalis nav pilnvarots nedz grozīt Karaļa 2018. gada 25. oktobra dekrētu, nedz noteikt, kad stājas spēkā tā 6. panta 1. punkta 1. apakšpunkta b) punkts.</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 ministra pārstāvja piekrišanu pirmo daļu papildina ar atsauci uz 1999. gada 7. maija likuma 43/8. panta 2. punkta 2. apakšpunktu, ar kuru karalis ir pilnvarots grozīt Karaļa 2018. gada 25. oktobra dekrētu.</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Attiecībā uz projekta 10. pantu, ar ko nosaka, kad stājas spēkā tā paša karaļa dekrēta 6. panta 1. punkta 1. apakšpunkta b) punkts, ir iekļauta atsauce uz īpašo piezīmi, kas izdarīta saskaņā ar 10. pantu.</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NORMATĪVĀ DAĻA</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3. pants</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Ņemot vērā, ka brīdī, kad spēlētāja identifikācijas dati tiek nosūtīti Beļģijas Valsts bankai pārbaudei, vēl nav pierādīts, ka spēlētājs Ekonomikas tiesību kodeksa VII.148. panta nozīmē nav izpildījis maksājuma saistības, projekta 3. panta 1. punkta 1. apakšpunktā nav pareizi norādīts, ka: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To spēlētāju, kuri nav pildījuši maksājumu saistības Ekonomikas tiesību kodeksa VII.148. panta nozīmē, identifikācijas informācija var tikt nodota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Atbildot uz šo jautājumu, ministra pārstāvis ierosina projekta 3. panta 1. punkta 1. apakšpunktu izteikt šādā redakcijā:</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Tā spēlētāja identifikācijas datus, kurš lūdz palielināt tā azartspēļu robežsummu saskaņā ar Karaļa 2018. gada 25. oktobra dekrēta 6. panta 1. punkta 1. apakšpunkta b) punktu, var pārsūtīt Beļģijas Valsts bankai, lai Centrālā privātpersonu kredītu reģistrā pārbaudītu informāciju par to, vai spēlētājs Ekonomikas tiesību kodeksa VII.148. panta nozīmē ir izpildījis savas maksājumu saistības.”</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Šajā nolūkā teksts tiks mainīts, tekstu “Karaļa 2018. gada 25. oktobra dekrētā” aizstājot ar tekstu “Karaļa 2018. gada 25. oktobra dekrētā par kārtību, kādā rīko azartspēles un derības, izmantojot informācijas sabiedrības pakalpojumus”.</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9. pants</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Dekrēta 9. pantā noteiktais pasākums, kura mērķis ir grozīt Karaļa 2018. gada 25. oktobra dekrēta 6. panta 1. punkta 1. apakšpunkta a) punktu, lai tiešsaistes spēlētāju kontu maksimālo robežsummu no 500 EUR samazinātu līdz 200 EUR, visticamāk, ietekmēs federālo iestāžu kompetenci nodokļu jomā. Šajā sakarā Likumdošanas nodaļa savā 2018. gada 17. jūlija atzinumā Nr. 63.662/VR par likumprojektu, kas kļuvis par Karaļa 2018. gada 25. oktobra dekrētu (7), norādīja:</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Kā Konstitucionālā tiesa ir atgādinājusi savā 2005. gada 30. jūnija Nolēmumā Nr. 114/2005 (8), </w:t>
            </w:r>
            <w:r>
              <w:rPr>
                <w:rFonts w:ascii="Calibri" w:hAnsi="Calibri"/>
                <w:sz w:val="24"/>
              </w:rPr>
              <w:lastRenderedPageBreak/>
              <w:t>pilnvaras noteikt nosacījumus par to, kas ir pieļaujamās azartspēļu un derību darbības, kā arī noteikt uzraudzību, kas nepieciešama šo spēļu riskantuma dēļ, ir federālo iestāžu pārziņā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Izvērtējamais dekrēta projekts ietilpst šajā sistēmā, un tāpēc tas ir tā autora kompetencē.”</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Šī piezīme ir atkārtota saistībā ar projekta 9. pantu.</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Karaļa 2018. gada 25. oktobra dekrēts pilnībā vai daļēji ir vai ir bijis priekšmets vairākās prasībās par tiesību akta atcelšanu (10); dažas no šīm prasībām bija par pamatu tādu lēmumu pieņemšanā, ar kuriem tiek atceltas noteiktas šā Karaļa dekrēta normas (11). Pieteikumā ar atsauci G/A. 227.138/XI.22.372 tiek lūgts “vismaz pakārtoti atcelt [tā] 1. pantu, 6. panta 1. punkta 1. apakšpunktu un 6. panta 2. punktu”.</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Finanšu inspektors 2021. gada 5. jūlija atzinumā ir uzsvēris šo plašo tiesvedību, kā arī praktiskas dabas grūtības, kas saistītas ar Karaļa 2018. gada 25. oktobra dekrēta 6. panta 1. punkta 1. apakšpunkta a) punkta grozījumu ieviešanu, un tās iespējams rezumēt šādi:</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šo noteikumu grozījumi jāveic, kamēr notiek tiesvedība Valsts padomē,</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pastāv risks, ka viens un tas pats organizētājs vai cits organizētājs saņems arvien vairāk pieprasījumus par konta robežsummas paaugstināšanu gadījumos, kad spēlētājam atsaka konta papildināšanu, lai gan viņš uzskata sevi par tiesīgu to veikt,</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ja spēlētājs ir iekļauts Centrālajā privātpersonu kredītu reģistrā, atteikums tiek sniegts automātiski, taču pat tad var rasties kļūdas,</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neizbēgami tiks iesniegtas administratīvas pārsūdzības.</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Atbildot uz jautājumiem par šiem šķēršļiem, ministra pārstāvis nenoliedz iespēju, ka tiks iesniegtas apelācijas sūdzības un ka būs spēlētāji, kas bieži mainīs organizētājus, kā arī viņš norāda, ka:</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Jāpiebilst, ka, balstoties uz 2021. gada jūnijā CJH sniegto informāciju, no 100 000 spēlētājiem, kas spēlē ik dienu, aptuveni 45 %, visticamāk, pieprasīs palielināt savu azartspēļu robežsummu. Turklāt mēnesī pievienojas vidēji 70 000 jaunu spēlētāju, un CJH lēš, ka aptuveni 40 % no tiem varētu pieprasīt azartspēļu robežsummas paaugstināšanu.</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Lai gan tas, ka normatīvā noteikuma īstenošana, tostarp tā finansēšana, var izrādīties sarežģīta, nav pierādījums tā prettiesiskumam; tas, ka tiek grozīts normatīvais noteikums, kas citādi tiek apstrīdēts Valsts padomes Administratīvo lietu izskatīšanas nodaļā, var radīt grūtības saistībā ar tiesisko noteiktību.</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C0D443C"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10. pants</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Likumprojekta 10. pantā ir paredzēts, ka Karaļa 2018. gada 25. oktobra dekrēta 6. panta 1. punkta 1. apakšpunkta b) punkts stājas spēkā “tajā pašā dienā, kad šis dekrēts”.</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Šā noteikuma stāšanās spēkā ir noteikta minētā karaļa dekrēta 13. panta pirmajā daļā, proti:</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Šis dekrēts stājas spēkā astotā mēneša pirmajā dienā pēc tā publicēšanas Beļģijas Oficiālajā Vēstnesī, izņemot 6. panta 1. punkta 1. apakšpunkta b) punktu, kas stājas spēkā ne vēlāk kā 2019. gada janvārī vai attiecīgā gadījumā vēlāk, ko karalis noteicis ar Ministru padomē apspriestu dekrētu.</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Karalim adresētā ziņojumā attiecībā uz 13. pantu ir precizēts, ka:</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13. pantā ir noteikts astoņu mēnešu pārejas periods, lai azartspēļu un derību organizētāji varētu pielāgoties jaunajām licencēšanas prasībām (izņemot 6. panta 1. punkta 1 apakšpunkta b) punktu, kas stājas spēkā ne vēlāk kā 2019. gada 1. janvārī).”</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Ņemot vērā šo nepārprotamo norādi ziņojumā karalim, ir jāuzskata, ka, tā kā karaļa dekrēts nebija pieņemts pirms 2019. gada 1. janvāra, 6. panta 1. punkta 1. apakšpunkta b) punkts stājās spēkā šajā datumā.</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Karaļa 2018. gada 25. oktobra dekrēta 13. panta pirmo daļu nevar interpretēt kā tādu, kas ļauj karalim pieņemt karaļa dekrētu, kurš apspriests Ministru padomē pēc 2019. gada 1. janvāra un kurā būtu noteikts, ka stājas spēkā minētā dekrēta 6. panta 1. punkta 1. apakšpunkta b) punkts, ciktāl ar to tiktu izslēgta jebkāda juridiskā piemērošanas joma saistībā ar prasību par to, ka šī norma stājas spēkā “ne vēlāk kā 2019. gada janvārī”.</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Tāpēc likumprojekta 10. pants tiks svītrots.</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SEKRETĀRS</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PRIEKŠSĒDĒTĀJS</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Piezīmes</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Parl. dok., palāta, 2020.–2021. g., Nr. 55-1951/1, 55.–127. lpp.,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Minētā atzinuma 172 zemsvītras piezīme: EK atzinums Nr. 63.192/2, kas sniegts 2018. gada 19. aprīlī par provizorisko projektu, kas kļuva par 2018. gada 30. jūlija Likumu par fizisku personu aizsardzību attiecībā uz personas datu apstrādi, Parl. dok., palāta, 2017.–2018. g., Nr. 54-3126/001, 402.–456. lpp., http://www.raadvst-consetat.be/dbx/avis/63192.pdf; EK Atzinums Nr. 63.202/2, kas sniegts 2018. gada 26. aprīlī par 2018. gada 5. septembra likumprojektu, ar ko izveido Informācijas drošības komiteju un groza dažādus tiesību aktus saistībā ar Eiropas Parlamenta un Padomes 2016. gada 27. aprīļa Regulu (ES) 2016/679 par fizisku personu aizsardzību attiecībā uz personas datu apstrādi un šādu datu brīvu apriti un ar ko atceļ Direktīvu 95/46/EK, Parl. dok., palāta, 2017.–2018. g., Nr. 54-3185/001, 120.–145. lpp.,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Minētā atzinuma 173. zemsvītras piezīme: ECTK 8. panta 2. punkts.</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Minētā atzinuma 174. zemsvītras piezīme: Jau iepriekš minētie numuri — 70. un nākamie</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Minētā atzinuma 175. zemsvītras piezīme: Konstitucionālās tiesas iedibinātā judikatūra: skatīt jo īpaši C.C., 2010. gada 18. marts, Nr. 29/2010, B.16.1; C.C., 2020. gada 20. februāris, Nr.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Pēdējā laikā judikatūra ir iekļauta arī C.C., 2022. gada 10. marts, Nr.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Minētā atzinuma 1. zemsvītras piezīme: B.13. apsvērums.</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Minētā atzinuma 2. zemsvītras piezīme: Par ierobežojumiem, kas saskaņā ar 1989. gada 16. janvāra Īpašā likuma par Kopienu un reģionu finansēšanu 3. panta 1. punkta 1. apakšpunktu ir pievienoti federālās iestādes fiskālai kompetencei attiecībā uz azartspēlēm un derībām, sk. C.C., 2018. gada 22. marts, Nr. 34/2018, B.13. apsvērumu.</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Skatīt atsauces G/A. 227.048/XI-22.358, G/A. 227.050/VII-40.459, G/A. 227.051/XI-22.359, G/A. 227.052/VII 40.460, G/A. 227.068/VII-40.461, G/A. 227.073/VII-40.463 un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(11)</w:t>
            </w:r>
            <w:r>
              <w:rPr>
                <w:rFonts w:ascii="Times New Roman" w:hAnsi="Times New Roman"/>
                <w:sz w:val="24"/>
              </w:rPr>
              <w:t xml:space="preserve"> </w:t>
            </w:r>
            <w:r>
              <w:rPr>
                <w:rFonts w:ascii="Calibri" w:hAnsi="Calibri"/>
                <w:sz w:val="24"/>
              </w:rPr>
              <w:t>Tādējādi lietā G/A. 227.048 ar 2020. gada 6. februāra Lēmumu Nr. 246.998 tika atcelts Karaļa 2018. gada 25. oktobra dekrēta 1. panta 1. punkts un 3. panta 2. un 3. punkts, un lietā G/A 227.051 ar 2020. gada 6. februāra Lēmumu Nr. 246.999 tika atcelti tā paša karaļa dekrēta 5. panta 1. punktā un 11. pantā minētie vārdi “izņemot no pašu tīmekļa vietnes”.</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19 2022. GADA 19. JŪNIJS — projekts Karaļa dekrētam, ar ko nosaka kārtību, kādā Beļģijas Azartspēļu komisija konsultējas ar Centrālo privātpersonu kredītu reģistru, un groza noteikumus par tiešsaistes azartspēļu ierobežošanu.</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Beļģijas karalis FILIPS</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 laba vēlējumiem šobrīd un turpmāk,</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ņemot vērā 43/8. panta 2. punkta 2. apakšpunktu, kas iekļauts ar 2010. gada 10. janvāra likumu, un 55/1. pantu 1999. gada 7. maija Likumā par azartspēlēm, derībām, azartspēļu iestādēm un spēlētāju aizsardzību, kas iekļauts ar 2019. gada 7. maija likumu,</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ņemot vērā 2018. gada 25. oktobra Karaļa dekrētu par kārtību, kādā rīko azartspēles un derības, izmantojot informācijas sabiedrības pakalpojumus,</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ņemot vērā Azartspēļu komisijas 2021. gada 20. janvāra un 2021. gada 21. aprīļa atzinumu,</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ņemot vērā finanšu inspektora 2021. gada 27. aprīlī un 2021. gada 5. jūlijā izdoto atzinumu,</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ņemot vērā 2021. gada 11. maijā un 2021. gada 15. jūlijā izdoto vienošanos ar valsts sekretāru budžeta jautājumos,</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ņemot vērā regulas ietekmes novērtējumu, kas veikts saskaņā ar 2013. gada 15. decembra Likuma 6. un 7. pantu, kurā ietverti dažādi noteikumi par administratīvo vienkāršošanu,</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ņemot vērā Datu aizsardzības iestādes 2021. gada 4. oktobra atzinumu Nr. 177/2021,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ņemot vērā 2021. gada 9. decembra paziņojumu 2021/0845/B Eiropas Komisijai saskaņā ar 5. panta 1. punktu Eiropas Parlamenta un Padomes 2015. gada 9. septembra Direktīvā (ES) 2015/1535, ar ko nosaka informācijas sniegšanas kārtību tehnisko noteikumu un Informācijas sabiedrības pakalpojumu noteikumu jomā,</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ņemot vērā Valsts padomes atzinumu Nr. 71.218/4, kas izdots 2022. gada 19. aprīlī saskaņā ar 84. panta 1. punkta 1. apakšpunkta 2. punktu 1973. gada 12. janvāra konsolidētajā Likumā par Valsts padomi,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balstoties uz ekonomikas ministra, finanšu ministra, sabiedrības veselības ministra, tieslietu ministra, iekšlietu ministra un Valsts loterijas valsts sekretāra priekšlikuma un to ministru domām, kuri tos apsprieduši Padomē,</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IZDOD ŠO DEKRĒTU.</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I NODAĻA. Procedūra, kādā Beļģijas Valsts bankas Centrālais privātpersonu kredītu reģistrs konsultē Azartspēļu komisiju</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1. pants.</w:t>
            </w:r>
            <w:r>
              <w:rPr>
                <w:rFonts w:ascii="Calibri" w:hAnsi="Calibri"/>
                <w:snapToGrid w:val="0"/>
                <w:sz w:val="24"/>
              </w:rPr>
              <w:t xml:space="preserve"> Azartspēļu komisijas konsultācijas ar Beļģijas Valsts bankas Centrālo privātpersonu kredītu reģistru ir pamatotas ar nolūkiem, kas izklāstīti 6. panta 1. punktā 2018. gada 25. oktobra Karaļa dekrētā par kārtību, kādā rīko azartspēles un derības, izmantojot informācijas sabiedrības pakalpojumus.</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2. pants.</w:t>
            </w:r>
            <w:r>
              <w:rPr>
                <w:rFonts w:ascii="Calibri" w:hAnsi="Calibri"/>
                <w:sz w:val="24"/>
              </w:rPr>
              <w:t xml:space="preserve"> Beļģijas Valsts banka nosaka tehniskās procedūras, kas nepieciešamas, lai Azartspēļu komisija varētu konsultēties ar Beļģijas Valsts bankas Centrālo privātpersonu kredītu reģistru.</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3. pants.</w:t>
            </w:r>
            <w:r>
              <w:rPr>
                <w:rFonts w:ascii="Calibri" w:hAnsi="Calibri"/>
                <w:sz w:val="24"/>
              </w:rPr>
              <w:t xml:space="preserve"> 1. punkts. To spēlētāju identifikācijas informācija, kuri pieprasa palielināt savu azartspēļu robežsummu saskaņā ar Karaļa 2018. gada 25. oktobra dekrēta par kārtību, kādā rīko azartspēles un derības, izmantojot informācijas sabiedrības pakalpojumus, 6. panta 1. punkta 1. apakšpunkta b) punktu, var tikt nodota Beļģijas Valsts bankai, lai Centrālā privātpersonu kredītu reģistra ierakstos pārbaudītu informāciju par to, vai spēlētājam nav kādas neizpildītas maksājumu saistības Ekonomikas tiesību kodeksa VII.148. panta nozīmē.</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Pirmajā daļā minētajā identifikācijas informācijā ietilpst:</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spēlētāja valsts reģistrācijas numurs, ja tas licences turētājam ir zināms;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ja licences turētājam nav zināms spēlētāja valsts reģistrācijas numurs, tad spēlētāja uzvārds, vārds un dzimšanas datums.</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Dati par reģistrētajiem aizdevumiem netiek sniegti.</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punkts. Spēlētāja valsts reģistrācijas numuru izmanto vienīgi tam, lai, balstoties uz Centrālā privātpersonu kredītu reģistra datiem, noskaidrotu, vai spēlētājs ir pildījis savas maksājumu saistības.</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2018. gada 25. oktobra Karaļa dekrēta par kārtību, kādā rīko azartspēles un derības, izmantojot informācijas sabiedrības pakalpojumus, 6. panta 1. punktā minēto mērķu dēļ Azartspēļu komisija ir tiesīga izmantot valsts reģistrācijas numuru kā meklēšanas kritēriju Beļģijas Valsts bankas Centrālajā privātpersonu kredītu reģistrā.</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Kad Azartspēļu komisijā tiek iesniegts pieprasījums palielināt spēlētāja spēlēs iztērējamās naudas summas ierobežojumu, A+, B+ vai F1+ klases licenču turētājiem ir jānoskaidro spēlētāja valsts reģistrācijas numurs un jānodod šī informācija Azartspēļu komisijai.</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4. pants.</w:t>
            </w:r>
            <w:r>
              <w:rPr>
                <w:rFonts w:ascii="Calibri" w:hAnsi="Calibri"/>
                <w:sz w:val="24"/>
              </w:rPr>
              <w:t xml:space="preserve"> Azartspēļu komisija glabā 3. pantā minēto valsts reģistrācijas numuru vai spēlētāja identifikācijas datus tik ilgi, cik nepieciešams tās ikmēneša pārbaudes veikšanai, ja ir nepieciešams saglabāt atļauju spēlēs iztērējamās naudas summas ierobežojumu palielināšanai.</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Azartspēļu komisija dzēš 3. pantā minētos identifikācijas datus, ja tiešsaistes spēlētāja konta azartspēļu robežsumma tiek samazināta līdz 200 EUR vai mazāk vai ja tiešsaistes spēlētāja konts tiek dzēsts.</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962E0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5. pants.</w:t>
            </w:r>
            <w:r>
              <w:rPr>
                <w:rFonts w:ascii="Calibri" w:hAnsi="Calibri"/>
                <w:sz w:val="24"/>
              </w:rPr>
              <w:t xml:space="preserve"> 1. punkts. Azartspēļu komisija izveido reģistra ierakstus par konsultācijām ar Beļģijas </w:t>
            </w:r>
            <w:r>
              <w:rPr>
                <w:rFonts w:ascii="Calibri" w:hAnsi="Calibri"/>
                <w:sz w:val="24"/>
              </w:rPr>
              <w:lastRenderedPageBreak/>
              <w:t>Valsts bankas Centrālo privātpersonu kredītu reģistru.</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Šos konsultāciju reģistra ierakstus izmanto, lai fiksētu:</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konsultācijas datumu un laiku;</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individuālā lietotāja identifikāciju vai, ja tāda nav, procesu vai sistēmu, kas piekļuvusi datiem;</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pieprasījuma veidu;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konsultācijas nolūku.</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punkts. Beļģijas Valsts banka izveido reģistra ierakstus, lai fiksētu:</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to lietotāju, kurš ir piekļuvis vai saņēmis informāciju par datiem;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iesniegtā pieprasījuma veidu;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konsultācijas vai paziņojuma datumu un laiku.</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punkts. Azartspēļu komisija un Beļģijas Valsts banka veic attiecīgus pasākumus, lai nodrošinātu reģistra ierakstu drošumu un jo īpaši novērstu to neatļautu apstrādi un nodrošinātu apstrādāto datu integritāti.</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Reģistra ierakstus glabā piecus gadus kopš dienas, kad notikusi konsultācija.</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Datu aizsardzības iestāde glabā un pēc pirmā pieprasījuma dara pieejamus Azartspēļu komisijas reģistru ierakstus.</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6. pants. </w:t>
            </w:r>
            <w:r>
              <w:rPr>
                <w:rFonts w:ascii="Calibri" w:hAnsi="Calibri"/>
                <w:sz w:val="24"/>
              </w:rPr>
              <w:t>Azartspēļu komisijas pilnvaroti darbinieki, kuru pienākumu pildīšanai nepieciešama piekļuve Beļģijas Valsts bankas Centrālajam privātpersonu kredītu reģistram, var piekļūt vienīgi informācijai par spēlētāja neizpildītajām maksājumu saistībām Ekonomikas tiesību kodeksa VII.148. panta nozīmē, par autentifikācijas metodi izmantojot elektronisko identifikācijas karti, un to var veikt vai nu pēc Azartspēļu komisijas, vai Beļģijas Valsts bankas pieprasījuma.</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Azartspēļu komisija pēc pirmā pieprasījuma informē Beļģijas Valsts banku vai Datu aizsardzības iestādi par tā darbinieka identitāti, kurš ir konsultējies vai ieguvis informāciju par pirmajā daļā minētajiem personas datiem.</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7. pants.</w:t>
            </w:r>
            <w:r>
              <w:rPr>
                <w:rFonts w:ascii="Calibri" w:hAnsi="Calibri"/>
                <w:sz w:val="24"/>
              </w:rPr>
              <w:t xml:space="preserve"> Azartspēļu komisija Beļģijas Valsts bankas Centrālā privātpersonu kredītu reģistra izsniegto informāciju glabā tik ilgi, cik nepieciešams, lai veiktu uzdevumus, kas minēti 6. panta 1. punktā Karaļa 2018. gada 25. oktobra dekrētā par kārtību, kādā rīko azartspēles un derības, izmantojot informācijas sabiedrības pakalpojumus.</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8. pants.</w:t>
            </w:r>
            <w:r>
              <w:rPr>
                <w:rFonts w:ascii="Calibri" w:hAnsi="Calibri"/>
                <w:sz w:val="24"/>
              </w:rPr>
              <w:t xml:space="preserve"> Izmaksas, kas saistītas ar Beļģijas Valsts bankas Centrālo privātpersonu kredītu reģistra konsultēšanu, pilnā apmērā sedz no Azartspēļu komisijas līdzekļiem, kā noteikts 19. panta 2. punktā 1999. gada 7. maija Likumā par azartspēlēm, derībām, azartspēļu iestādēm un spēlētāju </w:t>
            </w:r>
            <w:r>
              <w:rPr>
                <w:rFonts w:ascii="Calibri" w:hAnsi="Calibri"/>
                <w:sz w:val="24"/>
              </w:rPr>
              <w:lastRenderedPageBreak/>
              <w:t>aizsardzību.</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lastRenderedPageBreak/>
              <w:br w:type="page"/>
            </w:r>
            <w:r>
              <w:br w:type="page"/>
            </w:r>
            <w:r>
              <w:rPr>
                <w:rFonts w:ascii="Calibri" w:hAnsi="Calibri"/>
                <w:b/>
                <w:sz w:val="24"/>
              </w:rPr>
              <w:t>II NODAĻA. Grozījumi 2018. gada 25. oktobra Karaļa dekrētā par kārtību, kādā rīko azartspēles un derības, izmantojot informācijas sabiedrības pakalpojumus</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9. pants. </w:t>
            </w:r>
            <w:r>
              <w:rPr>
                <w:rFonts w:ascii="Calibri" w:hAnsi="Calibri"/>
                <w:sz w:val="24"/>
              </w:rPr>
              <w:t>Karaļa 2018. gada 25. oktobra dekrēta par kārtību, kādā rīko azartspēles un derības, izmantojot informācijas sabiedrības pakalpojumus, 6. panta 1. punkta 1. apakšpunkta a) punktā skaitli “500” aizstāj ar skaitli “200” un svītro vārdkopu “attiecībā uz visām azartspēlēm un derībām, kurās tas piedalās”.</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III nodaļa. Stāšanās spēkā un pārejas noteikumi</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10. pants.</w:t>
            </w:r>
            <w:r>
              <w:rPr>
                <w:rFonts w:ascii="Calibri" w:hAnsi="Calibri"/>
                <w:snapToGrid w:val="0"/>
                <w:sz w:val="24"/>
              </w:rPr>
              <w:t xml:space="preserve"> Šis dekrēts stājas spēkā trīs mēnešus pēc tā publicēšanas Beļģijas Oficiālajā Vēstnesī.</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11. pants.</w:t>
            </w:r>
            <w:r>
              <w:rPr>
                <w:rFonts w:ascii="Calibri" w:hAnsi="Calibri"/>
                <w:sz w:val="24"/>
              </w:rPr>
              <w:t xml:space="preserve"> No šā dekrēta stāšanās spēkā dienas azartspēļu robežsumma visiem spēlētāju kontiem tiek noteikta 200 EUR apmērā saskaņā ar šā dekrēta 9. pantu.</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IV NODAĻA. Nobeiguma noteikumi</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12. pants.</w:t>
            </w:r>
            <w:r>
              <w:rPr>
                <w:rFonts w:ascii="Calibri" w:hAnsi="Calibri"/>
                <w:sz w:val="24"/>
              </w:rPr>
              <w:t xml:space="preserve"> Ekonomikas ministrs, finanšu ministrs, sabiedrības veselības ministrs, tieslietu ministrs, iekšlietu ministrs un valsts sekretārs Valsts loterijas jautājumos ir individuāli atbildīgi par šā dekrēta īstenošanu.</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Briselē, 2022. gada 19. jūnijā</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Karaļa FILIPA</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vārdā —</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ekonomikas ministrs</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i/>
                <w:iCs/>
                <w:sz w:val="24"/>
              </w:rPr>
              <w:t>P-Y DERMAGNE</w:t>
            </w:r>
            <w:r>
              <w:rPr>
                <w:rFonts w:ascii="Calibri" w:hAnsi="Calibri"/>
                <w:sz w:val="24"/>
              </w:rPr>
              <w:t>,</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finanšu ministrs</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i/>
                <w:iCs/>
                <w:sz w:val="24"/>
              </w:rPr>
              <w:t>V. VAN PETEGHEM</w:t>
            </w:r>
            <w:r>
              <w:rPr>
                <w:rFonts w:ascii="Calibri" w:hAnsi="Calibri"/>
                <w:sz w:val="24"/>
              </w:rPr>
              <w:t>,</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sabiedrības veselības ministrs</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i/>
                <w:iCs/>
                <w:sz w:val="24"/>
              </w:rPr>
              <w:t>F. VANDENBROUCKE</w:t>
            </w:r>
            <w:r>
              <w:rPr>
                <w:rFonts w:ascii="Calibri" w:hAnsi="Calibri"/>
                <w:sz w:val="24"/>
              </w:rPr>
              <w:t>,</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tieslietu ministrs</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i/>
                <w:iCs/>
                <w:sz w:val="24"/>
              </w:rPr>
              <w:t>V. VAN QUICKENBORNE</w:t>
            </w:r>
            <w:r>
              <w:rPr>
                <w:rFonts w:ascii="Calibri" w:hAnsi="Calibri"/>
                <w:sz w:val="24"/>
              </w:rPr>
              <w:t>,</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iekšlietu ministre</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i/>
                <w:iCs/>
                <w:sz w:val="24"/>
              </w:rPr>
              <w:t>A. VERLINDEN</w:t>
            </w:r>
            <w:r>
              <w:rPr>
                <w:rFonts w:ascii="Calibri" w:hAnsi="Calibri"/>
                <w:sz w:val="24"/>
              </w:rPr>
              <w:t>,</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valsts sekretārs Nacionālās loterijas jautājumos</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i/>
                <w:iCs/>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35716E"/>
    <w:rsid w:val="004D2175"/>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5507</Words>
  <Characters>35025</Characters>
  <Application>Microsoft Office Word</Application>
  <DocSecurity>0</DocSecurity>
  <Lines>700</Lines>
  <Paragraphs>266</Paragraphs>
  <ScaleCrop>false</ScaleCrop>
  <Company>FOD Justitie / SPF Justice</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2022-11-03T13:27:00Z</dcterms:created>
  <dcterms:modified xsi:type="dcterms:W3CDTF">2022-11-03T13:27:00Z</dcterms:modified>
</cp:coreProperties>
</file>