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 xml:space="preserve">7. ledna 2021</w:t>
      </w:r>
      <w:r>
        <w:tab/>
      </w:r>
      <w:r>
        <w:t xml:space="preserve">Nařízení č. 19</w:t>
      </w:r>
    </w:p>
    <w:p w14:paraId="1C495F9E" w14:textId="3C7F2203" w:rsidR="00AF1E99" w:rsidRPr="003342A9" w:rsidRDefault="00AF1E99" w:rsidP="00E727FB">
      <w:pPr>
        <w:tabs>
          <w:tab w:val="left" w:pos="6210"/>
        </w:tabs>
        <w:rPr>
          <w:szCs w:val="28"/>
        </w:rPr>
      </w:pPr>
      <w:r>
        <w:t xml:space="preserve">V Rize</w:t>
      </w:r>
      <w:r>
        <w:tab/>
      </w:r>
      <w:r>
        <w:t xml:space="preserve">(č.j. 2 § 27)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Nařízení o rostlinách a částech rostlin, které je zakázáno používat v potravinách</w:t>
      </w:r>
      <w:r>
        <w:rPr>
          <w:b/>
        </w:rPr>
        <w:t xml:space="preserve">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Vydáno v souladu s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čl. 4 odst. 18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zákona o dohledu nad manipulací s potravinami</w:t>
      </w:r>
      <w:r>
        <w:t xml:space="preserve">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 xml:space="preserve">1.</w:t>
      </w:r>
      <w:r>
        <w:rPr>
          <w:color w:val="000000"/>
        </w:rPr>
        <w:t xml:space="preserve"> </w:t>
      </w:r>
      <w:r>
        <w:rPr>
          <w:color w:val="000000"/>
        </w:rPr>
        <w:t xml:space="preserve">Nařízením se stanoví</w:t>
      </w:r>
      <w:r>
        <w:t xml:space="preserve"> rostliny a části rostlin, které je zakázáno používat v potravinách, jak je stanoveno v příloze tohoto nařízení.</w:t>
      </w:r>
      <w:r>
        <w:t xml:space="preserve">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 xml:space="preserve">2.</w:t>
      </w:r>
      <w:r>
        <w:rPr>
          <w:color w:val="000000" w:themeColor="text1"/>
        </w:rPr>
        <w:t xml:space="preserve"> </w:t>
      </w:r>
      <w:r>
        <w:rPr>
          <w:color w:val="000000" w:themeColor="text1"/>
          <w:shd w:val="clear" w:color="auto" w:fill="FFFFFF"/>
        </w:rPr>
        <w:t xml:space="preserve">Potraviny legálně uváděné na trh v jiném </w:t>
      </w:r>
      <w:r>
        <w:rPr>
          <w:color w:val="000000" w:themeColor="text1"/>
          <w:rStyle w:val="highlight"/>
        </w:rPr>
        <w:t xml:space="preserve">členský stát Evropské unie nebo v Turecku</w:t>
      </w:r>
      <w:r>
        <w:rPr>
          <w:color w:val="000000" w:themeColor="text1"/>
          <w:shd w:val="clear" w:color="auto" w:fill="FFFFFF"/>
        </w:rPr>
        <w:t xml:space="preserve"> nebo pocházející z jedné ze zemí Evropského sdružení volného obchodu, které jsou smluvní stranou Dohody o Evropském hospodářském prostoru a jsou v souladu s tímto právem uváděny na trh, mohou být distribuovány na lotyšském trhu s výhradou přímo použitelných právních předpisů Evropské unie o vzájemném uznávání zboží.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 xml:space="preserve">Odkazy na směrnici Evropské unie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 xml:space="preserve">Právní ustanovení je nutné dohodnout s Evropskou komisí a členskými státy Evropské unie v souladu se směrnicí Evropského parlamentu a Rady (EU) 2015/1535 ze dne 9. září 2015 o postupu při poskytování informací v oblasti technických předpisů a předpisů pro služby informační společnosti.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sz w:val="28"/>
          <w:color w:val="auto"/>
          <w:rFonts w:ascii="Times New Roman" w:hAnsi="Times New Roman"/>
        </w:rPr>
        <w:t xml:space="preserve">Předseda vlády</w:t>
      </w:r>
      <w:r>
        <w:rPr>
          <w:sz w:val="28"/>
          <w:color w:val="auto"/>
          <w:rFonts w:ascii="Times New Roman" w:hAnsi="Times New Roman"/>
        </w:rPr>
        <w:tab/>
      </w:r>
      <w:r>
        <w:rPr>
          <w:sz w:val="28"/>
          <w:rFonts w:ascii="Times New Roman" w:hAnsi="Times New Roman"/>
        </w:rPr>
        <w:t xml:space="preserve">A. </w:t>
      </w:r>
      <w:r>
        <w:rPr>
          <w:sz w:val="28"/>
          <w:color w:val="auto"/>
          <w:rFonts w:ascii="Times New Roman" w:hAnsi="Times New Roman"/>
        </w:rPr>
        <w:t xml:space="preserve">K. Kariņš</w:t>
      </w:r>
    </w:p>
    <w:p w14:paraId="229806FC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3D50C5C4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5EBFD056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Ministr zemědělství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Příloha</w:t>
      </w:r>
      <w:r>
        <w:t xml:space="preserve">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nařízení kabinetu</w:t>
      </w:r>
      <w:r>
        <w:t xml:space="preserve">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Č. 19 ze dne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7. ledna 2021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 xml:space="preserve">Rostliny a části rostlin, které je zakázáno používat v potravinách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č.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Název rostliny v češtině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Botanický název rostliny v latině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Rostlina nebo část rostliny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Hlaváček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Palma areková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 xml:space="preserve">Celá rostlina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Podražec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Prha horská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Arnica montana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Prha léčivá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Celá rostlina</w:t>
            </w:r>
            <w:r>
              <w:rPr>
                <w:sz w:val="24"/>
                <w:b/>
                <w:color w:val="FF0000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Merlík (dysphania anthelmintica)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color w:val="000000" w:themeColor="text1"/>
                <w:sz w:val="24"/>
                <w:i/>
              </w:rPr>
              <w:t xml:space="preserve">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Babtisie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Lilek potměchuť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Rulík zlomocný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i/>
                <w:color w:val="000000" w:themeColor="text1"/>
              </w:rPr>
              <w:t xml:space="preserve">Atropa </w:t>
            </w:r>
            <w:r>
              <w:rPr>
                <w:sz w:val="24"/>
                <w:i/>
              </w:rPr>
              <w:t xml:space="preserve">belladonna</w:t>
            </w:r>
            <w:r>
              <w:rPr>
                <w:sz w:val="24"/>
              </w:rPr>
              <w:t xml:space="preserve"> L.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Celá rostlina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Dymnivka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Vraní oko čtyřlisté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Pryšec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Difenbachie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Blín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Chvojník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131413"/>
                <w:sz w:val="24"/>
                <w:i/>
              </w:rPr>
              <w:t xml:space="preserve"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Durmanovec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Brugmansia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Hasivka orličí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Líčidlo americké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Řebčík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Jasmínovec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Gelsemium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Otočník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Uragoga pravá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Panama ipecac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Cephaelis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Karst., syn. </w:t>
            </w:r>
            <w:r>
              <w:rPr>
                <w:color w:val="000000" w:themeColor="text1"/>
                <w:sz w:val="24"/>
                <w:i/>
              </w:rPr>
              <w:t xml:space="preserve">Uragoga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O. Kuntze, </w:t>
            </w:r>
            <w:r>
              <w:rPr>
                <w:color w:val="000000" w:themeColor="text1"/>
                <w:sz w:val="24"/>
                <w:i/>
              </w:rPr>
              <w:t xml:space="preserve"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Kořen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Uragoga brazilská;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Brazilian ipecac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Cephaelis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A. Rich. syn. </w:t>
            </w:r>
            <w:r>
              <w:rPr>
                <w:color w:val="000000" w:themeColor="text1"/>
                <w:sz w:val="24"/>
                <w:i/>
              </w:rPr>
              <w:t xml:space="preserve">Uragoga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Baill., </w:t>
            </w:r>
            <w:r>
              <w:rPr>
                <w:color w:val="000000" w:themeColor="text1"/>
                <w:sz w:val="24"/>
                <w:i/>
              </w:rPr>
              <w:t xml:space="preserve">Psychotria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Muell, Arg.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(auch Stokes)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Kořen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Cesmína ostrolistá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Listy, plody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Bujarník johimbe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rStyle w:val="italics"/>
              </w:rPr>
              <w:t xml:space="preserve">Pausinystalia yohimbe</w:t>
            </w:r>
            <w:r>
              <w:rPr>
                <w:color w:val="000000" w:themeColor="text1"/>
                <w:sz w:val="24"/>
                <w:i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Kůra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Barvínek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Kroton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Barvínkovec růžový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Catharanthus roseus</w:t>
            </w:r>
            <w:r>
              <w:rPr>
                <w:color w:val="000000" w:themeColor="text1"/>
                <w:sz w:val="24"/>
              </w:rPr>
              <w:t xml:space="preserve"> (L.) G.Don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Konvalinka vonná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Starček přímětník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Kopytník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Celá rostlina</w:t>
            </w:r>
            <w:r>
              <w:rPr>
                <w:sz w:val="24"/>
                <w:color w:val="FF0000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Oměj vlčí mor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Lobelka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Mandragora lékařská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Lunoplod kanadský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Plody, kořen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Kokořík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Sametové fazole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Mucuna pruriens</w:t>
            </w:r>
            <w:r>
              <w:rPr>
                <w:color w:val="000000" w:themeColor="text1"/>
                <w:sz w:val="24"/>
              </w:rPr>
              <w:t xml:space="preserve"> (L.) DC., syn. </w:t>
            </w:r>
            <w:r>
              <w:rPr>
                <w:color w:val="000000" w:themeColor="text1"/>
                <w:sz w:val="24"/>
                <w:i/>
              </w:rPr>
              <w:t xml:space="preserve">Stizolobium pruriens</w:t>
            </w:r>
            <w:r>
              <w:rPr>
                <w:color w:val="000000" w:themeColor="text1"/>
                <w:sz w:val="24"/>
              </w:rPr>
              <w:t xml:space="preserve"> (L.) Medik.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Lilek černý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Solanum nigrum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Oleandr obecný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Orlíček obecný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Celá rostlina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Kapraď samec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Dryopteris filix-mas</w:t>
            </w:r>
            <w:r>
              <w:rPr>
                <w:color w:val="000000" w:themeColor="text1"/>
                <w:sz w:val="24"/>
              </w:rPr>
              <w:t xml:space="preserve"> (L.) Schott, syn. </w:t>
            </w:r>
            <w:r>
              <w:rPr>
                <w:color w:val="000000" w:themeColor="text1"/>
                <w:sz w:val="24"/>
                <w:i/>
              </w:rPr>
              <w:t xml:space="preserve">Aspidium filix-mas</w:t>
            </w:r>
            <w:r>
              <w:rPr>
                <w:color w:val="000000" w:themeColor="text1"/>
                <w:sz w:val="24"/>
              </w:rPr>
              <w:t xml:space="preserve"> (L.) Sw., </w:t>
            </w:r>
            <w:r>
              <w:rPr>
                <w:color w:val="000000" w:themeColor="text1"/>
                <w:sz w:val="24"/>
                <w:i/>
              </w:rPr>
              <w:t xml:space="preserve">Lastrea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  <w:i/>
              </w:rPr>
              <w:t xml:space="preserve">filix-mas</w:t>
            </w:r>
            <w:r>
              <w:rPr>
                <w:color w:val="000000" w:themeColor="text1"/>
                <w:sz w:val="24"/>
              </w:rPr>
              <w:t xml:space="preserve"> (L.) Presl., </w:t>
            </w:r>
            <w:r>
              <w:rPr>
                <w:color w:val="000000" w:themeColor="text1"/>
                <w:sz w:val="24"/>
                <w:i/>
              </w:rPr>
              <w:t xml:space="preserve">Polypodium filix-mas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Mrštnoplod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Pilocarpus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Piscidie mámivá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Piscidia piscipula</w:t>
            </w:r>
            <w:r>
              <w:rPr>
                <w:color w:val="000000" w:themeColor="text1"/>
                <w:sz w:val="24"/>
              </w:rPr>
              <w:t xml:space="preserve"> (L.) Sarg., syn. </w:t>
            </w:r>
            <w:r>
              <w:rPr>
                <w:color w:val="000000" w:themeColor="text1"/>
                <w:sz w:val="24"/>
                <w:i/>
              </w:rPr>
              <w:t xml:space="preserve">Piscidia erythrina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Zmijovnice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Kašťa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Posed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Vlákeň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bCs/>
                <w:iCs/>
                <w:color w:val="000000" w:themeColor="text1"/>
                <w:sz w:val="24"/>
                <w:szCs w:val="24"/>
                <w:rFonts w:eastAsia="Calibri"/>
              </w:rPr>
            </w:pPr>
            <w:r>
              <w:rPr>
                <w:color w:val="000000" w:themeColor="text1"/>
                <w:sz w:val="24"/>
                <w:i/>
              </w:rPr>
              <w:t xml:space="preserve"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Kulčiba dávivá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Krutikvět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Kohoš žluťochovitý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color w:val="000000" w:themeColor="text1"/>
                <w:sz w:val="24"/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Bolehlav plamatý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Kostival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Zerav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Urginea přímořská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Cibulky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Náprstník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Durman obecný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Datura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Kýchavice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Ocún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Sasanka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Lýkovec jedovatý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Štědřenec odvislý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Laburnum anagyroides</w:t>
            </w:r>
            <w:r>
              <w:rPr>
                <w:color w:val="000000" w:themeColor="text1"/>
                <w:sz w:val="24"/>
              </w:rPr>
              <w:t xml:space="preserve"> Medik. syn. </w:t>
            </w:r>
            <w:r>
              <w:rPr>
                <w:color w:val="000000" w:themeColor="text1"/>
                <w:sz w:val="24"/>
                <w:i/>
              </w:rPr>
              <w:t xml:space="preserve">Cytisus laburnum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Celá rostlina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Ministr zemědělství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F700" w14:textId="77777777" w:rsidR="00E340AE" w:rsidRDefault="00E340AE" w:rsidP="004B3C2F">
      <w:r>
        <w:separator/>
      </w:r>
    </w:p>
  </w:endnote>
  <w:endnote w:type="continuationSeparator" w:id="0">
    <w:p w14:paraId="66D68A6A" w14:textId="77777777" w:rsidR="00E340AE" w:rsidRDefault="00E340AE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71B3" w14:textId="77777777" w:rsidR="00E340AE" w:rsidRDefault="00E340AE" w:rsidP="004B3C2F">
      <w:r>
        <w:separator/>
      </w:r>
    </w:p>
  </w:footnote>
  <w:footnote w:type="continuationSeparator" w:id="0">
    <w:p w14:paraId="6907ADB8" w14:textId="77777777" w:rsidR="00E340AE" w:rsidRDefault="00E340AE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7</cp:revision>
  <cp:lastPrinted>2020-12-17T08:29:00Z</cp:lastPrinted>
  <dcterms:created xsi:type="dcterms:W3CDTF">2021-01-28T10:51:00Z</dcterms:created>
  <dcterms:modified xsi:type="dcterms:W3CDTF">2021-08-27T14:16:00Z</dcterms:modified>
  <cp:category/>
</cp:coreProperties>
</file>