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4A68F0" w:rsidRDefault="004A68F0" w:rsidP="004A68F0">
      <w:pPr>
        <w:pStyle w:val="PlainText"/>
        <w:ind w:left="1418"/>
        <w:jc w:val="center"/>
        <w:rPr>
          <w:rStyle w:val="BodyTextChar"/>
          <w:rFonts w:ascii="Courier New" w:hAnsi="Courier New" w:cs="Courier New"/>
          <w:lang/>
        </w:rPr>
      </w:pPr>
      <w:r>
        <w:rPr>
          <w:rStyle w:val="BodyTextChar"/>
          <w:rFonts w:ascii="Courier New" w:hAnsi="Courier New"/>
        </w:rPr>
        <w:t xml:space="preserve">1. </w:t>
      </w:r>
      <w:r>
        <w:rPr>
          <w:rStyle w:val="BodyTextChar"/>
          <w:rFonts w:ascii="Courier New" w:hAnsi="Courier New"/>
        </w:rPr>
        <w:t>------IND- 2018 0094 I-- EN- ------ 20180326 --- --- PROJET</w:t>
      </w:r>
    </w:p>
    <w:p w:rsidR="00952519" w:rsidRPr="00116744" w:rsidRDefault="00952519" w:rsidP="00B310BB">
      <w:pPr>
        <w:jc w:val="center"/>
        <w:rPr>
          <w:rFonts w:ascii="Times New Roman" w:hAnsi="Times New Roman" w:cs="Times New Roman"/>
          <w:sz w:val="28"/>
          <w:szCs w:val="28"/>
        </w:rPr>
      </w:pPr>
      <w:r>
        <w:rPr>
          <w:rFonts w:ascii="Times New Roman" w:hAnsi="Times New Roman"/>
          <w:sz w:val="28"/>
        </w:rPr>
        <w:t>DECREE</w:t>
      </w:r>
    </w:p>
    <w:p w:rsidR="00BF7796" w:rsidRPr="00116744" w:rsidRDefault="009E4D53" w:rsidP="00BF7796">
      <w:pPr>
        <w:jc w:val="center"/>
        <w:rPr>
          <w:rFonts w:ascii="Times New Roman" w:hAnsi="Times New Roman" w:cs="Times New Roman"/>
          <w:b/>
          <w:sz w:val="24"/>
          <w:szCs w:val="24"/>
        </w:rPr>
      </w:pPr>
      <w:r>
        <w:rPr>
          <w:rFonts w:ascii="Times New Roman" w:hAnsi="Times New Roman"/>
          <w:b/>
          <w:sz w:val="24"/>
        </w:rPr>
        <w:t xml:space="preserve">Implementing Article 157(3) of Legislative Decree No 230 of 17 March 1995, as amended, laying down implementation methods, the contents of radiometric monitoring certificates and a list of the semi-finished metal products subject to radiometric monitoring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AB0F43" w:rsidRPr="00116744" w:rsidRDefault="00AB0F43" w:rsidP="00BF7796">
      <w:pPr>
        <w:jc w:val="center"/>
        <w:rPr>
          <w:rFonts w:ascii="Times New Roman" w:hAnsi="Times New Roman" w:cs="Times New Roman"/>
          <w:b/>
          <w:sz w:val="24"/>
          <w:szCs w:val="24"/>
        </w:rPr>
      </w:pPr>
    </w:p>
    <w:p w:rsidR="000501D0" w:rsidRPr="00116744" w:rsidRDefault="00B310BB" w:rsidP="000501D0">
      <w:pPr>
        <w:jc w:val="center"/>
        <w:rPr>
          <w:rFonts w:ascii="Times New Roman" w:hAnsi="Times New Roman" w:cs="Times New Roman"/>
          <w:sz w:val="24"/>
          <w:szCs w:val="24"/>
        </w:rPr>
      </w:pPr>
      <w:r>
        <w:rPr>
          <w:rFonts w:ascii="Times New Roman" w:hAnsi="Times New Roman"/>
          <w:sz w:val="24"/>
        </w:rPr>
        <w:t>THE MINISTER FOR ECONOMIC DEVELOPMENT</w:t>
      </w:r>
    </w:p>
    <w:p w:rsidR="00AB0F43" w:rsidRPr="00116744" w:rsidRDefault="00B310BB" w:rsidP="00AB0F43">
      <w:pPr>
        <w:jc w:val="center"/>
        <w:rPr>
          <w:rFonts w:ascii="Times New Roman" w:hAnsi="Times New Roman" w:cs="Times New Roman"/>
          <w:sz w:val="24"/>
          <w:szCs w:val="24"/>
        </w:rPr>
      </w:pPr>
      <w:r>
        <w:rPr>
          <w:rFonts w:ascii="Times New Roman" w:hAnsi="Times New Roman"/>
          <w:sz w:val="24"/>
        </w:rPr>
        <w:t xml:space="preserve">IN AGREEMENT WITH </w:t>
      </w:r>
    </w:p>
    <w:p w:rsidR="00AB0F43" w:rsidRPr="00116744" w:rsidRDefault="001B3A1F" w:rsidP="00AB0F43">
      <w:pPr>
        <w:jc w:val="center"/>
        <w:rPr>
          <w:rFonts w:ascii="Times New Roman" w:hAnsi="Times New Roman" w:cs="Times New Roman"/>
          <w:sz w:val="24"/>
          <w:szCs w:val="24"/>
        </w:rPr>
      </w:pPr>
      <w:r>
        <w:rPr>
          <w:rFonts w:ascii="Times New Roman" w:hAnsi="Times New Roman"/>
          <w:sz w:val="24"/>
        </w:rPr>
        <w:t>THE STATE SECRETARY FOR EUROPEAN AFFAIRS</w:t>
      </w:r>
    </w:p>
    <w:p w:rsidR="00AB0F43" w:rsidRPr="00116744" w:rsidRDefault="001B3A1F" w:rsidP="00AB0F43">
      <w:pPr>
        <w:jc w:val="center"/>
        <w:rPr>
          <w:rFonts w:ascii="Times New Roman" w:hAnsi="Times New Roman" w:cs="Times New Roman"/>
          <w:sz w:val="24"/>
          <w:szCs w:val="24"/>
        </w:rPr>
      </w:pPr>
      <w:r>
        <w:rPr>
          <w:rFonts w:ascii="Times New Roman" w:hAnsi="Times New Roman"/>
          <w:sz w:val="24"/>
        </w:rPr>
        <w:t>THE MINISTER FOR HEALTH</w:t>
      </w:r>
    </w:p>
    <w:p w:rsidR="001B3A1F" w:rsidRPr="00116744" w:rsidRDefault="001B3A1F" w:rsidP="00AB0F43">
      <w:pPr>
        <w:jc w:val="center"/>
        <w:rPr>
          <w:rFonts w:ascii="Times New Roman" w:hAnsi="Times New Roman" w:cs="Times New Roman"/>
          <w:sz w:val="24"/>
          <w:szCs w:val="24"/>
        </w:rPr>
      </w:pPr>
      <w:r>
        <w:rPr>
          <w:rFonts w:ascii="Times New Roman" w:hAnsi="Times New Roman"/>
          <w:sz w:val="24"/>
        </w:rPr>
        <w:t xml:space="preserve">THE MINISTER OF THE ENVIRONMENT AND PROTECTION OF LAND AND SEA </w:t>
      </w:r>
    </w:p>
    <w:p w:rsidR="00AB0F43" w:rsidRPr="00116744" w:rsidRDefault="001B3A1F" w:rsidP="00AB0F43">
      <w:pPr>
        <w:jc w:val="center"/>
        <w:rPr>
          <w:rFonts w:ascii="Times New Roman" w:hAnsi="Times New Roman" w:cs="Times New Roman"/>
          <w:sz w:val="24"/>
          <w:szCs w:val="24"/>
        </w:rPr>
      </w:pPr>
      <w:r>
        <w:rPr>
          <w:rFonts w:ascii="Times New Roman" w:hAnsi="Times New Roman"/>
          <w:sz w:val="24"/>
        </w:rPr>
        <w:t>THE MINISTER FOR LABOUR AND SOCIAL POLICIES</w:t>
      </w:r>
    </w:p>
    <w:p w:rsidR="00AB0F43" w:rsidRPr="00116744" w:rsidRDefault="001B3A1F" w:rsidP="00AB0F43">
      <w:pPr>
        <w:jc w:val="center"/>
        <w:rPr>
          <w:rFonts w:ascii="Times New Roman" w:hAnsi="Times New Roman" w:cs="Times New Roman"/>
          <w:sz w:val="24"/>
          <w:szCs w:val="24"/>
        </w:rPr>
      </w:pPr>
      <w:r>
        <w:rPr>
          <w:rFonts w:ascii="Times New Roman" w:hAnsi="Times New Roman"/>
          <w:sz w:val="24"/>
        </w:rPr>
        <w:t>THE MINISTER FOR THE INTERIOR</w:t>
      </w:r>
    </w:p>
    <w:p w:rsidR="00AB0F43" w:rsidRPr="00116744" w:rsidRDefault="001B3A1F" w:rsidP="00AB0F43">
      <w:pPr>
        <w:jc w:val="center"/>
        <w:rPr>
          <w:rFonts w:ascii="Times New Roman" w:hAnsi="Times New Roman" w:cs="Times New Roman"/>
          <w:sz w:val="24"/>
          <w:szCs w:val="24"/>
        </w:rPr>
      </w:pPr>
      <w:r>
        <w:rPr>
          <w:rFonts w:ascii="Times New Roman" w:hAnsi="Times New Roman"/>
          <w:sz w:val="24"/>
        </w:rPr>
        <w:t>THE MINISTER FOR THE ECONOMY AND FINANCE</w:t>
      </w:r>
    </w:p>
    <w:p w:rsidR="00B310BB" w:rsidRPr="00116744" w:rsidRDefault="001B3A1F" w:rsidP="00AB0F43">
      <w:pPr>
        <w:jc w:val="center"/>
        <w:rPr>
          <w:rFonts w:ascii="Times New Roman" w:hAnsi="Times New Roman" w:cs="Times New Roman"/>
          <w:sz w:val="24"/>
          <w:szCs w:val="24"/>
        </w:rPr>
      </w:pPr>
      <w:r>
        <w:rPr>
          <w:rFonts w:ascii="Times New Roman" w:hAnsi="Times New Roman"/>
          <w:sz w:val="24"/>
        </w:rPr>
        <w:t>THE MINISTER FOR INFRASTRUCTURE AND TRANSPORT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310BB" w:rsidRPr="00116744" w:rsidRDefault="00B310BB" w:rsidP="00C213BF">
      <w:pPr>
        <w:jc w:val="both"/>
        <w:rPr>
          <w:rFonts w:ascii="Times New Roman" w:hAnsi="Times New Roman" w:cs="Times New Roman"/>
          <w:sz w:val="24"/>
          <w:szCs w:val="24"/>
        </w:rPr>
      </w:pPr>
    </w:p>
    <w:p w:rsidR="002938E4" w:rsidRPr="00116744" w:rsidRDefault="002938E4" w:rsidP="00114FDF">
      <w:pPr>
        <w:spacing w:line="240" w:lineRule="auto"/>
        <w:jc w:val="both"/>
        <w:rPr>
          <w:rFonts w:ascii="Times New Roman" w:hAnsi="Times New Roman" w:cs="Times New Roman"/>
          <w:sz w:val="24"/>
          <w:szCs w:val="24"/>
        </w:rPr>
      </w:pPr>
      <w:r>
        <w:rPr>
          <w:rFonts w:ascii="Times New Roman" w:hAnsi="Times New Roman"/>
          <w:sz w:val="24"/>
        </w:rPr>
        <w:t xml:space="preserve">HAVING REGARD TO Legislative Decree No 230 of 17 March 1995, as amended, implementing Council Directives 89/618/Euratom, 90/641/Euratom, 96/29/Euratom, 2006/117/Euratom in the field of ionising radiation, Council Directive 2009/71/Euratom of 25 June 2009 establishing a Community framework for the nuclear safety of nuclear installations and Council Directive 2011/70/Euratom of 19 July 2011 establishing a Community framework for the responsible and safe management of spent fuel and radioactive waste; </w:t>
      </w:r>
    </w:p>
    <w:p w:rsidR="00C22B35" w:rsidRPr="00116744" w:rsidRDefault="00B310BB" w:rsidP="00146EE7">
      <w:pPr>
        <w:spacing w:line="240" w:lineRule="auto"/>
        <w:jc w:val="both"/>
        <w:rPr>
          <w:rFonts w:ascii="Times New Roman" w:hAnsi="Times New Roman" w:cs="Times New Roman"/>
          <w:sz w:val="24"/>
          <w:szCs w:val="24"/>
        </w:rPr>
      </w:pPr>
      <w:r>
        <w:rPr>
          <w:rFonts w:ascii="Times New Roman" w:hAnsi="Times New Roman"/>
          <w:sz w:val="24"/>
        </w:rPr>
        <w:t>HAVING REGARD TO Legislative Decree No 100 of 1 June 2011 laying down supplementary and corrective provisions to Legislative Decree No 23 of 20 February 2009 implementing Directive 2006/117/Euratom, Article 1 of which in particular amends Article 157 of the aforementioned Legislative Decree of 17 March 1995 on the monitoring and control of shipments of radioactive waste and spent nuclear fuel – radiometric monitoring of materials or semi-finished metal products;</w:t>
      </w:r>
    </w:p>
    <w:p w:rsidR="00B310BB" w:rsidRPr="00116744" w:rsidRDefault="00B310BB" w:rsidP="00146EE7">
      <w:pPr>
        <w:tabs>
          <w:tab w:val="left" w:pos="0"/>
        </w:tabs>
        <w:spacing w:line="240" w:lineRule="auto"/>
        <w:jc w:val="both"/>
        <w:rPr>
          <w:rFonts w:ascii="Times New Roman" w:hAnsi="Times New Roman" w:cs="Times New Roman"/>
          <w:sz w:val="24"/>
          <w:szCs w:val="24"/>
        </w:rPr>
      </w:pPr>
      <w:r>
        <w:rPr>
          <w:rFonts w:ascii="Times New Roman" w:hAnsi="Times New Roman"/>
          <w:sz w:val="24"/>
        </w:rPr>
        <w:t xml:space="preserve">HAVING REGARD TO Legislative Decree No. 230 of 17 March 1995, in particular Article 157(3) thereof, which - by decree of the Minister for Economic Development, in agreement with the Ministers for European Policies, Health, the Environment and Protection of Land and Sea, Labour and Social Policies, the Interior, the Economy and Finance, Infrastructure and Transport, having consulted the Customs and Monopolies Agency and the Italian Institute for Environmental Protection and Research (ISPRA), to be issued following notifications to the European Commission in accordance with Directive 98/34/EC </w:t>
      </w:r>
      <w:r>
        <w:rPr>
          <w:rFonts w:ascii="Times New Roman" w:hAnsi="Times New Roman"/>
          <w:sz w:val="24"/>
          <w:highlight w:val="yellow"/>
        </w:rPr>
        <w:t>(now Directive (EU) 2015/1535)</w:t>
      </w:r>
      <w:r>
        <w:rPr>
          <w:rFonts w:ascii="Times New Roman" w:hAnsi="Times New Roman"/>
          <w:sz w:val="24"/>
        </w:rPr>
        <w:t xml:space="preserve"> and the World Trade Organisation in accordance with the Technical Barriers to Trade Agreement in force since 1 January 1995 - specifies the implementation methods and contents of radiometric monitoring certificates and lists the semi-finished metal products which are subject to monitoring;</w:t>
      </w:r>
    </w:p>
    <w:p w:rsidR="00A756ED" w:rsidRPr="00116744" w:rsidRDefault="00A756ED" w:rsidP="00146EE7">
      <w:pPr>
        <w:tabs>
          <w:tab w:val="left" w:pos="0"/>
        </w:tabs>
        <w:spacing w:line="240" w:lineRule="auto"/>
        <w:jc w:val="both"/>
        <w:rPr>
          <w:rFonts w:ascii="Times New Roman" w:hAnsi="Times New Roman" w:cs="Times New Roman"/>
          <w:sz w:val="24"/>
          <w:szCs w:val="24"/>
        </w:rPr>
      </w:pPr>
      <w:r>
        <w:rPr>
          <w:rFonts w:ascii="Times New Roman" w:hAnsi="Times New Roman"/>
          <w:sz w:val="24"/>
        </w:rPr>
        <w:t>HAVING REGARD TO Decree-Law No 321 of 17 June 1996, in particular Article 10 thereof, converted, with amendments by Law No 421 of 8 August 1996 on the purchase and installation of radioactivity monitoring systems;</w:t>
      </w:r>
    </w:p>
    <w:p w:rsidR="00A756ED" w:rsidRPr="00116744" w:rsidRDefault="00A756ED" w:rsidP="00146EE7">
      <w:pPr>
        <w:tabs>
          <w:tab w:val="left" w:pos="0"/>
        </w:tabs>
        <w:spacing w:line="240" w:lineRule="auto"/>
        <w:jc w:val="both"/>
        <w:rPr>
          <w:rFonts w:ascii="Times New Roman" w:hAnsi="Times New Roman" w:cs="Times New Roman"/>
          <w:sz w:val="24"/>
          <w:szCs w:val="24"/>
        </w:rPr>
      </w:pPr>
      <w:r>
        <w:rPr>
          <w:rFonts w:ascii="Times New Roman" w:hAnsi="Times New Roman"/>
          <w:sz w:val="24"/>
        </w:rPr>
        <w:t>HAVING REGARD TO the Decree of the Ministry of Finance of 22 May 1995 concerning the identification of border crossings at which to install doorway scintillation systems to automatically detect the radioactivity of materials;</w:t>
      </w:r>
    </w:p>
    <w:p w:rsidR="00F66476" w:rsidRPr="00116744" w:rsidRDefault="009E4D53" w:rsidP="000501D0">
      <w:pPr>
        <w:tabs>
          <w:tab w:val="left" w:pos="0"/>
        </w:tabs>
        <w:spacing w:line="240" w:lineRule="auto"/>
        <w:jc w:val="both"/>
        <w:rPr>
          <w:rFonts w:ascii="Times New Roman" w:hAnsi="Times New Roman" w:cs="Times New Roman"/>
          <w:sz w:val="24"/>
          <w:szCs w:val="24"/>
        </w:rPr>
      </w:pPr>
      <w:r>
        <w:rPr>
          <w:rFonts w:ascii="Times New Roman" w:hAnsi="Times New Roman"/>
          <w:sz w:val="24"/>
        </w:rPr>
        <w:t>HAVING REGARD TO Legislative Decree No 52 of 6 February 2007 implementing Council Directive 2003/122/Euratom of 22 December 2003 on the control of high-activity sealed radioactive sources and orphan sources, in particular Article 15 thereof regarding the introduction of systems for locating and assessing orphan sources;</w:t>
      </w:r>
    </w:p>
    <w:p w:rsidR="00BF7796" w:rsidRPr="00116744" w:rsidRDefault="009E4D53" w:rsidP="00687712">
      <w:pPr>
        <w:spacing w:line="240" w:lineRule="auto"/>
        <w:jc w:val="both"/>
        <w:rPr>
          <w:rFonts w:ascii="Times New Roman" w:hAnsi="Times New Roman" w:cs="Times New Roman"/>
          <w:sz w:val="24"/>
          <w:szCs w:val="24"/>
        </w:rPr>
      </w:pPr>
      <w:r>
        <w:rPr>
          <w:rFonts w:ascii="Times New Roman" w:hAnsi="Times New Roman"/>
          <w:sz w:val="24"/>
        </w:rPr>
        <w:t>HAVING REGARD TO Article 174(2) of the Treaty establishing the European Community concerning the precautionary principle, which states that in case of threats, even if only potential, to human health and to the environment, a high level of protection must be ensured;</w:t>
      </w:r>
    </w:p>
    <w:p w:rsidR="00F044D6" w:rsidRPr="00116744" w:rsidRDefault="00F044D6" w:rsidP="00146EE7">
      <w:pPr>
        <w:spacing w:line="240" w:lineRule="auto"/>
        <w:jc w:val="both"/>
        <w:rPr>
          <w:rFonts w:ascii="Times New Roman" w:hAnsi="Times New Roman" w:cs="Times New Roman"/>
          <w:sz w:val="24"/>
          <w:szCs w:val="24"/>
        </w:rPr>
      </w:pPr>
      <w:r>
        <w:rPr>
          <w:rFonts w:ascii="Times New Roman" w:hAnsi="Times New Roman"/>
          <w:sz w:val="24"/>
        </w:rPr>
        <w:t>HAVING REGARD TO Article 17(3) of Law No 400 of 23 August 1988;</w:t>
      </w:r>
    </w:p>
    <w:p w:rsidR="00EC6946" w:rsidRPr="00F5565C" w:rsidRDefault="001E58F8" w:rsidP="00146EE7">
      <w:pPr>
        <w:spacing w:line="240" w:lineRule="auto"/>
        <w:jc w:val="both"/>
        <w:rPr>
          <w:rFonts w:ascii="Times New Roman" w:eastAsia="Times New Roman" w:hAnsi="Times New Roman"/>
          <w:sz w:val="24"/>
          <w:szCs w:val="24"/>
          <w:lang/>
        </w:rPr>
      </w:pPr>
      <w:r>
        <w:rPr>
          <w:rFonts w:ascii="Times New Roman" w:hAnsi="Times New Roman"/>
          <w:sz w:val="24"/>
        </w:rPr>
        <w:t>HAVING REGARD TO Legislative Decree No 45 of 4 March 2014, in particular Article 6 thereof, which establishes the National Inspectorate for Nuclear Safety and Radiation Protection (ISIN) as the competent regulatory authority for nuclear safety and radiation protection, assigning it the relevant duties, inter alia, and Article 9 which provisionally assigns to the Technological and Industrial Risk and Nuclear Department of ISPRA the task of continuing to perform such duties until the entry into force of the regulation identifying the internal organisation and functioning of the Inspectorate;</w:t>
      </w:r>
    </w:p>
    <w:p w:rsidR="00B144CD" w:rsidRPr="00116744" w:rsidRDefault="00B144CD" w:rsidP="00146EE7">
      <w:pPr>
        <w:spacing w:line="240" w:lineRule="auto"/>
        <w:jc w:val="both"/>
        <w:rPr>
          <w:rFonts w:ascii="Times New Roman" w:hAnsi="Times New Roman" w:cs="Times New Roman"/>
          <w:sz w:val="24"/>
          <w:szCs w:val="24"/>
        </w:rPr>
      </w:pPr>
      <w:r>
        <w:rPr>
          <w:rFonts w:ascii="Times New Roman" w:hAnsi="Times New Roman"/>
          <w:sz w:val="24"/>
        </w:rPr>
        <w:t>WHEREAS this decree concludes the provisional regime for the mandatory radiometric monitoring of the semi-finished metal products referred to in Article 2 of Legislative Decree No 100 of 1 June 2011, and that the relevant provisions are therefore replaced by those herein as of the date of its entry into force;</w:t>
      </w:r>
    </w:p>
    <w:p w:rsidR="008162CB" w:rsidRPr="00116744" w:rsidRDefault="00E50D7C" w:rsidP="00146EE7">
      <w:pPr>
        <w:spacing w:line="240" w:lineRule="auto"/>
        <w:jc w:val="both"/>
        <w:rPr>
          <w:rFonts w:ascii="Times New Roman" w:hAnsi="Times New Roman" w:cs="Times New Roman"/>
          <w:strike/>
          <w:sz w:val="24"/>
          <w:szCs w:val="24"/>
        </w:rPr>
      </w:pPr>
      <w:r>
        <w:rPr>
          <w:rFonts w:ascii="Times New Roman" w:hAnsi="Times New Roman"/>
          <w:sz w:val="24"/>
        </w:rPr>
        <w:t xml:space="preserve">WHEREAS advances have been made in the field of radiometric monitoring of scrap and other metal by-products and on semi-finished metal products to detect abnormal levels of radioactivity or any disused sources; </w:t>
      </w:r>
    </w:p>
    <w:p w:rsidR="00231A56" w:rsidRPr="00116744" w:rsidRDefault="00E50D7C" w:rsidP="00146EE7">
      <w:pPr>
        <w:spacing w:line="240" w:lineRule="auto"/>
        <w:jc w:val="both"/>
        <w:rPr>
          <w:rFonts w:ascii="Times New Roman" w:hAnsi="Times New Roman" w:cs="Times New Roman"/>
          <w:sz w:val="24"/>
          <w:szCs w:val="24"/>
        </w:rPr>
      </w:pPr>
      <w:r>
        <w:rPr>
          <w:rFonts w:ascii="Times New Roman" w:hAnsi="Times New Roman"/>
          <w:sz w:val="24"/>
        </w:rPr>
        <w:t xml:space="preserve">WHEREAS there is a need to update the identification codes of product categories relating to the list of semi-finished metal products in line with changes at international level, pursuant to Annex I to Legislative Decree No 100 of 1 June 2011; </w:t>
      </w:r>
    </w:p>
    <w:p w:rsidR="004213AA" w:rsidRPr="00116744" w:rsidRDefault="00146EE7" w:rsidP="00146EE7">
      <w:pPr>
        <w:spacing w:line="240" w:lineRule="auto"/>
        <w:jc w:val="both"/>
        <w:rPr>
          <w:rFonts w:ascii="Times New Roman" w:hAnsi="Times New Roman" w:cs="Times New Roman"/>
          <w:sz w:val="24"/>
          <w:szCs w:val="24"/>
        </w:rPr>
      </w:pPr>
      <w:r>
        <w:rPr>
          <w:rFonts w:ascii="Times New Roman" w:hAnsi="Times New Roman"/>
          <w:sz w:val="24"/>
        </w:rPr>
        <w:t>HAVING CONSULTED the Customs and Monopolies Agency;</w:t>
      </w:r>
    </w:p>
    <w:p w:rsidR="00836745" w:rsidRPr="00116744" w:rsidRDefault="004F1DE0" w:rsidP="00146EE7">
      <w:pPr>
        <w:spacing w:line="240" w:lineRule="auto"/>
        <w:jc w:val="both"/>
        <w:rPr>
          <w:rFonts w:ascii="Times New Roman" w:hAnsi="Times New Roman" w:cs="Times New Roman"/>
          <w:sz w:val="24"/>
          <w:szCs w:val="24"/>
        </w:rPr>
      </w:pPr>
      <w:r>
        <w:rPr>
          <w:rFonts w:ascii="Times New Roman" w:hAnsi="Times New Roman"/>
          <w:sz w:val="24"/>
        </w:rPr>
        <w:t>HAVING CONSULTED the Technological and Industrial Risk and Nuclear Department of the Italian Institute for Environmental Protection and Research;</w:t>
      </w:r>
    </w:p>
    <w:p w:rsidR="00231A56" w:rsidRPr="00116744" w:rsidRDefault="00231A56" w:rsidP="00146EE7">
      <w:pPr>
        <w:spacing w:line="240" w:lineRule="auto"/>
        <w:jc w:val="both"/>
        <w:rPr>
          <w:rFonts w:ascii="Times New Roman" w:hAnsi="Times New Roman" w:cs="Times New Roman"/>
          <w:sz w:val="24"/>
          <w:szCs w:val="24"/>
        </w:rPr>
      </w:pPr>
      <w:r>
        <w:rPr>
          <w:rFonts w:ascii="Times New Roman" w:hAnsi="Times New Roman"/>
          <w:sz w:val="24"/>
        </w:rPr>
        <w:t>HAVING CONSULTED the Permanent Conference for relations between the State, Regions and Autonomous Provinces of Trento and Bolzano, in accordance with Article 161 of Legislative Decree No 230 of 17 March 1995;</w:t>
      </w:r>
    </w:p>
    <w:p w:rsidR="00B310BB" w:rsidRPr="00116744" w:rsidRDefault="004213AA" w:rsidP="00146EE7">
      <w:pPr>
        <w:spacing w:line="240" w:lineRule="auto"/>
        <w:jc w:val="both"/>
        <w:rPr>
          <w:rFonts w:ascii="Times New Roman" w:hAnsi="Times New Roman" w:cs="Times New Roman"/>
          <w:sz w:val="24"/>
          <w:szCs w:val="24"/>
        </w:rPr>
      </w:pPr>
      <w:r>
        <w:rPr>
          <w:rFonts w:ascii="Times New Roman" w:hAnsi="Times New Roman"/>
          <w:sz w:val="24"/>
        </w:rPr>
        <w:t xml:space="preserve">HAVING FULFILLED the procedures for notifying the European Commission in accordance with </w:t>
      </w:r>
      <w:r>
        <w:rPr>
          <w:rFonts w:ascii="Times New Roman" w:hAnsi="Times New Roman"/>
          <w:sz w:val="24"/>
          <w:highlight w:val="yellow"/>
        </w:rPr>
        <w:t>Directive (EU) 2015/1535</w:t>
      </w:r>
      <w:r>
        <w:rPr>
          <w:rFonts w:ascii="Times New Roman" w:hAnsi="Times New Roman"/>
          <w:sz w:val="24"/>
        </w:rPr>
        <w:t xml:space="preserve"> and the World Trade Organisation in accordance with the Technical Barriers to Trade Agreement in force since 1 January 1995, </w:t>
      </w:r>
    </w:p>
    <w:p w:rsidR="00A91928" w:rsidRPr="00116744" w:rsidRDefault="009E4D53" w:rsidP="00146EE7">
      <w:pPr>
        <w:spacing w:line="240" w:lineRule="auto"/>
        <w:jc w:val="both"/>
        <w:rPr>
          <w:rFonts w:ascii="Times New Roman" w:hAnsi="Times New Roman" w:cs="Times New Roman"/>
          <w:sz w:val="24"/>
          <w:szCs w:val="24"/>
        </w:rPr>
      </w:pPr>
      <w:r>
        <w:rPr>
          <w:rFonts w:ascii="Times New Roman" w:hAnsi="Times New Roman"/>
          <w:sz w:val="24"/>
          <w:highlight w:val="yellow"/>
        </w:rPr>
        <w:t>HAVING RECEIVED the opinion of the Council of State, expressed at the consultation session for legal acts in the plenary session of _________________</w:t>
      </w:r>
    </w:p>
    <w:p w:rsidR="004213AA" w:rsidRPr="00116744" w:rsidRDefault="004213AA" w:rsidP="004213AA">
      <w:pPr>
        <w:jc w:val="center"/>
        <w:rPr>
          <w:rFonts w:ascii="Times New Roman" w:hAnsi="Times New Roman" w:cs="Times New Roman"/>
          <w:b/>
          <w:sz w:val="24"/>
          <w:szCs w:val="24"/>
        </w:rPr>
      </w:pPr>
      <w:r>
        <w:rPr>
          <w:rFonts w:ascii="Times New Roman" w:hAnsi="Times New Roman"/>
          <w:b/>
          <w:sz w:val="24"/>
        </w:rPr>
        <w:t>HEREBY DECREES</w:t>
      </w:r>
    </w:p>
    <w:p w:rsidR="002A06FD" w:rsidRPr="00116744" w:rsidRDefault="002A06FD" w:rsidP="00160CDF">
      <w:pPr>
        <w:spacing w:after="0" w:line="240" w:lineRule="auto"/>
        <w:jc w:val="center"/>
        <w:rPr>
          <w:rFonts w:ascii="Times New Roman" w:hAnsi="Times New Roman" w:cs="Times New Roman"/>
          <w:sz w:val="24"/>
          <w:szCs w:val="24"/>
        </w:rPr>
      </w:pPr>
      <w:r>
        <w:rPr>
          <w:rFonts w:ascii="Times New Roman" w:hAnsi="Times New Roman"/>
          <w:sz w:val="24"/>
        </w:rPr>
        <w:t>Article 1</w:t>
      </w:r>
    </w:p>
    <w:p w:rsidR="001E58F8" w:rsidRPr="00116744" w:rsidRDefault="001E58F8" w:rsidP="001E58F8">
      <w:pPr>
        <w:jc w:val="center"/>
        <w:rPr>
          <w:rFonts w:ascii="Times New Roman" w:hAnsi="Times New Roman"/>
          <w:i/>
          <w:sz w:val="24"/>
          <w:szCs w:val="24"/>
        </w:rPr>
      </w:pPr>
      <w:r>
        <w:rPr>
          <w:rFonts w:ascii="Times New Roman" w:hAnsi="Times New Roman"/>
          <w:i/>
          <w:sz w:val="24"/>
        </w:rPr>
        <w:t>Purpose and scope of application</w:t>
      </w:r>
    </w:p>
    <w:p w:rsidR="001E58F8" w:rsidRPr="00116744" w:rsidRDefault="001E58F8" w:rsidP="009C46FC">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sz w:val="24"/>
        </w:rPr>
        <w:t>This decree lays down procedures for the application of radiometric monitoring, in accordance with Article 157(1) of Legislative Decree No 230 of 17 March 1995, by entities which are involved in industrial or commercial importing, collection or storage, or in operations for melting scrap metal or other metal by-products, as well as entities which are involved in the industrial or commercial importing of semi-finished metal products, in order to detect abnormal levels of radioactivity or possible disused sources, to ensure protection of the health of workers and of the population from events which may result in exposure to ionising radiation and to prevent environmental contamination.</w:t>
      </w:r>
    </w:p>
    <w:p w:rsidR="00224337" w:rsidRPr="00116744" w:rsidRDefault="009C46FC" w:rsidP="00073A9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sz w:val="24"/>
        </w:rPr>
        <w:t>This decree also specifies the content of the certificate of completed radiometric monitoring pursuant to Article 157(2) of Legislative Decree No 230 of 17 March 1995, the list of semi-finished metal products subject to radiometric monitoring, repealing Annex I to Legislative Decree No 100 of 1 June 2011, as well as the mutual recognition of certificates on radiometric testing conducted at the place of origin of imported loads of scrap metals or other metal by-products and semi-finished metal products as part of customs procedures.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46EE7" w:rsidRPr="00116744" w:rsidRDefault="00146EE7" w:rsidP="00160CDF">
      <w:pPr>
        <w:spacing w:after="0"/>
        <w:ind w:left="360"/>
        <w:jc w:val="both"/>
        <w:rPr>
          <w:rFonts w:ascii="Times New Roman" w:hAnsi="Times New Roman" w:cs="Times New Roman"/>
          <w:i/>
          <w:sz w:val="24"/>
          <w:szCs w:val="24"/>
        </w:rPr>
      </w:pPr>
    </w:p>
    <w:p w:rsidR="006F7602" w:rsidRPr="00116744" w:rsidRDefault="002028A7" w:rsidP="00160CDF">
      <w:pPr>
        <w:spacing w:after="0" w:line="240" w:lineRule="auto"/>
        <w:ind w:left="360"/>
        <w:jc w:val="center"/>
        <w:rPr>
          <w:rFonts w:ascii="Times New Roman" w:hAnsi="Times New Roman" w:cs="Times New Roman"/>
          <w:sz w:val="24"/>
          <w:szCs w:val="24"/>
        </w:rPr>
      </w:pPr>
      <w:r>
        <w:rPr>
          <w:rFonts w:ascii="Times New Roman" w:hAnsi="Times New Roman"/>
          <w:sz w:val="24"/>
        </w:rPr>
        <w:t>Article 2</w:t>
      </w:r>
    </w:p>
    <w:p w:rsidR="00231A56" w:rsidRPr="00116744" w:rsidRDefault="00EC26E1" w:rsidP="00160CDF">
      <w:pPr>
        <w:spacing w:after="0" w:line="240" w:lineRule="auto"/>
        <w:ind w:left="360"/>
        <w:jc w:val="center"/>
        <w:rPr>
          <w:rFonts w:ascii="Times New Roman" w:hAnsi="Times New Roman" w:cs="Times New Roman"/>
          <w:i/>
          <w:sz w:val="24"/>
          <w:szCs w:val="24"/>
        </w:rPr>
      </w:pPr>
      <w:r>
        <w:rPr>
          <w:rFonts w:ascii="Times New Roman" w:hAnsi="Times New Roman"/>
          <w:i/>
          <w:sz w:val="24"/>
        </w:rPr>
        <w:t>Radiometric monitoring criteria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C26E1" w:rsidRPr="00116744" w:rsidRDefault="00EC26E1" w:rsidP="00160CDF">
      <w:pPr>
        <w:spacing w:after="0" w:line="240" w:lineRule="auto"/>
        <w:ind w:left="360"/>
        <w:jc w:val="center"/>
        <w:rPr>
          <w:rFonts w:ascii="Times New Roman" w:hAnsi="Times New Roman" w:cs="Times New Roman"/>
          <w:sz w:val="24"/>
          <w:szCs w:val="24"/>
        </w:rPr>
      </w:pPr>
    </w:p>
    <w:p w:rsidR="003B3C39" w:rsidRPr="00116744" w:rsidRDefault="00D24F86" w:rsidP="00D24F86">
      <w:pPr>
        <w:pStyle w:val="Footer"/>
        <w:numPr>
          <w:ilvl w:val="0"/>
          <w:numId w:val="11"/>
        </w:numPr>
        <w:jc w:val="both"/>
        <w:rPr>
          <w:rFonts w:ascii="Times New Roman" w:hAnsi="Times New Roman" w:cs="Times New Roman"/>
          <w:sz w:val="24"/>
        </w:rPr>
      </w:pPr>
      <w:r>
        <w:rPr>
          <w:rFonts w:ascii="Times New Roman" w:hAnsi="Times New Roman"/>
          <w:sz w:val="24"/>
        </w:rPr>
        <w:t xml:space="preserve">The radiometric monitoring of loads of scrap metal or other metal by-products and of semi-finished metal products is conducted by monitoring the absorbed dose rate in air detectable outside the load in order to detect the presence of orphan sources or abnormal levels of radioactivity, identified according to the applicable rules of good practice or technical guidelines issued in accordance with Article 153 of Legislative Decree No 230 of 17 March 1995, where available, as well as for the purpose of fulfilling the obligations pursuant to Article 157(4) of said Legislative Decree. </w:t>
      </w:r>
      <w:r>
        <w:rPr>
          <w:rFonts w:ascii="Times New Roman" w:hAnsi="Times New Roman"/>
          <w:sz w:val="24"/>
        </w:rPr>
        <w:t xml:space="preserve">‘Load’ means the container, vehicle or railway wagon or any other container used for the aforesaid scrap metals, metal products or semi-finished metal products. </w:t>
      </w:r>
    </w:p>
    <w:p w:rsidR="00D24F86" w:rsidRPr="00116744" w:rsidRDefault="00707A33" w:rsidP="00D24F86">
      <w:pPr>
        <w:pStyle w:val="Footer"/>
        <w:numPr>
          <w:ilvl w:val="0"/>
          <w:numId w:val="11"/>
        </w:numPr>
        <w:jc w:val="both"/>
        <w:rPr>
          <w:rFonts w:ascii="Times New Roman" w:hAnsi="Times New Roman" w:cs="Times New Roman"/>
          <w:sz w:val="24"/>
        </w:rPr>
      </w:pPr>
      <w:r>
        <w:rPr>
          <w:rFonts w:ascii="Times New Roman" w:hAnsi="Times New Roman"/>
          <w:sz w:val="24"/>
        </w:rPr>
        <w:t>Radiometric monitoring is also carried out during unloading or handling by monitoring the absorbed dose rate in air detectable outside the scrap metal or other metal by-products and semi-finished metal products.</w:t>
      </w:r>
    </w:p>
    <w:p w:rsidR="00707A33" w:rsidRPr="00116744" w:rsidRDefault="00707A33" w:rsidP="00D24F86">
      <w:pPr>
        <w:pStyle w:val="Footer"/>
        <w:numPr>
          <w:ilvl w:val="0"/>
          <w:numId w:val="11"/>
        </w:numPr>
        <w:jc w:val="both"/>
        <w:rPr>
          <w:rFonts w:ascii="Times New Roman" w:hAnsi="Times New Roman" w:cs="Times New Roman"/>
          <w:sz w:val="24"/>
        </w:rPr>
      </w:pPr>
      <w:r>
        <w:rPr>
          <w:rFonts w:ascii="Times New Roman" w:hAnsi="Times New Roman"/>
          <w:sz w:val="24"/>
        </w:rPr>
        <w:t>Where radioactive sources are discovered, or where the radiometric measurements indicate abnormal levels of radioactivity, the internal walls of the containers used for transportation must be tested for surface contamination.</w:t>
      </w:r>
    </w:p>
    <w:p w:rsidR="00EC26E1" w:rsidRPr="00116744" w:rsidRDefault="00D138EC" w:rsidP="00D24F86">
      <w:pPr>
        <w:pStyle w:val="Footer"/>
        <w:numPr>
          <w:ilvl w:val="0"/>
          <w:numId w:val="11"/>
        </w:numPr>
        <w:jc w:val="both"/>
        <w:rPr>
          <w:rFonts w:ascii="Times New Roman" w:hAnsi="Times New Roman" w:cs="Times New Roman"/>
          <w:sz w:val="24"/>
        </w:rPr>
      </w:pPr>
      <w:r>
        <w:rPr>
          <w:rFonts w:ascii="Times New Roman" w:hAnsi="Times New Roman"/>
          <w:sz w:val="24"/>
        </w:rPr>
        <w:t>As part of planned quality control on casting specimens, or in the event of a suspected melting of radioactive sources or contaminated material, the concentrations of activity per unit of mass must be measured on the product and on the melting slag, as well as on the dust deriving from the installation's fume removal system.</w:t>
      </w:r>
    </w:p>
    <w:p w:rsidR="00D24F86" w:rsidRPr="00116744" w:rsidRDefault="00F32D90" w:rsidP="00D24F86">
      <w:pPr>
        <w:pStyle w:val="Footer"/>
        <w:numPr>
          <w:ilvl w:val="0"/>
          <w:numId w:val="11"/>
        </w:numPr>
        <w:jc w:val="both"/>
        <w:rPr>
          <w:rFonts w:ascii="Times New Roman" w:hAnsi="Times New Roman" w:cs="Times New Roman"/>
          <w:sz w:val="24"/>
        </w:rPr>
      </w:pPr>
      <w:r>
        <w:rPr>
          <w:rFonts w:ascii="Times New Roman" w:hAnsi="Times New Roman"/>
          <w:sz w:val="24"/>
        </w:rPr>
        <w:t>For scraps and other metal by-products carried in bulk by sea, radiometric monitoring is carried out gradually on the loads formed.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C26E1" w:rsidRPr="00116744" w:rsidRDefault="00EC26E1" w:rsidP="00160CDF">
      <w:pPr>
        <w:spacing w:after="0" w:line="240" w:lineRule="auto"/>
        <w:ind w:left="360"/>
        <w:jc w:val="center"/>
        <w:rPr>
          <w:rFonts w:ascii="Times New Roman" w:hAnsi="Times New Roman" w:cs="Times New Roman"/>
          <w:sz w:val="24"/>
          <w:szCs w:val="24"/>
        </w:rPr>
      </w:pPr>
    </w:p>
    <w:p w:rsidR="00F32D90" w:rsidRPr="00116744" w:rsidRDefault="00F32D90" w:rsidP="00223553">
      <w:pPr>
        <w:keepNext/>
        <w:spacing w:after="0" w:line="240" w:lineRule="auto"/>
        <w:ind w:left="357"/>
        <w:jc w:val="center"/>
        <w:rPr>
          <w:rFonts w:ascii="Times New Roman" w:hAnsi="Times New Roman" w:cs="Times New Roman"/>
          <w:sz w:val="24"/>
          <w:szCs w:val="24"/>
        </w:rPr>
      </w:pPr>
      <w:r>
        <w:rPr>
          <w:rFonts w:ascii="Times New Roman" w:hAnsi="Times New Roman"/>
          <w:sz w:val="24"/>
        </w:rPr>
        <w:t>Article 3</w:t>
      </w:r>
    </w:p>
    <w:p w:rsidR="002028A7" w:rsidRPr="00116744" w:rsidRDefault="002028A7" w:rsidP="00223553">
      <w:pPr>
        <w:keepNext/>
        <w:spacing w:after="0" w:line="240" w:lineRule="auto"/>
        <w:ind w:left="357"/>
        <w:jc w:val="center"/>
        <w:rPr>
          <w:rFonts w:ascii="Times New Roman" w:hAnsi="Times New Roman" w:cs="Times New Roman"/>
          <w:i/>
          <w:sz w:val="24"/>
          <w:szCs w:val="24"/>
        </w:rPr>
      </w:pPr>
      <w:r>
        <w:rPr>
          <w:rFonts w:ascii="Times New Roman" w:hAnsi="Times New Roman"/>
          <w:i/>
          <w:sz w:val="24"/>
        </w:rPr>
        <w:t>Radiometric monitoring implementation methods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B3C39" w:rsidRPr="00116744" w:rsidRDefault="003B3C39" w:rsidP="00223553">
      <w:pPr>
        <w:keepNext/>
        <w:spacing w:after="0" w:line="240" w:lineRule="auto"/>
        <w:ind w:left="357"/>
        <w:jc w:val="center"/>
        <w:rPr>
          <w:rFonts w:ascii="Times New Roman" w:hAnsi="Times New Roman" w:cs="Times New Roman"/>
          <w:i/>
          <w:sz w:val="24"/>
          <w:szCs w:val="24"/>
        </w:rPr>
      </w:pPr>
    </w:p>
    <w:p w:rsidR="00586CE6" w:rsidRPr="00116744" w:rsidRDefault="00E976D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sz w:val="24"/>
        </w:rPr>
        <w:t xml:space="preserve">The entities referred to in Article 157(1) of Legislative Decree No 230 of 17 March 1995 which are involved in the industrial or commercial collection or storage of scrap metal or other metal by-products are required to carry out radiometric monitoring upon entry at the facility by testing the absorbed dose rate in air detectable outside each load. </w:t>
      </w:r>
    </w:p>
    <w:p w:rsidR="00760AF9" w:rsidRPr="00116744" w:rsidRDefault="00D2726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sz w:val="24"/>
        </w:rPr>
        <w:t>In addition to the provision set out in point 1 above, the entities referred to therein must also perform, during the unloading and handling of such materials, taking into account the most common characteristics of radioactive sources and their containers, an initial visual inspection of the material to ascertain the presence of any suspect material and to measure the absorbed dose rate in air detectable outside the unloaded material.</w:t>
      </w:r>
    </w:p>
    <w:p w:rsidR="00BF09C2" w:rsidRPr="00116744" w:rsidRDefault="00BF09C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sz w:val="24"/>
        </w:rPr>
        <w:t xml:space="preserve">For entities which carry out industrial or commercial operations involving the melting of scrap metal or other metal by-products as part of planned quality control on casting specimens, and in the event of a suspected melting of radioactive sources or contaminated material, the concentration of activity per unit of mass must be measured using the quality and output specimens deriving from each melting furnace load. </w:t>
      </w:r>
      <w:r>
        <w:rPr>
          <w:rFonts w:ascii="Times New Roman" w:hAnsi="Times New Roman"/>
          <w:sz w:val="24"/>
        </w:rPr>
        <w:t xml:space="preserve">The same entities must also carry out radiometric tests on representative samples of waste and dust deriving from the installation's fume removal system. </w:t>
      </w:r>
      <w:r>
        <w:rPr>
          <w:rFonts w:ascii="Times New Roman" w:hAnsi="Times New Roman"/>
          <w:sz w:val="24"/>
        </w:rPr>
        <w:t xml:space="preserve">In order to be representative, the frequency of the tests and the number of correlated samples must be determined through a specific internal procedure drawn up on the basis of the facility's characteristics and the activities carried out therein. </w:t>
      </w:r>
      <w:r>
        <w:rPr>
          <w:rFonts w:ascii="Times New Roman" w:hAnsi="Times New Roman"/>
          <w:sz w:val="24"/>
        </w:rPr>
        <w:t>The supervisory authorities may require a different frequency.</w:t>
      </w:r>
    </w:p>
    <w:p w:rsidR="00D27263" w:rsidRPr="00116744" w:rsidRDefault="00D138E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sz w:val="24"/>
        </w:rPr>
        <w:t>The tests referred to in points 1 and 3 above must be completed before the materials or products are transported away from the facility.</w:t>
      </w:r>
    </w:p>
    <w:p w:rsidR="00D27263" w:rsidRPr="00116744" w:rsidRDefault="00D2726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sz w:val="24"/>
        </w:rPr>
        <w:t>Entities which are involved in the industrial or commercial importation of scrap metal or other metal by-products and of semi-finished metal products, without prejudice to the provisions of article 7 of this decree, are required to carry out radiometric monitoring upon entry at the facility and as scrap metal and products are unloaded, testing both the absorbed dose rate in air detectable outside each load and the material unloaded.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F09C2" w:rsidRPr="00116744"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116744" w:rsidRDefault="008E72DD" w:rsidP="008E72DD">
      <w:pPr>
        <w:spacing w:after="0" w:line="240" w:lineRule="auto"/>
        <w:ind w:left="360"/>
        <w:jc w:val="center"/>
        <w:rPr>
          <w:rFonts w:ascii="Times New Roman" w:hAnsi="Times New Roman" w:cs="Times New Roman"/>
          <w:sz w:val="24"/>
          <w:szCs w:val="24"/>
        </w:rPr>
      </w:pPr>
      <w:r>
        <w:rPr>
          <w:rFonts w:ascii="Times New Roman" w:hAnsi="Times New Roman"/>
          <w:sz w:val="24"/>
        </w:rPr>
        <w:t>Article 4</w:t>
      </w:r>
    </w:p>
    <w:p w:rsidR="008E72DD" w:rsidRPr="00116744" w:rsidRDefault="008E72DD" w:rsidP="008E72DD">
      <w:pPr>
        <w:spacing w:after="0" w:line="240" w:lineRule="auto"/>
        <w:ind w:left="360"/>
        <w:jc w:val="center"/>
        <w:rPr>
          <w:rFonts w:ascii="Times New Roman" w:hAnsi="Times New Roman" w:cs="Times New Roman"/>
          <w:i/>
          <w:sz w:val="24"/>
          <w:szCs w:val="24"/>
        </w:rPr>
      </w:pPr>
      <w:r>
        <w:rPr>
          <w:rFonts w:ascii="Times New Roman" w:hAnsi="Times New Roman"/>
          <w:i/>
          <w:sz w:val="24"/>
        </w:rPr>
        <w:t>Radiometric monitoring certificate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02D9D" w:rsidRPr="00116744" w:rsidRDefault="00502D9D" w:rsidP="008E72DD">
      <w:pPr>
        <w:spacing w:after="0" w:line="240" w:lineRule="auto"/>
        <w:jc w:val="both"/>
        <w:rPr>
          <w:rFonts w:ascii="Times New Roman" w:hAnsi="Times New Roman" w:cs="Times New Roman"/>
          <w:sz w:val="24"/>
          <w:szCs w:val="24"/>
        </w:rPr>
      </w:pPr>
    </w:p>
    <w:p w:rsidR="00BD4BEC" w:rsidRPr="00116744" w:rsidRDefault="008E72DD" w:rsidP="00C0795E">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sz w:val="24"/>
        </w:rPr>
        <w:t>The certificate of completed radiometric monitoring issued by qualified experts in accordance with Article 157(2) of Legislative Decree No 230 of 17 March 1995 must contain at least the following information:</w:t>
      </w:r>
    </w:p>
    <w:p w:rsidR="00C0795E" w:rsidRPr="0011674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details of the load;</w:t>
      </w:r>
    </w:p>
    <w:p w:rsidR="00085F28" w:rsidRPr="001167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type of metallic material;</w:t>
      </w:r>
    </w:p>
    <w:p w:rsidR="00C0795E" w:rsidRPr="0011674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origin;</w:t>
      </w:r>
    </w:p>
    <w:p w:rsidR="00C0795E" w:rsidRPr="0011674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date of radiometric monitoring;</w:t>
      </w:r>
    </w:p>
    <w:p w:rsidR="00085F28" w:rsidRPr="001167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local environmental background value taken prior to radiometric monitoring;</w:t>
      </w:r>
    </w:p>
    <w:p w:rsidR="00C0795E" w:rsidRPr="00116744"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type of radiometric measurements conducted and instruments used;</w:t>
      </w:r>
    </w:p>
    <w:p w:rsidR="00085F28" w:rsidRPr="001167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final functional check performed on the measuring system used;</w:t>
      </w:r>
    </w:p>
    <w:p w:rsidR="00085F28" w:rsidRPr="001167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name of the employee responsible for carrying out the radiometric measurements;</w:t>
      </w:r>
    </w:p>
    <w:p w:rsidR="00C0795E" w:rsidRPr="001167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results of the measurements conducted;</w:t>
      </w:r>
    </w:p>
    <w:p w:rsidR="00C0795E" w:rsidRPr="00116744"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Pr>
          <w:rFonts w:ascii="Times New Roman" w:hAnsi="Times New Roman"/>
          <w:sz w:val="24"/>
        </w:rPr>
        <w:t>conclusions on acceptance/rejection of the load/materials.</w:t>
      </w:r>
    </w:p>
    <w:p w:rsidR="00577A7D" w:rsidRPr="00116744" w:rsidRDefault="00577A7D" w:rsidP="00577A7D">
      <w:pPr>
        <w:spacing w:after="0" w:line="240" w:lineRule="auto"/>
        <w:ind w:left="709"/>
        <w:jc w:val="both"/>
        <w:rPr>
          <w:rFonts w:ascii="Times New Roman" w:hAnsi="Times New Roman" w:cs="Times New Roman"/>
          <w:sz w:val="24"/>
          <w:szCs w:val="24"/>
        </w:rPr>
      </w:pPr>
      <w:r>
        <w:rPr>
          <w:rFonts w:ascii="Times New Roman" w:hAnsi="Times New Roman"/>
          <w:sz w:val="24"/>
        </w:rPr>
        <w:t>In cases where the facility conducts melting operations involving scrap metal or other metal by-products, the certificate must also contain relevant information regarding the radiometric monitoring and the results from the measurements of concentration of activity per unit of mass conducted on the product and on the melting slag, as well as on the dust deriving from the installation's fume removal system.</w:t>
      </w:r>
    </w:p>
    <w:p w:rsidR="00C0795E" w:rsidRPr="00116744" w:rsidRDefault="00C0795E" w:rsidP="00C0795E">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sz w:val="24"/>
        </w:rPr>
        <w:t>The certification referred to in point 1 must be entered in a register created by the appointed qualified expert, on behalf of the entity referred to in Article 157(1) of Legislative Decree No 230 of 17 March 1995; said register must be made available to the supervisory authorities and kept for at least five years at the work site, or, if necessary to better ensure conservation, at the head office of the entity referred to in Article 157(1) of the above-mentioned Legislative Decree.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0795E" w:rsidRPr="00116744" w:rsidRDefault="00C0795E" w:rsidP="00502D9D">
      <w:pPr>
        <w:spacing w:after="0" w:line="240" w:lineRule="auto"/>
        <w:jc w:val="both"/>
        <w:rPr>
          <w:rFonts w:ascii="Times New Roman" w:hAnsi="Times New Roman" w:cs="Times New Roman"/>
          <w:sz w:val="24"/>
          <w:szCs w:val="24"/>
        </w:rPr>
      </w:pPr>
    </w:p>
    <w:p w:rsidR="00C0795E" w:rsidRPr="00116744" w:rsidRDefault="00C0795E" w:rsidP="00C0795E">
      <w:pPr>
        <w:spacing w:after="0" w:line="240" w:lineRule="auto"/>
        <w:ind w:left="360"/>
        <w:jc w:val="center"/>
        <w:rPr>
          <w:rFonts w:ascii="Times New Roman" w:hAnsi="Times New Roman" w:cs="Times New Roman"/>
          <w:sz w:val="24"/>
          <w:szCs w:val="24"/>
        </w:rPr>
      </w:pPr>
      <w:r>
        <w:rPr>
          <w:rFonts w:ascii="Times New Roman" w:hAnsi="Times New Roman"/>
          <w:sz w:val="24"/>
        </w:rPr>
        <w:t>Article 5</w:t>
      </w:r>
    </w:p>
    <w:p w:rsidR="00C0795E" w:rsidRPr="00116744" w:rsidRDefault="00C0795E" w:rsidP="00C0795E">
      <w:pPr>
        <w:spacing w:after="0" w:line="240" w:lineRule="auto"/>
        <w:ind w:left="360"/>
        <w:jc w:val="center"/>
        <w:rPr>
          <w:rFonts w:ascii="Times New Roman" w:hAnsi="Times New Roman" w:cs="Times New Roman"/>
          <w:i/>
          <w:sz w:val="24"/>
          <w:szCs w:val="24"/>
        </w:rPr>
      </w:pPr>
      <w:r>
        <w:rPr>
          <w:rFonts w:ascii="Times New Roman" w:hAnsi="Times New Roman"/>
          <w:i/>
          <w:sz w:val="24"/>
        </w:rPr>
        <w:t>Staff responsible for carrying out radiometric monitoring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0795E" w:rsidRPr="00116744" w:rsidRDefault="00C0795E" w:rsidP="00502D9D">
      <w:pPr>
        <w:spacing w:after="0" w:line="240" w:lineRule="auto"/>
        <w:jc w:val="both"/>
        <w:rPr>
          <w:rFonts w:ascii="Times New Roman" w:hAnsi="Times New Roman" w:cs="Times New Roman"/>
          <w:sz w:val="24"/>
          <w:szCs w:val="24"/>
        </w:rPr>
      </w:pPr>
    </w:p>
    <w:p w:rsidR="006D4BF0" w:rsidRPr="00116744" w:rsidRDefault="00C87594" w:rsidP="006D4BF0">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sz w:val="24"/>
        </w:rPr>
        <w:t>The radiometric measurements may be carried out by staff members without qualified expert status, provided that the individual:</w:t>
      </w:r>
    </w:p>
    <w:p w:rsidR="006D4BF0" w:rsidRPr="00116744" w:rsidRDefault="006D4BF0" w:rsidP="00C8759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sz w:val="24"/>
        </w:rPr>
        <w:t>is directly employed by the entity referred to in Article 157(1) of Legislative Decree No 230 of 17 March 1995;</w:t>
      </w:r>
    </w:p>
    <w:p w:rsidR="00C87594" w:rsidRPr="00116744" w:rsidRDefault="00C87594" w:rsidP="00C8759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sz w:val="24"/>
        </w:rPr>
        <w:t>has been selected by the employer at the facility in agreement with the appointed qualified expert;</w:t>
      </w:r>
    </w:p>
    <w:p w:rsidR="00C87594" w:rsidRPr="00116744" w:rsidRDefault="00C87594" w:rsidP="00C8759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sz w:val="24"/>
        </w:rPr>
        <w:t>has previously completed an appropriate training and information programme;</w:t>
      </w:r>
    </w:p>
    <w:p w:rsidR="00C87594" w:rsidRPr="00116744" w:rsidRDefault="00C87594" w:rsidP="00C8759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sz w:val="24"/>
        </w:rPr>
        <w:t>works under the guidance, direction and responsibility of the qualified expert;</w:t>
      </w:r>
    </w:p>
    <w:p w:rsidR="00C87594" w:rsidRPr="00116744" w:rsidRDefault="00C87594" w:rsidP="00F70DCA">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sz w:val="24"/>
        </w:rPr>
        <w:t>adheres to the procedures indicated by the qualified expert and, in case of a suspected presence of orphan sources or contaminated material, to the internal rules drafted by the employer, in agreement with qualified expert.</w:t>
      </w:r>
    </w:p>
    <w:p w:rsidR="00C0795E" w:rsidRPr="00116744" w:rsidRDefault="00C87594" w:rsidP="00C8759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sz w:val="24"/>
        </w:rPr>
        <w:t>The qualified expert appointed by the entity referred to in Article 157(1) of Legislative Decree No 230 of 17 March 1995 must provide to that entity the radiation protection indications necessary to draft the procedures for conducting radiometric measurements and for the safety and protection measures to be adopted in case of the discovery of orphan sources or contaminated metal materials, as well as for the purpose of fulfilling the obligations under Article 157(4) of said Legislative Decree.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0795E" w:rsidRPr="00116744" w:rsidRDefault="00C0795E" w:rsidP="00502D9D">
      <w:pPr>
        <w:spacing w:after="0" w:line="240" w:lineRule="auto"/>
        <w:jc w:val="both"/>
        <w:rPr>
          <w:rFonts w:ascii="Times New Roman" w:hAnsi="Times New Roman" w:cs="Times New Roman"/>
          <w:sz w:val="24"/>
          <w:szCs w:val="24"/>
        </w:rPr>
      </w:pPr>
    </w:p>
    <w:p w:rsidR="008E72DD" w:rsidRPr="00116744" w:rsidRDefault="00C0795E" w:rsidP="008E72DD">
      <w:pPr>
        <w:spacing w:after="0" w:line="240" w:lineRule="auto"/>
        <w:ind w:left="360"/>
        <w:jc w:val="center"/>
        <w:rPr>
          <w:rFonts w:ascii="Times New Roman" w:hAnsi="Times New Roman" w:cs="Times New Roman"/>
          <w:sz w:val="24"/>
          <w:szCs w:val="24"/>
        </w:rPr>
      </w:pPr>
      <w:r>
        <w:rPr>
          <w:rFonts w:ascii="Times New Roman" w:hAnsi="Times New Roman"/>
          <w:sz w:val="24"/>
        </w:rPr>
        <w:t>Article 6</w:t>
      </w:r>
    </w:p>
    <w:p w:rsidR="008E72DD" w:rsidRPr="00116744" w:rsidRDefault="008E72DD" w:rsidP="006270DA">
      <w:pPr>
        <w:spacing w:after="0" w:line="240" w:lineRule="auto"/>
        <w:ind w:left="426"/>
        <w:jc w:val="center"/>
        <w:rPr>
          <w:rFonts w:ascii="Times New Roman" w:hAnsi="Times New Roman" w:cs="Times New Roman"/>
          <w:sz w:val="24"/>
          <w:szCs w:val="24"/>
        </w:rPr>
      </w:pPr>
      <w:r>
        <w:rPr>
          <w:rFonts w:ascii="Times New Roman" w:hAnsi="Times New Roman"/>
          <w:i/>
          <w:sz w:val="24"/>
        </w:rPr>
        <w:t>Staff training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E72DD" w:rsidRPr="00116744" w:rsidRDefault="008E72DD" w:rsidP="00502D9D">
      <w:pPr>
        <w:spacing w:after="0" w:line="240" w:lineRule="auto"/>
        <w:jc w:val="both"/>
        <w:rPr>
          <w:rFonts w:ascii="Times New Roman" w:hAnsi="Times New Roman" w:cs="Times New Roman"/>
          <w:sz w:val="24"/>
          <w:szCs w:val="24"/>
        </w:rPr>
      </w:pPr>
    </w:p>
    <w:p w:rsidR="003D7DE6" w:rsidRPr="00116744" w:rsidRDefault="00742F89" w:rsidP="003D7DE6">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sz w:val="24"/>
        </w:rPr>
        <w:t>The entities referred to in Article 157(1) of Legislative Decree No 230 of 17 March 1995 must train their staff to recognise the most common types of radioactive sources, as well as their containers and equipment, providing signs and markings indicating the presence of radioactivity.</w:t>
      </w:r>
    </w:p>
    <w:p w:rsidR="00742F89" w:rsidRPr="00116744" w:rsidRDefault="003D7DE6" w:rsidP="003D7DE6">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sz w:val="24"/>
        </w:rPr>
        <w:t xml:space="preserve">The entities referred to in point 1 must also provide specific documented training to the staff responsible for carrying out radiometric monitoring such that they are able to properly carry out their duties, including visual inspections. </w:t>
      </w:r>
      <w:r>
        <w:rPr>
          <w:rFonts w:ascii="Times New Roman" w:hAnsi="Times New Roman"/>
          <w:sz w:val="24"/>
        </w:rPr>
        <w:t>In particular, all staff responsible for unloading, moving and handling scrap metal or other metal by-products and semi-finished metal products must be informed of and trained on the safety and protection procedures to be adopted in case of the discovery of orphan sources or contaminated metal material.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66476" w:rsidRPr="00116744" w:rsidRDefault="00F66476">
      <w:pPr>
        <w:spacing w:after="0" w:line="240" w:lineRule="auto"/>
        <w:jc w:val="both"/>
        <w:rPr>
          <w:rFonts w:ascii="Times New Roman" w:hAnsi="Times New Roman" w:cs="Times New Roman"/>
          <w:sz w:val="24"/>
          <w:szCs w:val="24"/>
        </w:rPr>
      </w:pPr>
    </w:p>
    <w:p w:rsidR="00F66476" w:rsidRPr="00116744" w:rsidRDefault="009E4D53" w:rsidP="00223553">
      <w:pPr>
        <w:keepNext/>
        <w:spacing w:after="0" w:line="240" w:lineRule="auto"/>
        <w:jc w:val="center"/>
        <w:rPr>
          <w:rFonts w:ascii="Times New Roman" w:hAnsi="Times New Roman" w:cs="Times New Roman"/>
          <w:sz w:val="24"/>
          <w:szCs w:val="24"/>
        </w:rPr>
      </w:pPr>
      <w:r>
        <w:rPr>
          <w:rFonts w:ascii="Times New Roman" w:hAnsi="Times New Roman"/>
          <w:sz w:val="24"/>
        </w:rPr>
        <w:t>Article 7</w:t>
      </w:r>
    </w:p>
    <w:p w:rsidR="00F66476" w:rsidRPr="00116744" w:rsidRDefault="00A505F5" w:rsidP="00223553">
      <w:pPr>
        <w:keepNext/>
        <w:spacing w:after="0" w:line="240" w:lineRule="auto"/>
        <w:jc w:val="center"/>
        <w:rPr>
          <w:rFonts w:ascii="Times New Roman" w:hAnsi="Times New Roman" w:cs="Times New Roman"/>
          <w:i/>
          <w:sz w:val="24"/>
          <w:szCs w:val="24"/>
        </w:rPr>
      </w:pPr>
      <w:r>
        <w:rPr>
          <w:rFonts w:ascii="Times New Roman" w:hAnsi="Times New Roman"/>
          <w:i/>
          <w:sz w:val="24"/>
        </w:rPr>
        <w:t>Mutual recognition of certificates from radiometric tests conducted on scrap metal or other metal by-products and on semi-finished metal products deriving from Third countries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0D519B" w:rsidRPr="00116744" w:rsidRDefault="000D519B" w:rsidP="00223553">
      <w:pPr>
        <w:keepNext/>
        <w:spacing w:after="0" w:line="240" w:lineRule="auto"/>
        <w:jc w:val="center"/>
        <w:rPr>
          <w:rFonts w:ascii="Times New Roman" w:hAnsi="Times New Roman" w:cs="Times New Roman"/>
          <w:sz w:val="24"/>
          <w:szCs w:val="24"/>
        </w:rPr>
      </w:pPr>
    </w:p>
    <w:p w:rsidR="000D519B" w:rsidRPr="00116744"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Pr>
          <w:rFonts w:ascii="Times New Roman" w:hAnsi="Times New Roman"/>
          <w:sz w:val="24"/>
        </w:rPr>
        <w:t>For the purpose of fulfilling customs procedures, for scrap metal or other metal by-products and for semi-finished metal products deriving from Third Countries for which there exist equivalent levels of protection recognised by the use of certificates compliant with the form given in Annex I to this decree, in place of certification on the basis of radiometric tests conducted at customs, the declaration issued at the place of origin by entities previously authorised on the basis of the provisions set out by the competent authority in the country of origin of such materials may be accepted on a reciprocal basis.</w:t>
      </w:r>
    </w:p>
    <w:p w:rsidR="000D519B" w:rsidRPr="00116744"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Pr>
          <w:rFonts w:ascii="Times New Roman" w:hAnsi="Times New Roman"/>
          <w:sz w:val="24"/>
        </w:rPr>
        <w:t>The list of countries for which a mutual recognition agreement is in force shall be published and periodically updated by the Ministry of Economic Development.</w:t>
      </w:r>
    </w:p>
    <w:p w:rsidR="002028A7" w:rsidRPr="00116744" w:rsidRDefault="002028A7" w:rsidP="00160CDF">
      <w:pPr>
        <w:spacing w:after="0" w:line="240" w:lineRule="auto"/>
        <w:ind w:left="360"/>
        <w:jc w:val="center"/>
        <w:rPr>
          <w:rFonts w:ascii="Times New Roman" w:hAnsi="Times New Roman" w:cs="Times New Roman"/>
          <w:sz w:val="24"/>
          <w:szCs w:val="24"/>
        </w:rPr>
      </w:pPr>
      <w:r>
        <w:rPr>
          <w:rFonts w:ascii="Times New Roman" w:hAnsi="Times New Roman"/>
          <w:sz w:val="24"/>
        </w:rPr>
        <w:t>Article 8</w:t>
      </w:r>
    </w:p>
    <w:p w:rsidR="00B310BB" w:rsidRPr="00116744" w:rsidRDefault="003D7DE6" w:rsidP="00160CDF">
      <w:pPr>
        <w:spacing w:after="0" w:line="240" w:lineRule="auto"/>
        <w:jc w:val="center"/>
        <w:rPr>
          <w:rFonts w:ascii="Times New Roman" w:hAnsi="Times New Roman" w:cs="Times New Roman"/>
          <w:i/>
          <w:sz w:val="24"/>
          <w:szCs w:val="24"/>
        </w:rPr>
      </w:pPr>
      <w:r>
        <w:rPr>
          <w:rFonts w:ascii="Times New Roman" w:hAnsi="Times New Roman"/>
          <w:i/>
          <w:sz w:val="24"/>
        </w:rPr>
        <w:t>Semi-finished metal products subject to radiometric monitoring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D7DE6" w:rsidRPr="00116744" w:rsidRDefault="003D7DE6" w:rsidP="00160CDF">
      <w:pPr>
        <w:spacing w:after="0" w:line="240" w:lineRule="auto"/>
        <w:jc w:val="center"/>
        <w:rPr>
          <w:rFonts w:ascii="Times New Roman" w:hAnsi="Times New Roman" w:cs="Times New Roman"/>
          <w:i/>
          <w:sz w:val="24"/>
          <w:szCs w:val="24"/>
        </w:rPr>
      </w:pPr>
    </w:p>
    <w:p w:rsidR="003D7DE6" w:rsidRPr="00116744" w:rsidRDefault="003D7DE6" w:rsidP="001C7D7C">
      <w:pPr>
        <w:spacing w:line="240" w:lineRule="auto"/>
        <w:ind w:left="709" w:hanging="357"/>
        <w:jc w:val="both"/>
        <w:rPr>
          <w:rFonts w:ascii="Times New Roman" w:hAnsi="Times New Roman" w:cs="Times New Roman"/>
          <w:sz w:val="24"/>
          <w:szCs w:val="24"/>
        </w:rPr>
      </w:pPr>
      <w:r>
        <w:rPr>
          <w:rFonts w:ascii="Times New Roman" w:hAnsi="Times New Roman"/>
          <w:sz w:val="24"/>
        </w:rPr>
        <w:t>1.</w:t>
      </w:r>
      <w:r>
        <w:tab/>
      </w:r>
      <w:r>
        <w:rPr>
          <w:rFonts w:ascii="Times New Roman" w:hAnsi="Times New Roman"/>
          <w:sz w:val="24"/>
        </w:rPr>
        <w:t>The list of semi-finished metal products subject to radiometric monitoring is given in Annex II to this decree.</w:t>
      </w:r>
    </w:p>
    <w:p w:rsidR="00C75963" w:rsidRPr="00116744" w:rsidRDefault="00C75963" w:rsidP="001C7D7C">
      <w:pPr>
        <w:spacing w:line="240" w:lineRule="auto"/>
        <w:ind w:left="709" w:hanging="357"/>
        <w:jc w:val="both"/>
        <w:rPr>
          <w:rFonts w:ascii="Times New Roman" w:hAnsi="Times New Roman" w:cs="Times New Roman"/>
          <w:sz w:val="24"/>
          <w:szCs w:val="24"/>
        </w:rPr>
      </w:pPr>
      <w:r>
        <w:rPr>
          <w:rFonts w:ascii="Times New Roman" w:hAnsi="Times New Roman"/>
          <w:sz w:val="24"/>
        </w:rPr>
        <w:t>2.</w:t>
      </w:r>
      <w:r>
        <w:tab/>
      </w:r>
      <w:r>
        <w:rPr>
          <w:rFonts w:ascii="Times New Roman" w:hAnsi="Times New Roman"/>
          <w:sz w:val="24"/>
        </w:rPr>
        <w:t>The update to Annex II to this decree has been carried out on the basis of the changes made to the combined nomenclature, as provided for by the EU regulations on such products, by decree of the Ministry of Economic Development at the proposal of the Italian Customs and Monopolies Agency.</w:t>
      </w:r>
    </w:p>
    <w:p w:rsidR="00F66476" w:rsidRPr="00116744" w:rsidRDefault="009E4D53">
      <w:pPr>
        <w:spacing w:after="0" w:line="240" w:lineRule="auto"/>
        <w:jc w:val="center"/>
        <w:rPr>
          <w:rFonts w:ascii="Times New Roman" w:hAnsi="Times New Roman" w:cs="Times New Roman"/>
          <w:sz w:val="24"/>
          <w:szCs w:val="24"/>
        </w:rPr>
      </w:pPr>
      <w:r>
        <w:rPr>
          <w:rFonts w:ascii="Times New Roman" w:hAnsi="Times New Roman"/>
          <w:sz w:val="24"/>
        </w:rPr>
        <w:t>Article 9</w:t>
      </w:r>
    </w:p>
    <w:p w:rsidR="00C01A69" w:rsidRPr="00116744" w:rsidRDefault="00ED32D2" w:rsidP="00C01A69">
      <w:pPr>
        <w:spacing w:after="0" w:line="240" w:lineRule="auto"/>
        <w:jc w:val="center"/>
        <w:rPr>
          <w:rFonts w:ascii="Times New Roman" w:hAnsi="Times New Roman" w:cs="Times New Roman"/>
          <w:i/>
          <w:sz w:val="24"/>
          <w:szCs w:val="24"/>
        </w:rPr>
      </w:pPr>
      <w:r>
        <w:rPr>
          <w:rFonts w:ascii="Times New Roman" w:hAnsi="Times New Roman"/>
          <w:i/>
          <w:sz w:val="24"/>
        </w:rPr>
        <w:t xml:space="preserve">No change in charges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00006" w:rsidRPr="00116744" w:rsidRDefault="00D00006">
      <w:pPr>
        <w:spacing w:after="0" w:line="240" w:lineRule="auto"/>
        <w:jc w:val="center"/>
        <w:rPr>
          <w:rFonts w:ascii="Times New Roman" w:hAnsi="Times New Roman" w:cs="Times New Roman"/>
          <w:i/>
          <w:sz w:val="24"/>
          <w:szCs w:val="24"/>
        </w:rPr>
      </w:pPr>
    </w:p>
    <w:p w:rsidR="00DD1C06" w:rsidRPr="00116744" w:rsidRDefault="009E4D53" w:rsidP="00175273">
      <w:pPr>
        <w:spacing w:line="240" w:lineRule="auto"/>
        <w:ind w:left="709" w:hanging="357"/>
        <w:jc w:val="both"/>
        <w:rPr>
          <w:rFonts w:ascii="Times New Roman" w:hAnsi="Times New Roman" w:cs="Times New Roman"/>
          <w:sz w:val="24"/>
          <w:szCs w:val="24"/>
        </w:rPr>
      </w:pPr>
      <w:r>
        <w:rPr>
          <w:rFonts w:ascii="Times New Roman" w:hAnsi="Times New Roman"/>
          <w:sz w:val="24"/>
        </w:rPr>
        <w:t xml:space="preserve">1. </w:t>
      </w:r>
      <w:r>
        <w:tab/>
      </w:r>
      <w:r>
        <w:rPr>
          <w:rFonts w:ascii="Times New Roman" w:hAnsi="Times New Roman"/>
          <w:sz w:val="24"/>
        </w:rPr>
        <w:t xml:space="preserve">The implementation of the provisions of this decree shall not impose any new or increased burden on public finances. </w:t>
      </w:r>
    </w:p>
    <w:p w:rsidR="00D00006" w:rsidRPr="00116744" w:rsidRDefault="00ED32D2" w:rsidP="00175273">
      <w:pPr>
        <w:spacing w:line="240" w:lineRule="auto"/>
        <w:ind w:left="709" w:hanging="357"/>
        <w:jc w:val="both"/>
        <w:rPr>
          <w:rFonts w:ascii="Times New Roman" w:hAnsi="Times New Roman" w:cs="Times New Roman"/>
          <w:sz w:val="24"/>
          <w:szCs w:val="24"/>
        </w:rPr>
      </w:pPr>
      <w:r>
        <w:rPr>
          <w:rFonts w:ascii="Times New Roman" w:hAnsi="Times New Roman"/>
          <w:sz w:val="24"/>
        </w:rPr>
        <w:t xml:space="preserve">2. </w:t>
      </w:r>
      <w:r>
        <w:tab/>
      </w:r>
      <w:r>
        <w:rPr>
          <w:rFonts w:ascii="Times New Roman" w:hAnsi="Times New Roman"/>
          <w:sz w:val="24"/>
        </w:rPr>
        <w:t xml:space="preserve">The public entities involved shall fulfil their duties pursuant to this decree using the human, instrumental and financial resources made available by legislation in force. </w:t>
      </w:r>
    </w:p>
    <w:p w:rsidR="00F66476" w:rsidRPr="00116744" w:rsidRDefault="00ED32D2">
      <w:pPr>
        <w:spacing w:after="0" w:line="240" w:lineRule="auto"/>
        <w:jc w:val="center"/>
        <w:rPr>
          <w:rFonts w:ascii="Times New Roman" w:hAnsi="Times New Roman" w:cs="Times New Roman"/>
          <w:sz w:val="24"/>
          <w:szCs w:val="24"/>
        </w:rPr>
      </w:pPr>
      <w:r>
        <w:rPr>
          <w:rFonts w:ascii="Times New Roman" w:hAnsi="Times New Roman"/>
          <w:sz w:val="24"/>
        </w:rPr>
        <w:t>Article 10</w:t>
      </w:r>
    </w:p>
    <w:p w:rsidR="00F66476" w:rsidRPr="00116744" w:rsidRDefault="00ED32D2">
      <w:pPr>
        <w:spacing w:after="0" w:line="240" w:lineRule="auto"/>
        <w:jc w:val="center"/>
        <w:rPr>
          <w:rFonts w:ascii="Times New Roman" w:hAnsi="Times New Roman" w:cs="Times New Roman"/>
          <w:i/>
          <w:sz w:val="24"/>
          <w:szCs w:val="24"/>
        </w:rPr>
      </w:pPr>
      <w:r>
        <w:rPr>
          <w:rFonts w:ascii="Times New Roman" w:hAnsi="Times New Roman"/>
          <w:i/>
          <w:sz w:val="24"/>
        </w:rPr>
        <w:t>Entry into force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311D0" w:rsidRPr="00116744" w:rsidRDefault="008311D0">
      <w:pPr>
        <w:spacing w:after="0" w:line="240" w:lineRule="auto"/>
        <w:jc w:val="center"/>
        <w:rPr>
          <w:rFonts w:ascii="Times New Roman" w:hAnsi="Times New Roman" w:cs="Times New Roman"/>
          <w:i/>
          <w:sz w:val="24"/>
          <w:szCs w:val="24"/>
        </w:rPr>
      </w:pPr>
    </w:p>
    <w:p w:rsidR="00915B27" w:rsidRPr="00116744" w:rsidRDefault="009E4D53" w:rsidP="00CF773E">
      <w:pPr>
        <w:spacing w:line="240" w:lineRule="auto"/>
        <w:ind w:left="708" w:hanging="356"/>
        <w:jc w:val="both"/>
        <w:rPr>
          <w:rFonts w:ascii="Times New Roman" w:hAnsi="Times New Roman" w:cs="Times New Roman"/>
          <w:sz w:val="24"/>
          <w:szCs w:val="24"/>
        </w:rPr>
      </w:pPr>
      <w:r>
        <w:rPr>
          <w:rFonts w:ascii="Times New Roman" w:hAnsi="Times New Roman"/>
          <w:sz w:val="24"/>
        </w:rPr>
        <w:t xml:space="preserve">1. </w:t>
      </w:r>
      <w:r>
        <w:tab/>
      </w:r>
      <w:r>
        <w:rPr>
          <w:rFonts w:ascii="Times New Roman" w:hAnsi="Times New Roman"/>
          <w:sz w:val="24"/>
        </w:rPr>
        <w:t>This decree shall enter into force 90 days after its publication in the Official Journal of the Italian Republic.</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CF773E">
      <w:pPr>
        <w:spacing w:line="240" w:lineRule="auto"/>
        <w:ind w:left="708" w:hanging="356"/>
        <w:jc w:val="both"/>
        <w:rPr>
          <w:rFonts w:ascii="Times New Roman" w:hAnsi="Times New Roman" w:cs="Times New Roman"/>
          <w:sz w:val="24"/>
          <w:szCs w:val="24"/>
        </w:rPr>
        <w:sectPr w:rsidR="00F265F4" w:rsidRPr="00116744" w:rsidSect="003A3BF5">
          <w:footerReference w:type="default" r:id="rId9"/>
          <w:pgSz w:w="11906" w:h="16838"/>
          <w:pgMar w:top="1417" w:right="1134" w:bottom="1134" w:left="1134" w:header="708" w:footer="708" w:gutter="0"/>
          <w:cols w:space="708"/>
          <w:docGrid w:linePitch="360"/>
        </w:sectPr>
      </w:pPr>
    </w:p>
    <w:p w:rsidR="00F265F4" w:rsidRPr="00116744" w:rsidRDefault="00F265F4" w:rsidP="00F265F4">
      <w:pPr>
        <w:pStyle w:val="Style1"/>
        <w:widowControl/>
        <w:jc w:val="center"/>
        <w:rPr>
          <w:rStyle w:val="FontStyle18"/>
          <w:rFonts w:ascii="Arial" w:hAnsi="Arial" w:cs="Arial"/>
          <w:b/>
          <w:sz w:val="18"/>
          <w:szCs w:val="18"/>
        </w:rPr>
      </w:pPr>
      <w:r>
        <w:rPr>
          <w:rStyle w:val="FontStyle18"/>
          <w:rFonts w:ascii="Arial" w:hAnsi="Arial"/>
          <w:b/>
          <w:sz w:val="18"/>
        </w:rPr>
        <w:t xml:space="preserve">Form </w:t>
      </w:r>
      <w:r>
        <w:rPr>
          <w:rStyle w:val="FontStyle18"/>
          <w:rFonts w:ascii="Arial" w:hAnsi="Arial"/>
          <w:b/>
          <w:sz w:val="18"/>
        </w:rPr>
        <w:t>IRME90 - ACCOMPANYING DOCUMENT FOR IMPORTING</w:t>
      </w:r>
    </w:p>
    <w:p w:rsidR="00F265F4" w:rsidRPr="00116744" w:rsidRDefault="00F265F4" w:rsidP="00F265F4">
      <w:pPr>
        <w:pStyle w:val="Style1"/>
        <w:widowControl/>
        <w:jc w:val="center"/>
        <w:rPr>
          <w:rStyle w:val="FontStyle18"/>
          <w:rFonts w:ascii="Arial" w:hAnsi="Arial" w:cs="Arial"/>
          <w:b/>
          <w:sz w:val="18"/>
          <w:szCs w:val="18"/>
        </w:rPr>
      </w:pPr>
      <w:r>
        <w:rPr>
          <w:rStyle w:val="FontStyle18"/>
          <w:rFonts w:ascii="Arial" w:hAnsi="Arial"/>
          <w:b/>
          <w:sz w:val="18"/>
        </w:rPr>
        <w:t>SCRAP METALS OR</w:t>
      </w:r>
      <w:r>
        <w:rPr>
          <w:rStyle w:val="FontStyle18"/>
          <w:rFonts w:ascii="Arial" w:hAnsi="Arial"/>
          <w:sz w:val="18"/>
        </w:rPr>
        <w:t xml:space="preserve"> </w:t>
      </w:r>
      <w:r>
        <w:rPr>
          <w:rStyle w:val="FontStyle18"/>
          <w:rFonts w:ascii="Arial" w:hAnsi="Arial"/>
          <w:b/>
          <w:sz w:val="18"/>
        </w:rPr>
        <w:t>OTHER METAL BY-PRODUCTS</w:t>
      </w:r>
      <w:r>
        <w:rPr>
          <w:rStyle w:val="FontStyle18"/>
          <w:rFonts w:ascii="Arial" w:hAnsi="Arial"/>
          <w:sz w:val="18"/>
        </w:rPr>
        <w:t xml:space="preserve"> AND </w:t>
      </w:r>
      <w:r>
        <w:rPr>
          <w:rStyle w:val="FontStyle18"/>
          <w:rFonts w:ascii="Arial" w:hAnsi="Arial"/>
          <w:b/>
          <w:sz w:val="18"/>
        </w:rPr>
        <w:t>SEMI-FINISHED METAL PRODUCTS INTO ITALY</w:t>
      </w:r>
    </w:p>
    <w:p w:rsidR="00F265F4" w:rsidRPr="00116744" w:rsidRDefault="00BA3E74" w:rsidP="00F265F4">
      <w:pPr>
        <w:pStyle w:val="Style1"/>
        <w:widowControl/>
        <w:jc w:val="center"/>
        <w:rPr>
          <w:rStyle w:val="FontStyle18"/>
          <w:rFonts w:ascii="Arial" w:hAnsi="Arial" w:cs="Arial"/>
        </w:rPr>
      </w:pPr>
      <w:r>
        <w:rPr>
          <w:rFonts w:ascii="Book Antiqua" w:hAnsi="Book Antiqua" w:cs="Book Antiqua"/>
          <w:b/>
          <w:bCs/>
          <w:noProof/>
          <w:color w:val="000000"/>
          <w:sz w:val="16"/>
          <w:szCs w:val="16"/>
        </w:rPr>
        <w:pict>
          <v:group xmlns:v="urn:schemas-microsoft-com:vml" id="_x0000_s1029" style="position:absolute;left:0;text-align:left;margin-left:-6.05pt;margin-top:6.4pt;width:540pt;height:760.85pt;z-index:-251657216" coordorigin="730,1109" coordsize="10800,15217">
            <v:group id="_x0000_s1030" style="position:absolute;left:730;top:1109;width:10800;height:15217" coordorigin="730,1109" coordsize="10800,15217">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498" strokeweight="1pt">
                <v:fill opacity="0"/>
              </v:rect>
            </v:group>
            <v:rect id="_x0000_s1035" style="position:absolute;left:730;top:11363;width:10800;height:3355" strokeweight="1pt">
              <v:fill opacity="0"/>
            </v:rect>
          </v:group>
        </w:pict>
      </w:r>
    </w:p>
    <w:p w:rsidR="00F265F4" w:rsidRPr="00116744" w:rsidRDefault="00F265F4" w:rsidP="00F265F4">
      <w:pPr>
        <w:pStyle w:val="Style8"/>
        <w:widowControl/>
        <w:spacing w:line="360" w:lineRule="auto"/>
        <w:rPr>
          <w:rStyle w:val="FontStyle21"/>
          <w:lang/>
        </w:rPr>
      </w:pPr>
      <w:r>
        <w:rPr>
          <w:rStyle w:val="FontStyle21"/>
        </w:rPr>
        <w:t>Section 1.</w:t>
      </w:r>
    </w:p>
    <w:p w:rsidR="00F265F4" w:rsidRPr="00116744" w:rsidRDefault="00F265F4" w:rsidP="00F265F4">
      <w:pPr>
        <w:pStyle w:val="Style8"/>
        <w:widowControl/>
        <w:rPr>
          <w:rStyle w:val="FontStyle21"/>
          <w:lang/>
        </w:rPr>
      </w:pPr>
      <w:r>
        <w:rPr>
          <w:rStyle w:val="FontStyle21"/>
        </w:rPr>
        <w:t xml:space="preserve">Sender (Name, Address, Country) </w:t>
      </w:r>
      <w:r>
        <w:rPr>
          <w:rStyle w:val="FontStyle21"/>
          <w:vanish/>
        </w:rPr>
        <w:t>/ Expéditeur (Nom, Adresse, Pays) / Absender (Name, Anschrift, Land)</w:t>
      </w: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rPr>
          <w:rStyle w:val="FontStyle21"/>
          <w:lang/>
        </w:rPr>
      </w:pPr>
    </w:p>
    <w:p w:rsidR="00F265F4" w:rsidRPr="00116744" w:rsidRDefault="00F265F4" w:rsidP="00F265F4">
      <w:pPr>
        <w:pStyle w:val="Style8"/>
        <w:widowControl/>
        <w:rPr>
          <w:rStyle w:val="FontStyle21"/>
          <w:lang/>
        </w:rPr>
      </w:pP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rPr>
          <w:rStyle w:val="FontStyle21"/>
          <w:lang/>
        </w:rPr>
      </w:pPr>
    </w:p>
    <w:p w:rsidR="00F265F4" w:rsidRPr="00116744" w:rsidRDefault="00F265F4" w:rsidP="00F265F4">
      <w:pPr>
        <w:pStyle w:val="Style8"/>
        <w:widowControl/>
        <w:rPr>
          <w:rStyle w:val="FontStyle21"/>
          <w:lang/>
        </w:rPr>
      </w:pPr>
      <w:r>
        <w:rPr>
          <w:rStyle w:val="FontStyle21"/>
        </w:rPr>
        <w:t xml:space="preserve">Tel.: </w:t>
      </w:r>
      <w:r>
        <w:rPr>
          <w:rStyle w:val="FontStyle21"/>
        </w:rPr>
        <w:t xml:space="preserve">..................................................................... </w:t>
      </w:r>
      <w:r>
        <w:tab/>
      </w:r>
      <w:r>
        <w:rPr>
          <w:rStyle w:val="FontStyle21"/>
        </w:rPr>
        <w:t xml:space="preserve">Fax: </w:t>
      </w: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rPr>
          <w:rStyle w:val="FontStyle21"/>
          <w:sz w:val="8"/>
          <w:lang/>
        </w:rPr>
      </w:pPr>
    </w:p>
    <w:p w:rsidR="00F265F4" w:rsidRPr="00116744" w:rsidRDefault="00F265F4" w:rsidP="00F265F4">
      <w:pPr>
        <w:pStyle w:val="Style8"/>
        <w:widowControl/>
        <w:rPr>
          <w:rStyle w:val="FontStyle21"/>
          <w:lang/>
        </w:rPr>
      </w:pPr>
      <w:r>
        <w:rPr>
          <w:rStyle w:val="FontStyle21"/>
        </w:rPr>
        <w:t xml:space="preserve">Recipient (Name, Address, Country) </w:t>
      </w:r>
      <w:r>
        <w:rPr>
          <w:rStyle w:val="FontStyle21"/>
          <w:vanish/>
        </w:rPr>
        <w:t>/ Destinataire (Nom, Adresse, Pays) / Empfänger (Name, Anschrift, Land)</w:t>
      </w: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rPr>
          <w:rStyle w:val="FontStyle21"/>
          <w:lang/>
        </w:rPr>
      </w:pPr>
    </w:p>
    <w:p w:rsidR="00F265F4" w:rsidRPr="00116744" w:rsidRDefault="00F265F4" w:rsidP="00F265F4">
      <w:pPr>
        <w:pStyle w:val="Style8"/>
        <w:widowControl/>
        <w:rPr>
          <w:rStyle w:val="FontStyle21"/>
          <w:lang/>
        </w:rPr>
      </w:pP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rPr>
          <w:rStyle w:val="FontStyle21"/>
          <w:lang/>
        </w:rPr>
      </w:pPr>
    </w:p>
    <w:p w:rsidR="00F265F4" w:rsidRPr="00116744" w:rsidRDefault="00F265F4" w:rsidP="00F265F4">
      <w:pPr>
        <w:pStyle w:val="Style8"/>
        <w:widowControl/>
        <w:rPr>
          <w:rStyle w:val="FontStyle21"/>
          <w:lang/>
        </w:rPr>
      </w:pPr>
      <w:r>
        <w:rPr>
          <w:rStyle w:val="FontStyle21"/>
        </w:rPr>
        <w:t xml:space="preserve">Tel.: </w:t>
      </w:r>
      <w:r>
        <w:rPr>
          <w:rStyle w:val="FontStyle21"/>
        </w:rPr>
        <w:t xml:space="preserve">..................................................................... </w:t>
      </w:r>
      <w:r>
        <w:tab/>
      </w:r>
      <w:r>
        <w:rPr>
          <w:rStyle w:val="FontStyle21"/>
        </w:rPr>
        <w:t xml:space="preserve">Fax: </w:t>
      </w:r>
      <w:r>
        <w:rPr>
          <w:rStyle w:val="FontStyle21"/>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rPr>
          <w:rStyle w:val="FontStyle21"/>
          <w:sz w:val="8"/>
          <w:lang/>
        </w:rPr>
      </w:pPr>
    </w:p>
    <w:p w:rsidR="00F265F4" w:rsidRPr="00116744" w:rsidRDefault="00F265F4" w:rsidP="00F265F4">
      <w:pPr>
        <w:pStyle w:val="Style8"/>
        <w:widowControl/>
        <w:rPr>
          <w:rStyle w:val="FontStyle21"/>
          <w:lang/>
        </w:rPr>
      </w:pPr>
      <w:r>
        <w:rPr>
          <w:rStyle w:val="FontStyle21"/>
        </w:rPr>
        <w:t xml:space="preserve">Nature of the goods </w:t>
      </w:r>
      <w:r>
        <w:rPr>
          <w:rStyle w:val="FontStyle21"/>
          <w:vanish/>
        </w:rPr>
        <w:t>/ Nature de la marchandise / Warenbezeichnung</w:t>
      </w: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rPr>
          <w:rStyle w:val="FontStyle21"/>
          <w:lang/>
        </w:rPr>
      </w:pPr>
    </w:p>
    <w:p w:rsidR="00F265F4" w:rsidRPr="00116744" w:rsidRDefault="00F265F4" w:rsidP="00F265F4">
      <w:pPr>
        <w:pStyle w:val="Style8"/>
        <w:widowControl/>
        <w:rPr>
          <w:rStyle w:val="FontStyle21"/>
          <w:sz w:val="10"/>
        </w:rPr>
      </w:pP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spacing w:line="360" w:lineRule="auto"/>
        <w:rPr>
          <w:rStyle w:val="FontStyle21"/>
          <w:sz w:val="10"/>
        </w:rPr>
      </w:pPr>
    </w:p>
    <w:p w:rsidR="00F265F4" w:rsidRPr="00116744" w:rsidRDefault="00F265F4" w:rsidP="00F265F4">
      <w:pPr>
        <w:pStyle w:val="Style8"/>
        <w:widowControl/>
        <w:ind w:right="-752"/>
        <w:jc w:val="center"/>
        <w:rPr>
          <w:rStyle w:val="FontStyle21"/>
        </w:rPr>
      </w:pPr>
      <w:r>
        <w:rPr>
          <w:rStyle w:val="FontStyle21"/>
        </w:rPr>
        <w:t>TRANSPORTATION DETAILS</w:t>
      </w:r>
      <w:r>
        <w:rPr>
          <w:rStyle w:val="FontStyle21"/>
          <w:vanish/>
        </w:rPr>
        <w:t xml:space="preserve"> / INFORMATIONS RELATIVES AU TRANSPORT / ANGABEN ZUM TRANSPORT</w:t>
      </w:r>
    </w:p>
    <w:p w:rsidR="00F265F4" w:rsidRPr="00116744" w:rsidRDefault="00F265F4" w:rsidP="00F265F4">
      <w:pPr>
        <w:pStyle w:val="Style12"/>
        <w:widowControl/>
        <w:numPr>
          <w:ilvl w:val="0"/>
          <w:numId w:val="17"/>
        </w:numPr>
        <w:ind w:left="426" w:hanging="426"/>
        <w:rPr>
          <w:rStyle w:val="FontStyle21"/>
          <w:lang/>
        </w:rPr>
      </w:pPr>
      <w:r>
        <w:rPr>
          <w:rStyle w:val="FontStyle21"/>
        </w:rPr>
        <w:t xml:space="preserve">Transportation by sea </w:t>
      </w:r>
      <w:r>
        <w:rPr>
          <w:rStyle w:val="FontStyle21"/>
          <w:vanish/>
        </w:rPr>
        <w:t>/ provenance par mer / Herkunft auf dem Seeweg</w:t>
      </w:r>
      <w:r>
        <w:rPr>
          <w:rStyle w:val="FontStyle21"/>
          <w:vanish/>
        </w:rPr>
        <w:t xml:space="preserve"> </w:t>
      </w:r>
    </w:p>
    <w:p w:rsidR="00F265F4" w:rsidRPr="00116744" w:rsidRDefault="00F265F4" w:rsidP="00F265F4">
      <w:pPr>
        <w:pStyle w:val="Style12"/>
        <w:widowControl/>
        <w:tabs>
          <w:tab w:val="left" w:pos="4962"/>
        </w:tabs>
        <w:spacing w:line="480" w:lineRule="auto"/>
        <w:ind w:left="426"/>
        <w:rPr>
          <w:rStyle w:val="FontStyle21"/>
          <w:lang/>
        </w:rPr>
      </w:pPr>
      <w:r>
        <w:rPr>
          <w:rStyle w:val="FontStyle21"/>
        </w:rPr>
        <w:t xml:space="preserve">Name of vessel </w:t>
      </w:r>
      <w:r>
        <w:rPr>
          <w:rStyle w:val="FontStyle21"/>
          <w:vanish/>
        </w:rPr>
        <w:t>/ Nom du navire / Name des Schiffes</w:t>
      </w:r>
      <w:r>
        <w:rPr>
          <w:rStyle w:val="FontStyle21"/>
        </w:rPr>
        <w:t>:</w:t>
      </w:r>
      <w:r>
        <w:tab/>
      </w:r>
      <w:r>
        <w:rPr>
          <w:rStyle w:val="FontStyle21"/>
        </w:rPr>
        <w:t xml:space="preserve">Nationality </w:t>
      </w:r>
      <w:r>
        <w:rPr>
          <w:rStyle w:val="FontStyle21"/>
          <w:vanish/>
        </w:rPr>
        <w:t>/ Nationalité / Nationalität</w:t>
      </w:r>
      <w:r>
        <w:rPr>
          <w:rStyle w:val="FontStyle21"/>
        </w:rPr>
        <w:t>:</w:t>
      </w:r>
    </w:p>
    <w:p w:rsidR="00F265F4" w:rsidRPr="00116744" w:rsidRDefault="00F265F4" w:rsidP="00F265F4">
      <w:pPr>
        <w:pStyle w:val="Style8"/>
        <w:widowControl/>
        <w:tabs>
          <w:tab w:val="left" w:pos="4962"/>
        </w:tabs>
        <w:spacing w:line="480" w:lineRule="auto"/>
        <w:ind w:firstLine="426"/>
        <w:rPr>
          <w:rStyle w:val="FontStyle21"/>
        </w:rPr>
      </w:pPr>
      <w:r>
        <w:rPr>
          <w:rStyle w:val="FontStyle21"/>
        </w:rPr>
        <w:t xml:space="preserve">................................................................................................. </w:t>
      </w:r>
      <w:r>
        <w:tab/>
      </w:r>
      <w:r>
        <w:rPr>
          <w:rStyle w:val="FontStyle21"/>
        </w:rPr>
        <w:t>.................................................................................................</w:t>
      </w:r>
    </w:p>
    <w:p w:rsidR="00F265F4" w:rsidRPr="00116744" w:rsidRDefault="00F265F4" w:rsidP="00F265F4">
      <w:pPr>
        <w:pStyle w:val="Style12"/>
        <w:widowControl/>
        <w:tabs>
          <w:tab w:val="left" w:pos="4962"/>
        </w:tabs>
        <w:spacing w:line="480" w:lineRule="auto"/>
        <w:ind w:left="426"/>
        <w:rPr>
          <w:rStyle w:val="FontStyle21"/>
        </w:rPr>
      </w:pPr>
      <w:r>
        <w:rPr>
          <w:rStyle w:val="FontStyle21"/>
        </w:rPr>
        <w:t xml:space="preserve">Departure port </w:t>
      </w:r>
      <w:r>
        <w:rPr>
          <w:rStyle w:val="FontStyle21"/>
          <w:vanish/>
        </w:rPr>
        <w:t>/ Port de départ / Abfahrtshafen</w:t>
      </w:r>
      <w:r>
        <w:rPr>
          <w:rStyle w:val="FontStyle21"/>
        </w:rPr>
        <w:t>:</w:t>
      </w:r>
      <w:r>
        <w:tab/>
      </w:r>
      <w:r>
        <w:rPr>
          <w:rStyle w:val="FontStyle21"/>
        </w:rPr>
        <w:t xml:space="preserve">Arrival port </w:t>
      </w:r>
      <w:r>
        <w:rPr>
          <w:rStyle w:val="FontStyle21"/>
          <w:vanish/>
        </w:rPr>
        <w:t>/ Port d’arrivée / Ankunftshafen</w:t>
      </w:r>
      <w:r>
        <w:rPr>
          <w:rStyle w:val="FontStyle21"/>
        </w:rPr>
        <w:t>:</w:t>
      </w:r>
    </w:p>
    <w:p w:rsidR="00F265F4" w:rsidRPr="00116744" w:rsidRDefault="00F265F4" w:rsidP="00F265F4">
      <w:pPr>
        <w:pStyle w:val="Style8"/>
        <w:widowControl/>
        <w:tabs>
          <w:tab w:val="left" w:pos="4962"/>
        </w:tabs>
        <w:spacing w:line="480" w:lineRule="auto"/>
        <w:ind w:firstLine="426"/>
        <w:rPr>
          <w:rStyle w:val="FontStyle21"/>
        </w:rPr>
      </w:pPr>
      <w:r>
        <w:rPr>
          <w:rStyle w:val="FontStyle21"/>
        </w:rPr>
        <w:t xml:space="preserve">................................................................................................. </w:t>
      </w:r>
      <w:r>
        <w:tab/>
      </w:r>
      <w:r>
        <w:rPr>
          <w:rStyle w:val="FontStyle21"/>
        </w:rPr>
        <w:t>.................................................................................................</w:t>
      </w:r>
    </w:p>
    <w:p w:rsidR="00F265F4" w:rsidRPr="00116744"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Pr>
          <w:rStyle w:val="FontStyle21"/>
        </w:rPr>
        <w:t xml:space="preserve">Transportation by land </w:t>
      </w:r>
      <w:r>
        <w:tab/>
      </w:r>
      <w:r>
        <w:rPr>
          <w:rStyle w:val="FontStyle21"/>
        </w:rPr>
        <w:t>or</w:t>
      </w:r>
      <w:r>
        <w:tab/>
      </w:r>
      <w:r>
        <w:rPr>
          <w:rStyle w:val="FontStyle21"/>
          <w:sz w:val="40"/>
        </w:rPr>
        <w:t xml:space="preserve">□ </w:t>
      </w:r>
      <w:r>
        <w:rPr>
          <w:rStyle w:val="FontStyle21"/>
        </w:rPr>
        <w:t xml:space="preserve">Unloaded from vessel </w:t>
      </w:r>
    </w:p>
    <w:p w:rsidR="00F265F4" w:rsidRPr="00116744" w:rsidRDefault="00F265F4" w:rsidP="00F265F4">
      <w:pPr>
        <w:pStyle w:val="Style12"/>
        <w:widowControl/>
        <w:tabs>
          <w:tab w:val="left" w:pos="426"/>
          <w:tab w:val="left" w:pos="2835"/>
          <w:tab w:val="left" w:pos="4962"/>
        </w:tabs>
        <w:rPr>
          <w:rStyle w:val="FontStyle21"/>
        </w:rPr>
      </w:pPr>
      <w:r>
        <w:rPr>
          <w:rStyle w:val="FontStyle21"/>
        </w:rPr>
        <w:t>Land-based transport method:</w:t>
      </w:r>
    </w:p>
    <w:p w:rsidR="00F265F4" w:rsidRPr="00116744" w:rsidRDefault="00F265F4" w:rsidP="00F265F4">
      <w:pPr>
        <w:pStyle w:val="Style12"/>
        <w:widowControl/>
        <w:numPr>
          <w:ilvl w:val="0"/>
          <w:numId w:val="17"/>
        </w:numPr>
        <w:tabs>
          <w:tab w:val="left" w:pos="426"/>
          <w:tab w:val="left" w:pos="3119"/>
        </w:tabs>
        <w:ind w:left="426" w:hanging="426"/>
        <w:rPr>
          <w:rStyle w:val="FontStyle21"/>
        </w:rPr>
      </w:pPr>
      <w:r>
        <w:rPr>
          <w:rStyle w:val="FontStyle21"/>
        </w:rPr>
        <w:t xml:space="preserve">by </w:t>
      </w:r>
      <w:r>
        <w:rPr>
          <w:rStyle w:val="FontStyle21"/>
          <w:vanish/>
        </w:rPr>
        <w:t xml:space="preserve">/ par / </w:t>
      </w:r>
      <w:r>
        <w:rPr>
          <w:rStyle w:val="FontStyle21"/>
          <w:vanish/>
        </w:rPr>
        <w:t>durch</w:t>
      </w:r>
      <w:r>
        <w:rPr>
          <w:rStyle w:val="FontStyle21"/>
          <w:vanish/>
        </w:rPr>
        <w:t xml:space="preserve"> </w:t>
      </w:r>
      <w:r>
        <w:rPr>
          <w:rStyle w:val="FontStyle21"/>
        </w:rPr>
        <w:t>Container</w:t>
      </w:r>
      <w:r>
        <w:tab/>
      </w:r>
      <w:r>
        <w:rPr>
          <w:rStyle w:val="FontStyle21"/>
          <w:sz w:val="40"/>
        </w:rPr>
        <w:t>□</w:t>
      </w:r>
      <w:r>
        <w:rPr>
          <w:rStyle w:val="FontStyle21"/>
        </w:rPr>
        <w:t xml:space="preserve"> in bulk </w:t>
      </w:r>
      <w:r>
        <w:rPr>
          <w:rStyle w:val="FontStyle21"/>
          <w:vanish/>
        </w:rPr>
        <w:t xml:space="preserve">/ en vrac / </w:t>
      </w:r>
      <w:r>
        <w:rPr>
          <w:rStyle w:val="FontStyle21"/>
          <w:vanish/>
        </w:rPr>
        <w:t>in loser Schüttung</w:t>
      </w:r>
    </w:p>
    <w:p w:rsidR="00F265F4" w:rsidRPr="00116744" w:rsidRDefault="00F265F4" w:rsidP="00E1152D">
      <w:pPr>
        <w:pStyle w:val="Style3"/>
        <w:widowControl/>
        <w:tabs>
          <w:tab w:val="left" w:pos="3119"/>
          <w:tab w:val="left" w:pos="6663"/>
        </w:tabs>
        <w:ind w:left="426"/>
        <w:rPr>
          <w:rStyle w:val="FontStyle21"/>
          <w:lang/>
        </w:rPr>
      </w:pPr>
      <w:r>
        <w:rPr>
          <w:rStyle w:val="FontStyle21"/>
        </w:rPr>
        <w:t xml:space="preserve">Registration </w:t>
      </w:r>
      <w:r>
        <w:rPr>
          <w:rStyle w:val="FontStyle21"/>
          <w:vanish/>
        </w:rPr>
        <w:t>/ Matricule / Matrikel</w:t>
      </w:r>
      <w:r>
        <w:tab/>
      </w:r>
      <w:r>
        <w:rPr>
          <w:rStyle w:val="FontStyle21"/>
          <w:sz w:val="40"/>
        </w:rPr>
        <w:t>□</w:t>
      </w:r>
      <w:r>
        <w:rPr>
          <w:rStyle w:val="FontStyle21"/>
        </w:rPr>
        <w:t xml:space="preserve"> Rail </w:t>
      </w:r>
      <w:r>
        <w:rPr>
          <w:rStyle w:val="FontStyle21"/>
          <w:vanish/>
        </w:rPr>
        <w:t>/ Chemin de fer / Eisenach</w:t>
      </w:r>
      <w:r>
        <w:tab/>
      </w:r>
      <w:r>
        <w:rPr>
          <w:rStyle w:val="FontStyle21"/>
          <w:sz w:val="40"/>
        </w:rPr>
        <w:t>□</w:t>
      </w:r>
      <w:r>
        <w:rPr>
          <w:rStyle w:val="FontStyle21"/>
        </w:rPr>
        <w:t xml:space="preserve"> Road </w:t>
      </w:r>
      <w:r>
        <w:rPr>
          <w:rStyle w:val="FontStyle21"/>
          <w:vanish/>
        </w:rPr>
        <w:t>/ Par route / Auf der Strasse</w:t>
      </w:r>
    </w:p>
    <w:p w:rsidR="00F265F4" w:rsidRPr="00116744" w:rsidRDefault="00F265F4" w:rsidP="00E1152D">
      <w:pPr>
        <w:pStyle w:val="Style3"/>
        <w:widowControl/>
        <w:tabs>
          <w:tab w:val="left" w:pos="3402"/>
          <w:tab w:val="left" w:pos="6946"/>
        </w:tabs>
        <w:rPr>
          <w:rStyle w:val="FontStyle21"/>
        </w:rPr>
      </w:pPr>
      <w:r>
        <w:tab/>
      </w:r>
      <w:r>
        <w:rPr>
          <w:rStyle w:val="FontStyle21"/>
        </w:rPr>
        <w:t xml:space="preserve">Wagon </w:t>
      </w:r>
      <w:r>
        <w:rPr>
          <w:rStyle w:val="FontStyle21"/>
          <w:vanish/>
        </w:rPr>
        <w:t xml:space="preserve">/ Wagon </w:t>
      </w:r>
      <w:r>
        <w:rPr>
          <w:rStyle w:val="FontStyle21"/>
        </w:rPr>
        <w:t xml:space="preserve">No : </w:t>
      </w:r>
      <w:r>
        <w:tab/>
      </w:r>
      <w:r>
        <w:rPr>
          <w:rStyle w:val="FontStyle21"/>
        </w:rPr>
        <w:t xml:space="preserve">Number plate </w:t>
      </w:r>
      <w:r>
        <w:rPr>
          <w:rStyle w:val="FontStyle21"/>
          <w:vanish/>
        </w:rPr>
        <w:t>/ Transporteur / Beförderer</w:t>
      </w: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3"/>
        <w:widowControl/>
        <w:tabs>
          <w:tab w:val="left" w:pos="3119"/>
          <w:tab w:val="left" w:pos="6663"/>
        </w:tabs>
        <w:spacing w:line="360" w:lineRule="auto"/>
        <w:rPr>
          <w:rStyle w:val="FontStyle21"/>
          <w:sz w:val="12"/>
        </w:rPr>
      </w:pPr>
    </w:p>
    <w:p w:rsidR="00F265F4" w:rsidRPr="00116744" w:rsidRDefault="00F265F4" w:rsidP="00F265F4">
      <w:pPr>
        <w:pStyle w:val="Style8"/>
        <w:widowControl/>
        <w:tabs>
          <w:tab w:val="left" w:pos="3119"/>
          <w:tab w:val="left" w:pos="4962"/>
          <w:tab w:val="left" w:pos="6804"/>
        </w:tabs>
        <w:spacing w:line="360" w:lineRule="auto"/>
        <w:rPr>
          <w:rStyle w:val="FontStyle21"/>
          <w:sz w:val="8"/>
        </w:rPr>
      </w:pPr>
      <w:r>
        <w:rPr>
          <w:rStyle w:val="FontStyle21"/>
        </w:rPr>
        <w:t xml:space="preserve">................................................... </w:t>
      </w:r>
      <w:r>
        <w:tab/>
      </w:r>
      <w:r>
        <w:rPr>
          <w:rStyle w:val="FontStyle21"/>
        </w:rPr>
        <w:t>...................................................</w:t>
      </w:r>
      <w:r>
        <w:tab/>
      </w: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13"/>
        <w:widowControl/>
        <w:spacing w:line="360" w:lineRule="auto"/>
        <w:rPr>
          <w:rStyle w:val="FontStyle21"/>
          <w:sz w:val="8"/>
        </w:rPr>
      </w:pPr>
    </w:p>
    <w:p w:rsidR="00F265F4" w:rsidRPr="00116744" w:rsidRDefault="00F265F4" w:rsidP="00F265F4">
      <w:pPr>
        <w:pStyle w:val="Style13"/>
        <w:widowControl/>
        <w:jc w:val="center"/>
        <w:rPr>
          <w:rStyle w:val="FontStyle21"/>
          <w:sz w:val="12"/>
        </w:rPr>
      </w:pPr>
      <w:r>
        <w:rPr>
          <w:rStyle w:val="FontStyle21"/>
        </w:rPr>
        <w:t xml:space="preserve">TEST RESULTS </w:t>
      </w:r>
      <w:r>
        <w:rPr>
          <w:rStyle w:val="FontStyle21"/>
          <w:vanish/>
        </w:rPr>
        <w:t>/ RESULTATS DES CONTRÔLES / ERGEBNISSE DER KONTROLLE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13"/>
        <w:widowControl/>
        <w:spacing w:line="360" w:lineRule="auto"/>
        <w:jc w:val="center"/>
        <w:rPr>
          <w:rStyle w:val="FontStyle21"/>
          <w:sz w:val="12"/>
        </w:rPr>
      </w:pPr>
    </w:p>
    <w:p w:rsidR="00F265F4" w:rsidRPr="00116744" w:rsidRDefault="00F265F4" w:rsidP="00F265F4">
      <w:pPr>
        <w:pStyle w:val="Style8"/>
        <w:widowControl/>
        <w:spacing w:line="360" w:lineRule="auto"/>
        <w:rPr>
          <w:rStyle w:val="FontStyle21"/>
          <w:lang/>
        </w:rPr>
      </w:pPr>
      <w:r>
        <w:rPr>
          <w:rStyle w:val="FontStyle21"/>
        </w:rPr>
        <w:t xml:space="preserve">Average local natural background level at time of test    </w:t>
      </w:r>
      <w:r>
        <w:rPr>
          <w:noProof/>
        </w:rPr>
        <w:drawing>
          <wp:inline xmlns:wp14="http://schemas.microsoft.com/office/word/2010/wordprocessingDrawing" xmlns:wp="http://schemas.openxmlformats.org/drawingml/2006/wordprocessingDrawing"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Pr>
          <w:rStyle w:val="FontStyle21"/>
        </w:rPr>
        <w:t xml:space="preserve"> = ....................................................... µGy/h</w:t>
      </w:r>
    </w:p>
    <w:p w:rsidR="00F265F4" w:rsidRPr="00BA3E74" w:rsidRDefault="00F265F4" w:rsidP="00F265F4">
      <w:pPr>
        <w:pStyle w:val="Style8"/>
        <w:widowControl/>
        <w:spacing w:line="360" w:lineRule="auto"/>
        <w:rPr>
          <w:rStyle w:val="FontStyle21"/>
          <w:vanish/>
          <w:sz w:val="12"/>
          <w:lang/>
        </w:rPr>
      </w:pPr>
      <w:r>
        <w:rPr>
          <w:rStyle w:val="FontStyle21"/>
          <w:vanish/>
        </w:rPr>
        <w:t>(Fond naturel local moyen au moment du contrôle / Mittelwert der natürlichen lokalen Strahlung im Moment der Kontrolle)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spacing w:line="360" w:lineRule="auto"/>
        <w:rPr>
          <w:rStyle w:val="FontStyle21"/>
          <w:sz w:val="12"/>
          <w:lang/>
        </w:rPr>
      </w:pPr>
    </w:p>
    <w:p w:rsidR="00F265F4" w:rsidRPr="00116744" w:rsidRDefault="00F265F4" w:rsidP="00F265F4">
      <w:pPr>
        <w:pStyle w:val="Style8"/>
        <w:widowControl/>
        <w:spacing w:line="360" w:lineRule="auto"/>
        <w:rPr>
          <w:rStyle w:val="FontStyle21"/>
          <w:lang/>
        </w:rPr>
      </w:pPr>
      <w:r>
        <w:rPr>
          <w:rStyle w:val="FontStyle21"/>
        </w:rPr>
        <w:t xml:space="preserve">Maximum value detected in air within 20 cm of the walls of the load: </w:t>
      </w:r>
      <w:r>
        <w:rPr>
          <w:rStyle w:val="FontStyle21"/>
        </w:rPr>
        <w:t>................................................ µGy/h</w:t>
      </w:r>
    </w:p>
    <w:p w:rsidR="00F265F4" w:rsidRPr="00BA3E74" w:rsidRDefault="00F265F4" w:rsidP="00F265F4">
      <w:pPr>
        <w:pStyle w:val="Style6"/>
        <w:widowControl/>
        <w:rPr>
          <w:rStyle w:val="FontStyle21"/>
          <w:vanish/>
          <w:lang/>
        </w:rPr>
      </w:pPr>
      <w:r>
        <w:rPr>
          <w:rStyle w:val="FontStyle21"/>
          <w:vanish/>
        </w:rPr>
        <w:t>Valeur maximale relevée en air dans 20 cm des parois du chargement / Grösster Wert gemessen in der Luft binnen 20 cm von den Wänden der Ladung)</w:t>
      </w:r>
    </w:p>
    <w:p w:rsidR="00F265F4" w:rsidRPr="00BA3E74" w:rsidRDefault="00F265F4" w:rsidP="00B76C36">
      <w:pPr>
        <w:pStyle w:val="Style5"/>
        <w:widowControl/>
        <w:spacing w:before="120" w:line="360" w:lineRule="auto"/>
        <w:jc w:val="center"/>
        <w:rPr>
          <w:rStyle w:val="FontStyle21"/>
          <w:vanish/>
        </w:rPr>
      </w:pPr>
      <w:r>
        <w:rPr>
          <w:rStyle w:val="FontStyle21"/>
        </w:rPr>
        <w:t xml:space="preserve">DECLARATION </w:t>
      </w:r>
      <w:r>
        <w:rPr>
          <w:rStyle w:val="FontStyle21"/>
          <w:vanish/>
        </w:rPr>
        <w:t xml:space="preserve">/ DECLARATION / ERKLARUNG </w:t>
      </w:r>
    </w:p>
    <w:p w:rsidR="00F265F4" w:rsidRPr="00116744" w:rsidRDefault="00F265F4" w:rsidP="00F265F4">
      <w:pPr>
        <w:pStyle w:val="Style5"/>
        <w:widowControl/>
        <w:spacing w:line="360" w:lineRule="auto"/>
        <w:rPr>
          <w:rStyle w:val="FontStyle21"/>
        </w:rPr>
      </w:pPr>
      <w:r>
        <w:rPr>
          <w:rStyle w:val="FontStyle21"/>
        </w:rPr>
        <w:t xml:space="preserve">The undersigned </w:t>
      </w:r>
      <w:r>
        <w:rPr>
          <w:rStyle w:val="FontStyle21"/>
          <w:vanish/>
        </w:rPr>
        <w:t>/ Le soussigné / Der Unterzeichner</w:t>
      </w:r>
      <w:r>
        <w:rPr>
          <w:rStyle w:val="FontStyle21"/>
        </w:rPr>
        <w:t>:</w:t>
      </w:r>
    </w:p>
    <w:p w:rsidR="00F265F4" w:rsidRPr="00116744" w:rsidRDefault="00F265F4" w:rsidP="00F265F4">
      <w:pPr>
        <w:pStyle w:val="Style4"/>
        <w:widowControl/>
        <w:spacing w:line="360" w:lineRule="auto"/>
        <w:rPr>
          <w:rStyle w:val="FontStyle21"/>
          <w:lang/>
        </w:rPr>
      </w:pPr>
      <w:r>
        <w:rPr>
          <w:rStyle w:val="FontStyle21"/>
        </w:rPr>
        <w:t xml:space="preserve">Resident of (Address, Country) </w:t>
      </w:r>
      <w:r>
        <w:rPr>
          <w:rStyle w:val="FontStyle21"/>
          <w:vanish/>
        </w:rPr>
        <w:t>/ Résident (Adresse, Pays) / Wohnhaft (Anschrift, Land)</w:t>
      </w:r>
      <w:r>
        <w:rPr>
          <w:rStyle w:val="FontStyle21"/>
        </w:rPr>
        <w:t xml:space="preserve">: </w:t>
      </w:r>
    </w:p>
    <w:p w:rsidR="00F265F4" w:rsidRPr="00116744" w:rsidRDefault="00F265F4" w:rsidP="00F265F4">
      <w:pPr>
        <w:pStyle w:val="Style4"/>
        <w:widowControl/>
        <w:tabs>
          <w:tab w:val="left" w:pos="5387"/>
        </w:tabs>
        <w:spacing w:line="360" w:lineRule="auto"/>
        <w:rPr>
          <w:rStyle w:val="FontStyle21"/>
        </w:rPr>
      </w:pPr>
      <w:r>
        <w:rPr>
          <w:rStyle w:val="FontStyle21"/>
        </w:rPr>
        <w:t xml:space="preserve">Entity: </w:t>
      </w:r>
      <w:r>
        <w:tab/>
      </w:r>
      <w:r>
        <w:rPr>
          <w:rStyle w:val="FontStyle21"/>
        </w:rPr>
        <w:t xml:space="preserve">Position: </w:t>
      </w:r>
    </w:p>
    <w:p w:rsidR="00F265F4" w:rsidRPr="00116744" w:rsidRDefault="00F265F4" w:rsidP="00F265F4">
      <w:pPr>
        <w:pStyle w:val="Style4"/>
        <w:widowControl/>
        <w:tabs>
          <w:tab w:val="left" w:pos="5387"/>
        </w:tabs>
        <w:spacing w:line="360" w:lineRule="auto"/>
        <w:rPr>
          <w:rStyle w:val="FontStyle21"/>
        </w:rPr>
      </w:pPr>
      <w:r>
        <w:rPr>
          <w:rStyle w:val="FontStyle21"/>
        </w:rPr>
        <w:t xml:space="preserve">Tel.: </w:t>
      </w:r>
      <w:r>
        <w:tab/>
      </w:r>
      <w:r>
        <w:rPr>
          <w:rStyle w:val="FontStyle21"/>
        </w:rPr>
        <w:t>Fax:</w:t>
      </w:r>
    </w:p>
    <w:p w:rsidR="00F265F4" w:rsidRPr="00116744" w:rsidRDefault="00F265F4" w:rsidP="00F265F4">
      <w:pPr>
        <w:pStyle w:val="Style6"/>
        <w:widowControl/>
        <w:rPr>
          <w:rStyle w:val="FontStyle21"/>
          <w:lang/>
        </w:rPr>
      </w:pPr>
      <w:r>
        <w:rPr>
          <w:rStyle w:val="FontStyle21"/>
        </w:rPr>
        <w:t xml:space="preserve">Expert in radiometric measurements, declares that the measurements taken on the load referred to in the form revealed no values exceeding the average fluctuation of the local natural background radiation level. </w:t>
      </w:r>
      <w:r>
        <w:rPr>
          <w:rStyle w:val="FontStyle21"/>
        </w:rPr>
        <w:t>Signed in good faith.</w:t>
      </w:r>
    </w:p>
    <w:p w:rsidR="00F265F4" w:rsidRPr="00BA3E74" w:rsidRDefault="00F265F4" w:rsidP="00F265F4">
      <w:pPr>
        <w:pStyle w:val="Style6"/>
        <w:widowControl/>
        <w:rPr>
          <w:rStyle w:val="FontStyle21"/>
          <w:vanish/>
          <w:lang/>
        </w:rPr>
      </w:pPr>
      <w:r>
        <w:rPr>
          <w:rStyle w:val="FontStyle21"/>
          <w:vanish/>
        </w:rPr>
        <w:t xml:space="preserve">Expert en mesures radiométriques, déclare que les mesures exécutées sur le chargement, dont au présent formulaire, n'ont pas relevé des valeurs supérieures à la fluctuation moyenne du fond naturel local de rayonnement. </w:t>
      </w:r>
      <w:r>
        <w:rPr>
          <w:rStyle w:val="FontStyle21"/>
          <w:vanish/>
        </w:rPr>
        <w:t>Fait de bonne foi.</w:t>
      </w:r>
    </w:p>
    <w:p w:rsidR="00F265F4" w:rsidRPr="00116744" w:rsidRDefault="00F265F4" w:rsidP="00F265F4">
      <w:pPr>
        <w:pStyle w:val="Style6"/>
        <w:widowControl/>
        <w:rPr>
          <w:rStyle w:val="FontStyle21"/>
          <w:lang/>
        </w:rPr>
      </w:pPr>
      <w:r>
        <w:rPr>
          <w:rStyle w:val="FontStyle21"/>
          <w:vanish/>
        </w:rPr>
        <w:t>Experte für die Messung nuklearer Strahlung erklärt, dass die an der Ladung ausgeführten Messungen bezüglich dieses Formulars keine Werte angezeigt haben, die höher sind als die mittlere Schwankung der natürlichen lokalen Strahlung. In gutem Glauben.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6"/>
        <w:widowControl/>
        <w:spacing w:line="360" w:lineRule="auto"/>
        <w:rPr>
          <w:rStyle w:val="FontStyle21"/>
          <w:lang/>
        </w:rPr>
      </w:pPr>
    </w:p>
    <w:p w:rsidR="00F265F4" w:rsidRPr="00116744" w:rsidRDefault="00F265F4" w:rsidP="00F265F4">
      <w:pPr>
        <w:pStyle w:val="Style8"/>
        <w:widowControl/>
        <w:tabs>
          <w:tab w:val="left" w:pos="5387"/>
        </w:tabs>
        <w:spacing w:line="360" w:lineRule="auto"/>
        <w:rPr>
          <w:rStyle w:val="FontStyle21"/>
          <w:lang/>
        </w:rPr>
      </w:pPr>
      <w:r>
        <w:rPr>
          <w:rStyle w:val="FontStyle21"/>
        </w:rPr>
        <w:t xml:space="preserve">Date </w:t>
      </w:r>
      <w:r>
        <w:rPr>
          <w:rStyle w:val="FontStyle21"/>
          <w:vanish/>
        </w:rPr>
        <w:t>/ Date / Datum</w:t>
      </w:r>
      <w:r>
        <w:rPr>
          <w:rStyle w:val="FontStyle21"/>
        </w:rPr>
        <w:t xml:space="preserve">: </w:t>
      </w:r>
      <w:r>
        <w:rPr>
          <w:rStyle w:val="FontStyle21"/>
        </w:rPr>
        <w:t xml:space="preserve">............................................... </w:t>
      </w:r>
      <w:r>
        <w:tab/>
      </w:r>
      <w:r>
        <w:rPr>
          <w:rStyle w:val="FontStyle21"/>
        </w:rPr>
        <w:t xml:space="preserve">Signature </w:t>
      </w:r>
      <w:r>
        <w:rPr>
          <w:rStyle w:val="FontStyle21"/>
          <w:vanish/>
        </w:rPr>
        <w:t>/ Signature / Unterschrift</w:t>
      </w:r>
      <w:r>
        <w:rPr>
          <w:rStyle w:val="FontStyle21"/>
        </w:rPr>
        <w:t xml:space="preserve">: </w:t>
      </w:r>
      <w:r>
        <w:rPr>
          <w:rStyle w:val="FontStyle21"/>
        </w:rP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F265F4">
      <w:pPr>
        <w:pStyle w:val="Style8"/>
        <w:widowControl/>
        <w:spacing w:line="360" w:lineRule="auto"/>
        <w:rPr>
          <w:rStyle w:val="FontStyle21"/>
          <w:lang/>
        </w:rPr>
      </w:pPr>
    </w:p>
    <w:p w:rsidR="00F265F4" w:rsidRPr="00116744" w:rsidRDefault="00F265F4" w:rsidP="00F265F4">
      <w:pPr>
        <w:pStyle w:val="Style8"/>
        <w:widowControl/>
        <w:spacing w:line="360" w:lineRule="auto"/>
        <w:rPr>
          <w:rStyle w:val="FontStyle21"/>
        </w:rPr>
      </w:pPr>
      <w:r>
        <w:rPr>
          <w:rStyle w:val="FontStyle21"/>
        </w:rPr>
        <w:t xml:space="preserve">Section 2. </w:t>
      </w:r>
      <w:r>
        <w:rPr>
          <w:rStyle w:val="FontStyle21"/>
        </w:rPr>
        <w:t>Endorsements of the competent authority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CF773E">
      <w:pPr>
        <w:spacing w:line="240" w:lineRule="auto"/>
        <w:ind w:left="708" w:hanging="356"/>
        <w:jc w:val="both"/>
        <w:rPr>
          <w:rFonts w:ascii="Times New Roman" w:hAnsi="Times New Roman" w:cs="Times New Roman"/>
          <w:sz w:val="24"/>
          <w:szCs w:val="24"/>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CF773E">
      <w:pPr>
        <w:spacing w:line="240" w:lineRule="auto"/>
        <w:ind w:left="708" w:hanging="356"/>
        <w:jc w:val="both"/>
        <w:rPr>
          <w:rFonts w:ascii="Times New Roman" w:hAnsi="Times New Roman" w:cs="Times New Roman"/>
          <w:sz w:val="24"/>
          <w:szCs w:val="24"/>
        </w:rPr>
        <w:sectPr w:rsidR="00F265F4" w:rsidRPr="00116744" w:rsidSect="00F265F4">
          <w:headerReference w:type="default" r:id="rId11"/>
          <w:pgSz w:w="11909" w:h="16834" w:code="9"/>
          <w:pgMar w:top="567" w:right="851" w:bottom="284" w:left="851" w:header="720" w:footer="720" w:gutter="0"/>
          <w:cols w:space="720"/>
          <w:noEndnote/>
        </w:sect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7120" w:type="dxa"/>
        <w:tblInd w:w="113" w:type="dxa"/>
        <w:tblLook w:val="04A0" w:firstRow="1" w:lastRow="0" w:firstColumn="1" w:lastColumn="0" w:noHBand="0" w:noVBand="1"/>
      </w:tblPr>
      <w:tblGrid>
        <w:gridCol w:w="5320"/>
        <w:gridCol w:w="1908"/>
      </w:tblGrid>
      <w:tr w:rsidR="00F265F4" w:rsidRPr="00116744"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DESCRIPTION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NC CODE</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116744" w:rsidRDefault="00F265F4" w:rsidP="00F265F4">
            <w:pPr>
              <w:spacing w:after="0" w:line="240" w:lineRule="auto"/>
              <w:rPr>
                <w:rFonts w:ascii="Calibri" w:eastAsia="Times New Roman" w:hAnsi="Calibri" w:cs="Calibri"/>
                <w:b/>
                <w:bCs/>
                <w:color w:val="000000"/>
                <w:lang/>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116744" w:rsidRDefault="00F265F4" w:rsidP="00F265F4">
            <w:pPr>
              <w:spacing w:after="0" w:line="240" w:lineRule="auto"/>
              <w:rPr>
                <w:rFonts w:ascii="Calibri" w:eastAsia="Times New Roman" w:hAnsi="Calibri" w:cs="Calibri"/>
                <w:b/>
                <w:bCs/>
                <w:color w:val="000000"/>
                <w:lang/>
              </w:rPr>
            </w:pPr>
          </w:p>
        </w:tc>
      </w:tr>
      <w:tr w:rsidR="00F265F4" w:rsidRPr="00116744"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FOUNDRY WORKS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color w:val="000000"/>
                <w:lang/>
              </w:rPr>
            </w:pPr>
          </w:p>
        </w:tc>
      </w:tr>
      <w:tr w:rsidR="00F265F4" w:rsidRPr="00116744"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116744" w:rsidRDefault="00F265F4" w:rsidP="00F265F4">
            <w:pPr>
              <w:spacing w:after="0" w:line="240" w:lineRule="auto"/>
              <w:rPr>
                <w:rFonts w:ascii="Calibri" w:eastAsia="Times New Roman" w:hAnsi="Calibri" w:cs="Calibri"/>
                <w:b/>
                <w:bCs/>
                <w:color w:val="000000"/>
                <w:lang/>
              </w:rPr>
            </w:pPr>
          </w:p>
        </w:tc>
        <w:tc>
          <w:tcPr>
            <w:tcW w:w="1800" w:type="dxa"/>
            <w:vMerge/>
            <w:tcBorders>
              <w:top w:val="nil"/>
              <w:left w:val="single" w:sz="4" w:space="0" w:color="auto"/>
              <w:bottom w:val="nil"/>
              <w:right w:val="single" w:sz="4" w:space="0" w:color="auto"/>
            </w:tcBorders>
            <w:vAlign w:val="center"/>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rPr>
              <w:t xml:space="preserve">Switch blades, crossing frogs, point rods and other crossing pieces, for railway or tramway track, of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73023000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of non-electric domestic heat appliances of heading 7321, of cast iron, iron or steel,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73219000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Radiators for central heating, non-electrically heated, and parts thereof, iron (excl. Parts specified or included elsewhere and central-heating boilers)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73221100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2D091D">
            <w:pPr>
              <w:spacing w:after="0" w:line="240" w:lineRule="auto"/>
              <w:rPr>
                <w:rFonts w:ascii="Calibri" w:eastAsia="Times New Roman" w:hAnsi="Calibri" w:cs="Calibri"/>
                <w:color w:val="000000"/>
                <w:lang/>
              </w:rPr>
            </w:pPr>
            <w:r>
              <w:rPr>
                <w:rFonts w:ascii="Calibri" w:hAnsi="Calibri"/>
                <w:color w:val="000000"/>
              </w:rPr>
              <w:t>Objects for household use and parts thereof, cast iron, not enamelled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73239100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2D091D">
            <w:pPr>
              <w:spacing w:after="0" w:line="240" w:lineRule="auto"/>
              <w:rPr>
                <w:rFonts w:ascii="Calibri" w:eastAsia="Times New Roman" w:hAnsi="Calibri" w:cs="Calibri"/>
                <w:color w:val="000000"/>
                <w:lang/>
              </w:rPr>
            </w:pPr>
            <w:r>
              <w:rPr>
                <w:rFonts w:ascii="Calibri" w:hAnsi="Calibri"/>
                <w:color w:val="000000"/>
              </w:rPr>
              <w:t xml:space="preserve">Articles of iron or steel, cast, n.e.s. </w:t>
            </w:r>
            <w:r>
              <w:rPr>
                <w:rFonts w:ascii="Calibri" w:hAnsi="Calibri"/>
                <w:color w:val="000000"/>
              </w:rPr>
              <w:t xml:space="preserve">(excl. articles of non-malleable or malleable cast iron as well as grinding balls and similar articles for mills)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73259990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Works of cast aluminium, n.e.s.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76169910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Articles of magnesium,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81049000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for central heating boilers, of iron,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84039010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of hydraulic turbines and water wheels, n.e.s., and hydraulic turbine regulators,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84109000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of machinery, equipment and instruments of headings 8426, 8429 or 8430, of cast iron, iron or steel,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84314920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of machinery for making pulp of fibrous cellulosic material, n.e.s.,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84399100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of machinery for manufacturing or finishing paper or paperboard,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84399900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Parts for household or laundry-type washing machines, n.e.s.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84509000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of sewing machines,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84529000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and accessories, other than those of previous headings 8466, for machinery of heading 8464,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84669120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and accessories, other than those of previous headings 8466, for machinery of heading 8465,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84669220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for machinery and equipment for processing mineral materials of heading 8474, n.e.s.,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84749010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Parts of money-changing machines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84769010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other parts of machines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84769090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of machinery and equipment for processing rubber or plastic materials,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84779010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Parts of mechanical machinery and equipment with a specific function, of cast iron or steel, n.e.s.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84799020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Flywheels and pulleys, including pulley blocks,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84835020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Clutches and shaft couplings, including universal joints, for machinery,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84836020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Other parts for transmission shafts, gears, clutches and other couplings of heading 8483, of cast iron, iron or steel,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84839081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for machinery or equipment from section 84, without electrical characteristics, of iron,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84879040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for machinery or equipment from section 84, without electrical characteristics, of cast steel,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84879051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suitable for use solely or principally with electric motors and generators, electric generating sets or rotary converters, n.e.s.,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85030091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Axles, including mounted; wheels and their parts, of cast iron, iron or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86071910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for disc brakes for tractors and motor vehicles for transporting ten or more passengers, machinery and other motor vehicles specifically designed to transport passengers, special vehicles for goods transport, n.e.s. (excl. those for the assembly of motor vehicles of heading 8708.30.10)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87083091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Brakes and servo brakes and their parts for tractors and motor vehicles for transporting ten or more passengers, machinery and other motor vehicles specifically designed to transport passengers, special vehicles for goods transport, n.e.s. (excl. those for the assembly of motor vehicles of heading 8708.30.10 and for disc brakes)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87083099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Drive-axles with differential, whether or not provided with other transmission components, non-driving axles and parts of non-driving axles, intended for the industrial assembly of motor vehicles of headings 8703, 8704 , with either a compression-ignition internal combustion piston engine (diesel or semi-diesel) of a cylinder capacity not exceeding 2 500 cm3 or with a spark-ignition internal combustion piston engine of a cylinder capacity not exceeding 2 800 cm3 and special motor vehicles of heading 8705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87085020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Drive-axles with differential, whether or not provided with other transmission components, non-driving axles and parts of non-driving axles, for tractors, motor vehicles for transporting ten or more passengers, machinery and other motor vehicles specifically designed to transport passengers, special vehicles for goods transport, n.e.s. (excl. those for the assembly of motor vehicles of heading 8708.50.20)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87085035</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of non-driving axles for tractors, motor vehicles for transporting ten or more passengers, machinery and other motor vehicles specifically designed to transport passengers, special vehicles for goods transport (excl. those for the assembly of vehicles of heading 8708.50.20 and those of pressed steel),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87085091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Parts of drive-axles with differential, whether or not provided with other transmission components, for tractors, motor vehicles for transporting ten or more passengers, machinery and other motor vehicles specifically designed to transport passengers, special vehicles for goods transport (excl. those for the assembly of motor vehicles of heading 8708.50.20 and those of pressed steel), n.e.s.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87085099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Wheels, and their parts and accessories, intended for the industrial assembly: of pedestrian-controlled tractors of heading 8701.10, or motor vehicles of heading 8703 for transporting goods, with a compression-ignition internal combustion piston engine (diesel or semi-diesel) of a cylinder capacity not exceeding 2 500 cm³ or with a spark-ignition internal combustion piston engine of a cylinder capacity not exceeding 2 800 cm³, and special motor vehicles of heading 8705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87087010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Wheels, and their parts and accessories, of motor vehicles for transporting 10 or more passengers, etc.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87087050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Wheel parts of star shape, etc.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nil"/>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87087091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Other parts of trailers and semitrailers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single" w:sz="4" w:space="0" w:color="auto"/>
              <w:left w:val="nil"/>
              <w:bottom w:val="single" w:sz="4" w:space="0" w:color="auto"/>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87169090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rPr>
                <w:rFonts w:ascii="Calibri" w:eastAsia="Times New Roman" w:hAnsi="Calibri" w:cs="Calibri"/>
                <w:vanish/>
                <w:color w:val="000000"/>
                <w:lang/>
              </w:rPr>
            </w:pPr>
          </w:p>
        </w:tc>
      </w:tr>
      <w:tr w:rsidR="00F265F4" w:rsidRPr="00116744" w:rsidTr="00223553">
        <w:tc>
          <w:tcPr>
            <w:tcW w:w="5320" w:type="dxa"/>
            <w:tcBorders>
              <w:top w:val="nil"/>
              <w:left w:val="single" w:sz="4" w:space="0" w:color="auto"/>
              <w:bottom w:val="nil"/>
              <w:right w:val="nil"/>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SEMI-MANUFACTURES IN NON-FERROUS METALS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5C523D"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COPPER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DC1FAE" w:rsidRDefault="00F265F4" w:rsidP="00F265F4">
            <w:pPr>
              <w:spacing w:after="0" w:line="240" w:lineRule="auto"/>
              <w:rPr>
                <w:rFonts w:ascii="Calibri" w:eastAsia="Times New Roman" w:hAnsi="Calibri" w:cs="Calibri"/>
                <w:vanish/>
                <w:color w:val="000000"/>
                <w:lang/>
              </w:rPr>
            </w:pPr>
          </w:p>
        </w:tc>
      </w:tr>
      <w:tr w:rsidR="00F265F4" w:rsidRPr="00116744" w:rsidTr="00223553">
        <w:tc>
          <w:tcPr>
            <w:tcW w:w="5320" w:type="dxa"/>
            <w:tcBorders>
              <w:top w:val="nil"/>
              <w:left w:val="single" w:sz="4" w:space="0" w:color="auto"/>
              <w:bottom w:val="nil"/>
              <w:right w:val="nil"/>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COPPER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tcPr>
          <w:p w:rsidR="00F265F4" w:rsidRPr="00DC1FAE" w:rsidRDefault="00F265F4" w:rsidP="00F265F4">
            <w:pPr>
              <w:spacing w:after="0" w:line="240" w:lineRule="auto"/>
              <w:rPr>
                <w:rFonts w:ascii="Calibri" w:eastAsia="Times New Roman" w:hAnsi="Calibri" w:cs="Calibri"/>
                <w:vanish/>
                <w:color w:val="000000"/>
                <w:lang/>
              </w:rPr>
            </w:pPr>
          </w:p>
        </w:tc>
      </w:tr>
      <w:tr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Refined copper bars and 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7407 10 00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Copper-zinc base alloy (brass)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7407 21 10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Copper-zinc base alloy (brass) 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7407 21 90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Copper-nickel (cupronickel) or copper-nickel-zinc (nickel silver) base bars and 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7407 29 00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Other copper alloy base bars and 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7407 29 00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Refined copper wire of which the cross-sectional dimension exceeds 6 mm</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7408 11 00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Refined copper wire of which the cross-sectional dimension exceeds 0.5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7408 19 10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Refined copper wire of which no cross-sectional dimension exceeds 0.5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7408 19 90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Copper-zinc base alloy (brass)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7408 21 00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Copper-nickel (cupronickel) or copper-nickel-zinc base alloy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7408 22 00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Wire of other copper alloys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 </w:t>
            </w:r>
            <w:r>
              <w:rPr>
                <w:rFonts w:ascii="Calibri" w:hAnsi="Calibri"/>
                <w:vanish/>
                <w:color w:val="000000"/>
              </w:rPr>
              <w:t xml:space="preserve">7408 29 00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 plates, sheets and strip, of a thickness exceeding 0.15 mm, wound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7409 11 00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 plates, sheets and strip, of a thickness exceeding 0.15 mm, other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7409 19 00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Plates, sheets and strip, of a thickness exceeding 0.15 mm, of copper-zinc base alloy (brass), wound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7409 21 00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Plates, sheets and strip, of a thickness exceeding 0.15 mm, of copper-zinc base alloy (brass), other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7409 29 00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Copper plates, sheets and strip, of a thickness exceeding 0.15 mm, of copper and tin (bronze), wound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7409 31 00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Copper plates, sheets and strip, of a thickness exceeding 0.15 mm, of copper and tin (bronze), other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7409 39 00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 plates, sheets and strip, of a thickness exceeding 0.15 mm, of copper-nickel (cupronickel) or copper-nickel-zinc (nickel silver)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7409 40 00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Plates, sheets and strip of other copper alloys, of a thickness exceeding 0.15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7409 90 00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Refined copper foil, of a thickness of 0.15 mm or less, not backed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7410 11 00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Copper alloy foil, of a thickness of 0.15 mm or less, not backed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7410 12 00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Refined copper foil, of a thickness of 0.15 mm or less, backed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7410 21 00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Copper alloy foil, of a thickness of 0.15 mm or less, backed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7410 22 00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NICKEL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NICKEL</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Unalloyed nickel bars and 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7505 11 00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Nickel alloy bars and profiles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7505 12 00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Unalloyed nickel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7505 21 00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Nickel alloy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7505 22 00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Plates, sheets, strips and foil of unalloyed nickel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7506 10 00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Plates, sheets, strips and foil of nickel alloy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7506 20 00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ALUMINIUM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ALUMINIUM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Unalloyed aluminium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7604 10 10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Unalloyed aluminium 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7604 10 90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Aluminium alloy hollow 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7604 21 00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Aluminium alloy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7604 29 10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Aluminium alloy 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7604 29 90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Unalloyed aluminium wire of which the cross-sectional dimension exceeds 7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7605 11 00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Unalloyed aluminium wire, others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 </w:t>
            </w:r>
            <w:r>
              <w:rPr>
                <w:rFonts w:ascii="Calibri" w:hAnsi="Calibri"/>
                <w:vanish/>
                <w:color w:val="000000"/>
              </w:rPr>
              <w:t xml:space="preserve">7605 19 00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Aluminium alloy wire of which the cross-sectional dimension exceeds 7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 </w:t>
            </w:r>
            <w:r>
              <w:rPr>
                <w:rFonts w:ascii="Calibri" w:hAnsi="Calibri"/>
                <w:vanish/>
                <w:color w:val="000000"/>
              </w:rPr>
              <w:t xml:space="preserve">7605 21 00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Aluminium alloy wire, other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7605 29 00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Unalloyed aluminium plates, sheets and strip, square or rectangular, painted, varnished or coated with plastics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7606 11 10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Unalloyed aluminium plates, sheets and strip, square or rectangular, other, of a thickness of less than 3 mm</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7606 11 91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Unalloyed aluminium plates, sheets and strip, square or rectangular, other, of a thickness of 3 mm or more but less than 6 mm</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7606 11 93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Unalloyed aluminium plates, sheets and strip, square or rectangular, other, of a thickness greater than 6 mm</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7606 11 99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alloy strip, square or rectangular, painted, varnished or coated with plastics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7606 12 20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alloy plates, sheets and strip, square or rectangular, other, of a thickness of less than 3 mm</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7606 12 92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alloy plates, sheets and strip, square or rectangular, other, of a thickness of 3 mm or more but less than 6mm</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7606 12 93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alloy plates, sheets and strip, square or rectangular, other, of a thickness of 6 mm or more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7606 12 99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Unalloyed aluminium plates, sheets and strip, of a shape other than square or rectangular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7606 91 00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Aluminium alloy plates, sheets and strip, of a shape other than square or rectangular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7606 92 00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foil, not backed, not further worked than rolled, of a thickness of less than 0.021 mm, in coils weighing 10 kg or less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7607 11 11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Aluminium foil, not backed, not further worked than rolled, of a thickness of less than 0.021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7607 11 19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foil, not backed, not further worked than rolled, of a thickness of 0.021 mm or more and 0.2 mm or less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7607 11 90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foil, not backed, other, of a thickness of less than 0.021 mm</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7607 19 10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foil, not backed, other, of a thickness of 0.021 mm or more and 0.2 mm or less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7607 19 90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foil, backed, of a thickness (not including backing) of less than 0.021 mm</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 </w:t>
            </w:r>
            <w:r>
              <w:rPr>
                <w:rFonts w:ascii="Calibri" w:hAnsi="Calibri"/>
                <w:vanish/>
                <w:color w:val="000000"/>
              </w:rPr>
              <w:t xml:space="preserve">7607 20 10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foil, backed, of a thickness (not including backing) of 0.021 mm or more and 0.2 mm or less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7607 20 90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LEAD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LEAD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Lead sheets and strips, of a thickness of 0.2 mm or less (not including backing)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7804 11 00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Lead plates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7804 19 00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Lead powders and flakes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7804 20 00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ZINC</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ZINC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Zinc bars, profiles and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7904 00 00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Zinc plates, sheets and strips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7905 00 00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TIN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TIN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 bars, profiles and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8003 00 00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OTHER COMMON METALS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OTHER METALS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Tungsten wires (wolframium)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8101 96 00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Tungsten (wolframium) bars other than those obtained simply by sintering, profiles, plates, sheets and strips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8101 99 10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Molybdenum bars other than those obtained simply by sintering, profiles, plates, sheets and strips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8102 95 00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Molybdenum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8102 96 00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Tantalum bars other than those obtained simply by sintering, profiles, plates, sheets and strips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8103 90 10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(magnesium bars, profiles, wire, plates)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ex 81049000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(cobalt bars, profiles, wire, plates)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ex 81059000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(bismuth bars, profiles, wire, plates)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ex 81060090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(cadmium bars, profiles, wire, plates)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ex 81079000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Titanium bars, profiles and wire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8108 90 30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Titanium plates, sheets, strips and foil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8108 90 50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(zirconium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8109 90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(antimony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8110 90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(manganese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8111 00 90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(beryllium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8112 19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(chromium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8112 29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(thallium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8112 59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(hafnium (celtium), germanium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8112 99 20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(niobium (columbium), rhenium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8112 99 30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(gallium, indium, vanadium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8112 99 70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(cermet bars, profiles, wire, plates and sheets)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8113 00 90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Copper-zinc base alloys (brass)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7403 21 00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Copper-tin base alloys (bronze)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7403 22 00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Other copper alloys (excluding master alloys of heading 7405)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7403 29 00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Nickel alloys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7502 20 00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Aluminium alloys in slabs and billets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7601 20 20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Aluminium alloys, other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7601 20 80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lead other than that containing antimony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 xml:space="preserve"> </w:t>
            </w:r>
            <w:r>
              <w:rPr>
                <w:rFonts w:ascii="Calibri" w:hAnsi="Calibri"/>
                <w:vanish/>
              </w:rPr>
              <w:t>7801 99 90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Zinc alloys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 7901 20 00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 alloys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8001 20 00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magnesium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ex 8104 19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C – LIST OF CODES AND OF UNWROUGHT PRODUCTS OF MINOR METALS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116744" w:rsidRDefault="00F265F4" w:rsidP="00F265F4">
            <w:pPr>
              <w:spacing w:after="0" w:line="240" w:lineRule="auto"/>
              <w:jc w:val="center"/>
              <w:rPr>
                <w:rFonts w:ascii="Calibri" w:eastAsia="Times New Roman" w:hAnsi="Calibri" w:cs="Calibri"/>
                <w:color w:val="000000"/>
                <w:lang/>
              </w:rPr>
            </w:pPr>
            <w:r>
              <w:rPr>
                <w:rFonts w:ascii="Calibri" w:hAnsi="Calibri"/>
                <w:color w:val="000000"/>
              </w:rPr>
              <w:t xml:space="preserve">C – LIST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tungsten, including bars and rods obtained simply by sintering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8101 94 00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molybdenum, including bars and rods obtained simply by sintering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8102 94 00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tantalum, including bars and rods obtained simply by sintering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8103 20 00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Cobalt mattes and other intermediate products of cobalt metallurgy; unwrought cobalt;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8105 20 00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Unwrought bismuth; waste and scrap; powders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 </w:t>
            </w:r>
            <w:r>
              <w:rPr>
                <w:rFonts w:ascii="Calibri" w:hAnsi="Calibri"/>
                <w:vanish/>
                <w:color w:val="000000"/>
              </w:rPr>
              <w:t xml:space="preserve">8106 00 10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cadmium;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8107 20 00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titanium;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8108 20 00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zirconium;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8109 20 00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antimony;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8110 10 00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manganese;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8111 00 11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beryllium;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8112 12 00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Unwrought chromium alloys, powders containing more than 10 % by weight of nickel</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8112 2110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unwrought chromium, powders, others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81122190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thallium;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8112 51 00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hafnium (celtium); waste and scrap;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8112 92 10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niobium (columbium), rhenium; waste and scrap;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8112 92 31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Unwrought indium; waste and scrap; powders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 </w:t>
            </w:r>
            <w:r>
              <w:rPr>
                <w:rFonts w:ascii="Calibri" w:hAnsi="Calibri"/>
                <w:vanish/>
                <w:color w:val="000000"/>
              </w:rPr>
              <w:t xml:space="preserve">8112 92 81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gallium; waste and scrap;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8112 92 89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Unwrought vanadium; waste and scrap; powders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 </w:t>
            </w:r>
            <w:r>
              <w:rPr>
                <w:rFonts w:ascii="Calibri" w:hAnsi="Calibri"/>
                <w:vanish/>
                <w:color w:val="000000"/>
              </w:rPr>
              <w:t xml:space="preserve">8112 92 91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germanium; waste and scrap; powders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 xml:space="preserve">8112 92 95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Unwrought cermet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8113 00 20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DC1FAE" w:rsidRDefault="00F265F4" w:rsidP="00F265F4">
            <w:pPr>
              <w:spacing w:after="0" w:line="240" w:lineRule="auto"/>
              <w:rPr>
                <w:rFonts w:ascii="Calibri" w:eastAsia="Times New Roman" w:hAnsi="Calibri" w:cs="Calibri"/>
                <w:vanish/>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DC1FAE" w:rsidRDefault="00F265F4" w:rsidP="00F265F4">
            <w:pPr>
              <w:spacing w:after="0" w:line="240" w:lineRule="auto"/>
              <w:rPr>
                <w:rFonts w:ascii="Calibri" w:eastAsia="Times New Roman" w:hAnsi="Calibri" w:cs="Calibri"/>
                <w:vanish/>
                <w:color w:val="000000"/>
                <w:lang/>
              </w:rPr>
            </w:pPr>
          </w:p>
        </w:tc>
      </w:tr>
      <w:tr w:rsidR="00F265F4" w:rsidRPr="00116744" w:rsidTr="00223553">
        <w:tc>
          <w:tcPr>
            <w:tcW w:w="5320" w:type="dxa"/>
            <w:tcBorders>
              <w:top w:val="nil"/>
              <w:left w:val="single" w:sz="4" w:space="0" w:color="auto"/>
              <w:bottom w:val="nil"/>
              <w:right w:val="nil"/>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STEEL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rPr>
                <w:rFonts w:ascii="Calibri" w:eastAsia="Times New Roman" w:hAnsi="Calibri" w:cs="Calibri"/>
                <w:vanish/>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b/>
                <w:bCs/>
                <w:vanish/>
                <w:color w:val="FF0000"/>
                <w:lang/>
              </w:rPr>
            </w:pPr>
            <w:r>
              <w:rPr>
                <w:rFonts w:ascii="Calibri" w:hAnsi="Calibri"/>
                <w:b/>
                <w:vanish/>
                <w:color w:val="FF0000"/>
              </w:rPr>
              <w:t xml:space="preserve">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sz w:val="20"/>
                <w:szCs w:val="20"/>
                <w:lang/>
              </w:rPr>
            </w:pPr>
            <w:r>
              <w:rPr>
                <w:rFonts w:ascii="Calibri" w:hAnsi="Calibri"/>
                <w:color w:val="000000"/>
                <w:sz w:val="20"/>
              </w:rPr>
              <w:t xml:space="preserve">INGOTS, OF IRON AND NON-ALLOY STEEL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72061000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IRON AND NON-ALLOY STEEL, IN OTHER PRIMARY FORMS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72069000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INGOTS AND OTHER PRIMARY FORMS OF STAINLESS STEEL</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72181000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INGOTS AND OTHER PRIMARY FORMS OF STEEL ALLOYS FOR UTENSILS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72241010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BA3E74" w:rsidRDefault="00F265F4" w:rsidP="00F265F4">
            <w:pPr>
              <w:spacing w:after="0" w:line="240" w:lineRule="auto"/>
              <w:rPr>
                <w:rFonts w:ascii="Calibri" w:eastAsia="Times New Roman" w:hAnsi="Calibri" w:cs="Calibri"/>
                <w:color w:val="000000"/>
                <w:lang/>
              </w:rPr>
            </w:pPr>
            <w:r>
              <w:rPr>
                <w:rFonts w:ascii="Calibri" w:hAnsi="Calibri"/>
                <w:color w:val="000000"/>
              </w:rPr>
              <w:t>INGOTS AND OTHER PRIMARY FORMS OF STEEL ALLOYS, OTHER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72241090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DA7421" w:rsidP="00F265F4">
            <w:pPr>
              <w:spacing w:after="0" w:line="240" w:lineRule="auto"/>
              <w:jc w:val="center"/>
              <w:rPr>
                <w:rFonts w:ascii="Calibri" w:eastAsia="Times New Roman" w:hAnsi="Calibri" w:cs="Calibri"/>
                <w:b/>
                <w:bCs/>
                <w:color w:val="000000"/>
                <w:lang/>
              </w:rPr>
            </w:pPr>
            <w:r>
              <w:rPr>
                <w:rFonts w:ascii="Calibri" w:hAnsi="Calibri"/>
                <w:b/>
                <w:color w:val="000000"/>
              </w:rPr>
              <w:t>SLABS</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FF0000"/>
                <w:lang/>
              </w:rPr>
            </w:pPr>
            <w:r>
              <w:rPr>
                <w:rFonts w:ascii="Calibri" w:hAnsi="Calibri"/>
              </w:rPr>
              <w:t>SLABS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72071210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FF0000"/>
                <w:lang/>
              </w:rPr>
            </w:pPr>
            <w:r>
              <w:rPr>
                <w:rFonts w:ascii="Calibri" w:hAnsi="Calibri"/>
              </w:rPr>
              <w:t>SLABS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72072032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DA7421" w:rsidP="00F265F4">
            <w:pPr>
              <w:spacing w:after="0" w:line="240" w:lineRule="auto"/>
              <w:rPr>
                <w:rFonts w:ascii="Calibri" w:eastAsia="Times New Roman" w:hAnsi="Calibri" w:cs="Calibri"/>
                <w:color w:val="000000"/>
                <w:lang/>
              </w:rPr>
            </w:pPr>
            <w:r>
              <w:rPr>
                <w:rFonts w:ascii="Calibri" w:hAnsi="Calibri"/>
                <w:color w:val="000000"/>
              </w:rPr>
              <w:t>SLABS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72189110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DA7421" w:rsidP="00F265F4">
            <w:pPr>
              <w:spacing w:after="0" w:line="240" w:lineRule="auto"/>
              <w:rPr>
                <w:rFonts w:ascii="Calibri" w:eastAsia="Times New Roman" w:hAnsi="Calibri" w:cs="Calibri"/>
                <w:color w:val="000000"/>
                <w:lang/>
              </w:rPr>
            </w:pPr>
            <w:r>
              <w:rPr>
                <w:rFonts w:ascii="Calibri" w:hAnsi="Calibri"/>
                <w:color w:val="000000"/>
              </w:rPr>
              <w:t>SLABS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72189180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FF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FF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DA7421" w:rsidP="00F265F4">
            <w:pPr>
              <w:spacing w:after="0" w:line="240" w:lineRule="auto"/>
              <w:jc w:val="center"/>
              <w:rPr>
                <w:rFonts w:ascii="Calibri" w:eastAsia="Times New Roman" w:hAnsi="Calibri" w:cs="Calibri"/>
                <w:b/>
                <w:bCs/>
                <w:color w:val="000000"/>
                <w:lang/>
              </w:rPr>
            </w:pPr>
            <w:r>
              <w:rPr>
                <w:rFonts w:ascii="Calibri" w:hAnsi="Calibri"/>
                <w:b/>
                <w:color w:val="000000"/>
              </w:rPr>
              <w:t>BLOOMS</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DA7421" w:rsidP="00F265F4">
            <w:pPr>
              <w:spacing w:after="0" w:line="240" w:lineRule="auto"/>
              <w:jc w:val="center"/>
              <w:rPr>
                <w:rFonts w:ascii="Calibri" w:eastAsia="Times New Roman" w:hAnsi="Calibri" w:cs="Calibri"/>
                <w:b/>
                <w:bCs/>
                <w:color w:val="000000"/>
                <w:lang/>
              </w:rPr>
            </w:pPr>
            <w:r>
              <w:rPr>
                <w:rFonts w:ascii="Calibri" w:hAnsi="Calibri"/>
                <w:b/>
                <w:color w:val="000000"/>
              </w:rPr>
              <w:t>BILLETS</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72071111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72071114</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72071116</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72071912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72071980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72072011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72072015</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BLOOMS BILLETS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72072017</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72072052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72072080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72189911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72189920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72249002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72249003</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72249005</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72249007</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72249014</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BLOOMS BILLETS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72249031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BLOOMS BILLETS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72249038</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DA7421" w:rsidP="00F265F4">
            <w:pPr>
              <w:spacing w:after="0" w:line="240" w:lineRule="auto"/>
              <w:jc w:val="center"/>
              <w:rPr>
                <w:rFonts w:ascii="Calibri" w:eastAsia="Times New Roman" w:hAnsi="Calibri" w:cs="Calibri"/>
                <w:b/>
                <w:bCs/>
                <w:color w:val="000000"/>
                <w:lang/>
              </w:rPr>
            </w:pPr>
            <w:r>
              <w:rPr>
                <w:rFonts w:ascii="Calibri" w:hAnsi="Calibri"/>
                <w:b/>
                <w:color w:val="000000"/>
              </w:rPr>
              <w:t>COILS</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COILS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72081000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COILS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72082500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72082600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COILS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72082700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72083600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72083700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72083800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72083900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72191100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72191210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72191290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72191310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72191390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72191410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72191490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72251910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72253010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COILS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72253030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COILS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72253090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b/>
                <w:bCs/>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RAILS AND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ARMAMENT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RAILS AND ARMAMENT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vAlign w:val="bottom"/>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73021022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RAILS AND ARMAMENT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vAlign w:val="bottom"/>
            <w:hideMark/>
          </w:tcPr>
          <w:p w:rsidR="00F265F4" w:rsidRPr="00DC1FAE" w:rsidRDefault="00F265F4" w:rsidP="00F265F4">
            <w:pPr>
              <w:spacing w:after="0" w:line="240" w:lineRule="auto"/>
              <w:jc w:val="center"/>
              <w:rPr>
                <w:rFonts w:ascii="Calibri" w:eastAsia="Times New Roman" w:hAnsi="Calibri" w:cs="Calibri"/>
                <w:vanish/>
                <w:lang/>
              </w:rPr>
            </w:pPr>
            <w:r>
              <w:rPr>
                <w:rFonts w:ascii="Calibri" w:hAnsi="Calibri"/>
                <w:vanish/>
              </w:rPr>
              <w:t>73021028</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RAILS AND ARMAMENT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73021040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RAILS AND ARMAMENT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73021050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RAILS AND ARMAMENT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000000" w:fill="CCE8CF"/>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73024000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116744" w:rsidRDefault="00F265F4" w:rsidP="00F265F4">
            <w:pPr>
              <w:spacing w:after="0" w:line="240" w:lineRule="auto"/>
              <w:rPr>
                <w:rFonts w:ascii="Calibri" w:eastAsia="Times New Roman" w:hAnsi="Calibri" w:cs="Calibri"/>
                <w:color w:val="00B05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116744" w:rsidRDefault="00F265F4" w:rsidP="00F265F4">
            <w:pPr>
              <w:spacing w:after="0" w:line="240" w:lineRule="auto"/>
              <w:rPr>
                <w:rFonts w:ascii="Calibri" w:eastAsia="Times New Roman" w:hAnsi="Calibri" w:cs="Calibri"/>
                <w:color w:val="00B05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SHEET PILING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b/>
                <w:bCs/>
                <w:color w:val="000000"/>
                <w:lang/>
              </w:rPr>
            </w:pPr>
            <w:r>
              <w:rPr>
                <w:rFonts w:ascii="Calibri" w:hAnsi="Calibri"/>
                <w:b/>
                <w:color w:val="000000"/>
              </w:rPr>
              <w:t xml:space="preserve">SHEET PILING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73011000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r.c. REINFORCING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BARS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r.c. REINFORCING </w:t>
            </w:r>
            <w:r>
              <w:rPr>
                <w:rFonts w:ascii="Calibri" w:hAnsi="Calibri"/>
                <w:color w:val="000000"/>
              </w:rPr>
              <w:t xml:space="preserve">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72142000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r.c. REINFORCING </w:t>
            </w:r>
            <w:r>
              <w:rPr>
                <w:rFonts w:ascii="Calibri" w:hAnsi="Calibri"/>
                <w:color w:val="000000"/>
              </w:rPr>
              <w:t>BARS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72149910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WIRE ROD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72131000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72132000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72139110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72139120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72139141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72139149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72139170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72139190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72139910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72139990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72210010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WIRE ROD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72210090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72271000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72272000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72279010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72279050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WIRE ROD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72279095</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b/>
                <w:bCs/>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HOT-ROLLED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MERCHANT BARS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HOT-ROLLED MERCHANT BARS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72143000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72149931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72149939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72149950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72149971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72149979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72149995</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72221111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72221119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72221181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HOT-ROLLED MERCHANT BARS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72221189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72221910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72221990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72281020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72282091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72283020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72283041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72283049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72283061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72283069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72283089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MERCHANT BARS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72288000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MERCHANT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PLATES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MERCHANT PLATES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72149110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MERCHANT PLATES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72149190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MERCHANT PLATES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72282010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MERCHANT PLATES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72283070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HOT-ROLLED 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&lt; 600 mm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STRIP &lt; 600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72111400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STRIP &lt; 600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72111900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STRIP &lt; 600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72126000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STRIP &lt; 600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72201100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STRIP &lt; 600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72201200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STRIP &lt; 600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72261910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STRIP &lt; 600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72269120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STRIP &lt; 600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72269191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STRIP &lt; 600 mm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72269199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HOT-ROLLED SHEET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AND WIDE 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72084000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72085120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72085191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72085198</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72085210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72085291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72085299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72085310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72085390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72085400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HOT-ROLLED SHEET AND WIDE STRIP</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72089020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72089080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72109030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72111300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72192110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72192190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72192210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72192290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72192300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72192400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72254012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72254015</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72254040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72254060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HOT-ROLLED SHEET AND WIDE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72254090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COLD-ROLLED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SHEET &gt;600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&gt;600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72091500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&gt;601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72091690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&gt;602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72091790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&gt;603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72091891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&gt;604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72092500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&gt;605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72092690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&gt;606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72092790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COLD-ROLLED SHEET &gt;607</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72092890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&gt;608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72099020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&gt;609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72099080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&gt;610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72193100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COLD-ROLLED SHEET &gt;611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72193210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&gt;612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72193290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&gt;613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72193310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&gt;614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72193390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&gt;615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72193410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COLD-ROLLED SHEET &gt;616</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72193490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&gt;617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72193510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&gt;618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72193590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&gt;619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72199020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&gt;620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72199080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&gt;621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72255020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SHEET &gt;622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72255080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BLACK 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BLACK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72091899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BLACK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72112380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MAGNETIC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SHEET AND PLATE/STRIP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MAGNETIC SHEET AND PLATE/STRIP</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72091610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MAGNETIC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72091710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MAGNETIC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72091810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MAGNETIC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72092610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MAGNETIC SHEET AND PLATE/STRIP</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72092710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MAGNETIC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72092810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MAGNETIC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72112320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MAGNETIC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72251100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MAGNETIC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72251990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MAGNETIC SHEET AND PLATE/STRIP</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72261100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MAGNETIC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72261980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TINNED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SHEET AND PLATE/STRIP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TINNED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72101100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TINNED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72101220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TINNED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72101280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TINNED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72107010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TINNED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72109040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TINNED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72121010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TINNED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72121090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TINNED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72124020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SHEET AND PLATE T.F.S.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 T.F.S.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72105000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 T.F.S.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72125020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GALVANISED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SHEET AND PLATE/STRIP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GALVANISED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72104100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GALVANISED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72104900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GALVANISED SHEET AND PLATE/STRIP</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72123000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GALVANISED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72259200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GALVANISED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72269930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ELECTRO-GALVANISED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SHEET AND PLATE/STRIP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ELECTRO-GALVANISED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72103000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ELECTRO-GALVANISED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72122000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ELECTRO-GALVANISED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72259100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ELECTRO-GALVANISED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72269910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ORGANICALLY COATED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SHEET AND PLATE/STRIP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ORGANICALLY COATED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72107080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ORGANICALLY COATED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72124080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ORGANICALLY COATED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72259900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ORGANICALLY COATED SHEET AND PLATE/STRIP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72269970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SHEET AND PLATE/STRIP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OF OTHER METAL COATINGS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PLATE/STRIP OF OTHER METAL COATINGS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72102000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PLATE/STRIP OF OTHER METAL COATINGS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72106100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PLATE/STRIP OF OTHER METAL COATINGS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72106900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PLATE/STRIP OF OTHER METAL COATINGS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72109080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PLATE/STRIP OF OTHER METAL COATINGS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72125030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PLATE/STRIP OF OTHER METAL COATINGS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72125040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PLATE/STRIP OF OTHER METAL COATINGS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72125061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PLATE/STRIP OF OTHER METAL COATINGS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72125069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SHEET AND PLATE/STRIP OF OTHER METAL COATINGS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72125090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SEAMLESS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TUBES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73041100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73041910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SEAMLESS TUBES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73041930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73041990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73042200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73042300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73042400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73042910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73042930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73042990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73043120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73043180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73043910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73043952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73043958</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73043992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73043993</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73043998</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73044100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73044910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73044993</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SEAMLESS TUBES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73044995</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73044999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73045112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73045118</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73045181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73045189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73045932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73045938</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73045992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73045993</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73045999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SEAMLESS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73049000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WELDED TUBES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73051100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73051200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73051900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WELDED TUBES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73052000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WELDED TUBES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73053100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WELDED TUBES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73053900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73059000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WELDED TUBES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73061110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73061190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73061910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WELDED TUBES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73061990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73062100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73062900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73063011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73063019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73063041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73063049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73063072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73063077</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73063080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73064020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73064080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73065020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73065080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73066110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73066192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73066199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73066910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73066990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WELDED TUBES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73069000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FORGED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PRODUCTS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PRODUCTS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72141000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PRODUCTS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72223051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PRODUCTS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72223091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PRODUCTS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72281050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PRODUCTS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72284010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PRODUCTS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72284090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COLD-DRAWN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BARS/PROFILES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72151000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72155011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72155019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72155080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72159000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72166110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72166190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72166900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72169110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72169180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72222011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72222019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72222021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72222029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72222031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72222039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72222081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72222089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72223097</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72224050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72224090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72281090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72282099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72285020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72285040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72285061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72285069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72285080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72286020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72286080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COLD-DRAWN BARS/PROFILES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72287090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DRAWN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WIRE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72171010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DRAWN WIRE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72171031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72171039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DRAWN WIRE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72171050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72171090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72172010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DRAWN WIRE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72172030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72172050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72172090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72173041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72173049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72173050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72173090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72179020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DRAWN WIRE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72179050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72179090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72230011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72230019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72230091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72230099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72292000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DRAWN WIRE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72299020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72299050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DRAWN WIRE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72299090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COLD-ROLLED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STRIP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72112330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72112900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72119020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72119080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72202021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72202029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COLD-ROLLED STRIP</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72202041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72202049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72202081</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72202089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COLD-ROLLED STRIP</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72209020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72209080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COLD-ROLLED STRIP</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72262000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COLD-ROLLED STRIP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72269200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rPr>
                <w:rFonts w:ascii="Calibri" w:eastAsia="Times New Roman" w:hAnsi="Calibri" w:cs="Calibri"/>
                <w:color w:val="000000"/>
                <w:lang/>
              </w:rPr>
            </w:pPr>
          </w:p>
        </w:tc>
      </w:tr>
      <w:tr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SEMI-MANUFACTURES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E06F9A">
        <w:tc>
          <w:tcPr>
            <w:tcW w:w="5320" w:type="dxa"/>
            <w:tcBorders>
              <w:top w:val="nil"/>
              <w:left w:val="single" w:sz="4" w:space="0" w:color="auto"/>
              <w:bottom w:val="nil"/>
              <w:right w:val="nil"/>
            </w:tcBorders>
            <w:shd w:val="clear" w:color="auto" w:fill="auto"/>
            <w:vAlign w:val="bottom"/>
          </w:tcPr>
          <w:p w:rsidR="00F265F4" w:rsidRPr="00116744" w:rsidRDefault="00F265F4" w:rsidP="00F265F4">
            <w:pPr>
              <w:spacing w:after="0" w:line="240" w:lineRule="auto"/>
              <w:rPr>
                <w:rFonts w:ascii="Calibri" w:eastAsia="Times New Roman" w:hAnsi="Calibri" w:cs="Calibri"/>
                <w:color w:val="000000"/>
                <w:lan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116744" w:rsidRDefault="00F265F4" w:rsidP="00F265F4">
            <w:pPr>
              <w:spacing w:after="0" w:line="240" w:lineRule="auto"/>
              <w:jc w:val="center"/>
              <w:rPr>
                <w:rFonts w:ascii="Calibri" w:eastAsia="Times New Roman" w:hAnsi="Calibri" w:cs="Calibri"/>
                <w:b/>
                <w:bCs/>
                <w:color w:val="000000"/>
                <w:lang/>
              </w:rPr>
            </w:pPr>
            <w:r>
              <w:rPr>
                <w:rFonts w:ascii="Calibri" w:hAnsi="Calibri"/>
                <w:b/>
                <w:color w:val="000000"/>
              </w:rPr>
              <w:t xml:space="preserve">FORGED </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72071190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72071290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72071919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72072019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72072039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72072059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72189919</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72189980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nil"/>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72249018</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Tr="00223553">
        <w:tc>
          <w:tcPr>
            <w:tcW w:w="5320" w:type="dxa"/>
            <w:tcBorders>
              <w:top w:val="nil"/>
              <w:left w:val="single" w:sz="4" w:space="0" w:color="auto"/>
              <w:bottom w:val="nil"/>
              <w:right w:val="nil"/>
            </w:tcBorders>
            <w:shd w:val="clear" w:color="auto" w:fill="auto"/>
            <w:vAlign w:val="bottom"/>
            <w:hideMark/>
          </w:tcPr>
          <w:p w:rsidR="00F265F4" w:rsidRPr="00116744" w:rsidRDefault="00F265F4" w:rsidP="00F265F4">
            <w:pPr>
              <w:spacing w:after="0" w:line="240" w:lineRule="auto"/>
              <w:rPr>
                <w:rFonts w:ascii="Calibri" w:eastAsia="Times New Roman" w:hAnsi="Calibri" w:cs="Calibri"/>
                <w:color w:val="000000"/>
                <w:lang/>
              </w:rPr>
            </w:pPr>
            <w:r>
              <w:rPr>
                <w:rFonts w:ascii="Calibri" w:hAnsi="Calibri"/>
                <w:color w:val="000000"/>
              </w:rPr>
              <w:t xml:space="preserve">FORGED SEMI-MANUFACTURES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DC1FAE" w:rsidRDefault="00F265F4" w:rsidP="00F265F4">
            <w:pPr>
              <w:spacing w:after="0" w:line="240" w:lineRule="auto"/>
              <w:jc w:val="center"/>
              <w:rPr>
                <w:rFonts w:ascii="Calibri" w:eastAsia="Times New Roman" w:hAnsi="Calibri" w:cs="Calibri"/>
                <w:vanish/>
                <w:color w:val="000000"/>
                <w:lang/>
              </w:rPr>
            </w:pPr>
            <w:r>
              <w:rPr>
                <w:rFonts w:ascii="Calibri" w:hAnsi="Calibri"/>
                <w:vanish/>
                <w:color w:val="000000"/>
              </w:rPr>
              <w:t>72249090</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RDefault="00F265F4" w:rsidP="00CF773E">
      <w:pPr>
        <w:spacing w:line="240" w:lineRule="auto"/>
        <w:ind w:left="708" w:hanging="356"/>
        <w:jc w:val="both"/>
        <w:rPr>
          <w:rFonts w:ascii="Times New Roman" w:hAnsi="Times New Roman" w:cs="Times New Roman"/>
          <w:sz w:val="24"/>
          <w:szCs w:val="24"/>
        </w:rPr>
      </w:pP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265F4" w:rsidRPr="00116744" w:rsidSect="00F265F4">
      <w:pgSz w:w="11909" w:h="16834"/>
      <w:pgMar w:top="567" w:right="852" w:bottom="284" w:left="851" w:header="720" w:footer="720" w:gutter="0"/>
      <w:cols w:space="720"/>
      <w:noEndnote/>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223FF2" w:rsidRDefault="00223FF2" w:rsidP="00146EE7">
      <w:pPr>
        <w:spacing w:after="0" w:line="240" w:lineRule="auto"/>
      </w:pPr>
      <w:r>
        <w:separator/>
      </w:r>
    </w:p>
  </w:endnote>
  <w:endnote xmlns:w15="http://schemas.microsoft.com/office/word/2012/wordml"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BA3E74">
          <w:rPr>
            <w:noProof/>
          </w:rPr>
          <w:t>7</w:t>
        </w:r>
        <w:r>
          <w:rPr>
            <w:noProof/>
          </w:rPr>
          <w:fldChar w:fldCharType="end"/>
        </w:r>
      </w:p>
    </w:sdtContent>
  </w:sdt>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223FF2" w:rsidRDefault="00223FF2" w:rsidP="00146EE7">
      <w:pPr>
        <w:spacing w:after="0" w:line="240" w:lineRule="auto"/>
      </w:pPr>
      <w:r>
        <w:separator/>
      </w:r>
    </w:p>
  </w:footnote>
  <w:footnote xmlns:w15="http://schemas.microsoft.com/office/word/2012/wordml" w:type="continuationSeparator" w:id="0">
    <w:p w:rsidR="00223FF2" w:rsidRDefault="00223FF2" w:rsidP="00146EE7">
      <w:pPr>
        <w:spacing w:after="0" w:line="240" w:lineRule="auto"/>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6AA6E63-5FA0-42D6-9C82-8AF121B05113}"/>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16197C"/>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ListParagraph">
    <w:name w:val="List Paragraph"/>
    <w:basedOn w:val="Normal"/>
    <w:uiPriority w:val="34"/>
    <w:qFormat/>
    <w:rsid w:val="0039017F"/>
    <w:pPr>
      <w:ind w:left="720"/>
      <w:contextualSpacing/>
    </w:pPr>
  </w:style>
  <w:style xmlns:w15="http://schemas.microsoft.com/office/word/2012/wordml" w:type="paragraph" w:styleId="Header">
    <w:name w:val="header"/>
    <w:basedOn w:val="Normal"/>
    <w:link w:val="HeaderChar"/>
    <w:uiPriority w:val="99"/>
    <w:unhideWhenUsed/>
    <w:rsid w:val="00146EE7"/>
    <w:pPr>
      <w:tabs>
        <w:tab w:val="center" w:pos="4819"/>
        <w:tab w:val="right" w:pos="9638"/>
      </w:tabs>
      <w:spacing w:after="0" w:line="240" w:lineRule="auto"/>
    </w:pPr>
  </w:style>
  <w:style xmlns:w15="http://schemas.microsoft.com/office/word/2012/wordml" w:type="character" w:customStyle="1" w:styleId="HeaderChar">
    <w:name w:val="Header Char"/>
    <w:basedOn w:val="DefaultParagraphFont"/>
    <w:link w:val="Header"/>
    <w:uiPriority w:val="99"/>
    <w:rsid w:val="00146EE7"/>
  </w:style>
  <w:style xmlns:w15="http://schemas.microsoft.com/office/word/2012/wordml" w:type="paragraph" w:styleId="Footer">
    <w:name w:val="footer"/>
    <w:basedOn w:val="Normal"/>
    <w:link w:val="FooterChar"/>
    <w:uiPriority w:val="99"/>
    <w:unhideWhenUsed/>
    <w:rsid w:val="00146EE7"/>
    <w:pPr>
      <w:tabs>
        <w:tab w:val="center" w:pos="4819"/>
        <w:tab w:val="right" w:pos="9638"/>
      </w:tabs>
      <w:spacing w:after="0" w:line="240" w:lineRule="auto"/>
    </w:pPr>
  </w:style>
  <w:style xmlns:w15="http://schemas.microsoft.com/office/word/2012/wordml" w:type="character" w:customStyle="1" w:styleId="FooterChar">
    <w:name w:val="Footer Char"/>
    <w:basedOn w:val="DefaultParagraphFont"/>
    <w:link w:val="Footer"/>
    <w:uiPriority w:val="99"/>
    <w:rsid w:val="00146EE7"/>
  </w:style>
  <w:style xmlns:w15="http://schemas.microsoft.com/office/word/2012/wordml"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xmlns:w15="http://schemas.microsoft.com/office/word/2012/wordml"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xmlns:w15="http://schemas.microsoft.com/office/word/2012/wordml" w:type="character" w:styleId="CommentReference">
    <w:name w:val="annotation reference"/>
    <w:basedOn w:val="DefaultParagraphFont"/>
    <w:uiPriority w:val="99"/>
    <w:semiHidden/>
    <w:unhideWhenUsed/>
    <w:rsid w:val="005D08DC"/>
    <w:rPr>
      <w:sz w:val="16"/>
      <w:szCs w:val="16"/>
    </w:rPr>
  </w:style>
  <w:style xmlns:w15="http://schemas.microsoft.com/office/word/2012/wordml" w:type="paragraph" w:styleId="CommentText">
    <w:name w:val="annotation text"/>
    <w:basedOn w:val="Normal"/>
    <w:link w:val="CommentTextChar"/>
    <w:uiPriority w:val="99"/>
    <w:semiHidden/>
    <w:unhideWhenUsed/>
    <w:rsid w:val="005D08DC"/>
    <w:pPr>
      <w:spacing w:line="240" w:lineRule="auto"/>
    </w:pPr>
    <w:rPr>
      <w:sz w:val="20"/>
      <w:szCs w:val="20"/>
    </w:rPr>
  </w:style>
  <w:style xmlns:w15="http://schemas.microsoft.com/office/word/2012/wordml" w:type="character" w:customStyle="1" w:styleId="CommentTextChar">
    <w:name w:val="Comment Text Char"/>
    <w:basedOn w:val="DefaultParagraphFont"/>
    <w:link w:val="CommentText"/>
    <w:uiPriority w:val="99"/>
    <w:semiHidden/>
    <w:rsid w:val="005D08DC"/>
    <w:rPr>
      <w:sz w:val="20"/>
      <w:szCs w:val="20"/>
    </w:rPr>
  </w:style>
  <w:style xmlns:w15="http://schemas.microsoft.com/office/word/2012/wordml" w:type="paragraph" w:styleId="CommentSubject">
    <w:name w:val="annotation subject"/>
    <w:basedOn w:val="CommentText"/>
    <w:next w:val="CommentText"/>
    <w:link w:val="CommentSubjectChar"/>
    <w:uiPriority w:val="99"/>
    <w:semiHidden/>
    <w:unhideWhenUsed/>
    <w:rsid w:val="005D08DC"/>
    <w:rPr>
      <w:b/>
      <w:bCs/>
    </w:rPr>
  </w:style>
  <w:style xmlns:w15="http://schemas.microsoft.com/office/word/2012/wordml" w:type="character" w:customStyle="1" w:styleId="CommentSubjectChar">
    <w:name w:val="Comment Subject Char"/>
    <w:basedOn w:val="CommentTextChar"/>
    <w:link w:val="CommentSubject"/>
    <w:uiPriority w:val="99"/>
    <w:semiHidden/>
    <w:rsid w:val="005D08DC"/>
    <w:rPr>
      <w:b/>
      <w:bCs/>
      <w:sz w:val="20"/>
      <w:szCs w:val="20"/>
    </w:rPr>
  </w:style>
  <w:style xmlns:w15="http://schemas.microsoft.com/office/word/2012/wordml" w:type="paragraph" w:styleId="Revision">
    <w:name w:val="Revision"/>
    <w:hidden/>
    <w:uiPriority w:val="99"/>
    <w:semiHidden/>
    <w:rsid w:val="001338EF"/>
    <w:pPr>
      <w:spacing w:after="0" w:line="240" w:lineRule="auto"/>
    </w:pPr>
  </w:style>
  <w:style xmlns:w15="http://schemas.microsoft.com/office/word/2012/wordml"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xmlns:w15="http://schemas.microsoft.com/office/word/2012/wordml"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xmlns:w15="http://schemas.microsoft.com/office/word/2012/wordml"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xmlns:w15="http://schemas.microsoft.com/office/word/2012/wordml"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xmlns:w15="http://schemas.microsoft.com/office/word/2012/wordml"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xmlns:w15="http://schemas.microsoft.com/office/word/2012/wordml"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xmlns:w15="http://schemas.microsoft.com/office/word/2012/wordml"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xmlns:w15="http://schemas.microsoft.com/office/word/2012/wordml"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xmlns:w15="http://schemas.microsoft.com/office/word/2012/wordml" w:type="character" w:customStyle="1" w:styleId="FontStyle17">
    <w:name w:val="Font Style17"/>
    <w:basedOn w:val="DefaultParagraphFont"/>
    <w:uiPriority w:val="99"/>
    <w:rsid w:val="00F265F4"/>
    <w:rPr>
      <w:rFonts w:ascii="Batang" w:eastAsia="Batang" w:cs="Batang"/>
      <w:b/>
      <w:bCs/>
      <w:color w:val="000000"/>
      <w:sz w:val="16"/>
      <w:szCs w:val="16"/>
    </w:rPr>
  </w:style>
  <w:style xmlns:w15="http://schemas.microsoft.com/office/word/2012/wordml"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xmlns:w15="http://schemas.microsoft.com/office/word/2012/wordml" w:type="character" w:customStyle="1" w:styleId="FontStyle19">
    <w:name w:val="Font Style19"/>
    <w:basedOn w:val="DefaultParagraphFont"/>
    <w:uiPriority w:val="99"/>
    <w:rsid w:val="00F265F4"/>
    <w:rPr>
      <w:rFonts w:ascii="Book Antiqua" w:hAnsi="Book Antiqua" w:cs="Book Antiqua"/>
      <w:color w:val="000000"/>
      <w:sz w:val="16"/>
      <w:szCs w:val="16"/>
    </w:rPr>
  </w:style>
  <w:style xmlns:w15="http://schemas.microsoft.com/office/word/2012/wordml"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xmlns:w15="http://schemas.microsoft.com/office/word/2012/wordml" w:type="character" w:styleId="Hyperlink">
    <w:name w:val="Hyperlink"/>
    <w:basedOn w:val="DefaultParagraphFont"/>
    <w:uiPriority w:val="99"/>
    <w:semiHidden/>
    <w:unhideWhenUsed/>
    <w:rsid w:val="00F265F4"/>
    <w:rPr>
      <w:color w:val="0000FF"/>
      <w:u w:val="single"/>
    </w:rPr>
  </w:style>
  <w:style xmlns:w15="http://schemas.microsoft.com/office/word/2012/wordml" w:type="character" w:styleId="FollowedHyperlink">
    <w:name w:val="FollowedHyperlink"/>
    <w:basedOn w:val="DefaultParagraphFont"/>
    <w:uiPriority w:val="99"/>
    <w:semiHidden/>
    <w:unhideWhenUsed/>
    <w:rsid w:val="00F265F4"/>
    <w:rPr>
      <w:color w:val="800080"/>
      <w:u w:val="single"/>
    </w:rPr>
  </w:style>
  <w:style xmlns:w15="http://schemas.microsoft.com/office/word/2012/wordml"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lang w:val="en-GB" w:eastAsia="en-GB"/>
    </w:rPr>
  </w:style>
  <w:style xmlns:w15="http://schemas.microsoft.com/office/word/2012/wordml"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lang w:val="en-GB" w:eastAsia="en-GB"/>
    </w:rPr>
  </w:style>
  <w:style xmlns:w15="http://schemas.microsoft.com/office/word/2012/wordml" w:type="paragraph" w:customStyle="1" w:styleId="font6">
    <w:name w:val="font6"/>
    <w:basedOn w:val="Normal"/>
    <w:rsid w:val="00F265F4"/>
    <w:pPr>
      <w:spacing w:before="100" w:beforeAutospacing="1" w:after="100" w:afterAutospacing="1" w:line="240" w:lineRule="auto"/>
    </w:pPr>
    <w:rPr>
      <w:rFonts w:ascii="Calibri" w:eastAsia="Times New Roman" w:hAnsi="Calibri" w:cs="Calibri"/>
      <w:lang w:val="en-GB" w:eastAsia="en-GB"/>
    </w:rPr>
  </w:style>
  <w:style xmlns:w15="http://schemas.microsoft.com/office/word/2012/wordml"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lang w:val="en-GB" w:eastAsia="en-GB"/>
    </w:rPr>
  </w:style>
  <w:style xmlns:w15="http://schemas.microsoft.com/office/word/2012/wordml"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xmlns:w15="http://schemas.microsoft.com/office/word/2012/wordml"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xmlns:w15="http://schemas.microsoft.com/office/word/2012/wordml"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xmlns:w15="http://schemas.microsoft.com/office/word/2012/wordml"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xmlns:w15="http://schemas.microsoft.com/office/word/2012/wordml"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xmlns:w15="http://schemas.microsoft.com/office/word/2012/wordml"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xmlns:w15="http://schemas.microsoft.com/office/word/2012/wordml"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xmlns:w15="http://schemas.microsoft.com/office/word/2012/wordml"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xmlns:w15="http://schemas.microsoft.com/office/word/2012/wordml"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xmlns:w15="http://schemas.microsoft.com/office/word/2012/wordml"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xmlns:w15="http://schemas.microsoft.com/office/word/2012/wordml"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val="en-GB" w:eastAsia="en-GB"/>
    </w:rPr>
  </w:style>
  <w:style xmlns:w15="http://schemas.microsoft.com/office/word/2012/wordml"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xmlns:w15="http://schemas.microsoft.com/office/word/2012/wordml"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xmlns:w15="http://schemas.microsoft.com/office/word/2012/wordml"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xmlns:w15="http://schemas.microsoft.com/office/word/2012/wordml"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lang w:val="en-GB" w:eastAsia="en-GB"/>
    </w:rPr>
  </w:style>
  <w:style xmlns:w15="http://schemas.microsoft.com/office/word/2012/wordml"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xmlns:w15="http://schemas.microsoft.com/office/word/2012/wordml"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xmlns:w15="http://schemas.microsoft.com/office/word/2012/wordml"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xmlns:w15="http://schemas.microsoft.com/office/word/2012/wordml"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xmlns:w15="http://schemas.microsoft.com/office/word/2012/wordml"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xmlns:w15="http://schemas.microsoft.com/office/word/2012/wordml"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en-GB" w:eastAsia="en-GB"/>
    </w:rPr>
  </w:style>
  <w:style xmlns:w15="http://schemas.microsoft.com/office/word/2012/wordml"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val="en-GB" w:eastAsia="en-GB"/>
    </w:rPr>
  </w:style>
  <w:style xmlns:w15="http://schemas.microsoft.com/office/word/2012/wordml"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GB" w:eastAsia="en-GB"/>
    </w:rPr>
  </w:style>
  <w:style xmlns:w15="http://schemas.microsoft.com/office/word/2012/wordml"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xmlns:w15="http://schemas.microsoft.com/office/word/2012/wordml"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xmlns:w15="http://schemas.microsoft.com/office/word/2012/wordml"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xmlns:w15="http://schemas.microsoft.com/office/word/2012/wordml"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GB" w:eastAsia="en-GB"/>
    </w:rPr>
  </w:style>
  <w:style xmlns:w15="http://schemas.microsoft.com/office/word/2012/wordml"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GB" w:eastAsia="en-GB"/>
    </w:rPr>
  </w:style>
  <w:style xmlns:w15="http://schemas.microsoft.com/office/word/2012/wordml"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lang w:val="en-GB" w:eastAsia="en-GB"/>
    </w:rPr>
  </w:style>
  <w:style xmlns:w15="http://schemas.microsoft.com/office/word/2012/wordml" w:type="character" w:customStyle="1" w:styleId="BodyTextChar">
    <w:name w:val="Body Text Char"/>
    <w:basedOn w:val="DefaultParagraphFont"/>
    <w:link w:val="BodyText"/>
    <w:rsid w:val="004A68F0"/>
    <w:rPr>
      <w:rFonts w:ascii="Verdana" w:eastAsia="Times New Roman" w:hAnsi="Verdana" w:cs="Times New Roman"/>
      <w:sz w:val="20"/>
      <w:szCs w:val="20"/>
      <w:lang w:val="en-GB" w:eastAsia="en-GB"/>
    </w:rPr>
  </w:style>
  <w:style xmlns:w15="http://schemas.microsoft.com/office/word/2012/wordml"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lang w:val="en-GB" w:eastAsia="en-GB"/>
    </w:rPr>
  </w:style>
  <w:style xmlns:w15="http://schemas.microsoft.com/office/word/2012/wordml"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1.xml" /><Relationship Id="rId5" Type="http://schemas.openxmlformats.org/officeDocument/2006/relationships/settings" Target="settings.xml" /><Relationship Id="rId10" Type="http://schemas.openxmlformats.org/officeDocument/2006/relationships/image" Target="media/image1.png"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F3842-0E47-4D5E-9A21-B4A91EC7FB9E}">
  <ds:schemaRefs>
    <ds:schemaRef ds:uri="http://schemas.openxmlformats.org/officeDocument/2006/bibliography"/>
  </ds:schemaRefs>
</ds:datastoreItem>
</file>

<file path=customXml/itemProps2.xml><?xml version="1.0" encoding="utf-8"?>
<ds:datastoreItem xmlns:ds="http://schemas.openxmlformats.org/officeDocument/2006/customXml" ds:itemID="{4F6DDCD1-88B0-4591-BD2A-B9DB2380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22</Pages>
  <Words>7463</Words>
  <Characters>42541</Characters>
  <Application>Microsoft Office Word</Application>
  <DocSecurity>0</DocSecurity>
  <Lines>354</Lines>
  <Paragraphs>99</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49905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Tordai, Vera</cp:lastModifiedBy>
  <cp:revision>13</cp:revision>
  <cp:lastPrinted>2018-02-23T12:35:00Z</cp:lastPrinted>
  <dcterms:created xsi:type="dcterms:W3CDTF">2017-03-17T10:07:00Z</dcterms:created>
  <dcterms:modified xsi:type="dcterms:W3CDTF">2018-03-13T14:31:00Z</dcterms:modified>
</cp:coreProperties>
</file>