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0767"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2022. gada 13. aprīļa Dekrēts Nr. 2022-539 par oglekļa emisiju izlīdzināšanu un apgalvojumiem par oglekļa neitralitāti reklāmā</w:t>
      </w:r>
    </w:p>
    <w:p w14:paraId="63B9D707"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2022. gada 14. aprīļa JORF Nr. 0088</w:t>
      </w:r>
      <w:r>
        <w:rPr>
          <w:rFonts w:ascii="Times New Roman" w:hAnsi="Times New Roman"/>
          <w:sz w:val="24"/>
        </w:rPr>
        <w:br/>
        <w:t>Dokuments Nr. 17</w:t>
      </w:r>
    </w:p>
    <w:p w14:paraId="6B7B14DC"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Mērķauditorija: reklāmdevēji </w:t>
      </w:r>
      <w:r>
        <w:rPr>
          <w:rFonts w:ascii="Times New Roman" w:hAnsi="Times New Roman"/>
          <w:sz w:val="24"/>
        </w:rPr>
        <w:br/>
        <w:t xml:space="preserve">Temats: sīki izstrādāti noteikumi reklāmdevēju paziņojumu par viņu produktu vai pakalpojumu oglekļneitralitāti īstenošanu saskaņā ar 2021. gada 22. augusta Likuma Nr. 2021-1104 par klimata pārmaiņu apkarošanu un noturības pret tām stiprināšanu 12. pantu. </w:t>
      </w:r>
      <w:r>
        <w:rPr>
          <w:rFonts w:ascii="Times New Roman" w:hAnsi="Times New Roman"/>
          <w:sz w:val="24"/>
        </w:rPr>
        <w:br/>
        <w:t xml:space="preserve">Stāšanās spēkā: teksts stājas spēkā 2023. gada 1. janvārī. </w:t>
      </w:r>
      <w:r>
        <w:rPr>
          <w:rFonts w:ascii="Times New Roman" w:hAnsi="Times New Roman"/>
          <w:sz w:val="24"/>
        </w:rPr>
        <w:br/>
        <w:t xml:space="preserve">Paziņojums: dekrētā ir izklāstīti sīki izstrādāti noteikumi reklāmdevēju paziņojumiem par viņu produktu vai pakalpojumu oglekļneitralitāti. Tajā ir paredzētas arī pretprasības šiem apgalvojumiem, lai nodrošinātu pārredzamību attiecībā uz sabiedrību un novērstu zaļmaldināšanas risku. Tas attiecas uz visām reklāmām, kas tiek pārraidītas pēc teksta stāšanās spēkā. </w:t>
      </w:r>
      <w:r>
        <w:rPr>
          <w:rFonts w:ascii="Times New Roman" w:hAnsi="Times New Roman"/>
          <w:sz w:val="24"/>
        </w:rPr>
        <w:br/>
        <w:t xml:space="preserve">Atsauces: Vides kodekss, kas pārveidots ar šo dekrētu, grozījumu projekta formā atrodams Légifrance tīmekļa vietnē (https://www.legifrance.gouv.fr). </w:t>
      </w:r>
    </w:p>
    <w:p w14:paraId="6BDC3CA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Premjerministrs,</w:t>
      </w:r>
      <w:r>
        <w:rPr>
          <w:rFonts w:ascii="Times New Roman" w:hAnsi="Times New Roman"/>
          <w:sz w:val="24"/>
        </w:rPr>
        <w:br/>
        <w:t>pamatojoties uz ekoloģiskās pārejas ministres ziņojumu:</w:t>
      </w:r>
      <w:r>
        <w:rPr>
          <w:rFonts w:ascii="Times New Roman" w:hAnsi="Times New Roman"/>
          <w:sz w:val="24"/>
        </w:rPr>
        <w:br/>
        <w:t>ņemot vērā Eiropas Parlamenta un Padomes 2015. gada 9. septembra Direktīvu (ES) 2015/1535, ar ko nosaka informācijas sniegšanas kārtību tehnisko noteikumu un Informācijas sabiedrības pakalpojumu noteikumu jomā, un jo īpaši Paziņojumu Nr. 2021/904/F;</w:t>
      </w:r>
      <w:r>
        <w:rPr>
          <w:rFonts w:ascii="Times New Roman" w:hAnsi="Times New Roman"/>
          <w:sz w:val="24"/>
        </w:rPr>
        <w:br/>
        <w:t>ņemot vērā Vides kodeksu;</w:t>
      </w:r>
      <w:r>
        <w:rPr>
          <w:rFonts w:ascii="Times New Roman" w:hAnsi="Times New Roman"/>
          <w:sz w:val="24"/>
        </w:rPr>
        <w:br/>
        <w:t>ņemot vērā 2021. gada 22. augusta Likumu Nr. 2021-1104 par klimata pārmaiņu apkarošanu un noturības pret tām stiprināšanu un jo īpaši tā 12. un 147. pantu;</w:t>
      </w:r>
      <w:r>
        <w:rPr>
          <w:rFonts w:ascii="Times New Roman" w:hAnsi="Times New Roman"/>
          <w:sz w:val="24"/>
        </w:rPr>
        <w:br/>
        <w:t>ņemot vērā 1997. gada 19. decembra Dekrētu Nr. 97-1198, ar ko īsteno 1997. gada 15. janvāra Dekrēta Nr. 97-34 par atsevišķu administratīvo lēmumu dekoncentrāciju ministriem, kas atbild par ekoloģisko un solidaritātes pāreju, teritoriālo kohēziju un attiecībām ar vietējām un reģionālajām pašvaldībām, 2. panta pirmo daļu;</w:t>
      </w:r>
      <w:r>
        <w:rPr>
          <w:rFonts w:ascii="Times New Roman" w:hAnsi="Times New Roman"/>
          <w:sz w:val="24"/>
        </w:rPr>
        <w:br/>
        <w:t>ņemot vērā 2020. gada 21. aprīļa Dekrētu Nr. 2020-457 par valstu oglekļa emisiju budžetiem un valsts mazoglekļa stratēģiju;</w:t>
      </w:r>
      <w:r>
        <w:rPr>
          <w:rFonts w:ascii="Times New Roman" w:hAnsi="Times New Roman"/>
          <w:sz w:val="24"/>
        </w:rPr>
        <w:br/>
        <w:t>ņemot vērā novērojumus, kas veikti sabiedriskās apspriešanas laikā no 2022. gada 20. janvāra līdz 2022. gada 10. februārim, saskaņā ar Vides kodeksa L. 123-19-1. pantu;</w:t>
      </w:r>
      <w:r>
        <w:rPr>
          <w:rFonts w:ascii="Times New Roman" w:hAnsi="Times New Roman"/>
          <w:sz w:val="24"/>
        </w:rPr>
        <w:br/>
        <w:t>izdod šādu dekrētu:</w:t>
      </w:r>
    </w:p>
    <w:p w14:paraId="1F8CB455" w14:textId="77777777" w:rsidR="00117B2F" w:rsidRDefault="00117B2F">
      <w:pPr>
        <w:rPr>
          <w:rFonts w:ascii="Times New Roman" w:hAnsi="Times New Roman"/>
          <w:b/>
          <w:sz w:val="24"/>
        </w:rPr>
      </w:pPr>
      <w:r>
        <w:rPr>
          <w:rFonts w:ascii="Times New Roman" w:hAnsi="Times New Roman"/>
          <w:b/>
          <w:sz w:val="24"/>
        </w:rPr>
        <w:br w:type="page"/>
      </w:r>
    </w:p>
    <w:p w14:paraId="7B0F888A" w14:textId="43CCB6C6"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1. pants.</w:t>
      </w:r>
    </w:p>
    <w:p w14:paraId="1DF6070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Vides kodeksa II grāmatas II sadaļas IX nodaļu papildina ar 9. iedaļu šādi:</w:t>
      </w:r>
    </w:p>
    <w:p w14:paraId="02794D6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“9. pants “Vides prasības”</w:t>
      </w:r>
    </w:p>
    <w:p w14:paraId="029A1294" w14:textId="792F112F"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D. 229-106. pants. - Reklāmdevējs, kas reklāmā apgalvo, ka produkts vai pakalpojums ir “oglekļneitrāls”, “bezoglekļa”, “ar nulles oglekļa pēdu”, “klimatneitrāls”, “pilnībā kompensēts”, “par 100 % kompensēts” vai izmanto jebkādus līdzvērtīgas nozīmes vai darbības jomas formulējumus, atbilst šīs iedaļas noteikumiem.</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Šis pants attiecas uz reklāmas korespondenci, iespieddarbu reklāmām, reklāmas plakātiem, reklāmām preses izdevumos, kinoteātros pārraidītām reklāmām, televīzijas vai radio dienestu pārraidītām reklāmām un ar komunikācijas pakalpojumiem sabiedrībai tiešsaistē izdotām reklāmām, kā arī uz prasībām uz preču iepakojuma.</w:t>
      </w:r>
    </w:p>
    <w:p w14:paraId="6BC75BCE" w14:textId="31622A0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E7611" w:rsidRPr="00BE7611">
        <w:rPr>
          <w:rFonts w:ascii="Times New Roman" w:hAnsi="Times New Roman"/>
          <w:sz w:val="24"/>
        </w:rPr>
        <w:t>“</w:t>
      </w:r>
      <w:r>
        <w:rPr>
          <w:rFonts w:ascii="Times New Roman" w:hAnsi="Times New Roman"/>
          <w:sz w:val="24"/>
        </w:rPr>
        <w:t>D. 229-107. pants. - D. 229-106. pantā minētais reklāmdevējs sagatavo siltumnīcefekta gāzu emisiju bilanci par attiecīgo produktu vai pakalpojumu, aptverot visu tā aprites ciklu. Šo bilanci atjaunina katru gadu.</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Šo bilanci sagatavo saskaņā ar standarta NF EN ISO 14067 vai jebkura cita līdzvērtīga standarta prasībām. Par vidi atbildīgā ministra rīkojums var papildināt šīs prasības, lai saskaņotu emisiju bilances metodoloģiju ar šā kodeksa L. 541-9-11. pantā paredzētajām vides pazīmēm.</w:t>
      </w:r>
    </w:p>
    <w:p w14:paraId="5A19ECD5" w14:textId="4D2F3B8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E7611" w:rsidRPr="00BE7611">
        <w:rPr>
          <w:rFonts w:ascii="Times New Roman" w:hAnsi="Times New Roman"/>
          <w:sz w:val="24"/>
        </w:rPr>
        <w:t>“</w:t>
      </w:r>
      <w:r>
        <w:rPr>
          <w:rFonts w:ascii="Times New Roman" w:hAnsi="Times New Roman"/>
          <w:sz w:val="24"/>
        </w:rPr>
        <w:t>D. 229-108. pants. - D. 229-106. pantā minētais reklāmdevējs savā tiešsaistes sabiedriskās saziņas vietnē vai, ja tādas nav, savā mobilajā lietotnē publicē kopsavilkuma ziņojumu, kurā aprakstīts reklamētā produkta vai pakalpojuma oglekļa pēdas nospiedums un līdzekļi, ar kādiem šīs siltumnīcefekta gāzu emisijas tiek galvenokārt novērstas, pēc tam samazinātas un visbeidzot kompensētas. Šajā ziņojumā ir trīs pielikumi, kuros sīki izklāstīts tā saturs, un tie ir izklāstīti turpmākajā secībā.</w:t>
      </w:r>
      <w:r>
        <w:rPr>
          <w:rFonts w:ascii="Times New Roman" w:hAnsi="Times New Roman"/>
          <w:sz w:val="24"/>
        </w:rPr>
        <w:br/>
        <w:t>“1. Pielikums, kurā izklāstīti D. 229-107. pantā paredzētās bilances rezultāti, un kopsavilkums par metodoloģiju, ko izmanto šīs bilances sastādīšanai. Minētajā kopsavilkumā jo īpaši norāda darbības jomu, ko izmanto attiecīgā ražojuma vai pakalpojuma definēšanai, izmantotās funkcionālās vai deklarētās vienības, attiecīgās sistēmas robežas, aprites cikla beigu posma apstrādes metodi, emisijas datus, ko ņem vērā par elektroenerģiju vai gāzi, kas patērēta no tīkliem. Tajā norāda valsti(-is) vai ģeogrāfisko(-s) apgabalu(-us), kurā(-os) notiek starptautiskā transporta radītās emisijas un emisijas, ciktāl šādi dati ir pieejami;</w:t>
      </w:r>
      <w:r>
        <w:rPr>
          <w:rFonts w:ascii="Times New Roman" w:hAnsi="Times New Roman"/>
          <w:sz w:val="24"/>
        </w:rPr>
        <w:br/>
        <w:t>“2) Pielikums, kurā izklāstīta mērķa trajektorija siltumnīcefekta gāzu emisiju samazināšanai saistībā ar reklamēto produktu vai pakalpojumu, norādot skaitliski izteiktus gada progresa mērķus, kas aptver vismaz desmit gadus pēc šajā pantā minētā ziņojuma publicēšanas. Ik pēc pieciem gadiem pēc pirmā šajā pantā minētā ziņojuma publicēšanas izveido atjauninātu trajektoriju, kas aptver vēl 10 gadus;</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 xml:space="preserve">3) Pielikums, kurā sīki izklāstītas procedūras atlikušo emisiju kompensēšanai, jo īpaši norādot kompensācijas projektu veidu un aprakstu.  Šajā pielikumā tiek iekļauta arī informācija par to izmaksām, klasificējot tās atbilstoši šādām kategorijām: mazāk nekā </w:t>
      </w:r>
      <w:r>
        <w:rPr>
          <w:rFonts w:ascii="Times New Roman" w:hAnsi="Times New Roman"/>
          <w:sz w:val="24"/>
        </w:rPr>
        <w:lastRenderedPageBreak/>
        <w:t>10 €/t CO2, no 10 līdz 40 €/t CO2 vai vairāk nekā 40 €/t CO2. Šajā pielikumā parādīts, ka ar šo kompensāciju samazināto vai uztverto emisiju apjoms atbilst visu pārdoto un reklāmas skarto produktu vai pakalpojumu atlikušajām emisijām. Šajā pielikumā ir arī precizēti līdzekļi, ko reklāmdevējs izmanto, lai nodrošinātu, ka tas neskaita divkāršu kompensāciju, ko nodrošina šie projekti. Jo īpaši tajā ir izklāstītas metodes emisiju samazināšanas un uztveršanas atcelšanai no tirgus, ja tiek izmantoti kompensācijas kredīti. Visbeidzot šajā pielikumā sīki izklāstīti centieni, kas veikti, lai nodrošinātu pēc iespējas labāku saskaņotību starp ģeogrāfiskajiem apgabaliem, kuros tiek īstenoti projekti un kur notiek emisijas.</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Šo publikāciju atjaunina katru gadu visā produkta vai pakalpojuma tirdzniecības periodā, kamēr reklāmdevējs reklāmās apgalvo, ka tas pats produkts vai pakalpojums ir oglekļneitrāls, vai arī izmanto jebkuru citu formulējumu ar tādu pašu nozīmi vai darbības jomu. Jo īpaši atjauninājums ļauj uzraudzīt ar produktu vai pakalpojumu saistīto emisiju attīstību salīdzinājumā ar iepriekš minēto samazināšanas ceļu. Tādējādi reklāmdevējs atsauc D. 229-106. pantā minēto apgalvojumu, ja izrādās, ka vienības emisijas, kas saistītas ar produktu vai pakalpojumu, pirms kompensācijas ir palielinājušās divus gadus pēc kārtas.</w:t>
      </w:r>
      <w:r>
        <w:rPr>
          <w:rFonts w:ascii="Times New Roman" w:hAnsi="Times New Roman"/>
          <w:sz w:val="24"/>
        </w:rPr>
        <w:br/>
        <w:t xml:space="preserve">Tīmekļa saite vai ātrās atbildes kods (QR kods), lai piekļūtu šai publikācijai, ir norādīts uz reklāmas vai iepakojuma ar norādi par oglekļa neitralitāti. </w:t>
      </w:r>
    </w:p>
    <w:p w14:paraId="2F9F9B72" w14:textId="70805DFC"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E7611" w:rsidRPr="00BE7611">
        <w:rPr>
          <w:rFonts w:ascii="Times New Roman" w:hAnsi="Times New Roman"/>
          <w:sz w:val="24"/>
        </w:rPr>
        <w:t>“</w:t>
      </w:r>
      <w:r>
        <w:rPr>
          <w:rFonts w:ascii="Times New Roman" w:hAnsi="Times New Roman"/>
          <w:sz w:val="24"/>
        </w:rPr>
        <w:t>D. 229-109. pants. - Emisiju samazinājumi un uztveršana, kas izriet no kompensācijas projektiem, kurus izmanto D. 229.-106. pantā minētais reklāmdevējs, atbilst L. 229-55. pantā un tā īstenošanas dokumentos noteiktajiem principiem.</w:t>
      </w:r>
      <w:r>
        <w:rPr>
          <w:rFonts w:ascii="Times New Roman" w:hAnsi="Times New Roman"/>
          <w:sz w:val="24"/>
        </w:rPr>
        <w:br/>
        <w:t xml:space="preserve">Kompensācijas projekti nedrīkst kaitēt dabisko ekosistēmu un to funkcionalitātes saglabāšanai un atjaunošanai. </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Emisiju samazinājumus, kas atzīti ar 2018. gada 28. novembra Dekrētu Nr. 2018-1043, ar ko izveido marķējumu “Bas Carbone” (zems oglekļa saturs), uzskata par atbilstošiem abiem iepriekšējiem punktiem.</w:t>
      </w:r>
      <w:r>
        <w:rPr>
          <w:rFonts w:ascii="Times New Roman" w:hAnsi="Times New Roman"/>
          <w:sz w:val="24"/>
        </w:rPr>
        <w:br/>
      </w:r>
      <w:r w:rsidR="00BE7611" w:rsidRPr="00BE7611">
        <w:rPr>
          <w:rFonts w:ascii="Times New Roman" w:hAnsi="Times New Roman"/>
          <w:sz w:val="24"/>
        </w:rPr>
        <w:t>“</w:t>
      </w:r>
      <w:r>
        <w:rPr>
          <w:rFonts w:ascii="Times New Roman" w:hAnsi="Times New Roman"/>
          <w:sz w:val="24"/>
        </w:rPr>
        <w:t>Reklāmdevēji var pievienot vārdus “Kompensācija, kas veikta Francijā” vai jebkuru norādi ar līdzvērtīgu nozīmi vai darbības jomu tikai tad, ja visi kompensācijas projekti tiek īstenoti Francijā.”</w:t>
      </w:r>
    </w:p>
    <w:p w14:paraId="191B25C1"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pants.</w:t>
      </w:r>
    </w:p>
    <w:p w14:paraId="41841F93"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Šis dekrēts stājas spēkā 2023. gada 1. janvārī.</w:t>
      </w:r>
      <w:r>
        <w:rPr>
          <w:rFonts w:ascii="Times New Roman" w:hAnsi="Times New Roman"/>
          <w:sz w:val="24"/>
        </w:rPr>
        <w:br/>
        <w:t>Līdz 2025. gada 31. decembrim projektu finansēšana ES dalībvalstīs ir līdzvērtīga kvotu piešķiršanai reklāmdevējam par emisiju samazināšanu un uztveršanu saskaņā ar D. 229-109. panta prasībām, ja reklāmdevējs ar līgumu var pamatot šī projekta pārbaudīto un apstiprināto emisiju samazināšanas priekšrocību atzīšanu. Reklāmdevējs nodrošina savu emisiju izlīdzināšanas saistību izpildi, attiecīgā gadījumā iegūstot papildu oglekļa kredītus, kas atbilst starpībai starp pārbaudītajiem un apstiprinātajiem projekta un finansētajiem emisiju samazinājumiem.</w:t>
      </w:r>
    </w:p>
    <w:p w14:paraId="04BC28AB"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pants.</w:t>
      </w:r>
    </w:p>
    <w:p w14:paraId="4170C89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Francijas ekoloģiskās pārejas ministrs ir atbildīgs par šā dekrēta, kas tiks publicēts Francijas Republikas Oficiālajā Vēstnesī, īstenošanu.</w:t>
      </w:r>
    </w:p>
    <w:p w14:paraId="1ECB2F1B"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Izdots 2022. gada 13. aprīlī.</w:t>
      </w:r>
    </w:p>
    <w:p w14:paraId="73DADCC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Premjerministrs:</w:t>
      </w:r>
    </w:p>
    <w:p w14:paraId="2E547A16" w14:textId="2BEDFD63"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ekoloģiskās pārejas ministre</w:t>
      </w:r>
      <w:r>
        <w:rPr>
          <w:rFonts w:ascii="Times New Roman" w:hAnsi="Times New Roman"/>
          <w:sz w:val="24"/>
        </w:rPr>
        <w:br/>
        <w:t xml:space="preserve">Barbara </w:t>
      </w:r>
      <w:r w:rsidR="00117B2F">
        <w:rPr>
          <w:rFonts w:ascii="Times New Roman" w:hAnsi="Times New Roman"/>
          <w:sz w:val="24"/>
        </w:rPr>
        <w:t>Pompili</w:t>
      </w:r>
    </w:p>
    <w:p w14:paraId="79DC7608"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17B2F"/>
    <w:rsid w:val="001A38BC"/>
    <w:rsid w:val="002A3E9F"/>
    <w:rsid w:val="00BE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35A2"/>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1267</Words>
  <Characters>7225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2022-08-01T12:56:00Z</dcterms:created>
  <dcterms:modified xsi:type="dcterms:W3CDTF">2022-08-02T15:13:00Z</dcterms:modified>
</cp:coreProperties>
</file>