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C20" w14:textId="77777777" w:rsidR="00674977" w:rsidRPr="00674977" w:rsidRDefault="00E0099A" w:rsidP="00674977">
      <w:pPr>
        <w:pStyle w:val="Nvrh"/>
        <w:jc w:val="right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                                    </w:t>
      </w:r>
    </w:p>
    <w:p w14:paraId="577156AC" w14:textId="656991C7" w:rsidR="002818CB" w:rsidRPr="00E86B8F" w:rsidRDefault="002818CB" w:rsidP="004B3B3E">
      <w:pPr>
        <w:pStyle w:val="Nvrh"/>
        <w:jc w:val="both"/>
        <w:rPr>
          <w:rFonts w:ascii="Arial" w:hAnsi="Arial" w:cs="Arial"/>
          <w:sz w:val="22"/>
          <w:szCs w:val="22"/>
        </w:rPr>
      </w:pPr>
    </w:p>
    <w:p w14:paraId="3216F687" w14:textId="77777777" w:rsidR="002818CB" w:rsidRPr="000A4D02" w:rsidRDefault="002818CB" w:rsidP="002818CB">
      <w:pPr>
        <w:pStyle w:val="VYHLKA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DECRETO</w:t>
      </w:r>
    </w:p>
    <w:p w14:paraId="35FC5E0E" w14:textId="40415744" w:rsidR="002818CB" w:rsidRPr="000A4D02" w:rsidRDefault="002818CB" w:rsidP="002818CB">
      <w:pPr>
        <w:pStyle w:val="nadpisvyhlky"/>
        <w:rPr>
          <w:b w:val="0"/>
          <w:sz w:val="22"/>
          <w:szCs w:val="22"/>
          <w:rFonts w:ascii="Arial" w:hAnsi="Arial" w:cs="Arial"/>
        </w:rPr>
      </w:pPr>
      <w:r>
        <w:rPr>
          <w:b w:val="0"/>
          <w:sz w:val="22"/>
          <w:rFonts w:ascii="Arial" w:hAnsi="Arial"/>
        </w:rPr>
        <w:t xml:space="preserve">de.........</w:t>
      </w:r>
    </w:p>
    <w:p w14:paraId="2DB0FDBA" w14:textId="77777777" w:rsidR="002818CB" w:rsidRPr="000A4D02" w:rsidRDefault="002818CB" w:rsidP="002818CB">
      <w:pPr>
        <w:pStyle w:val="nadpisvyhlky"/>
        <w:rPr>
          <w:color w:val="FF0000"/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sobre bolsas de nicotina sem tabaco</w:t>
      </w:r>
      <w:r>
        <w:rPr>
          <w:sz w:val="22"/>
          <w:rFonts w:ascii="Arial" w:hAnsi="Arial"/>
        </w:rPr>
        <w:t xml:space="preserve"> </w:t>
      </w:r>
    </w:p>
    <w:p w14:paraId="7A029CB6" w14:textId="77777777" w:rsidR="002818CB" w:rsidRPr="000A4D02" w:rsidRDefault="002818CB" w:rsidP="002818CB">
      <w:pPr>
        <w:pStyle w:val="Ministerstv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Nos termos do artigo 19.º, n.º 4, da Lei n.º 110/1997 Col., relativa aos géneros alimentícios e produtos do tabaco e às alterações a determinados atos conexos, com a redação que lhe foi dada pela Lei n.º 174/2021 Col. (a seguir «Lei»), o Ministério da Saúde estabelece o seguinte:</w:t>
      </w:r>
    </w:p>
    <w:p w14:paraId="5142F1A5" w14:textId="77777777" w:rsidR="002818CB" w:rsidRPr="000A4D02" w:rsidRDefault="002818CB" w:rsidP="002818CB">
      <w:pPr>
        <w:keepNext/>
        <w:keepLines/>
        <w:spacing w:after="200"/>
        <w:jc w:val="center"/>
        <w:outlineLvl w:val="5"/>
        <w:rPr>
          <w:szCs w:val="22"/>
          <w:rFonts w:cs="Arial"/>
        </w:rPr>
      </w:pPr>
      <w:r>
        <w:t xml:space="preserve">Secção </w:t>
      </w:r>
      <w:r w:rsidRPr="000A4D02">
        <w:rPr>
          <w:color w:val="2B579A"/>
          <w:shd w:val="clear" w:color="auto" w:fill="E6E6E6"/>
          <w:rFonts w:cs="Arial"/>
        </w:rPr>
        <w:fldChar w:fldCharType="begin" w:dirty="true"/>
      </w:r>
      <w:r w:rsidRPr="000A4D02">
        <w:rPr>
          <w:rFonts w:cs="Arial"/>
        </w:rPr>
        <w:instrText xml:space="preserve"> SEQ § \* ARABIC </w:instrText>
      </w:r>
      <w:r w:rsidRPr="000A4D02">
        <w:rPr>
          <w:color w:val="2B579A"/>
          <w:shd w:val="clear" w:color="auto" w:fill="E6E6E6"/>
          <w:rFonts w:cs="Arial"/>
        </w:rPr>
        <w:fldChar w:fldCharType="separate"/>
      </w:r>
      <w:r w:rsidR="001E421B">
        <w:rPr>
          <w:rFonts w:cs="Arial"/>
        </w:rPr>
        <w:t>1</w:t>
      </w:r>
      <w:r w:rsidRPr="000A4D02">
        <w:rPr>
          <w:color w:val="2B579A"/>
          <w:shd w:val="clear" w:color="auto" w:fill="E6E6E6"/>
          <w:rFonts w:cs="Arial"/>
        </w:rPr>
        <w:fldChar w:fldCharType="end"/>
      </w:r>
    </w:p>
    <w:p w14:paraId="103D26C7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  <w:rFonts w:cs="Arial"/>
        </w:rPr>
      </w:pPr>
      <w:r>
        <w:rPr>
          <w:b/>
        </w:rPr>
        <w:t xml:space="preserve">Objeto</w:t>
      </w:r>
    </w:p>
    <w:p w14:paraId="15055FFC" w14:textId="77777777" w:rsidR="002818CB" w:rsidRPr="000A4D02" w:rsidRDefault="002818CB" w:rsidP="002818CB">
      <w:pPr>
        <w:spacing w:before="240"/>
        <w:ind w:firstLine="425"/>
        <w:outlineLvl w:val="5"/>
        <w:rPr>
          <w:szCs w:val="22"/>
          <w:rFonts w:cs="Arial"/>
        </w:rPr>
      </w:pPr>
      <w:r>
        <w:t xml:space="preserve">O presente decreto regulamenta</w:t>
      </w:r>
      <w:r>
        <w:t xml:space="preserve"> </w:t>
      </w:r>
    </w:p>
    <w:p w14:paraId="0A400929" w14:textId="1FACD743" w:rsidR="002818CB" w:rsidRPr="000A4D02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as exigências relativas à composição, aparência, qualidade e características das bolsas de nicotina isentas de tabaco (a seguir «bolsa de nicotina»);</w:t>
      </w:r>
    </w:p>
    <w:p w14:paraId="55AC2FBA" w14:textId="611E962B" w:rsidR="002818CB" w:rsidRPr="002A2897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rotulagem das bolsas de nicotina, incluindo os elementos e características proibidos;</w:t>
      </w:r>
      <w:r>
        <w:t xml:space="preserve"> </w:t>
      </w:r>
      <w:r>
        <w:t xml:space="preserve">e</w:t>
      </w:r>
    </w:p>
    <w:p w14:paraId="49AFD780" w14:textId="77777777" w:rsidR="004B23FB" w:rsidRDefault="002818CB" w:rsidP="0065366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szCs w:val="22"/>
          <w:rFonts w:cs="Arial"/>
        </w:rPr>
      </w:pPr>
      <w:r>
        <w:t xml:space="preserve">o método, os prazos e o âmbito da obrigação de notificação para os fabricantes e importadores de bolsas de nicotina.</w:t>
      </w:r>
    </w:p>
    <w:p w14:paraId="79EB16AC" w14:textId="77777777" w:rsidR="0065366F" w:rsidRPr="0065366F" w:rsidRDefault="0065366F" w:rsidP="0065366F">
      <w:pPr>
        <w:keepNext/>
        <w:keepLines/>
        <w:spacing w:after="200"/>
        <w:outlineLvl w:val="4"/>
        <w:rPr>
          <w:szCs w:val="22"/>
        </w:rPr>
      </w:pPr>
    </w:p>
    <w:p w14:paraId="2646743E" w14:textId="244490DE" w:rsidR="4A77F215" w:rsidRDefault="4A77F215" w:rsidP="37434F36">
      <w:pPr>
        <w:keepNext/>
        <w:spacing w:after="200"/>
        <w:jc w:val="center"/>
        <w:outlineLvl w:val="4"/>
      </w:pPr>
      <w:r>
        <w:t xml:space="preserve">Secção 2</w:t>
      </w:r>
    </w:p>
    <w:p w14:paraId="6CF79FBC" w14:textId="77777777" w:rsidR="004B23FB" w:rsidRDefault="004B23FB" w:rsidP="002818CB">
      <w:pPr>
        <w:keepNext/>
        <w:keepLines/>
        <w:spacing w:after="200"/>
        <w:jc w:val="center"/>
        <w:outlineLvl w:val="4"/>
        <w:rPr>
          <w:b/>
          <w:bCs/>
          <w:szCs w:val="22"/>
        </w:rPr>
      </w:pPr>
      <w:r>
        <w:rPr>
          <w:b/>
        </w:rPr>
        <w:t xml:space="preserve">Requisitos de qualidade e composição de bolsas de nicotina</w:t>
      </w:r>
      <w:r>
        <w:rPr>
          <w:b/>
        </w:rPr>
        <w:t xml:space="preserve"> </w:t>
      </w:r>
    </w:p>
    <w:p w14:paraId="72B7D1E6" w14:textId="77777777" w:rsidR="00DA015B" w:rsidRPr="00DA015B" w:rsidRDefault="00DA015B" w:rsidP="00DA015B">
      <w:pPr>
        <w:keepNext/>
        <w:keepLines/>
        <w:spacing w:after="200"/>
        <w:outlineLvl w:val="4"/>
        <w:rPr>
          <w:szCs w:val="22"/>
        </w:rPr>
      </w:pPr>
      <w:r>
        <w:t xml:space="preserve">(1)</w:t>
      </w:r>
      <w:r>
        <w:t xml:space="preserve"> </w:t>
      </w:r>
      <w:r>
        <w:t xml:space="preserve">As bolsas de nicotina só podem conter nicotina ou sal de nicotina e substâncias que, na forma oral, cutânea ou por inalação, não representam um risco para a saúde humana na concentração utilizada, quando utilizadas de acordo com as instruções de utilização.</w:t>
      </w:r>
      <w:r>
        <w:t xml:space="preserve"> </w:t>
      </w:r>
    </w:p>
    <w:p w14:paraId="10FC6642" w14:textId="73BC7B4D" w:rsidR="002818CB" w:rsidRPr="004B23FB" w:rsidRDefault="002818CB" w:rsidP="0A8B8956">
      <w:pPr>
        <w:tabs>
          <w:tab w:val="left" w:pos="567"/>
        </w:tabs>
        <w:spacing w:before="120"/>
        <w:outlineLvl w:val="6"/>
      </w:pPr>
      <w:bookmarkStart w:id="0" w:name="_Hlk116284105"/>
      <w:r>
        <w:t xml:space="preserve">(2)</w:t>
      </w:r>
      <w:r>
        <w:t xml:space="preserve"> </w:t>
      </w:r>
      <w:r>
        <w:t xml:space="preserve">Apenas os aditivos enumerados no anexo II, parte B, do Regulamento (CE) n.º 1333/2008 do Parlamento Europeu e do Conselho, de 16 de dezembro de 2008, relativo aos aditivos alimentares, tal como alterado, podem ser utilizados como aditivos em bolsas de nicotina.</w:t>
      </w:r>
      <w:r>
        <w:t xml:space="preserve">  </w:t>
      </w:r>
      <w:bookmarkStart w:id="1" w:name="_Hlk121297090"/>
      <w:r>
        <w:t xml:space="preserve">Os ingredientes que não constem da lista nos termos do n.º 2 do artigo 5.º só podem ser contidos em bolsas de nicotina em quantidades vestigiais se for tecnicamente impossível evitar a presença desses vestígios durante o fabrico de bolsas de nicotina.</w:t>
      </w:r>
      <w:bookmarkEnd w:id="0"/>
      <w:bookmarkEnd w:id="1"/>
      <w:r>
        <w:t xml:space="preserve">  </w:t>
      </w:r>
    </w:p>
    <w:p w14:paraId="3DEBB5A3" w14:textId="62616507" w:rsidR="002818CB" w:rsidRPr="004B23FB" w:rsidRDefault="002818CB" w:rsidP="002818CB">
      <w:pPr>
        <w:tabs>
          <w:tab w:val="left" w:pos="426"/>
          <w:tab w:val="left" w:pos="567"/>
        </w:tabs>
        <w:spacing w:before="120"/>
        <w:ind w:firstLine="142"/>
        <w:outlineLvl w:val="6"/>
        <w:rPr>
          <w:szCs w:val="22"/>
        </w:rPr>
      </w:pPr>
      <w:r>
        <w:t xml:space="preserve">(3)</w:t>
      </w:r>
      <w:r>
        <w:t xml:space="preserve"> </w:t>
      </w:r>
      <w:r>
        <w:t xml:space="preserve">Não devem ser adicionados às bolsas de nicotina como substâncias separadas:</w:t>
      </w:r>
      <w:r>
        <w:t xml:space="preserve">  </w:t>
      </w:r>
    </w:p>
    <w:p w14:paraId="16A408E2" w14:textId="77777777" w:rsidR="002818CB" w:rsidRPr="004B23FB" w:rsidRDefault="002818CB" w:rsidP="00E33088">
      <w:pPr>
        <w:spacing w:after="60"/>
        <w:ind w:left="284"/>
        <w:outlineLvl w:val="8"/>
        <w:rPr>
          <w:szCs w:val="22"/>
        </w:rPr>
      </w:pPr>
      <w:r>
        <w:t xml:space="preserve">a) vitaminas</w:t>
      </w:r>
      <w:r w:rsidR="008573B0" w:rsidRPr="00D1692B">
        <w:rPr>
          <w:rStyle w:val="Znakapoznpodarou"/>
          <w:szCs w:val="22"/>
        </w:rPr>
        <w:footnoteReference w:id="1"/>
      </w:r>
      <w:r>
        <w:rPr>
          <w:vertAlign w:val="superscript"/>
        </w:rPr>
        <w:t xml:space="preserve">)</w:t>
      </w:r>
      <w:r>
        <w:t xml:space="preserve">, minerais</w:t>
      </w:r>
      <w:r>
        <w:rPr>
          <w:vertAlign w:val="superscript"/>
        </w:rPr>
        <w:t xml:space="preserve">1)</w:t>
      </w:r>
      <w:r>
        <w:t xml:space="preserve">, ou outros ingredientes que dão a impressão de que são benéficos para a saúde ou apresentam um risco reduzido para a saúde;</w:t>
      </w:r>
    </w:p>
    <w:p w14:paraId="2DF57156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b) substâncias de dependência</w:t>
      </w:r>
      <w:r w:rsidR="00CA5379" w:rsidRPr="00C573D2">
        <w:rPr>
          <w:rStyle w:val="Znakapoznpodarou"/>
          <w:szCs w:val="22"/>
        </w:rPr>
        <w:footnoteReference w:id="2"/>
      </w:r>
      <w:r>
        <w:rPr>
          <w:vertAlign w:val="superscript"/>
        </w:rPr>
        <w:t xml:space="preserve">)</w:t>
      </w:r>
      <w:r>
        <w:t xml:space="preserve"> com exceção dos sais de nicotina e nicotina;</w:t>
      </w:r>
    </w:p>
    <w:p w14:paraId="3C09C2AA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c) cafeína, taurina ou outros estimulantes associados à energia e vitalidade;</w:t>
      </w:r>
    </w:p>
    <w:p w14:paraId="5D7DC61A" w14:textId="77777777" w:rsidR="002818CB" w:rsidRPr="004B23FB" w:rsidRDefault="008573B0" w:rsidP="00E33088">
      <w:pPr>
        <w:spacing w:after="60"/>
        <w:ind w:left="284"/>
        <w:outlineLvl w:val="8"/>
        <w:rPr>
          <w:szCs w:val="22"/>
        </w:rPr>
      </w:pPr>
      <w:r>
        <w:t xml:space="preserve">d) ingredientes com propriedades cancerígenas, mutagénicas ou tóxicas para a reprodução, com exceção dos sais de nicotina e nicotina;</w:t>
      </w:r>
      <w:r>
        <w:t xml:space="preserve"> </w:t>
      </w:r>
      <w:r>
        <w:t xml:space="preserve">e</w:t>
      </w:r>
    </w:p>
    <w:p w14:paraId="3D25C530" w14:textId="77777777" w:rsidR="002818CB" w:rsidRPr="004B23FB" w:rsidRDefault="008573B0" w:rsidP="002818CB">
      <w:pPr>
        <w:tabs>
          <w:tab w:val="left" w:pos="709"/>
        </w:tabs>
        <w:spacing w:after="200"/>
        <w:ind w:left="709" w:hanging="425"/>
        <w:outlineLvl w:val="8"/>
        <w:rPr>
          <w:szCs w:val="22"/>
        </w:rPr>
      </w:pPr>
      <w:r>
        <w:t xml:space="preserve">e) substâncias enumeradas no anexo 1 do presente decreto.</w:t>
      </w:r>
      <w:r>
        <w:t xml:space="preserve"> </w:t>
      </w:r>
    </w:p>
    <w:p w14:paraId="6D0A91EF" w14:textId="6018FA44" w:rsidR="004B23FB" w:rsidRDefault="004B23FB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(4)</w:t>
      </w:r>
      <w:r>
        <w:t xml:space="preserve"> </w:t>
      </w:r>
      <w:r>
        <w:t xml:space="preserve">Uma embalagem individual não deve conter mais de 240 mg de nicotina e deve conter, pelo menos, 20 doses de bolsa de nicotina.</w:t>
      </w:r>
      <w:r>
        <w:t xml:space="preserve">  </w:t>
      </w:r>
      <w:r>
        <w:t xml:space="preserve">Nos termos do artigo 12.º-K, n.º 2, alínea c), da lei, o teor total de nicotina do produto deve ser indicado em miligramas.</w:t>
      </w:r>
      <w:r>
        <w:t xml:space="preserve"> </w:t>
      </w:r>
    </w:p>
    <w:p w14:paraId="498D7350" w14:textId="77777777" w:rsidR="00CF18E4" w:rsidRDefault="00CF18E4" w:rsidP="00F073A0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592E2FC8" w14:textId="3216084C" w:rsidR="00AF277F" w:rsidRDefault="00CF18E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(5)</w:t>
      </w:r>
      <w:r>
        <w:t xml:space="preserve">  </w:t>
      </w:r>
      <w:r>
        <w:t xml:space="preserve">Uma dose de bolsa de nicotina pode conter um máximo de 12 mg de nicotina.</w:t>
      </w:r>
      <w:r>
        <w:t xml:space="preserve"> </w:t>
      </w:r>
    </w:p>
    <w:p w14:paraId="12491737" w14:textId="77777777" w:rsidR="00161C74" w:rsidRPr="005F74CD" w:rsidRDefault="00161C7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7F5A9269" w14:textId="54E65457" w:rsidR="00AF277F" w:rsidRDefault="0E7F4BA9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(6)</w:t>
      </w:r>
      <w:r>
        <w:t xml:space="preserve"> </w:t>
      </w:r>
      <w:r>
        <w:t xml:space="preserve">Uma dose de bolsa de nicotina, nos termos do artigo 12.º-K, n.º 2, alínea d), da lei, consiste em:</w:t>
      </w:r>
      <w:r>
        <w:t xml:space="preserve"> </w:t>
      </w:r>
    </w:p>
    <w:p w14:paraId="191B7F03" w14:textId="4662BC80" w:rsidR="00AF277F" w:rsidRPr="006233C2" w:rsidRDefault="778C34B6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a) uma bolsa de nicotina embalada individualmente contida numa embalagem individual que não representa um risco grave</w:t>
      </w:r>
      <w:r w:rsidR="00CF18E4" w:rsidRPr="006233C2">
        <w:rPr>
          <w:rStyle w:val="Znakapoznpodarou"/>
        </w:rPr>
        <w:footnoteReference w:id="3"/>
      </w:r>
      <w:r>
        <w:rPr>
          <w:vertAlign w:val="superscript"/>
        </w:rPr>
        <w:t xml:space="preserve">)</w:t>
      </w:r>
      <w:r>
        <w:t xml:space="preserve"> para a saúde humana;</w:t>
      </w:r>
      <w:r>
        <w:t xml:space="preserve"> </w:t>
      </w:r>
      <w:r>
        <w:t xml:space="preserve">e</w:t>
      </w:r>
    </w:p>
    <w:p w14:paraId="31A0356F" w14:textId="4948D6A7" w:rsidR="00AF277F" w:rsidRPr="006233C2" w:rsidRDefault="38BF9E19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b) embalagens comestíveis ou não comestíveis seguras para a saúde humana, em conformidade com os requisitos do artigo 3.º, n.º 1, do Regulamento (CE) n.º 1935/2004 do Parlamento Europeu e do Conselho, de 27 de outubro de 2004, relativo aos materiais e objetos destinados a entrar em contacto com os alimentos e que revoga as Diretivas 80/590/CEE e 89/109/CEE, e com os requisitos do artigo 4.º, alíneas a) e e), da parte relativa aos requisitos de composição do Regulamento (UE) n.º 10/2011 da Comissão, de 14 de janeiro de 2011, relativo aos materiais e objetos de matéria plástica destinados a entrar em contacto com os alimentos e os requisitos do artigo 3.º, n.º 1, do Decreto n.º 38/2001 Coll. relativo aos requisitos de higiene aplicáveis aos produtos destinados a entrar em contacto com os alimentos e as refeições, conforme alterado;</w:t>
      </w:r>
      <w:r>
        <w:t xml:space="preserve"> </w:t>
      </w:r>
      <w:r>
        <w:t xml:space="preserve">e</w:t>
      </w:r>
    </w:p>
    <w:p w14:paraId="528D96B5" w14:textId="6F547ACA" w:rsidR="00AF277F" w:rsidRDefault="32C614C4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highlight w:val="yellow"/>
        </w:rPr>
      </w:pPr>
      <w:r>
        <w:t xml:space="preserve">c) uma mistura química fechada contendo nicotina ou sal de nicotina em conformidade com a legislação pertinente da União Europeia</w:t>
      </w:r>
      <w:r w:rsidR="00CF18E4" w:rsidRPr="006233C2">
        <w:rPr>
          <w:rStyle w:val="Znakapoznpodarou"/>
        </w:rPr>
        <w:footnoteReference w:id="4"/>
      </w:r>
      <w:r>
        <w:rPr>
          <w:vertAlign w:val="superscript"/>
        </w:rPr>
        <w:t xml:space="preserve">)</w:t>
      </w:r>
      <w:r>
        <w:t xml:space="preserve">.</w:t>
      </w:r>
    </w:p>
    <w:p w14:paraId="67E8A9A6" w14:textId="77777777" w:rsidR="000C2050" w:rsidRDefault="000C2050" w:rsidP="00AD4BC5">
      <w:pPr>
        <w:tabs>
          <w:tab w:val="left" w:pos="709"/>
        </w:tabs>
        <w:spacing w:after="200"/>
        <w:outlineLvl w:val="8"/>
      </w:pPr>
    </w:p>
    <w:p w14:paraId="2C8A5CBE" w14:textId="587725BD" w:rsid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</w:pPr>
      <w:r>
        <w:t xml:space="preserve">Secção 3</w:t>
      </w:r>
    </w:p>
    <w:p w14:paraId="5314B5A5" w14:textId="77777777" w:rsidR="004B23FB" w:rsidRP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  <w:rPr>
          <w:b/>
          <w:bCs/>
          <w:color w:val="auto"/>
          <w:szCs w:val="22"/>
        </w:rPr>
      </w:pPr>
      <w:r>
        <w:rPr>
          <w:b/>
          <w:color w:val="auto"/>
        </w:rPr>
        <w:t xml:space="preserve">Aparência e propriedades das bolsas de nicotina</w:t>
      </w:r>
      <w:r>
        <w:rPr>
          <w:b/>
          <w:color w:val="auto"/>
        </w:rPr>
        <w:t xml:space="preserve"> </w:t>
      </w:r>
    </w:p>
    <w:p w14:paraId="5C8965DD" w14:textId="7323FD1E" w:rsidR="00942728" w:rsidRDefault="002818CB" w:rsidP="0A8B8956">
      <w:pPr>
        <w:numPr>
          <w:ilvl w:val="3"/>
          <w:numId w:val="5"/>
        </w:numPr>
        <w:tabs>
          <w:tab w:val="clear" w:pos="1440"/>
          <w:tab w:val="left" w:pos="426"/>
        </w:tabs>
        <w:spacing w:after="200"/>
        <w:ind w:left="0" w:firstLine="0"/>
        <w:outlineLvl w:val="8"/>
      </w:pPr>
      <w:r>
        <w:t xml:space="preserve">A própria embalagem individual e qualquer embalagem exterior da bolsa de nicotina não devem assemelhar-se a géneros alimentícios, a um produto cosmético ou a um brinquedo segundo a sua forma, tamanho, cor, desenho, autocolante ou descrição.</w:t>
      </w:r>
      <w:r>
        <w:t xml:space="preserve"> </w:t>
      </w:r>
      <w:r>
        <w:t xml:space="preserve">A embalagem exterior da bolsa de nicotina é a embalagem em que as bolsas de nicotina são colocadas no mercado e que contém uma embalagem individual ou um conjunto de embalagens individuais;</w:t>
      </w:r>
      <w:r>
        <w:t xml:space="preserve">  </w:t>
      </w:r>
      <w:r>
        <w:t xml:space="preserve">as embalagens transparentes não são consideradas embalagens exteriores.</w:t>
      </w:r>
      <w:r>
        <w:t xml:space="preserve">  </w:t>
      </w:r>
    </w:p>
    <w:p w14:paraId="1E15B0D8" w14:textId="6EC2B344" w:rsidR="00CF18E4" w:rsidRDefault="00CF18E4" w:rsidP="0085060D">
      <w:pPr>
        <w:tabs>
          <w:tab w:val="left" w:pos="0"/>
          <w:tab w:val="left" w:pos="567"/>
        </w:tabs>
        <w:spacing w:after="200"/>
        <w:outlineLvl w:val="8"/>
        <w:rPr>
          <w:szCs w:val="22"/>
        </w:rPr>
      </w:pPr>
      <w:r>
        <w:t xml:space="preserve">(2)</w:t>
      </w:r>
      <w:r>
        <w:t xml:space="preserve"> </w:t>
      </w:r>
      <w:r>
        <w:t xml:space="preserve">A embalagem individual de uma bolsa de nicotina, ou seja, a embalagem individual mais pequena colocada no mercado, deve ser protegida contra qualquer manipulação indesejada que comprometa, nomeadamente, a integridade do produto e seja contrária à finalidade a que se destinam as bolsas de nicotina, nomeadamente contra o manuseamento de embalagens individuais por crianças.</w:t>
      </w:r>
      <w:r>
        <w:t xml:space="preserve"> </w:t>
      </w:r>
    </w:p>
    <w:p w14:paraId="412E14FA" w14:textId="20F7D572" w:rsidR="00B2014F" w:rsidRPr="004B23FB" w:rsidRDefault="004B23FB" w:rsidP="002818CB">
      <w:pPr>
        <w:keepNext/>
        <w:keepLines/>
        <w:spacing w:before="240" w:after="200"/>
        <w:jc w:val="center"/>
        <w:outlineLvl w:val="5"/>
      </w:pPr>
      <w:r>
        <w:t xml:space="preserve">Secção 4</w:t>
      </w:r>
    </w:p>
    <w:p w14:paraId="1FE791BD" w14:textId="77777777" w:rsidR="002818CB" w:rsidRPr="00F435B9" w:rsidRDefault="002818CB" w:rsidP="00F435B9">
      <w:pPr>
        <w:keepNext/>
        <w:keepLines/>
        <w:spacing w:before="240" w:after="200"/>
        <w:jc w:val="center"/>
        <w:outlineLvl w:val="5"/>
        <w:rPr>
          <w:szCs w:val="22"/>
        </w:rPr>
      </w:pPr>
      <w:r>
        <w:rPr>
          <w:b/>
        </w:rPr>
        <w:t xml:space="preserve">Rotulagem das embalagens individuais e da embalagem exterior</w:t>
      </w:r>
    </w:p>
    <w:p w14:paraId="11CECE1D" w14:textId="77777777" w:rsidR="002818CB" w:rsidRPr="000A4D02" w:rsidRDefault="002818CB" w:rsidP="00567800">
      <w:pPr>
        <w:numPr>
          <w:ilvl w:val="0"/>
          <w:numId w:val="7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120" w:after="60"/>
        <w:ind w:firstLine="142"/>
        <w:textAlignment w:val="baseline"/>
        <w:outlineLvl w:val="6"/>
        <w:rPr>
          <w:szCs w:val="22"/>
        </w:rPr>
      </w:pPr>
      <w:r>
        <w:t xml:space="preserve">Informações nos termos do artigo 12.º-K, n.º 2, da Lei</w:t>
      </w:r>
      <w:r>
        <w:t xml:space="preserve"> </w:t>
      </w:r>
    </w:p>
    <w:p w14:paraId="45C5E8D4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são impressas de forma indelével;</w:t>
      </w:r>
    </w:p>
    <w:p w14:paraId="5481F2FE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são visíveis;</w:t>
      </w:r>
      <w:r>
        <w:t xml:space="preserve"> </w:t>
      </w:r>
      <w:r>
        <w:t xml:space="preserve">e</w:t>
      </w:r>
    </w:p>
    <w:p w14:paraId="1853DC48" w14:textId="77777777" w:rsidR="002818CB" w:rsidRPr="000173C2" w:rsidRDefault="002818CB" w:rsidP="000173C2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200"/>
        <w:ind w:left="709"/>
        <w:jc w:val="left"/>
        <w:textAlignment w:val="baseline"/>
        <w:outlineLvl w:val="7"/>
        <w:rPr>
          <w:szCs w:val="22"/>
        </w:rPr>
      </w:pPr>
      <w:r>
        <w:t xml:space="preserve">não devem ser abrangidas aquando da sua colocação no mercado.</w:t>
      </w:r>
    </w:p>
    <w:p w14:paraId="6436801C" w14:textId="77777777" w:rsidR="004B7BA7" w:rsidRPr="00B2014F" w:rsidRDefault="002818CB" w:rsidP="00B2014F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(2)</w:t>
      </w:r>
      <w:r>
        <w:t xml:space="preserve"> </w:t>
      </w:r>
      <w:r>
        <w:t xml:space="preserve">A embalagem da unidade e da embalagem exterior deve ser marcada com o nome da marca, bem como o nome do subtipo</w:t>
      </w:r>
      <w:r w:rsidR="00876A49">
        <w:rPr>
          <w:rStyle w:val="Znakapoznpodarou"/>
          <w:szCs w:val="22"/>
        </w:rPr>
        <w:footnoteReference w:id="5"/>
      </w:r>
      <w:r>
        <w:rPr>
          <w:vertAlign w:val="superscript"/>
        </w:rPr>
        <w:t xml:space="preserve">)</w:t>
      </w:r>
      <w:r>
        <w:t xml:space="preserve">, se existir para o produto em causa.</w:t>
      </w:r>
      <w:r>
        <w:t xml:space="preserve">  </w:t>
      </w:r>
      <w:r>
        <w:t xml:space="preserve">O nome da marca só pode ocupar uma linha.</w:t>
      </w:r>
      <w:r>
        <w:t xml:space="preserve">  </w:t>
      </w:r>
      <w:r>
        <w:t xml:space="preserve">O nome do subtipo deve ocupar apenas uma linha e deve aparecer diretamente abaixo do nome da marca.</w:t>
      </w:r>
      <w:r>
        <w:t xml:space="preserve">  </w:t>
      </w:r>
      <w:r>
        <w:t xml:space="preserve">O texto inscrito deve constar paralelamente ao texto da advertência de saúde.</w:t>
      </w:r>
      <w:r>
        <w:t xml:space="preserve">  </w:t>
      </w:r>
      <w:r>
        <w:t xml:space="preserve">O nome do subtipo de bolsa de nicotina significa o nome usado para distinguir várias bolsas de nicotina da mesma marca.</w:t>
      </w:r>
      <w:r>
        <w:t xml:space="preserve">  </w:t>
      </w:r>
    </w:p>
    <w:p w14:paraId="19DD96BA" w14:textId="77777777" w:rsidR="004B7BA7" w:rsidRPr="000A4D02" w:rsidRDefault="00695116" w:rsidP="00695116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(3)</w:t>
      </w:r>
      <w:r>
        <w:t xml:space="preserve"> </w:t>
      </w:r>
      <w:r>
        <w:t xml:space="preserve">A embalagem exterior que contenha mais de uma embalagem individual deve ostentar uma vez a menção «bolsa de nicotina isenta de tabaco» e o número de embalagens individuais contidas na embalagem exterior.</w:t>
      </w:r>
      <w:r>
        <w:t xml:space="preserve"> </w:t>
      </w:r>
    </w:p>
    <w:p w14:paraId="64EC2E44" w14:textId="77777777" w:rsidR="002818CB" w:rsidRPr="000A4D02" w:rsidRDefault="002818CB" w:rsidP="002818CB">
      <w:pPr>
        <w:tabs>
          <w:tab w:val="left" w:pos="567"/>
        </w:tabs>
        <w:spacing w:after="60"/>
        <w:ind w:firstLine="142"/>
        <w:outlineLvl w:val="7"/>
        <w:rPr>
          <w:szCs w:val="22"/>
          <w:rFonts w:eastAsia="MS Mincho" w:cs="Arial"/>
        </w:rPr>
      </w:pPr>
      <w:r>
        <w:t xml:space="preserve">(4)</w:t>
      </w:r>
      <w:r>
        <w:t xml:space="preserve"> </w:t>
      </w:r>
      <w:r>
        <w:t xml:space="preserve">A embalagem da embalagem individual e a embalagem exterior de uma bolsa de nicotina ostentam:</w:t>
      </w:r>
      <w:r>
        <w:t xml:space="preserve">  </w:t>
      </w:r>
    </w:p>
    <w:p w14:paraId="53B7D898" w14:textId="6BC554D7" w:rsidR="002818CB" w:rsidRPr="00876A49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o número de identificação do produto ao abrigo do qual o produto é notificado através do Ponto de Acesso Comum eletrónico</w:t>
      </w:r>
      <w:r>
        <w:rPr>
          <w:sz w:val="22"/>
          <w:vertAlign w:val="superscript"/>
          <w:rFonts w:ascii="Arial" w:hAnsi="Arial"/>
        </w:rPr>
        <w:t xml:space="preserve">4)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4EFD1CA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teor de nicotina em mg por dose de bolsa de nicotina;</w:t>
      </w:r>
    </w:p>
    <w:p w14:paraId="5F411FE9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o número de doses de bolsa de nicotina numa embalagem individual;</w:t>
      </w:r>
    </w:p>
    <w:p w14:paraId="6072276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a data de validade;</w:t>
      </w:r>
    </w:p>
    <w:p w14:paraId="165E7AA1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um sinal gráfico juntamente com o texto «Este produto não se destina a pessoas com menos de 18 anos» e as seguintes frases: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«Este produto não se destina a mulheres grávidas.», «Este produto não se destina a mulheres lactantes.» e «Manter fora do alcance das crianças.»;</w:t>
      </w:r>
      <w:r>
        <w:rPr>
          <w:sz w:val="22"/>
          <w:rFonts w:ascii="Arial" w:hAnsi="Arial"/>
        </w:rPr>
        <w:t xml:space="preserve">  </w:t>
      </w:r>
      <w:r>
        <w:rPr>
          <w:sz w:val="22"/>
          <w:rFonts w:ascii="Arial" w:hAnsi="Arial"/>
        </w:rPr>
        <w:t xml:space="preserve">o rótulo gráfico «Este produto não se destina a pessoas com menos de 18 anos» consta do anexo 2 do presente decreto;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</w:t>
      </w:r>
      <w:r>
        <w:rPr>
          <w:sz w:val="22"/>
          <w:rFonts w:ascii="Arial" w:hAnsi="Arial"/>
        </w:rPr>
        <w:t xml:space="preserve"> </w:t>
      </w:r>
    </w:p>
    <w:p w14:paraId="41932EA8" w14:textId="5305C532" w:rsidR="002818CB" w:rsidRPr="00730B4D" w:rsidRDefault="002818CB" w:rsidP="002E2249">
      <w:pPr>
        <w:pStyle w:val="Odstavecseseznamem"/>
        <w:numPr>
          <w:ilvl w:val="0"/>
          <w:numId w:val="9"/>
        </w:numPr>
        <w:spacing w:before="240" w:after="200" w:line="276" w:lineRule="auto"/>
        <w:ind w:left="714" w:hanging="357"/>
        <w:jc w:val="both"/>
        <w:outlineLvl w:val="5"/>
        <w:rPr>
          <w:szCs w:val="22"/>
          <w:rFonts w:cs="Arial"/>
        </w:rPr>
      </w:pPr>
      <w:r>
        <w:rPr>
          <w:sz w:val="22"/>
          <w:rFonts w:ascii="Arial" w:hAnsi="Arial"/>
        </w:rPr>
        <w:t xml:space="preserve">informações previstas no artigo 9.º, n.º 1, alínea c) do Regulamento (UE) n.º 1169/2011 do Parlamento Europeu e do Conselho, de 25 de outubro de 2011, relativo à prestação de informação aos consumidores sobre os géneros alimentícios, que altera os Regulamentos (CE) n.º 1924/2006 e (CE) n.º 1925/2006 do Parlamento Europeu e do Conselho e revoga as Diretivas 87/250/CEE da Comissão, 90/496/CEE do Conselho, 1999/10/CE da Comissão, 2000/13/CE do Parlamento Europeu e do Conselho, 2002/67/CE e 2008/5/CE da Comissão e o Regulamento (CE) n.º 608/2004 da Comissão.</w:t>
      </w:r>
    </w:p>
    <w:p w14:paraId="4671B767" w14:textId="26AA5FF3" w:rsidR="00730B4D" w:rsidRPr="00807A3E" w:rsidRDefault="00730B4D" w:rsidP="77232BB3">
      <w:pPr>
        <w:pStyle w:val="Odstavecseseznamem"/>
        <w:keepNext/>
        <w:keepLines/>
        <w:spacing w:before="240" w:after="200" w:line="276" w:lineRule="auto"/>
        <w:ind w:left="720"/>
        <w:jc w:val="center"/>
        <w:outlineLvl w:val="5"/>
        <w:rPr>
          <w:rFonts w:cs="Arial"/>
        </w:rPr>
      </w:pPr>
      <w:r>
        <w:rPr>
          <w:sz w:val="22"/>
          <w:rFonts w:ascii="Arial" w:hAnsi="Arial"/>
        </w:rPr>
        <w:t xml:space="preserve">Secção 5</w:t>
      </w:r>
    </w:p>
    <w:p w14:paraId="1395B221" w14:textId="1F6ADE11" w:rsidR="00592E6D" w:rsidRPr="00592E6D" w:rsidRDefault="476B43A1" w:rsidP="60B80179">
      <w:pPr>
        <w:tabs>
          <w:tab w:val="left" w:pos="567"/>
        </w:tabs>
        <w:spacing w:after="60"/>
        <w:ind w:firstLine="142"/>
        <w:outlineLvl w:val="7"/>
        <w:rPr>
          <w:rFonts w:cs="Arial"/>
        </w:rPr>
      </w:pPr>
      <w:r>
        <w:t xml:space="preserve">(1)</w:t>
      </w:r>
      <w:r>
        <w:t xml:space="preserve"> </w:t>
      </w:r>
      <w:r>
        <w:t xml:space="preserve">A embalagem da embalagem individual e a embalagem exterior da bolsa de nicotina podem ostentar um código de barras preto sobre um fundo branco.</w:t>
      </w:r>
      <w:r>
        <w:t xml:space="preserve">  </w:t>
      </w:r>
      <w:r>
        <w:t xml:space="preserve">O código de barras não deve representar uma imagem, padrão ou símbolo que se assemelha a qualquer outra coisa que não seja um código de barras.</w:t>
      </w:r>
      <w:r>
        <w:t xml:space="preserve"> </w:t>
      </w:r>
    </w:p>
    <w:p w14:paraId="70DF48F1" w14:textId="11C4E3B0" w:rsidR="002818CB" w:rsidRPr="000A4D02" w:rsidRDefault="476B43A1" w:rsidP="37434F36">
      <w:pPr>
        <w:tabs>
          <w:tab w:val="left" w:pos="567"/>
        </w:tabs>
        <w:spacing w:after="200"/>
        <w:ind w:firstLine="142"/>
        <w:outlineLvl w:val="7"/>
        <w:rPr>
          <w:rFonts w:cs="Arial"/>
        </w:rPr>
      </w:pPr>
      <w:r>
        <w:t xml:space="preserve">(2)</w:t>
      </w:r>
      <w:r>
        <w:t xml:space="preserve"> </w:t>
      </w:r>
      <w:r>
        <w:t xml:space="preserve">Os ingredientes contidos nas bolsas de nicotina devem ser indicados por ordem decrescente em peso.</w:t>
      </w:r>
      <w:r>
        <w:t xml:space="preserve">  </w:t>
      </w:r>
      <w:r>
        <w:t xml:space="preserve">Se um dos ingredientes for sal de nicotina, a quantidade de sal de nicotina contida na dose deve ser indicada em mg.</w:t>
      </w:r>
      <w:r>
        <w:t xml:space="preserve">  </w:t>
      </w:r>
    </w:p>
    <w:p w14:paraId="40FE4527" w14:textId="77777777" w:rsidR="00127ACE" w:rsidRPr="00B2014F" w:rsidRDefault="002818CB" w:rsidP="00B2014F">
      <w:pPr>
        <w:tabs>
          <w:tab w:val="left" w:pos="567"/>
          <w:tab w:val="left" w:pos="851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(3)</w:t>
      </w:r>
      <w:r>
        <w:t xml:space="preserve"> </w:t>
      </w:r>
      <w:r>
        <w:t xml:space="preserve">Por advertência de saúde entende-se uma advertência relativa aos efeitos adversos das bolsas de nicotina na saúde humana.</w:t>
      </w:r>
      <w:r>
        <w:t xml:space="preserve">  </w:t>
      </w:r>
      <w:r>
        <w:t xml:space="preserve">As advertências de saúde em cada embalagem individual e em qualquer embalagem exterior da bolsa de nicotina devem ter a seguinte redação:</w:t>
      </w:r>
      <w:r>
        <w:t xml:space="preserve">  </w:t>
      </w:r>
      <w:r>
        <w:t xml:space="preserve">«Este produto contém nicotina e é altamente viciante.»</w:t>
      </w:r>
      <w:r>
        <w:t xml:space="preserve">  </w:t>
      </w:r>
      <w:r>
        <w:t xml:space="preserve">Nenhum texto adicional pode figurar na embalagem, nos termos da segunda frase, que comente, parafraseie ou faça referência à advertência de saúde de qualquer forma.</w:t>
      </w:r>
      <w:r>
        <w:t xml:space="preserve">  </w:t>
      </w:r>
    </w:p>
    <w:p w14:paraId="75AFCFE4" w14:textId="77777777" w:rsidR="002818CB" w:rsidRPr="000A4D02" w:rsidRDefault="002818CB" w:rsidP="002818CB">
      <w:pPr>
        <w:tabs>
          <w:tab w:val="left" w:pos="567"/>
          <w:tab w:val="left" w:pos="851"/>
        </w:tabs>
        <w:spacing w:after="60"/>
        <w:ind w:firstLine="142"/>
        <w:outlineLvl w:val="6"/>
        <w:rPr>
          <w:szCs w:val="22"/>
        </w:rPr>
      </w:pPr>
      <w:r>
        <w:t xml:space="preserve">(4)</w:t>
      </w:r>
      <w:r>
        <w:t xml:space="preserve"> </w:t>
      </w:r>
      <w:r>
        <w:t xml:space="preserve">A advertência de saúde referida no n.º 3 deve:</w:t>
      </w:r>
      <w:r>
        <w:t xml:space="preserve"> </w:t>
      </w:r>
    </w:p>
    <w:p w14:paraId="74C75F27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ser posicionada paralelamente ao texto principal na área reservada a esta advertência;</w:t>
      </w:r>
    </w:p>
    <w:p w14:paraId="1F9A48CA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ser impressa com tipo de letra Helvética preta e negrito, preservando o espaçamento entre carateres predefinido, que é 100 % e espaços normais, sobre um fundo branco;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o tamanho do ponto do tipo de letra deve ser tal que o texto pertinente cubra, tanto quanto possível, a superfície que lhe é reservada;</w:t>
      </w:r>
      <w:r>
        <w:rPr>
          <w:sz w:val="22"/>
          <w:rFonts w:ascii="Arial" w:hAnsi="Arial"/>
        </w:rPr>
        <w:t xml:space="preserve"> </w:t>
      </w:r>
    </w:p>
    <w:p w14:paraId="7CE73D54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centrar-se na área reservada;</w:t>
      </w:r>
    </w:p>
    <w:p w14:paraId="4E28B873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ser paralela ao bordo lateral da embalagem individual ou da embalagem exterior, no caso de embalagens de forma cuboidal e similar;</w:t>
      </w:r>
      <w:r>
        <w:rPr>
          <w:sz w:val="22"/>
          <w:rFonts w:ascii="Arial" w:hAnsi="Arial"/>
        </w:rPr>
        <w:t xml:space="preserve"> </w:t>
      </w:r>
    </w:p>
    <w:p w14:paraId="0B38F437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cobrir 30 % da área da superfície da embalagem unitária e de qualquer embalagem exterior em que esteja impressa a advertência de saúde;</w:t>
      </w:r>
    </w:p>
    <w:p w14:paraId="22FD8CB1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ser indicados na área juntamente com o nome da marca e o nome do subtipo;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</w:t>
      </w:r>
    </w:p>
    <w:p w14:paraId="740B2A4E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manter-se intacta quando a embalagem unitária for aberta da forma habitual.</w:t>
      </w:r>
    </w:p>
    <w:p w14:paraId="6B62E187" w14:textId="77777777" w:rsidR="002818CB" w:rsidRPr="000A4D02" w:rsidRDefault="002818CB" w:rsidP="002818CB">
      <w:pPr>
        <w:tabs>
          <w:tab w:val="left" w:pos="567"/>
        </w:tabs>
        <w:spacing w:before="120" w:after="60"/>
        <w:ind w:firstLine="142"/>
        <w:outlineLvl w:val="6"/>
        <w:rPr>
          <w:szCs w:val="22"/>
          <w:rFonts w:cs="Arial"/>
        </w:rPr>
      </w:pPr>
      <w:r>
        <w:t xml:space="preserve">(5)</w:t>
      </w:r>
      <w:r>
        <w:t xml:space="preserve"> </w:t>
      </w:r>
      <w:r>
        <w:t xml:space="preserve">A rotulagem da própria embalagem individual e de qualquer embalagem exterior da bolsa de nicotina não deve conter qualquer elemento ou característica que:</w:t>
      </w:r>
      <w:r>
        <w:t xml:space="preserve"> </w:t>
      </w:r>
    </w:p>
    <w:p w14:paraId="4B72E729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promova a bolsa de nicotina ou promova o seu consumo, criando uma falsa impressão das características do produto, dos efeitos para a saúde, dos riscos e das emissões;</w:t>
      </w:r>
    </w:p>
    <w:p w14:paraId="121AF81F" w14:textId="77777777" w:rsidR="002818CB" w:rsidRPr="000A4D02" w:rsidRDefault="002818CB" w:rsidP="006A66EC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sugira que a bolsa de nicotina é menos prejudicial do que outros produtos, tenha efeitos vitalizantes, energizantes, curativos ou rejuvenescedores, ou que as características de um produto agrícola biológico sejam de origem natural, tenham outros benefícios para a saúde ou o estilo de vida;</w:t>
      </w:r>
    </w:p>
    <w:p w14:paraId="2FAD8A24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se assemelhe a um alimento ou produto cosmético ou a um brinquedo;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ou</w:t>
      </w:r>
    </w:p>
    <w:p w14:paraId="2F99487E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sugira que a bolsa de nicotina tenha aumentado a biodegradabilidade ou outros benefícios ambientais.</w:t>
      </w:r>
      <w:r>
        <w:rPr>
          <w:sz w:val="22"/>
          <w:rFonts w:ascii="Arial" w:hAnsi="Arial"/>
        </w:rPr>
        <w:t xml:space="preserve"> </w:t>
      </w:r>
    </w:p>
    <w:p w14:paraId="267ED334" w14:textId="77777777" w:rsidR="000173C2" w:rsidRDefault="002818CB" w:rsidP="002818CB">
      <w:pPr>
        <w:tabs>
          <w:tab w:val="left" w:pos="567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(6)</w:t>
      </w:r>
      <w:r>
        <w:t xml:space="preserve"> </w:t>
      </w:r>
      <w:r>
        <w:t xml:space="preserve">A embalagem individual e qualquer embalagem exterior da bolsa de nicotina não devem</w:t>
      </w:r>
      <w:r>
        <w:t xml:space="preserve"> </w:t>
      </w:r>
    </w:p>
    <w:p w14:paraId="6A794C07" w14:textId="77777777" w:rsidR="000173C2" w:rsidRPr="000173C2" w:rsidRDefault="000173C2" w:rsidP="000173C2">
      <w:pPr>
        <w:pStyle w:val="Odstavecseseznamem"/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a) indicar benefícios financeiros, inclusive através de vouchers impressos, ofertas de desconto, distribuição gratuita, ofertas «dois por um» ou outras ofertas similares;</w:t>
      </w:r>
    </w:p>
    <w:p w14:paraId="4A669616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conter quaisquer elementos associados a substâncias ilegais ou perigosas, promover comportamentos socialmente indesejáveis ou sugerir uma maior possibilidade de êxito social;</w:t>
      </w:r>
      <w:r>
        <w:rPr>
          <w:sz w:val="22"/>
          <w:rFonts w:ascii="Arial" w:hAnsi="Arial"/>
        </w:rPr>
        <w:t xml:space="preserve"> </w:t>
      </w:r>
    </w:p>
    <w:p w14:paraId="5C98B942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c)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conter quaisquer elementos que, direta ou indiretamente, visem menores com base na cultura de menores;</w:t>
      </w:r>
      <w:r>
        <w:rPr>
          <w:sz w:val="22"/>
          <w:rFonts w:ascii="Arial" w:hAnsi="Arial"/>
        </w:rPr>
        <w:t xml:space="preserve">  </w:t>
      </w:r>
    </w:p>
    <w:p w14:paraId="6A080F10" w14:textId="77777777" w:rsidR="002818CB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conter quaisquer elementos relacionados com aromas e aromas que evoquem doces ou produtos de confeitaria que possam ser particularmente atraentes para os menores.</w:t>
      </w:r>
      <w:r>
        <w:rPr>
          <w:sz w:val="22"/>
          <w:rFonts w:ascii="Arial" w:hAnsi="Arial"/>
        </w:rPr>
        <w:t xml:space="preserve"> </w:t>
      </w:r>
    </w:p>
    <w:p w14:paraId="5236BCD7" w14:textId="243D0800" w:rsidR="002818CB" w:rsidRPr="00AC6882" w:rsidRDefault="476B43A1" w:rsidP="0A8B8956">
      <w:pPr>
        <w:tabs>
          <w:tab w:val="left" w:pos="567"/>
        </w:tabs>
        <w:spacing w:before="120"/>
        <w:ind w:firstLine="142"/>
        <w:outlineLvl w:val="6"/>
        <w:rPr>
          <w:rFonts w:cs="Arial"/>
        </w:rPr>
      </w:pPr>
      <w:r>
        <w:t xml:space="preserve">(7)</w:t>
      </w:r>
      <w:r>
        <w:t xml:space="preserve"> </w:t>
      </w:r>
      <w:bookmarkStart w:id="2" w:name="_Hlk121298846"/>
      <w:r>
        <w:t xml:space="preserve">Um elemento ou característica proibido nos termos dos n.ºs 5 ou 6 pode ser um texto, símbolo, nome, marca, marca figurativa ou outra.</w:t>
      </w:r>
      <w:r>
        <w:t xml:space="preserve">  </w:t>
      </w:r>
      <w:r>
        <w:t xml:space="preserve">Elementos relacionados com o sabor do produto podem ser listados no produto apenas na forma de texto </w:t>
      </w:r>
      <w:bookmarkEnd w:id="2"/>
      <w:r>
        <w:t xml:space="preserve">.</w:t>
      </w:r>
      <w:r>
        <w:t xml:space="preserve"> </w:t>
      </w:r>
    </w:p>
    <w:p w14:paraId="18F770C1" w14:textId="4F3BEF7C" w:rsidR="002818CB" w:rsidRPr="000A4D02" w:rsidRDefault="002818CB" w:rsidP="77232BB3">
      <w:pPr>
        <w:keepNext/>
        <w:tabs>
          <w:tab w:val="left" w:pos="851"/>
        </w:tabs>
        <w:spacing w:before="120"/>
        <w:jc w:val="center"/>
        <w:outlineLvl w:val="6"/>
        <w:rPr>
          <w:rFonts w:cs="Arial"/>
        </w:rPr>
      </w:pPr>
      <w:r>
        <w:t xml:space="preserve">Secção 6</w:t>
      </w:r>
    </w:p>
    <w:p w14:paraId="67AD5E1F" w14:textId="5468A6CA" w:rsidR="002818CB" w:rsidRPr="000A4D02" w:rsidRDefault="002818CB" w:rsidP="37434F36">
      <w:pPr>
        <w:keepNext/>
        <w:tabs>
          <w:tab w:val="left" w:pos="851"/>
        </w:tabs>
        <w:spacing w:before="120"/>
        <w:jc w:val="center"/>
        <w:outlineLvl w:val="6"/>
        <w:rPr>
          <w:b/>
          <w:bCs/>
          <w:rFonts w:cs="Arial"/>
        </w:rPr>
      </w:pPr>
      <w:bookmarkStart w:id="3" w:name="_Hlk93930811"/>
      <w:r>
        <w:rPr>
          <w:b/>
        </w:rPr>
        <w:t xml:space="preserve">Método e âmbito da obrigação de notificação aquando da colocação no mercado de bolsas de nicotina</w:t>
      </w:r>
      <w:r>
        <w:rPr>
          <w:b/>
        </w:rPr>
        <w:t xml:space="preserve"> </w:t>
      </w:r>
    </w:p>
    <w:p w14:paraId="0100CC71" w14:textId="7517F511" w:rsidR="002818CB" w:rsidRPr="002D40BC" w:rsidRDefault="476B43A1" w:rsidP="002D40BC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60"/>
        <w:ind w:left="0" w:firstLine="142"/>
        <w:textAlignment w:val="baseline"/>
        <w:outlineLvl w:val="6"/>
        <w:rPr>
          <w:rFonts w:cs="Arial"/>
        </w:rPr>
      </w:pPr>
      <w:bookmarkStart w:id="4" w:name="_Hlk114731565"/>
      <w:r>
        <w:t xml:space="preserve">As notificações ao abrigo do artigo 12.º-K, n.º 4, alínea a), da Lei são efetuadas através do Ponto de Acesso Comum da UE (a seguir designado «PAC-UE»), em conformidade com a decisão de execução que estabelece o formato para a apresentação e divulgação de informações sobre produtos do tabaco.</w:t>
      </w:r>
      <w:r>
        <w:t xml:space="preserve"> </w:t>
      </w:r>
      <w:r>
        <w:t xml:space="preserve">A notificação é semelhante à dos produtos do tabaco para uso oral</w:t>
      </w:r>
      <w:r w:rsidR="002D40BC" w:rsidRPr="002D40BC">
        <w:rPr>
          <w:rStyle w:val="Znakapoznpodarou"/>
        </w:rPr>
        <w:footnoteReference w:id="6"/>
      </w:r>
      <w:r>
        <w:rPr>
          <w:vertAlign w:val="superscript"/>
        </w:rPr>
        <w:t xml:space="preserve">)</w:t>
      </w:r>
      <w:r>
        <w:t xml:space="preserve">, por marca e tipo de tabaco para uso oral.</w:t>
      </w:r>
      <w:r>
        <w:t xml:space="preserve">  </w:t>
      </w:r>
      <w:r>
        <w:t xml:space="preserve">Esta notificação inclui, pelo menos:</w:t>
      </w:r>
      <w:r>
        <w:t xml:space="preserve"> </w:t>
      </w:r>
    </w:p>
    <w:bookmarkEnd w:id="4"/>
    <w:p w14:paraId="16AFC439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uma lista de todos os ingredientes contidos em bolsas de nicotina, por nome da marca e tipo, incluindo a respetiva quantidade;</w:t>
      </w:r>
    </w:p>
    <w:p w14:paraId="700788E2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dados toxicológicos sobre os ingredientes referidos na alínea a), em especial no que diz respeito aos seus efeitos orais, dérmicos e por inalação na saúde dos consumidores, bem como aos seus eventuais efeitos de dependência, em língua checa;</w:t>
      </w:r>
    </w:p>
    <w:p w14:paraId="6C1B4B0F" w14:textId="6E00507E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uma ficha de dados de segurança elaborada em conformidade com a legislação da União Europeia diretamente aplicável em matéria de produtos químicos</w:t>
      </w:r>
      <w:r w:rsidR="002D40BC">
        <w:rPr>
          <w:rStyle w:val="Znakapoznpodarou"/>
          <w:rFonts w:ascii="Arial" w:hAnsi="Arial"/>
          <w:sz w:val="22"/>
          <w:szCs w:val="22"/>
        </w:rPr>
        <w:footnoteReference w:id="7"/>
      </w:r>
      <w:r>
        <w:rPr>
          <w:sz w:val="22"/>
          <w:vertAlign w:val="superscript"/>
          <w:rFonts w:ascii="Arial" w:hAnsi="Arial"/>
        </w:rPr>
        <w:t xml:space="preserve">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6E1B77E8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informações sobre as doses de nicotina e a ingestão quando utilizadas em condições normais ou previsíveis;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</w:t>
      </w:r>
    </w:p>
    <w:p w14:paraId="2ED3EA0E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o nome e as informações de contacto do fabricante, da entidade empresarial responsável ou da pessoa singular na União Europeia e, se for caso disso, do importador para a União Europeia.</w:t>
      </w:r>
    </w:p>
    <w:p w14:paraId="12C6EEC9" w14:textId="09873A23" w:rsidR="002818CB" w:rsidRPr="000A4D02" w:rsidRDefault="476B43A1" w:rsidP="00567800">
      <w:pPr>
        <w:numPr>
          <w:ilvl w:val="3"/>
          <w:numId w:val="8"/>
        </w:numPr>
        <w:tabs>
          <w:tab w:val="clear" w:pos="1440"/>
          <w:tab w:val="left" w:pos="567"/>
          <w:tab w:val="num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r>
        <w:t xml:space="preserve">Antes da primeira notificação nos termos do artigo 12.º-K, n.º 4, alínea a), da Lei, o fabricante ou importador deve solicitar ao operador do PAC-UE um identificador do emissor.</w:t>
      </w:r>
      <w:r>
        <w:t xml:space="preserve"> </w:t>
      </w:r>
      <w:r>
        <w:t xml:space="preserve">O fabricante ou importador deve, mediante pedido, apresentar informações que contenham os seus dados de identificação e a verificação das atividades em conformidade com a legislação nacional do Estado-Membro em que se encontra estabelecido.</w:t>
      </w:r>
      <w:r>
        <w:t xml:space="preserve"> </w:t>
      </w:r>
      <w:r>
        <w:rPr>
          <w:color w:val="444444"/>
        </w:rPr>
        <w:t xml:space="preserve"> </w:t>
      </w:r>
      <w:r>
        <w:t xml:space="preserve">O identificador do emissor será utilizado para todas as notificações subsequentes efetuadas através do PAC-UE e em toda a correspondência subsequente com o Ministério da Saúde.</w:t>
      </w:r>
      <w:r>
        <w:t xml:space="preserve">  </w:t>
      </w:r>
    </w:p>
    <w:p w14:paraId="74C3445F" w14:textId="77777777" w:rsidR="002764F7" w:rsidRPr="00B2014F" w:rsidRDefault="002818CB" w:rsidP="002764F7">
      <w:pPr>
        <w:numPr>
          <w:ilvl w:val="3"/>
          <w:numId w:val="8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Com base no identificador do emissor, o fabricante ou importador deve atribuir um número de identificação de bolsa de nicotina a cada produto que tenha de ser notificado.</w:t>
      </w:r>
      <w:r>
        <w:t xml:space="preserve"> </w:t>
      </w:r>
      <w:r>
        <w:t xml:space="preserve">Ao enviar notificações de produtos com a mesma composição e aparência, o fabricante e o importador utilizarão o mesmo número de identificação da bolsa de nicotina, salvo disposição em contrário no presente decreto.</w:t>
      </w:r>
      <w:r>
        <w:t xml:space="preserve">  </w:t>
      </w:r>
    </w:p>
    <w:p w14:paraId="0222E8ED" w14:textId="77777777" w:rsidR="002764F7" w:rsidRPr="002764F7" w:rsidRDefault="006E162B" w:rsidP="00E51F17">
      <w:pPr>
        <w:numPr>
          <w:ilvl w:val="3"/>
          <w:numId w:val="8"/>
        </w:numPr>
        <w:tabs>
          <w:tab w:val="clear" w:pos="1440"/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 w:val="20"/>
          <w:szCs w:val="20"/>
        </w:rPr>
      </w:pPr>
      <w:r>
        <w:t xml:space="preserve">O procedimento previsto no n.º 3 é aplicável independentemente da marca e subtipo do produto e do número de mercados em que os produtos são comercializados.</w:t>
      </w:r>
      <w:r>
        <w:t xml:space="preserve"> </w:t>
      </w:r>
      <w:r>
        <w:t xml:space="preserve">Se não for possível garantir que o mesmo número de identificação de bolsa de nicotina seja utilizado para produtos com a mesma composição e aparência, devem ser fornecidos números de identificação de bolsa de nicotina diferentes atribuídos a estes produtos</w:t>
      </w:r>
      <w:r>
        <w:rPr>
          <w:sz w:val="20"/>
        </w:rPr>
        <w:t xml:space="preserve">.</w:t>
      </w:r>
      <w:r>
        <w:t xml:space="preserve"> </w:t>
      </w:r>
    </w:p>
    <w:p w14:paraId="104E7BAE" w14:textId="77777777" w:rsidR="002818CB" w:rsidRPr="000A4D02" w:rsidRDefault="002818CB" w:rsidP="00282503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As notificações nos termos do artigo 12.º-K, n.º 4, alínea a), e n.º 5, da lei devem ser apresentadas antes da colocação no mercado das bolsas de nicotina.</w:t>
      </w:r>
      <w:r>
        <w:t xml:space="preserve"> </w:t>
      </w:r>
    </w:p>
    <w:p w14:paraId="2DEB82CE" w14:textId="38B8A076" w:rsidR="002818CB" w:rsidRPr="004B3B3E" w:rsidRDefault="002818CB" w:rsidP="00567800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bookmarkStart w:id="5" w:name="_Hlk121301704"/>
      <w:r>
        <w:t xml:space="preserve">Todas as informações que o fabricante ou importador considere serem segredos comerciais ou de outra forma confidenciais devem ser identificadas aquando da apresentação da notificação.</w:t>
      </w:r>
      <w:r>
        <w:t xml:space="preserve"> </w:t>
      </w:r>
      <w:r>
        <w:t xml:space="preserve">O nome do emissor, o país em que o emissor tem domicílio ou residência, o tipo de emissor nos termos do anexo da Decisão de Execução (UE) 2015/2186 da Comissão, de 25 de novembro de 2015, que estabelece um formato para a apresentação e disponibilização de informações sobre produtos do tabaco, o número de identificação da bolsa de nicotina, o nome da marca, o nome do subtipo, o tipo de produto, a primeira data de depósito, a data da última atualização da apresentação, a data em que o emissor colocou ou tenciona colocar o produto no mercado não é considerado um segredo comercial</w:t>
      </w:r>
      <w:bookmarkEnd w:id="5"/>
      <w:r>
        <w:t xml:space="preserve">.</w:t>
      </w:r>
      <w:r>
        <w:t xml:space="preserve"> </w:t>
      </w:r>
    </w:p>
    <w:p w14:paraId="3F05D2FB" w14:textId="697D4FF5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Secção 7</w:t>
      </w:r>
    </w:p>
    <w:p w14:paraId="5D7BBF3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Notificação de informações sobre o mercado das bolsas de nicotina</w:t>
      </w:r>
      <w:r>
        <w:rPr>
          <w:b/>
        </w:rPr>
        <w:t xml:space="preserve"> </w:t>
      </w:r>
    </w:p>
    <w:p w14:paraId="6F63D7F4" w14:textId="77777777" w:rsidR="002818CB" w:rsidRPr="000A4D02" w:rsidRDefault="002818CB" w:rsidP="00567800">
      <w:pPr>
        <w:numPr>
          <w:ilvl w:val="0"/>
          <w:numId w:val="14"/>
        </w:numPr>
        <w:tabs>
          <w:tab w:val="clear" w:pos="785"/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120" w:after="60"/>
        <w:ind w:firstLine="142"/>
        <w:jc w:val="left"/>
        <w:textAlignment w:val="baseline"/>
        <w:outlineLvl w:val="6"/>
        <w:rPr>
          <w:szCs w:val="22"/>
        </w:rPr>
      </w:pPr>
      <w:r>
        <w:t xml:space="preserve">Uma notificação nos termos do artigo 12.º-K, n.º 4, alínea b), da lei contém:</w:t>
      </w:r>
    </w:p>
    <w:p w14:paraId="64609B35" w14:textId="77777777" w:rsidR="002818CB" w:rsidRPr="000A4D02" w:rsidRDefault="002818CB" w:rsidP="00567800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informações agregadas sobre o volume de vendas por nome da marca e tipo de produto;</w:t>
      </w:r>
    </w:p>
    <w:p w14:paraId="692F2BEC" w14:textId="77777777" w:rsidR="002818CB" w:rsidRPr="009560E1" w:rsidRDefault="005D2DCC" w:rsidP="0083433F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todas as informações </w:t>
      </w:r>
      <w:bookmarkStart w:id="6" w:name="_Hlk113964644"/>
      <w:r>
        <w:t xml:space="preserve">sobre as preferências dos diferentes grupos de consumidores, incluindo jovens, não fumadores e os principais tipos de utilizadores atuais</w:t>
      </w:r>
      <w:bookmarkEnd w:id="6"/>
      <w:r>
        <w:t xml:space="preserve">.</w:t>
      </w:r>
    </w:p>
    <w:p w14:paraId="51B4FD9C" w14:textId="5467C938" w:rsidR="002818CB" w:rsidRPr="005B0A5F" w:rsidRDefault="476B43A1" w:rsidP="005B0A5F">
      <w:pPr>
        <w:tabs>
          <w:tab w:val="num" w:pos="567"/>
          <w:tab w:val="left" w:pos="851"/>
        </w:tabs>
        <w:spacing w:before="120"/>
        <w:ind w:firstLine="142"/>
        <w:outlineLvl w:val="6"/>
      </w:pPr>
      <w:r>
        <w:t xml:space="preserve">(2)</w:t>
      </w:r>
      <w:r>
        <w:t xml:space="preserve"> </w:t>
      </w:r>
      <w:r>
        <w:t xml:space="preserve">As informações referidas no n.º 1, alínea a), devem ser sempre apresentadas pelo fabricante ou importador através da parte pertinente do PAC-UE sob a forma de informações numéricas recentemente acrescentadas para cada ano civil.</w:t>
      </w:r>
      <w:r>
        <w:t xml:space="preserve">  </w:t>
      </w:r>
      <w:r>
        <w:t xml:space="preserve">As informações referidas na alínea a) do n.º 1 devem ser apresentadas pelo fabricante ou importador até 31 de maio do ano civil seguinte ao final do ano civil em que a venda teve lugar.</w:t>
      </w:r>
      <w:r>
        <w:t xml:space="preserve">  </w:t>
      </w:r>
      <w:r>
        <w:t xml:space="preserve">As informações referidas na alínea b) do n.º 1 devem ser apresentadas pelo fabricante ou importador até 31 de dezembro do ano civil seguinte ao final do ano civil em que a venda teve lugar.</w:t>
      </w:r>
      <w:r>
        <w:t xml:space="preserve">  </w:t>
      </w:r>
    </w:p>
    <w:p w14:paraId="277233B2" w14:textId="23B11430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Secção 8</w:t>
      </w:r>
    </w:p>
    <w:p w14:paraId="63360E53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Disposições transitórias</w:t>
      </w:r>
    </w:p>
    <w:p w14:paraId="2BD07E1D" w14:textId="77777777" w:rsidR="00CF18E4" w:rsidRDefault="002818CB" w:rsidP="00CF18E4">
      <w:pPr>
        <w:spacing w:before="240" w:after="200"/>
        <w:rPr>
          <w:szCs w:val="22"/>
        </w:rPr>
      </w:pPr>
      <w:r>
        <w:t xml:space="preserve">As bolsas de nicotina que não cumpram os requisitos estabelecidos no presente decreto e que tenham sido produzidas ou colocadas no mercado e rotuladas antes da data de entrada em vigor do presente decreto podem ser colocadas à venda e vendidas o mais tardar 12 meses após a data de entrada em vigor do presente decreto.</w:t>
      </w:r>
      <w:r>
        <w:t xml:space="preserve"> </w:t>
      </w:r>
    </w:p>
    <w:p w14:paraId="4972252E" w14:textId="77777777" w:rsidR="00F0726C" w:rsidRDefault="00F0726C" w:rsidP="002818CB">
      <w:pPr>
        <w:spacing w:after="200"/>
        <w:jc w:val="center"/>
        <w:outlineLvl w:val="4"/>
      </w:pPr>
    </w:p>
    <w:p w14:paraId="7882F0F4" w14:textId="6CAD2505" w:rsidR="002818CB" w:rsidRPr="000A4D02" w:rsidRDefault="002818CB" w:rsidP="002818CB">
      <w:pPr>
        <w:spacing w:after="200"/>
        <w:jc w:val="center"/>
        <w:outlineLvl w:val="4"/>
      </w:pPr>
      <w:r>
        <w:t xml:space="preserve">Secção 9</w:t>
      </w:r>
    </w:p>
    <w:p w14:paraId="5262B95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Disposições finais</w:t>
      </w:r>
    </w:p>
    <w:p w14:paraId="306D7D26" w14:textId="77777777" w:rsidR="002818CB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O presente Decreto foi notificado em conformidade com a Diretiva (UE) 2015/1535 do Parlamento Europeu e do Conselho, de 9 de setembro de 2015, relativa a um procedimento de informação no domínio das regulamentações técnicas e das regras relativas aos serviços da sociedade da informação.</w:t>
      </w:r>
    </w:p>
    <w:p w14:paraId="7366F145" w14:textId="77777777" w:rsidR="0085060D" w:rsidRPr="000A4D02" w:rsidRDefault="0085060D" w:rsidP="002818CB">
      <w:pPr>
        <w:tabs>
          <w:tab w:val="left" w:pos="851"/>
        </w:tabs>
        <w:spacing w:before="120"/>
        <w:outlineLvl w:val="6"/>
        <w:rPr>
          <w:szCs w:val="22"/>
        </w:rPr>
      </w:pPr>
    </w:p>
    <w:p w14:paraId="4F42D56F" w14:textId="513D5D1C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Secção 10</w:t>
      </w:r>
    </w:p>
    <w:p w14:paraId="5202D66B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Entrada em vigor</w:t>
      </w:r>
    </w:p>
    <w:p w14:paraId="51E8B191" w14:textId="2C6BA679" w:rsidR="002818CB" w:rsidRPr="000A4D02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O presente decreto produz efeitos em………………………...</w:t>
      </w:r>
    </w:p>
    <w:p w14:paraId="66F0FAB0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45CE2B2C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115B0CC8" w14:textId="77777777" w:rsidR="002818CB" w:rsidRDefault="00D21DFC" w:rsidP="002818CB">
      <w:pPr>
        <w:spacing w:before="120"/>
        <w:jc w:val="center"/>
        <w:rPr>
          <w:szCs w:val="22"/>
        </w:rPr>
      </w:pPr>
      <w:r>
        <w:t xml:space="preserve">O Ministro:</w:t>
      </w:r>
    </w:p>
    <w:p w14:paraId="6D06074E" w14:textId="77777777" w:rsidR="000C32F7" w:rsidRDefault="000C32F7" w:rsidP="002818CB">
      <w:pPr>
        <w:spacing w:before="120"/>
        <w:jc w:val="right"/>
        <w:rPr>
          <w:szCs w:val="22"/>
        </w:rPr>
        <w:sectPr w:rsidR="000C32F7" w:rsidSect="006F468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1B533373" w14:textId="62FE390A" w:rsidR="002818CB" w:rsidRPr="000A4D02" w:rsidRDefault="002818CB" w:rsidP="002818CB">
      <w:pPr>
        <w:spacing w:before="120"/>
        <w:jc w:val="right"/>
        <w:rPr>
          <w:szCs w:val="22"/>
        </w:rPr>
      </w:pPr>
      <w:r>
        <w:t xml:space="preserve">Anexo 1 do Decreto n.º.../......</w:t>
      </w:r>
      <w:r>
        <w:t xml:space="preserve"> </w:t>
      </w:r>
      <w:r>
        <w:t xml:space="preserve">Coletânea</w:t>
      </w:r>
    </w:p>
    <w:p w14:paraId="61E97CD8" w14:textId="77777777" w:rsidR="002818CB" w:rsidRPr="000A4D02" w:rsidRDefault="002818CB" w:rsidP="002818CB">
      <w:pPr>
        <w:spacing w:before="120"/>
        <w:jc w:val="right"/>
        <w:rPr>
          <w:szCs w:val="22"/>
        </w:rPr>
      </w:pPr>
    </w:p>
    <w:p w14:paraId="556761E7" w14:textId="6BC4BE67" w:rsidR="002818CB" w:rsidRPr="000A4D02" w:rsidRDefault="476B43A1" w:rsidP="37434F36">
      <w:pPr>
        <w:spacing w:before="120"/>
        <w:jc w:val="center"/>
        <w:rPr>
          <w:b/>
          <w:bCs/>
        </w:rPr>
      </w:pPr>
      <w:bookmarkStart w:id="7" w:name="_Hlk93930919"/>
      <w:r>
        <w:rPr>
          <w:b/>
        </w:rPr>
        <w:t xml:space="preserve">Lista de substâncias proibidas que não podem ser adicionadas às bolsas de nicotina como ingredientes autónomos</w:t>
      </w:r>
      <w:r>
        <w:rPr>
          <w:b/>
        </w:rPr>
        <w:t xml:space="preserve"> </w:t>
      </w:r>
    </w:p>
    <w:bookmarkEnd w:id="3"/>
    <w:p w14:paraId="7A23C949" w14:textId="77777777" w:rsidR="002818CB" w:rsidRPr="00BF7F30" w:rsidRDefault="002818CB" w:rsidP="002818CB">
      <w:pPr>
        <w:spacing w:before="12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3327"/>
      </w:tblGrid>
      <w:tr w:rsidR="002818CB" w14:paraId="39AB2AF3" w14:textId="77777777" w:rsidTr="00536DAC">
        <w:trPr>
          <w:trHeight w:val="390"/>
          <w:tblHeader/>
        </w:trPr>
        <w:tc>
          <w:tcPr>
            <w:tcW w:w="5733" w:type="dxa"/>
            <w:shd w:val="clear" w:color="auto" w:fill="FFFFFF"/>
            <w:vAlign w:val="bottom"/>
          </w:tcPr>
          <w:p w14:paraId="49EDE4B6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Denominação da substância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66C093C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Número(s) CAS</w:t>
            </w:r>
          </w:p>
        </w:tc>
      </w:tr>
      <w:tr w:rsidR="002818CB" w14:paraId="592CF983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69B722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ácido agárico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47860F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666-99-9</w:t>
            </w:r>
          </w:p>
        </w:tc>
      </w:tr>
      <w:tr w:rsidR="002818CB" w14:paraId="6DF7A1AA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D6CF440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aloína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7E3170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1415-73-2</w:t>
            </w:r>
          </w:p>
        </w:tc>
      </w:tr>
      <w:tr w:rsidR="002818CB" w14:paraId="30ED86F1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5001D81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capsaicina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1CBC26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404-86-4</w:t>
            </w:r>
          </w:p>
        </w:tc>
      </w:tr>
      <w:tr w:rsidR="002818CB" w14:paraId="10583C7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35E94E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hipericina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E835B73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548-04-9</w:t>
            </w:r>
          </w:p>
        </w:tc>
      </w:tr>
      <w:tr w:rsidR="002818CB" w14:paraId="21CD6D0F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413AA0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beta-asarona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16E5C0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5273-86-9</w:t>
            </w:r>
          </w:p>
        </w:tc>
      </w:tr>
      <w:tr w:rsidR="002818CB" w14:paraId="7C71EFB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0DD9D3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estragol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30E5D6E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140-67-0</w:t>
            </w:r>
          </w:p>
        </w:tc>
      </w:tr>
      <w:tr w:rsidR="002818CB" w14:paraId="5997CAA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3A057E1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cianeto de hidrogénio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FC23C7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3017-23-0</w:t>
            </w:r>
          </w:p>
        </w:tc>
      </w:tr>
      <w:tr w:rsidR="002818CB" w14:paraId="7ED5C2E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F47101D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mentofurano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441E4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494-90-6</w:t>
            </w:r>
          </w:p>
        </w:tc>
      </w:tr>
      <w:tr w:rsidR="002818CB" w14:paraId="78B826A0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9A3C48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metileugenol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AB7655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93-15-2</w:t>
            </w:r>
          </w:p>
        </w:tc>
      </w:tr>
      <w:tr w:rsidR="002818CB" w14:paraId="724C4D4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4BAECEC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pulegona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C3F452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89-82-7;</w:t>
            </w:r>
            <w:r>
              <w:t xml:space="preserve"> </w:t>
            </w:r>
            <w:r>
              <w:t xml:space="preserve">15932-80-6</w:t>
            </w:r>
            <w:r>
              <w:t xml:space="preserve"> </w:t>
            </w:r>
          </w:p>
        </w:tc>
      </w:tr>
      <w:tr w:rsidR="002818CB" w14:paraId="1F5F4C0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43E2091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quassina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E7451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76-78-8</w:t>
            </w:r>
          </w:p>
        </w:tc>
      </w:tr>
      <w:tr w:rsidR="002818CB" w14:paraId="5563A85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F4F26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safrolo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10419EE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94-59-7</w:t>
            </w:r>
          </w:p>
        </w:tc>
      </w:tr>
      <w:tr w:rsidR="002818CB" w14:paraId="5E455B0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6B3EB6A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Teucrina 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FF1E75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12798-51-5</w:t>
            </w:r>
          </w:p>
        </w:tc>
      </w:tr>
      <w:tr w:rsidR="002818CB" w14:paraId="1A001038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C14A7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tuiona (alfa e beta)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352C94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546-80-5;</w:t>
            </w:r>
            <w:r>
              <w:t xml:space="preserve"> </w:t>
            </w:r>
            <w:r>
              <w:t xml:space="preserve">76231-76-0</w:t>
            </w:r>
            <w:r>
              <w:t xml:space="preserve"> </w:t>
            </w:r>
          </w:p>
        </w:tc>
      </w:tr>
      <w:tr w:rsidR="002818CB" w14:paraId="59046B70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0F7AF80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cumarina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7B8930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91-64-5</w:t>
            </w:r>
          </w:p>
        </w:tc>
      </w:tr>
      <w:tr w:rsidR="002818CB" w14:paraId="6049847D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199A7AE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colquicina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66AF51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64-86-8</w:t>
            </w:r>
          </w:p>
        </w:tc>
      </w:tr>
      <w:tr w:rsidR="002818CB" w14:paraId="7620034A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7F6CA964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bergamottina (furanocumarina)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06AB567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7380-40-7</w:t>
            </w:r>
          </w:p>
        </w:tc>
      </w:tr>
      <w:tr w:rsidR="002818CB" w14:paraId="69D2340F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452B30B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6,7 - dihidroxibergamotina (furanocumarina)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4F86F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145414-76-2</w:t>
            </w:r>
          </w:p>
        </w:tc>
      </w:tr>
    </w:tbl>
    <w:p w14:paraId="40241CE9" w14:textId="77777777" w:rsidR="000C32F7" w:rsidRDefault="000C32F7" w:rsidP="004E593B">
      <w:pPr>
        <w:spacing w:before="120"/>
        <w:rPr>
          <w:rFonts w:cs="Arial"/>
          <w:szCs w:val="22"/>
        </w:rPr>
        <w:sectPr w:rsidR="000C32F7" w:rsidSect="006F4688">
          <w:footerReference w:type="first" r:id="rId15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4475DAFB" w14:textId="77777777" w:rsidR="00F958E5" w:rsidRDefault="00F958E5" w:rsidP="002764F7">
      <w:pPr>
        <w:spacing w:before="120"/>
        <w:rPr>
          <w:rFonts w:cs="Arial"/>
          <w:szCs w:val="22"/>
        </w:rPr>
      </w:pPr>
    </w:p>
    <w:p w14:paraId="785E9BD5" w14:textId="2A47E59A" w:rsidR="002818CB" w:rsidRPr="00083BA7" w:rsidRDefault="002818CB" w:rsidP="002818CB">
      <w:pPr>
        <w:spacing w:before="120"/>
        <w:jc w:val="right"/>
        <w:rPr>
          <w:szCs w:val="22"/>
          <w:rFonts w:cs="Arial"/>
        </w:rPr>
      </w:pPr>
      <w:r>
        <w:t xml:space="preserve">Anexo n.º 2 do Decreto n.º.../2023 Col.</w:t>
      </w:r>
    </w:p>
    <w:p w14:paraId="608D339C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</w:p>
    <w:p w14:paraId="2401E3FB" w14:textId="77777777" w:rsidR="002818CB" w:rsidRPr="00083BA7" w:rsidRDefault="002818CB" w:rsidP="002818CB">
      <w:pPr>
        <w:spacing w:before="120"/>
        <w:jc w:val="center"/>
        <w:rPr>
          <w:b/>
          <w:bCs/>
          <w:szCs w:val="22"/>
          <w:rFonts w:cs="Arial"/>
        </w:rPr>
      </w:pPr>
      <w:r>
        <w:rPr>
          <w:b/>
        </w:rPr>
        <w:t xml:space="preserve">Etiqueta gráfica</w:t>
      </w:r>
    </w:p>
    <w:p w14:paraId="7793D4C5" w14:textId="7CEC8EB8" w:rsidR="002818CB" w:rsidRPr="00083BA7" w:rsidRDefault="002818CB" w:rsidP="002818CB">
      <w:pPr>
        <w:pStyle w:val="Odstavecseseznamem"/>
        <w:spacing w:before="120"/>
        <w:ind w:left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O rótulo gráfico «Este produto não se destina a pessoas com menos de 18 anos», com o caráter do símbolo proibido (figura 1) tem uma forma circular com um diâmetro de, pelo menos, 1 cm sobre um fundo branco e um círculo com um bordo mais espesso vermelho, uma lista diagonal vermelha sobre o texto preto 18 sobre um fundo branco.</w:t>
      </w:r>
    </w:p>
    <w:p w14:paraId="7D56796E" w14:textId="77777777" w:rsidR="00807A3E" w:rsidRDefault="00807A3E" w:rsidP="002818CB">
      <w:pPr>
        <w:spacing w:before="120"/>
        <w:ind w:firstLine="708"/>
        <w:rPr>
          <w:rFonts w:cs="Arial"/>
          <w:szCs w:val="22"/>
        </w:rPr>
      </w:pPr>
    </w:p>
    <w:p w14:paraId="797D7881" w14:textId="77777777" w:rsidR="002818CB" w:rsidRPr="00083BA7" w:rsidRDefault="44243302" w:rsidP="002818CB">
      <w:pPr>
        <w:spacing w:before="120"/>
        <w:ind w:firstLine="708"/>
        <w:rPr>
          <w:szCs w:val="22"/>
          <w:rFonts w:cs="Arial"/>
        </w:rPr>
      </w:pPr>
      <w:r>
        <w:t xml:space="preserve">Figura 1</w:t>
      </w:r>
    </w:p>
    <w:bookmarkEnd w:id="7"/>
    <w:p w14:paraId="5D84DD54" w14:textId="11BA8B8D" w:rsidR="00D84729" w:rsidRPr="00D21DFC" w:rsidRDefault="1D66DE60" w:rsidP="6E92D854">
      <w:pPr>
        <w:spacing w:before="120"/>
      </w:pPr>
      <w:r>
        <w:rPr>
          <w:color w:val="2B579A"/>
          <w:shd w:val="clear" w:color="auto" w:fill="E6E6E6"/>
        </w:rPr>
        <w:drawing>
          <wp:inline distT="0" distB="0" distL="0" distR="0" wp14:anchorId="6AAD9D25" wp14:editId="1636E04A">
            <wp:extent cx="1438275" cy="1438275"/>
            <wp:effectExtent l="0" t="0" r="0" b="0"/>
            <wp:docPr id="1637642706" name="Obrázek 16376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29" w:rsidRPr="00D21DFC" w:rsidSect="006F4688">
      <w:footerReference w:type="first" r:id="rId17"/>
      <w:pgSz w:w="11906" w:h="16838" w:code="9"/>
      <w:pgMar w:top="1814" w:right="1418" w:bottom="1560" w:left="1418" w:header="107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1407" w14:textId="77777777" w:rsidR="00FB7FFB" w:rsidRDefault="00FB7FFB">
      <w:r>
        <w:separator/>
      </w:r>
    </w:p>
  </w:endnote>
  <w:endnote w:type="continuationSeparator" w:id="0">
    <w:p w14:paraId="1AE07AA1" w14:textId="77777777" w:rsidR="00FB7FFB" w:rsidRDefault="00F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T*Palm Spring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E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B0D" w14:textId="77777777" w:rsidR="00536DAC" w:rsidRPr="00A62492" w:rsidRDefault="00536DAC" w:rsidP="00A62492">
    <w:pPr>
      <w:pStyle w:val="Zpat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62918698" w14:textId="77777777" w:rsidTr="005F74CD">
      <w:trPr>
        <w:trHeight w:val="300"/>
      </w:trPr>
      <w:tc>
        <w:tcPr>
          <w:tcW w:w="3020" w:type="dxa"/>
        </w:tcPr>
        <w:p w14:paraId="704A0DFD" w14:textId="11995407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9A05BE" w14:textId="3D8436E7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087A1FB7" w14:textId="3A50C3BA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60E77D1C" w14:textId="11EA494C" w:rsidR="010941D5" w:rsidRDefault="010941D5" w:rsidP="005F74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04C6D2F3" w14:textId="77777777" w:rsidTr="005F74CD">
      <w:trPr>
        <w:trHeight w:val="300"/>
      </w:trPr>
      <w:tc>
        <w:tcPr>
          <w:tcW w:w="3020" w:type="dxa"/>
        </w:tcPr>
        <w:p w14:paraId="1CFC81E9" w14:textId="16E7AD1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726D65A4" w14:textId="610C574C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68A2795B" w14:textId="09A8DD8B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099FB2BB" w14:textId="5968AD1C" w:rsidR="010941D5" w:rsidRDefault="010941D5" w:rsidP="005F74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18C159C2" w14:textId="77777777" w:rsidTr="005F74CD">
      <w:trPr>
        <w:trHeight w:val="300"/>
      </w:trPr>
      <w:tc>
        <w:tcPr>
          <w:tcW w:w="3020" w:type="dxa"/>
        </w:tcPr>
        <w:p w14:paraId="1B65D646" w14:textId="1CA5FB3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11156FE" w14:textId="6E230318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557CFAFD" w14:textId="313D1BA1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46D9495D" w14:textId="1EDB1204" w:rsidR="010941D5" w:rsidRDefault="010941D5" w:rsidP="005F74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60C" w14:textId="77777777" w:rsidR="00FB7FFB" w:rsidRDefault="00FB7FFB">
      <w:r>
        <w:separator/>
      </w:r>
    </w:p>
  </w:footnote>
  <w:footnote w:type="continuationSeparator" w:id="0">
    <w:p w14:paraId="0755FA59" w14:textId="77777777" w:rsidR="00FB7FFB" w:rsidRDefault="00FB7FFB">
      <w:r>
        <w:continuationSeparator/>
      </w:r>
    </w:p>
  </w:footnote>
  <w:footnote w:id="1">
    <w:p w14:paraId="4D818A8B" w14:textId="77777777" w:rsidR="0063265A" w:rsidRDefault="008573B0" w:rsidP="000C2050">
      <w:pPr>
        <w:pStyle w:val="Textpoznpodarou"/>
        <w:tabs>
          <w:tab w:val="clear" w:pos="425"/>
        </w:tabs>
        <w:ind w:left="0" w:hanging="142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Regulamento (CE) n.º 1925/2006 do Parlamento Europeu e do Conselho, de 20 de dezembro de 2006, relativo à adição de vitaminas, minerais e determinadas outras substâncias aos alimentos, com a última redação que lhe foi dada.</w:t>
      </w:r>
      <w:r>
        <w:t xml:space="preserve"> </w:t>
      </w:r>
    </w:p>
  </w:footnote>
  <w:footnote w:id="2">
    <w:p w14:paraId="7DACE623" w14:textId="77777777" w:rsidR="0063265A" w:rsidRDefault="00CA5379" w:rsidP="000C2050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Lei n.º 167/1998 relativa às substâncias que criam dependência e que altera outras leis, com a última redação que lhe foi dada.</w:t>
      </w:r>
      <w:r>
        <w:t xml:space="preserve"> </w:t>
      </w:r>
    </w:p>
  </w:footnote>
  <w:footnote w:id="3">
    <w:p w14:paraId="3AEB8955" w14:textId="77777777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Lei n.º 102/2001 sobre a segurança geral dos produtos e que altera determinados atos (Lei relativa à segurança geral dos produtos), com a última redação que lhe foi dada.</w:t>
      </w:r>
      <w:r>
        <w:t xml:space="preserve"> </w:t>
      </w:r>
    </w:p>
  </w:footnote>
  <w:footnote w:id="4">
    <w:p w14:paraId="6A282453" w14:textId="77777777" w:rsidR="655105DF" w:rsidRDefault="655105DF" w:rsidP="000C2050">
      <w:pPr>
        <w:pStyle w:val="Textpoznpodarou"/>
        <w:tabs>
          <w:tab w:val="clear" w:pos="425"/>
        </w:tabs>
        <w:ind w:left="-142" w:firstLine="0"/>
        <w:jc w:val="both"/>
        <w:rPr>
          <w:rFonts w:cs="Arial"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Regulamento (CE) n.º 1907/2006 do Parlamento Europeu e do Conselho, de 18 de dezembro de 2006, relativo ao Registo, Avaliação, Autorização e Restrição de Produtos Químicos (REACH), que cria a Agência Europeia dos Produtos Químicos, que altera a Diretiva 1999/45/CE e revoga o Regulamento (CEE) n.º 793/93 do Conselho e o Regulamento (CE) n.º 1488/94 da Comissão, bem como a Diretiva 76/769/CEE do Conselho e as Diretivas 91/155/CEE, 93/67/CEE, 93/105/CE e 2000/21/CE da Comissão, conforme alterado;</w:t>
      </w:r>
      <w:r>
        <w:t xml:space="preserve"> </w:t>
      </w:r>
    </w:p>
    <w:p w14:paraId="2C83931C" w14:textId="072009C8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t xml:space="preserve">Regulamento (CE) n.º 1272/2008 do Parlamento Europeu e do Conselho, de 16 dezembro de 2008, relativo à classificação, rotulagem e embalagem de substâncias e misturas, que altera e revoga as Diretivas 67/548/CEE e 1999/45/CE, e altera o Regulamento n.º 1907/2006/CE, conforme alterado.</w:t>
      </w:r>
    </w:p>
  </w:footnote>
  <w:footnote w:id="5">
    <w:p w14:paraId="7F1B190B" w14:textId="77777777" w:rsidR="0063265A" w:rsidRDefault="00876A49" w:rsidP="00876A49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Ponto 3 do anexo da Decisão de Execução (UE) 2015/2186 da Comissão, de 25 de novembro de 2015, que estabelece um formato para a apresentação e disponibilização de informações sobre produtos do tabaco.</w:t>
      </w:r>
      <w:r>
        <w:t xml:space="preserve"> </w:t>
      </w:r>
    </w:p>
  </w:footnote>
  <w:footnote w:id="6">
    <w:p w14:paraId="3B637765" w14:textId="518FDD88" w:rsidR="002D40BC" w:rsidRDefault="002D40B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Decisão de Execução (UE) 2015/2186 da Comissão.</w:t>
      </w:r>
      <w:r>
        <w:t xml:space="preserve">  </w:t>
      </w:r>
    </w:p>
  </w:footnote>
  <w:footnote w:id="7">
    <w:p w14:paraId="2D414D52" w14:textId="1D1CDE32" w:rsidR="002D40BC" w:rsidRDefault="002D40BC" w:rsidP="002D40BC">
      <w:pPr>
        <w:pStyle w:val="Textpoznpodarou"/>
        <w:tabs>
          <w:tab w:val="clear" w:pos="425"/>
          <w:tab w:val="left" w:pos="142"/>
          <w:tab w:val="left" w:pos="993"/>
        </w:tabs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Regulamento (CE) n.º 1907/2006 do Parlamento Europeu e do Conselho, de 18 de dezembro de 2006, relativo ao Registo, Avaliação, Autorização e Restrição de Produtos Químicos (REACH), que cria a Agência Europeia dos Produtos Químicos, que altera a Diretiva 1999/45/CE e revoga o Regulamento (CEE) n.º 793/93 do Conselho e o Regulamento (CE) n.º 1488/94 da Comissão, bem como a Diretiva 76/769/CEE do Conselho e as Diretivas 91/155/CEE, 93/67/CEE, 93/105/CE e 2000/21/CE da Comissão, conforme alterado;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CE" w14:textId="77777777" w:rsidR="00536DAC" w:rsidRDefault="00536DAC" w:rsidP="0079759E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27AE" w14:textId="77777777" w:rsidR="00536DAC" w:rsidRPr="00E15FE8" w:rsidRDefault="00536DAC" w:rsidP="00E15FE8">
    <w:pPr>
      <w:pStyle w:val="Zhlav"/>
      <w:ind w:left="0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5D4EBC"/>
    <w:multiLevelType w:val="hybridMultilevel"/>
    <w:tmpl w:val="508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E0D50"/>
    <w:multiLevelType w:val="hybridMultilevel"/>
    <w:tmpl w:val="EF3EA00C"/>
    <w:lvl w:ilvl="0" w:tplc="A51CD55E">
      <w:start w:val="1"/>
      <w:numFmt w:val="decimal"/>
      <w:pStyle w:val="slovn"/>
      <w:lvlText w:val="%1."/>
      <w:lvlJc w:val="left"/>
      <w:pPr>
        <w:tabs>
          <w:tab w:val="num" w:pos="539"/>
        </w:tabs>
        <w:ind w:left="539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D52C91"/>
    <w:multiLevelType w:val="hybridMultilevel"/>
    <w:tmpl w:val="565EC760"/>
    <w:lvl w:ilvl="0" w:tplc="53DCB7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F5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EFB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C69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92E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EA6C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947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F625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42D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1D6C7F8C"/>
    <w:multiLevelType w:val="hybridMultilevel"/>
    <w:tmpl w:val="C7EC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C4E97"/>
    <w:multiLevelType w:val="hybridMultilevel"/>
    <w:tmpl w:val="532ADC90"/>
    <w:lvl w:ilvl="0" w:tplc="AB2C33B4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4F5F37"/>
    <w:multiLevelType w:val="hybridMultilevel"/>
    <w:tmpl w:val="546A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37868"/>
    <w:multiLevelType w:val="hybridMultilevel"/>
    <w:tmpl w:val="78606EC4"/>
    <w:lvl w:ilvl="0" w:tplc="D2F8F5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86288"/>
    <w:multiLevelType w:val="hybridMultilevel"/>
    <w:tmpl w:val="C1FEE7C2"/>
    <w:lvl w:ilvl="0" w:tplc="BC769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F41DE"/>
    <w:multiLevelType w:val="hybridMultilevel"/>
    <w:tmpl w:val="EA36BFF6"/>
    <w:lvl w:ilvl="0" w:tplc="E32E1B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B358B"/>
    <w:multiLevelType w:val="hybridMultilevel"/>
    <w:tmpl w:val="22F454CC"/>
    <w:lvl w:ilvl="0" w:tplc="99945434">
      <w:start w:val="4"/>
      <w:numFmt w:val="decimal"/>
      <w:lvlText w:val="%1)"/>
      <w:lvlJc w:val="left"/>
      <w:pPr>
        <w:ind w:left="502" w:hanging="360"/>
      </w:pPr>
      <w:rPr>
        <w:rFonts w:cs="Arial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CAC54A3"/>
    <w:multiLevelType w:val="hybridMultilevel"/>
    <w:tmpl w:val="4EE647E8"/>
    <w:lvl w:ilvl="0" w:tplc="591C21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4" w15:restartNumberingAfterBreak="0">
    <w:nsid w:val="44BD4DB0"/>
    <w:multiLevelType w:val="hybridMultilevel"/>
    <w:tmpl w:val="7EB8BEAE"/>
    <w:lvl w:ilvl="0" w:tplc="D362FA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738A251"/>
    <w:multiLevelType w:val="multilevel"/>
    <w:tmpl w:val="4738A25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A9B52BD"/>
    <w:multiLevelType w:val="multilevel"/>
    <w:tmpl w:val="ACEE9BF8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F96654B"/>
    <w:multiLevelType w:val="hybridMultilevel"/>
    <w:tmpl w:val="398654B2"/>
    <w:lvl w:ilvl="0" w:tplc="8D1AAD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E621F"/>
    <w:multiLevelType w:val="hybridMultilevel"/>
    <w:tmpl w:val="E4A0712A"/>
    <w:lvl w:ilvl="0" w:tplc="F9748D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70E06"/>
    <w:multiLevelType w:val="hybridMultilevel"/>
    <w:tmpl w:val="4DDC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0991"/>
    <w:multiLevelType w:val="hybridMultilevel"/>
    <w:tmpl w:val="D8E45DC4"/>
    <w:lvl w:ilvl="0" w:tplc="48A08E80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FC448730">
      <w:start w:val="1"/>
      <w:numFmt w:val="lowerLetter"/>
      <w:lvlText w:val="%2)"/>
      <w:lvlJc w:val="left"/>
      <w:pPr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odstavce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3" w15:restartNumberingAfterBreak="0">
    <w:nsid w:val="7042741E"/>
    <w:multiLevelType w:val="hybridMultilevel"/>
    <w:tmpl w:val="DD78F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1569"/>
    <w:multiLevelType w:val="hybridMultilevel"/>
    <w:tmpl w:val="47AC0FCC"/>
    <w:lvl w:ilvl="0" w:tplc="814CD7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34126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2AB5B07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60A425F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723039"/>
    <w:multiLevelType w:val="hybridMultilevel"/>
    <w:tmpl w:val="4F282836"/>
    <w:lvl w:ilvl="0" w:tplc="4686E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087"/>
    <w:multiLevelType w:val="hybridMultilevel"/>
    <w:tmpl w:val="DA7EC47C"/>
    <w:lvl w:ilvl="0" w:tplc="2BF0E3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819534">
    <w:abstractNumId w:val="6"/>
  </w:num>
  <w:num w:numId="2" w16cid:durableId="1738479618">
    <w:abstractNumId w:val="29"/>
  </w:num>
  <w:num w:numId="3" w16cid:durableId="1865822399">
    <w:abstractNumId w:val="20"/>
  </w:num>
  <w:num w:numId="4" w16cid:durableId="1948582308">
    <w:abstractNumId w:val="21"/>
  </w:num>
  <w:num w:numId="5" w16cid:durableId="108483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567333">
    <w:abstractNumId w:val="25"/>
  </w:num>
  <w:num w:numId="7" w16cid:durableId="1721784258">
    <w:abstractNumId w:val="27"/>
  </w:num>
  <w:num w:numId="8" w16cid:durableId="630356270">
    <w:abstractNumId w:val="16"/>
  </w:num>
  <w:num w:numId="9" w16cid:durableId="1612201469">
    <w:abstractNumId w:val="3"/>
  </w:num>
  <w:num w:numId="10" w16cid:durableId="1353647690">
    <w:abstractNumId w:val="8"/>
  </w:num>
  <w:num w:numId="11" w16cid:durableId="1024207791">
    <w:abstractNumId w:val="0"/>
  </w:num>
  <w:num w:numId="12" w16cid:durableId="911894429">
    <w:abstractNumId w:val="17"/>
  </w:num>
  <w:num w:numId="13" w16cid:durableId="1143429400">
    <w:abstractNumId w:val="18"/>
  </w:num>
  <w:num w:numId="14" w16cid:durableId="1619145117">
    <w:abstractNumId w:val="26"/>
  </w:num>
  <w:num w:numId="15" w16cid:durableId="360016796">
    <w:abstractNumId w:val="10"/>
  </w:num>
  <w:num w:numId="16" w16cid:durableId="112675670">
    <w:abstractNumId w:val="23"/>
  </w:num>
  <w:num w:numId="17" w16cid:durableId="996693553">
    <w:abstractNumId w:val="19"/>
  </w:num>
  <w:num w:numId="18" w16cid:durableId="1288465052">
    <w:abstractNumId w:val="24"/>
  </w:num>
  <w:num w:numId="19" w16cid:durableId="75340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57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042083">
    <w:abstractNumId w:val="28"/>
  </w:num>
  <w:num w:numId="22" w16cid:durableId="94592278">
    <w:abstractNumId w:val="4"/>
  </w:num>
  <w:num w:numId="23" w16cid:durableId="1736663865">
    <w:abstractNumId w:val="22"/>
  </w:num>
  <w:num w:numId="24" w16cid:durableId="708723259">
    <w:abstractNumId w:val="13"/>
  </w:num>
  <w:num w:numId="25" w16cid:durableId="1176306773">
    <w:abstractNumId w:val="7"/>
  </w:num>
  <w:num w:numId="26" w16cid:durableId="1994408033">
    <w:abstractNumId w:val="1"/>
  </w:num>
  <w:num w:numId="27" w16cid:durableId="1899776948">
    <w:abstractNumId w:val="9"/>
  </w:num>
  <w:num w:numId="28" w16cid:durableId="305089358">
    <w:abstractNumId w:val="5"/>
  </w:num>
  <w:num w:numId="29" w16cid:durableId="2070299892">
    <w:abstractNumId w:val="12"/>
  </w:num>
  <w:num w:numId="30" w16cid:durableId="2097481299">
    <w:abstractNumId w:val="14"/>
  </w:num>
  <w:num w:numId="31" w16cid:durableId="165834200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3"/>
    <w:rsid w:val="000014A2"/>
    <w:rsid w:val="00001AEA"/>
    <w:rsid w:val="00010484"/>
    <w:rsid w:val="00012CD4"/>
    <w:rsid w:val="00016145"/>
    <w:rsid w:val="000173C2"/>
    <w:rsid w:val="000251DD"/>
    <w:rsid w:val="00025F69"/>
    <w:rsid w:val="000273A5"/>
    <w:rsid w:val="00037A2F"/>
    <w:rsid w:val="00046B7C"/>
    <w:rsid w:val="000474D3"/>
    <w:rsid w:val="00051577"/>
    <w:rsid w:val="00051D2B"/>
    <w:rsid w:val="000625DA"/>
    <w:rsid w:val="00067D9D"/>
    <w:rsid w:val="00075FE3"/>
    <w:rsid w:val="00083BA7"/>
    <w:rsid w:val="00085E28"/>
    <w:rsid w:val="0008624E"/>
    <w:rsid w:val="00090983"/>
    <w:rsid w:val="00092B5C"/>
    <w:rsid w:val="00092DEA"/>
    <w:rsid w:val="000947D8"/>
    <w:rsid w:val="000A0F7C"/>
    <w:rsid w:val="000A4D02"/>
    <w:rsid w:val="000B19A9"/>
    <w:rsid w:val="000B432E"/>
    <w:rsid w:val="000C2050"/>
    <w:rsid w:val="000C32F7"/>
    <w:rsid w:val="000C6370"/>
    <w:rsid w:val="000C7874"/>
    <w:rsid w:val="000D0F8A"/>
    <w:rsid w:val="000D2258"/>
    <w:rsid w:val="000D2A4E"/>
    <w:rsid w:val="000D7FC4"/>
    <w:rsid w:val="000E7AAA"/>
    <w:rsid w:val="000F42E5"/>
    <w:rsid w:val="000F52BC"/>
    <w:rsid w:val="000F5FA3"/>
    <w:rsid w:val="000F7E24"/>
    <w:rsid w:val="0010123D"/>
    <w:rsid w:val="00103A34"/>
    <w:rsid w:val="001051E4"/>
    <w:rsid w:val="001107A3"/>
    <w:rsid w:val="00113EC1"/>
    <w:rsid w:val="001209D6"/>
    <w:rsid w:val="00120C5E"/>
    <w:rsid w:val="00121A57"/>
    <w:rsid w:val="00123591"/>
    <w:rsid w:val="00126EBF"/>
    <w:rsid w:val="00127ACE"/>
    <w:rsid w:val="001320EE"/>
    <w:rsid w:val="00134AA1"/>
    <w:rsid w:val="00144276"/>
    <w:rsid w:val="00145FF2"/>
    <w:rsid w:val="00150023"/>
    <w:rsid w:val="00150A67"/>
    <w:rsid w:val="00153DAD"/>
    <w:rsid w:val="001549BB"/>
    <w:rsid w:val="00156A1D"/>
    <w:rsid w:val="0016031B"/>
    <w:rsid w:val="0016164C"/>
    <w:rsid w:val="00161C74"/>
    <w:rsid w:val="00163C9F"/>
    <w:rsid w:val="00164935"/>
    <w:rsid w:val="00164AC2"/>
    <w:rsid w:val="001657F2"/>
    <w:rsid w:val="00172E89"/>
    <w:rsid w:val="0018073A"/>
    <w:rsid w:val="00181EB5"/>
    <w:rsid w:val="00190C70"/>
    <w:rsid w:val="00192BC3"/>
    <w:rsid w:val="001979AE"/>
    <w:rsid w:val="001A21B9"/>
    <w:rsid w:val="001A36AB"/>
    <w:rsid w:val="001A69BA"/>
    <w:rsid w:val="001A71E0"/>
    <w:rsid w:val="001A7A61"/>
    <w:rsid w:val="001C0217"/>
    <w:rsid w:val="001C14E0"/>
    <w:rsid w:val="001C3FF8"/>
    <w:rsid w:val="001D0D28"/>
    <w:rsid w:val="001D361F"/>
    <w:rsid w:val="001D55BF"/>
    <w:rsid w:val="001D734A"/>
    <w:rsid w:val="001E2D08"/>
    <w:rsid w:val="001E421B"/>
    <w:rsid w:val="001F3885"/>
    <w:rsid w:val="001F43F0"/>
    <w:rsid w:val="001F5212"/>
    <w:rsid w:val="00202901"/>
    <w:rsid w:val="0020440B"/>
    <w:rsid w:val="00206A89"/>
    <w:rsid w:val="00211B17"/>
    <w:rsid w:val="00211E08"/>
    <w:rsid w:val="00214D2E"/>
    <w:rsid w:val="00214E22"/>
    <w:rsid w:val="002229F7"/>
    <w:rsid w:val="00224518"/>
    <w:rsid w:val="00224B81"/>
    <w:rsid w:val="00231D28"/>
    <w:rsid w:val="002332ED"/>
    <w:rsid w:val="00241EC4"/>
    <w:rsid w:val="002453E7"/>
    <w:rsid w:val="0024587B"/>
    <w:rsid w:val="00246AB9"/>
    <w:rsid w:val="002504BC"/>
    <w:rsid w:val="0025414E"/>
    <w:rsid w:val="00255684"/>
    <w:rsid w:val="00256794"/>
    <w:rsid w:val="002720DD"/>
    <w:rsid w:val="002745EF"/>
    <w:rsid w:val="002764F7"/>
    <w:rsid w:val="00277D34"/>
    <w:rsid w:val="002818CB"/>
    <w:rsid w:val="0028211C"/>
    <w:rsid w:val="00282503"/>
    <w:rsid w:val="00283A84"/>
    <w:rsid w:val="00283FA9"/>
    <w:rsid w:val="00284A97"/>
    <w:rsid w:val="00285494"/>
    <w:rsid w:val="002858A5"/>
    <w:rsid w:val="00285A30"/>
    <w:rsid w:val="002869BC"/>
    <w:rsid w:val="00286D70"/>
    <w:rsid w:val="00292298"/>
    <w:rsid w:val="00292761"/>
    <w:rsid w:val="00293B88"/>
    <w:rsid w:val="0029756C"/>
    <w:rsid w:val="002A2897"/>
    <w:rsid w:val="002A488D"/>
    <w:rsid w:val="002A54F6"/>
    <w:rsid w:val="002B0D8E"/>
    <w:rsid w:val="002B1B8C"/>
    <w:rsid w:val="002B5CC2"/>
    <w:rsid w:val="002B76A7"/>
    <w:rsid w:val="002B7C26"/>
    <w:rsid w:val="002C013F"/>
    <w:rsid w:val="002C0905"/>
    <w:rsid w:val="002C2677"/>
    <w:rsid w:val="002C3C61"/>
    <w:rsid w:val="002C50E9"/>
    <w:rsid w:val="002C56AB"/>
    <w:rsid w:val="002C6091"/>
    <w:rsid w:val="002D14E5"/>
    <w:rsid w:val="002D1B9A"/>
    <w:rsid w:val="002D40BC"/>
    <w:rsid w:val="002D4FC5"/>
    <w:rsid w:val="002D630A"/>
    <w:rsid w:val="002E0D70"/>
    <w:rsid w:val="002E2249"/>
    <w:rsid w:val="002F02AC"/>
    <w:rsid w:val="002F0893"/>
    <w:rsid w:val="002F1FE9"/>
    <w:rsid w:val="002F273E"/>
    <w:rsid w:val="002F7141"/>
    <w:rsid w:val="0030321A"/>
    <w:rsid w:val="00313439"/>
    <w:rsid w:val="003173D8"/>
    <w:rsid w:val="00320478"/>
    <w:rsid w:val="00322E79"/>
    <w:rsid w:val="0032315B"/>
    <w:rsid w:val="003241A8"/>
    <w:rsid w:val="0033115C"/>
    <w:rsid w:val="00332489"/>
    <w:rsid w:val="00343FF8"/>
    <w:rsid w:val="00350704"/>
    <w:rsid w:val="00351912"/>
    <w:rsid w:val="00353387"/>
    <w:rsid w:val="003628F5"/>
    <w:rsid w:val="00364BFA"/>
    <w:rsid w:val="00366D70"/>
    <w:rsid w:val="00370CC2"/>
    <w:rsid w:val="00371380"/>
    <w:rsid w:val="0038066F"/>
    <w:rsid w:val="00381D39"/>
    <w:rsid w:val="00382DED"/>
    <w:rsid w:val="003917A0"/>
    <w:rsid w:val="003929FE"/>
    <w:rsid w:val="00393FE1"/>
    <w:rsid w:val="00396AD2"/>
    <w:rsid w:val="003A05C3"/>
    <w:rsid w:val="003A3136"/>
    <w:rsid w:val="003A4BA8"/>
    <w:rsid w:val="003A5990"/>
    <w:rsid w:val="003B05C0"/>
    <w:rsid w:val="003C05A1"/>
    <w:rsid w:val="003C3415"/>
    <w:rsid w:val="003C5C87"/>
    <w:rsid w:val="003D5DF7"/>
    <w:rsid w:val="003D7696"/>
    <w:rsid w:val="003E5B37"/>
    <w:rsid w:val="003F53F5"/>
    <w:rsid w:val="00405056"/>
    <w:rsid w:val="004059FC"/>
    <w:rsid w:val="0040636A"/>
    <w:rsid w:val="004117BE"/>
    <w:rsid w:val="00422B00"/>
    <w:rsid w:val="00424495"/>
    <w:rsid w:val="00426D76"/>
    <w:rsid w:val="0042746A"/>
    <w:rsid w:val="004325BA"/>
    <w:rsid w:val="0043580B"/>
    <w:rsid w:val="004369BB"/>
    <w:rsid w:val="00437E60"/>
    <w:rsid w:val="004408C9"/>
    <w:rsid w:val="00441678"/>
    <w:rsid w:val="00441A80"/>
    <w:rsid w:val="004425C0"/>
    <w:rsid w:val="00442A0E"/>
    <w:rsid w:val="004469DF"/>
    <w:rsid w:val="00451CC8"/>
    <w:rsid w:val="0045553E"/>
    <w:rsid w:val="00464BBD"/>
    <w:rsid w:val="004705FA"/>
    <w:rsid w:val="0047165F"/>
    <w:rsid w:val="00472D3E"/>
    <w:rsid w:val="004752D4"/>
    <w:rsid w:val="0047644B"/>
    <w:rsid w:val="0048683E"/>
    <w:rsid w:val="00491BF6"/>
    <w:rsid w:val="00491D09"/>
    <w:rsid w:val="00492D4A"/>
    <w:rsid w:val="00493062"/>
    <w:rsid w:val="00496B90"/>
    <w:rsid w:val="004A4F72"/>
    <w:rsid w:val="004B23FB"/>
    <w:rsid w:val="004B24EF"/>
    <w:rsid w:val="004B2636"/>
    <w:rsid w:val="004B3B3E"/>
    <w:rsid w:val="004B7BA7"/>
    <w:rsid w:val="004B7FA1"/>
    <w:rsid w:val="004C2182"/>
    <w:rsid w:val="004C78DD"/>
    <w:rsid w:val="004D6448"/>
    <w:rsid w:val="004D7D45"/>
    <w:rsid w:val="004E14DA"/>
    <w:rsid w:val="004E2AF3"/>
    <w:rsid w:val="004E593B"/>
    <w:rsid w:val="004E7D1C"/>
    <w:rsid w:val="004F0CBB"/>
    <w:rsid w:val="004F4E17"/>
    <w:rsid w:val="004F5DBA"/>
    <w:rsid w:val="004F5FA6"/>
    <w:rsid w:val="00501C18"/>
    <w:rsid w:val="00502C6F"/>
    <w:rsid w:val="00505CA2"/>
    <w:rsid w:val="0050693D"/>
    <w:rsid w:val="00511B13"/>
    <w:rsid w:val="005145AC"/>
    <w:rsid w:val="00515C54"/>
    <w:rsid w:val="00517735"/>
    <w:rsid w:val="005273BC"/>
    <w:rsid w:val="005310E0"/>
    <w:rsid w:val="00534E9C"/>
    <w:rsid w:val="00536DAC"/>
    <w:rsid w:val="00546C87"/>
    <w:rsid w:val="00550773"/>
    <w:rsid w:val="00551C94"/>
    <w:rsid w:val="00552EB7"/>
    <w:rsid w:val="00553656"/>
    <w:rsid w:val="005610A2"/>
    <w:rsid w:val="00563EA9"/>
    <w:rsid w:val="00565063"/>
    <w:rsid w:val="005665C6"/>
    <w:rsid w:val="00567068"/>
    <w:rsid w:val="00567226"/>
    <w:rsid w:val="00567800"/>
    <w:rsid w:val="00567E39"/>
    <w:rsid w:val="00573049"/>
    <w:rsid w:val="0057633B"/>
    <w:rsid w:val="005810D3"/>
    <w:rsid w:val="005857F4"/>
    <w:rsid w:val="0058698F"/>
    <w:rsid w:val="005874E7"/>
    <w:rsid w:val="00592E6D"/>
    <w:rsid w:val="0059514F"/>
    <w:rsid w:val="005955AB"/>
    <w:rsid w:val="0059773C"/>
    <w:rsid w:val="005A29DC"/>
    <w:rsid w:val="005A2C26"/>
    <w:rsid w:val="005A431C"/>
    <w:rsid w:val="005A5990"/>
    <w:rsid w:val="005A6A23"/>
    <w:rsid w:val="005B0449"/>
    <w:rsid w:val="005B05E8"/>
    <w:rsid w:val="005B0A5F"/>
    <w:rsid w:val="005B2CE6"/>
    <w:rsid w:val="005B3760"/>
    <w:rsid w:val="005B5E01"/>
    <w:rsid w:val="005B617D"/>
    <w:rsid w:val="005B686F"/>
    <w:rsid w:val="005B6D74"/>
    <w:rsid w:val="005B7C9D"/>
    <w:rsid w:val="005C15C2"/>
    <w:rsid w:val="005C5D97"/>
    <w:rsid w:val="005C68BE"/>
    <w:rsid w:val="005C68C7"/>
    <w:rsid w:val="005C7F56"/>
    <w:rsid w:val="005D2DCC"/>
    <w:rsid w:val="005D3140"/>
    <w:rsid w:val="005D3161"/>
    <w:rsid w:val="005D6830"/>
    <w:rsid w:val="005E091E"/>
    <w:rsid w:val="005E38CA"/>
    <w:rsid w:val="005E517D"/>
    <w:rsid w:val="005E52F2"/>
    <w:rsid w:val="005F0613"/>
    <w:rsid w:val="005F74CD"/>
    <w:rsid w:val="005F7A3C"/>
    <w:rsid w:val="00601866"/>
    <w:rsid w:val="006212E7"/>
    <w:rsid w:val="00621987"/>
    <w:rsid w:val="006233C2"/>
    <w:rsid w:val="0062370E"/>
    <w:rsid w:val="0062713B"/>
    <w:rsid w:val="0063165C"/>
    <w:rsid w:val="0063265A"/>
    <w:rsid w:val="006345C0"/>
    <w:rsid w:val="006351AB"/>
    <w:rsid w:val="0065366F"/>
    <w:rsid w:val="00654360"/>
    <w:rsid w:val="00657A0B"/>
    <w:rsid w:val="006643B5"/>
    <w:rsid w:val="006668DA"/>
    <w:rsid w:val="00666EB0"/>
    <w:rsid w:val="0066705D"/>
    <w:rsid w:val="00671A38"/>
    <w:rsid w:val="00671C99"/>
    <w:rsid w:val="00673878"/>
    <w:rsid w:val="00674977"/>
    <w:rsid w:val="006937F4"/>
    <w:rsid w:val="00695116"/>
    <w:rsid w:val="00695C46"/>
    <w:rsid w:val="006963A8"/>
    <w:rsid w:val="006A17C8"/>
    <w:rsid w:val="006A444D"/>
    <w:rsid w:val="006A66EC"/>
    <w:rsid w:val="006B578C"/>
    <w:rsid w:val="006B733D"/>
    <w:rsid w:val="006C4500"/>
    <w:rsid w:val="006C5871"/>
    <w:rsid w:val="006C58D0"/>
    <w:rsid w:val="006D0EFA"/>
    <w:rsid w:val="006D17E7"/>
    <w:rsid w:val="006D37EF"/>
    <w:rsid w:val="006D602A"/>
    <w:rsid w:val="006D7CC6"/>
    <w:rsid w:val="006E162B"/>
    <w:rsid w:val="006E7815"/>
    <w:rsid w:val="006F4688"/>
    <w:rsid w:val="0070249B"/>
    <w:rsid w:val="007049BA"/>
    <w:rsid w:val="00706FA4"/>
    <w:rsid w:val="00716F98"/>
    <w:rsid w:val="00717B6C"/>
    <w:rsid w:val="00717FA8"/>
    <w:rsid w:val="00722474"/>
    <w:rsid w:val="007251BE"/>
    <w:rsid w:val="00726689"/>
    <w:rsid w:val="00730B4D"/>
    <w:rsid w:val="00734C3A"/>
    <w:rsid w:val="00736893"/>
    <w:rsid w:val="00736C9E"/>
    <w:rsid w:val="00742928"/>
    <w:rsid w:val="007527D7"/>
    <w:rsid w:val="00753421"/>
    <w:rsid w:val="007556A6"/>
    <w:rsid w:val="0076347A"/>
    <w:rsid w:val="00764D74"/>
    <w:rsid w:val="00767743"/>
    <w:rsid w:val="007718F9"/>
    <w:rsid w:val="0077741E"/>
    <w:rsid w:val="00777AFB"/>
    <w:rsid w:val="0078204D"/>
    <w:rsid w:val="00786E4D"/>
    <w:rsid w:val="00793580"/>
    <w:rsid w:val="00794C1F"/>
    <w:rsid w:val="00797089"/>
    <w:rsid w:val="0079759E"/>
    <w:rsid w:val="007A6D82"/>
    <w:rsid w:val="007B176B"/>
    <w:rsid w:val="007B3EC4"/>
    <w:rsid w:val="007C3A84"/>
    <w:rsid w:val="007C412A"/>
    <w:rsid w:val="007C58E1"/>
    <w:rsid w:val="007C5EA7"/>
    <w:rsid w:val="007C6CEC"/>
    <w:rsid w:val="007D19FD"/>
    <w:rsid w:val="007D3737"/>
    <w:rsid w:val="007D619A"/>
    <w:rsid w:val="007D7429"/>
    <w:rsid w:val="007E0DAA"/>
    <w:rsid w:val="007E4D13"/>
    <w:rsid w:val="007F156D"/>
    <w:rsid w:val="007F23E6"/>
    <w:rsid w:val="007F2EB4"/>
    <w:rsid w:val="007F4003"/>
    <w:rsid w:val="0080162B"/>
    <w:rsid w:val="0080348C"/>
    <w:rsid w:val="00807A3E"/>
    <w:rsid w:val="008114A9"/>
    <w:rsid w:val="0081260C"/>
    <w:rsid w:val="00812F5E"/>
    <w:rsid w:val="00813962"/>
    <w:rsid w:val="00814B56"/>
    <w:rsid w:val="00822080"/>
    <w:rsid w:val="008235AE"/>
    <w:rsid w:val="008267B4"/>
    <w:rsid w:val="0083341D"/>
    <w:rsid w:val="0083433F"/>
    <w:rsid w:val="008356E5"/>
    <w:rsid w:val="00841669"/>
    <w:rsid w:val="00844BBF"/>
    <w:rsid w:val="00844EC3"/>
    <w:rsid w:val="0085060D"/>
    <w:rsid w:val="0085287D"/>
    <w:rsid w:val="008573B0"/>
    <w:rsid w:val="008632A1"/>
    <w:rsid w:val="00864F7D"/>
    <w:rsid w:val="00870991"/>
    <w:rsid w:val="00874E85"/>
    <w:rsid w:val="00876A49"/>
    <w:rsid w:val="00891F28"/>
    <w:rsid w:val="00892E0A"/>
    <w:rsid w:val="008937FE"/>
    <w:rsid w:val="00893CD6"/>
    <w:rsid w:val="008A004B"/>
    <w:rsid w:val="008A01F8"/>
    <w:rsid w:val="008A1597"/>
    <w:rsid w:val="008A49D6"/>
    <w:rsid w:val="008A5FDA"/>
    <w:rsid w:val="008A6F8B"/>
    <w:rsid w:val="008B4A16"/>
    <w:rsid w:val="008B6BFB"/>
    <w:rsid w:val="008C44EC"/>
    <w:rsid w:val="008C6465"/>
    <w:rsid w:val="008D58D1"/>
    <w:rsid w:val="008D79F0"/>
    <w:rsid w:val="008E1328"/>
    <w:rsid w:val="008E251C"/>
    <w:rsid w:val="008E4F64"/>
    <w:rsid w:val="008E5969"/>
    <w:rsid w:val="008E6768"/>
    <w:rsid w:val="008F38C5"/>
    <w:rsid w:val="008F66FF"/>
    <w:rsid w:val="009033E8"/>
    <w:rsid w:val="009106D5"/>
    <w:rsid w:val="0091085D"/>
    <w:rsid w:val="00912C31"/>
    <w:rsid w:val="00913BDD"/>
    <w:rsid w:val="00916068"/>
    <w:rsid w:val="00917F3B"/>
    <w:rsid w:val="0092127A"/>
    <w:rsid w:val="009212B6"/>
    <w:rsid w:val="0092249C"/>
    <w:rsid w:val="00924B0A"/>
    <w:rsid w:val="00924B40"/>
    <w:rsid w:val="00926FDC"/>
    <w:rsid w:val="0093375C"/>
    <w:rsid w:val="00933E5D"/>
    <w:rsid w:val="0094149F"/>
    <w:rsid w:val="00941D75"/>
    <w:rsid w:val="00942728"/>
    <w:rsid w:val="009449D8"/>
    <w:rsid w:val="009459C2"/>
    <w:rsid w:val="00947C46"/>
    <w:rsid w:val="00951C74"/>
    <w:rsid w:val="00951D62"/>
    <w:rsid w:val="009524AC"/>
    <w:rsid w:val="00954D78"/>
    <w:rsid w:val="0095519E"/>
    <w:rsid w:val="00955B80"/>
    <w:rsid w:val="009560E1"/>
    <w:rsid w:val="00957CB5"/>
    <w:rsid w:val="0096385B"/>
    <w:rsid w:val="0096445B"/>
    <w:rsid w:val="00966E3D"/>
    <w:rsid w:val="0097066B"/>
    <w:rsid w:val="009772D9"/>
    <w:rsid w:val="00982011"/>
    <w:rsid w:val="0098409D"/>
    <w:rsid w:val="00991BE4"/>
    <w:rsid w:val="00992949"/>
    <w:rsid w:val="00993C1D"/>
    <w:rsid w:val="00995B9B"/>
    <w:rsid w:val="009A1171"/>
    <w:rsid w:val="009A1CEC"/>
    <w:rsid w:val="009B382E"/>
    <w:rsid w:val="009B6E0F"/>
    <w:rsid w:val="009C368C"/>
    <w:rsid w:val="009D08AD"/>
    <w:rsid w:val="009D0D6E"/>
    <w:rsid w:val="009D1100"/>
    <w:rsid w:val="009D2E65"/>
    <w:rsid w:val="009D348C"/>
    <w:rsid w:val="009D5A24"/>
    <w:rsid w:val="009E446D"/>
    <w:rsid w:val="009F4938"/>
    <w:rsid w:val="009F6510"/>
    <w:rsid w:val="009F6B42"/>
    <w:rsid w:val="00A069F0"/>
    <w:rsid w:val="00A070DC"/>
    <w:rsid w:val="00A13F30"/>
    <w:rsid w:val="00A26A10"/>
    <w:rsid w:val="00A27921"/>
    <w:rsid w:val="00A32D5F"/>
    <w:rsid w:val="00A44542"/>
    <w:rsid w:val="00A460EF"/>
    <w:rsid w:val="00A50313"/>
    <w:rsid w:val="00A53EF0"/>
    <w:rsid w:val="00A54906"/>
    <w:rsid w:val="00A560FC"/>
    <w:rsid w:val="00A579B4"/>
    <w:rsid w:val="00A62492"/>
    <w:rsid w:val="00A6430E"/>
    <w:rsid w:val="00A6591A"/>
    <w:rsid w:val="00A65F40"/>
    <w:rsid w:val="00A72A04"/>
    <w:rsid w:val="00A7350E"/>
    <w:rsid w:val="00A74FE9"/>
    <w:rsid w:val="00A75E1C"/>
    <w:rsid w:val="00A86192"/>
    <w:rsid w:val="00A9001C"/>
    <w:rsid w:val="00A93F44"/>
    <w:rsid w:val="00A94C7F"/>
    <w:rsid w:val="00AA03B8"/>
    <w:rsid w:val="00AA3F94"/>
    <w:rsid w:val="00AA40AB"/>
    <w:rsid w:val="00AA6C79"/>
    <w:rsid w:val="00AA7135"/>
    <w:rsid w:val="00AB4C2E"/>
    <w:rsid w:val="00AB5216"/>
    <w:rsid w:val="00AB640F"/>
    <w:rsid w:val="00AC1750"/>
    <w:rsid w:val="00AC271C"/>
    <w:rsid w:val="00AC3FBB"/>
    <w:rsid w:val="00AC6882"/>
    <w:rsid w:val="00AD4060"/>
    <w:rsid w:val="00AD4222"/>
    <w:rsid w:val="00AD4BC5"/>
    <w:rsid w:val="00AD6483"/>
    <w:rsid w:val="00AD728D"/>
    <w:rsid w:val="00AE24E6"/>
    <w:rsid w:val="00AF277F"/>
    <w:rsid w:val="00B040BD"/>
    <w:rsid w:val="00B04D2B"/>
    <w:rsid w:val="00B07934"/>
    <w:rsid w:val="00B1313C"/>
    <w:rsid w:val="00B14E10"/>
    <w:rsid w:val="00B15678"/>
    <w:rsid w:val="00B2014F"/>
    <w:rsid w:val="00B20909"/>
    <w:rsid w:val="00B242F0"/>
    <w:rsid w:val="00B32669"/>
    <w:rsid w:val="00B3305C"/>
    <w:rsid w:val="00B330A2"/>
    <w:rsid w:val="00B342BA"/>
    <w:rsid w:val="00B34CA6"/>
    <w:rsid w:val="00B358B1"/>
    <w:rsid w:val="00B40D9E"/>
    <w:rsid w:val="00B459F7"/>
    <w:rsid w:val="00B47AFD"/>
    <w:rsid w:val="00B502CE"/>
    <w:rsid w:val="00B52409"/>
    <w:rsid w:val="00B535C9"/>
    <w:rsid w:val="00B62331"/>
    <w:rsid w:val="00B70B0A"/>
    <w:rsid w:val="00B70FBF"/>
    <w:rsid w:val="00B726BF"/>
    <w:rsid w:val="00B76083"/>
    <w:rsid w:val="00B809A3"/>
    <w:rsid w:val="00B9273C"/>
    <w:rsid w:val="00B93C10"/>
    <w:rsid w:val="00B940E3"/>
    <w:rsid w:val="00B97808"/>
    <w:rsid w:val="00BA4CF0"/>
    <w:rsid w:val="00BA5EF4"/>
    <w:rsid w:val="00BB0089"/>
    <w:rsid w:val="00BB1A19"/>
    <w:rsid w:val="00BB2418"/>
    <w:rsid w:val="00BB71F2"/>
    <w:rsid w:val="00BB76CF"/>
    <w:rsid w:val="00BB7A7E"/>
    <w:rsid w:val="00BC265B"/>
    <w:rsid w:val="00BC2ABE"/>
    <w:rsid w:val="00BC334D"/>
    <w:rsid w:val="00BC3C27"/>
    <w:rsid w:val="00BC4815"/>
    <w:rsid w:val="00BC4EAD"/>
    <w:rsid w:val="00BC60A0"/>
    <w:rsid w:val="00BC637A"/>
    <w:rsid w:val="00BD4BE5"/>
    <w:rsid w:val="00BE4BD4"/>
    <w:rsid w:val="00BF530A"/>
    <w:rsid w:val="00BF7F30"/>
    <w:rsid w:val="00C03418"/>
    <w:rsid w:val="00C14683"/>
    <w:rsid w:val="00C24754"/>
    <w:rsid w:val="00C27C15"/>
    <w:rsid w:val="00C30641"/>
    <w:rsid w:val="00C35267"/>
    <w:rsid w:val="00C36911"/>
    <w:rsid w:val="00C37349"/>
    <w:rsid w:val="00C42BB6"/>
    <w:rsid w:val="00C445EB"/>
    <w:rsid w:val="00C53862"/>
    <w:rsid w:val="00C53A66"/>
    <w:rsid w:val="00C53D3A"/>
    <w:rsid w:val="00C542A4"/>
    <w:rsid w:val="00C573D2"/>
    <w:rsid w:val="00C63054"/>
    <w:rsid w:val="00C63AEE"/>
    <w:rsid w:val="00C6536D"/>
    <w:rsid w:val="00C76AF4"/>
    <w:rsid w:val="00C82D30"/>
    <w:rsid w:val="00C84126"/>
    <w:rsid w:val="00C901DA"/>
    <w:rsid w:val="00C9061E"/>
    <w:rsid w:val="00C93B11"/>
    <w:rsid w:val="00CA442D"/>
    <w:rsid w:val="00CA51C7"/>
    <w:rsid w:val="00CA5379"/>
    <w:rsid w:val="00CC11F4"/>
    <w:rsid w:val="00CC73C7"/>
    <w:rsid w:val="00CD33E1"/>
    <w:rsid w:val="00CD48E7"/>
    <w:rsid w:val="00CD4EBE"/>
    <w:rsid w:val="00CD5BCF"/>
    <w:rsid w:val="00CD79F7"/>
    <w:rsid w:val="00CD7ADF"/>
    <w:rsid w:val="00CE1112"/>
    <w:rsid w:val="00CE18A1"/>
    <w:rsid w:val="00CE2C20"/>
    <w:rsid w:val="00CF18E4"/>
    <w:rsid w:val="00CF6A5D"/>
    <w:rsid w:val="00D0360D"/>
    <w:rsid w:val="00D1692B"/>
    <w:rsid w:val="00D20233"/>
    <w:rsid w:val="00D21DFC"/>
    <w:rsid w:val="00D223FD"/>
    <w:rsid w:val="00D244F8"/>
    <w:rsid w:val="00D26071"/>
    <w:rsid w:val="00D27929"/>
    <w:rsid w:val="00D27E25"/>
    <w:rsid w:val="00D30F35"/>
    <w:rsid w:val="00D32B91"/>
    <w:rsid w:val="00D3402F"/>
    <w:rsid w:val="00D35A9C"/>
    <w:rsid w:val="00D420E6"/>
    <w:rsid w:val="00D44C9A"/>
    <w:rsid w:val="00D50367"/>
    <w:rsid w:val="00D50848"/>
    <w:rsid w:val="00D536C1"/>
    <w:rsid w:val="00D56F93"/>
    <w:rsid w:val="00D621A5"/>
    <w:rsid w:val="00D70434"/>
    <w:rsid w:val="00D70CBA"/>
    <w:rsid w:val="00D71B7B"/>
    <w:rsid w:val="00D775AF"/>
    <w:rsid w:val="00D8035C"/>
    <w:rsid w:val="00D84729"/>
    <w:rsid w:val="00D90ED5"/>
    <w:rsid w:val="00D948F4"/>
    <w:rsid w:val="00D95304"/>
    <w:rsid w:val="00D96E4D"/>
    <w:rsid w:val="00DA015B"/>
    <w:rsid w:val="00DA5349"/>
    <w:rsid w:val="00DA6E30"/>
    <w:rsid w:val="00DB1074"/>
    <w:rsid w:val="00DB5ABD"/>
    <w:rsid w:val="00DC1573"/>
    <w:rsid w:val="00DC3340"/>
    <w:rsid w:val="00DC409E"/>
    <w:rsid w:val="00DC7109"/>
    <w:rsid w:val="00DC7179"/>
    <w:rsid w:val="00DD091B"/>
    <w:rsid w:val="00DD0D40"/>
    <w:rsid w:val="00DD15A9"/>
    <w:rsid w:val="00DD7630"/>
    <w:rsid w:val="00DE0C57"/>
    <w:rsid w:val="00DE6310"/>
    <w:rsid w:val="00DF2C8A"/>
    <w:rsid w:val="00DF3509"/>
    <w:rsid w:val="00DF4CDE"/>
    <w:rsid w:val="00DF66B1"/>
    <w:rsid w:val="00DF7852"/>
    <w:rsid w:val="00E0099A"/>
    <w:rsid w:val="00E00D00"/>
    <w:rsid w:val="00E015D4"/>
    <w:rsid w:val="00E02E23"/>
    <w:rsid w:val="00E05AA1"/>
    <w:rsid w:val="00E06106"/>
    <w:rsid w:val="00E100B9"/>
    <w:rsid w:val="00E1249F"/>
    <w:rsid w:val="00E12B14"/>
    <w:rsid w:val="00E148BA"/>
    <w:rsid w:val="00E15FE8"/>
    <w:rsid w:val="00E2184D"/>
    <w:rsid w:val="00E22F60"/>
    <w:rsid w:val="00E23E59"/>
    <w:rsid w:val="00E259D9"/>
    <w:rsid w:val="00E27591"/>
    <w:rsid w:val="00E304CE"/>
    <w:rsid w:val="00E31524"/>
    <w:rsid w:val="00E33088"/>
    <w:rsid w:val="00E4139E"/>
    <w:rsid w:val="00E465C1"/>
    <w:rsid w:val="00E50DB6"/>
    <w:rsid w:val="00E51F17"/>
    <w:rsid w:val="00E53B13"/>
    <w:rsid w:val="00E602AA"/>
    <w:rsid w:val="00E66159"/>
    <w:rsid w:val="00E7260A"/>
    <w:rsid w:val="00E73821"/>
    <w:rsid w:val="00E7519C"/>
    <w:rsid w:val="00E75AD4"/>
    <w:rsid w:val="00E83455"/>
    <w:rsid w:val="00E858D5"/>
    <w:rsid w:val="00E86B8F"/>
    <w:rsid w:val="00E90763"/>
    <w:rsid w:val="00E9292B"/>
    <w:rsid w:val="00E93F83"/>
    <w:rsid w:val="00EB2E83"/>
    <w:rsid w:val="00EB5153"/>
    <w:rsid w:val="00EC0982"/>
    <w:rsid w:val="00EC4A5C"/>
    <w:rsid w:val="00EC55C2"/>
    <w:rsid w:val="00EC5CC1"/>
    <w:rsid w:val="00EC6DA0"/>
    <w:rsid w:val="00EC7667"/>
    <w:rsid w:val="00ED1244"/>
    <w:rsid w:val="00ED1A17"/>
    <w:rsid w:val="00ED440B"/>
    <w:rsid w:val="00ED7A20"/>
    <w:rsid w:val="00EE0467"/>
    <w:rsid w:val="00EE2475"/>
    <w:rsid w:val="00F031F7"/>
    <w:rsid w:val="00F0726C"/>
    <w:rsid w:val="00F073A0"/>
    <w:rsid w:val="00F1266B"/>
    <w:rsid w:val="00F13BF5"/>
    <w:rsid w:val="00F14032"/>
    <w:rsid w:val="00F17EB5"/>
    <w:rsid w:val="00F22EA5"/>
    <w:rsid w:val="00F2383D"/>
    <w:rsid w:val="00F26303"/>
    <w:rsid w:val="00F315AB"/>
    <w:rsid w:val="00F31A58"/>
    <w:rsid w:val="00F31D8D"/>
    <w:rsid w:val="00F32C18"/>
    <w:rsid w:val="00F32FEF"/>
    <w:rsid w:val="00F3306C"/>
    <w:rsid w:val="00F348B2"/>
    <w:rsid w:val="00F3522B"/>
    <w:rsid w:val="00F37BFF"/>
    <w:rsid w:val="00F40DF7"/>
    <w:rsid w:val="00F42F1C"/>
    <w:rsid w:val="00F435B9"/>
    <w:rsid w:val="00F52DAF"/>
    <w:rsid w:val="00F55400"/>
    <w:rsid w:val="00F5726D"/>
    <w:rsid w:val="00F626CB"/>
    <w:rsid w:val="00F66976"/>
    <w:rsid w:val="00F7525F"/>
    <w:rsid w:val="00F7547A"/>
    <w:rsid w:val="00F771FD"/>
    <w:rsid w:val="00F83B2C"/>
    <w:rsid w:val="00F8422D"/>
    <w:rsid w:val="00F8535F"/>
    <w:rsid w:val="00F869E0"/>
    <w:rsid w:val="00F92EAA"/>
    <w:rsid w:val="00F9568D"/>
    <w:rsid w:val="00F958E5"/>
    <w:rsid w:val="00F9784C"/>
    <w:rsid w:val="00FA275F"/>
    <w:rsid w:val="00FA3BDB"/>
    <w:rsid w:val="00FA3D79"/>
    <w:rsid w:val="00FA4E2E"/>
    <w:rsid w:val="00FA5994"/>
    <w:rsid w:val="00FA7FA9"/>
    <w:rsid w:val="00FB2BFD"/>
    <w:rsid w:val="00FB45D3"/>
    <w:rsid w:val="00FB6A34"/>
    <w:rsid w:val="00FB7FFB"/>
    <w:rsid w:val="00FC07B2"/>
    <w:rsid w:val="00FC5BBC"/>
    <w:rsid w:val="00FC6276"/>
    <w:rsid w:val="00FC7767"/>
    <w:rsid w:val="00FD2617"/>
    <w:rsid w:val="00FD4944"/>
    <w:rsid w:val="00FD78C8"/>
    <w:rsid w:val="00FE204F"/>
    <w:rsid w:val="00FE4085"/>
    <w:rsid w:val="00FE40F7"/>
    <w:rsid w:val="00FF0D58"/>
    <w:rsid w:val="00FF188C"/>
    <w:rsid w:val="00FF2D05"/>
    <w:rsid w:val="00FF34DF"/>
    <w:rsid w:val="00FF484E"/>
    <w:rsid w:val="00FF625E"/>
    <w:rsid w:val="00FF6539"/>
    <w:rsid w:val="010941D5"/>
    <w:rsid w:val="0129AD8C"/>
    <w:rsid w:val="013BCC1F"/>
    <w:rsid w:val="01E0F796"/>
    <w:rsid w:val="02A02B3D"/>
    <w:rsid w:val="03816589"/>
    <w:rsid w:val="062C979E"/>
    <w:rsid w:val="0637BBA6"/>
    <w:rsid w:val="0865DF39"/>
    <w:rsid w:val="099954FD"/>
    <w:rsid w:val="0A8B8956"/>
    <w:rsid w:val="0B548288"/>
    <w:rsid w:val="0B94F02F"/>
    <w:rsid w:val="0C93AA6B"/>
    <w:rsid w:val="0D82E406"/>
    <w:rsid w:val="0E7F4BA9"/>
    <w:rsid w:val="0FE86A4F"/>
    <w:rsid w:val="0FEF8F2A"/>
    <w:rsid w:val="105BB98A"/>
    <w:rsid w:val="10FD6870"/>
    <w:rsid w:val="111270DD"/>
    <w:rsid w:val="11CA33E6"/>
    <w:rsid w:val="1203A678"/>
    <w:rsid w:val="14B9C508"/>
    <w:rsid w:val="15FAEE26"/>
    <w:rsid w:val="1634B713"/>
    <w:rsid w:val="169045AE"/>
    <w:rsid w:val="16973DBA"/>
    <w:rsid w:val="16F59DF2"/>
    <w:rsid w:val="179CCBB8"/>
    <w:rsid w:val="17FFAE2D"/>
    <w:rsid w:val="18B861CD"/>
    <w:rsid w:val="1937F643"/>
    <w:rsid w:val="1B4C7871"/>
    <w:rsid w:val="1B8414A3"/>
    <w:rsid w:val="1BDF14EC"/>
    <w:rsid w:val="1C0C18F7"/>
    <w:rsid w:val="1C149E90"/>
    <w:rsid w:val="1C41D763"/>
    <w:rsid w:val="1C4D43D4"/>
    <w:rsid w:val="1C80F063"/>
    <w:rsid w:val="1CA04275"/>
    <w:rsid w:val="1CCC1281"/>
    <w:rsid w:val="1CDCA2CC"/>
    <w:rsid w:val="1D5D0AA6"/>
    <w:rsid w:val="1D66DE60"/>
    <w:rsid w:val="1D9D2F32"/>
    <w:rsid w:val="1DC07364"/>
    <w:rsid w:val="1E6AD5DC"/>
    <w:rsid w:val="1EEFD882"/>
    <w:rsid w:val="215E55F3"/>
    <w:rsid w:val="21B23DCF"/>
    <w:rsid w:val="21EB893A"/>
    <w:rsid w:val="23C98976"/>
    <w:rsid w:val="245CC571"/>
    <w:rsid w:val="2483511A"/>
    <w:rsid w:val="26BC4C6C"/>
    <w:rsid w:val="26D572FB"/>
    <w:rsid w:val="27792BB5"/>
    <w:rsid w:val="279FC3B1"/>
    <w:rsid w:val="28D9F93B"/>
    <w:rsid w:val="28E31FAA"/>
    <w:rsid w:val="2A77E854"/>
    <w:rsid w:val="2AA85720"/>
    <w:rsid w:val="2AF1FF88"/>
    <w:rsid w:val="2B55603F"/>
    <w:rsid w:val="2D24908E"/>
    <w:rsid w:val="2D3F0DB1"/>
    <w:rsid w:val="2D94B6F7"/>
    <w:rsid w:val="2D96C148"/>
    <w:rsid w:val="2E7A1C8A"/>
    <w:rsid w:val="2E8C3DD2"/>
    <w:rsid w:val="2FD2E7E0"/>
    <w:rsid w:val="31482D32"/>
    <w:rsid w:val="315B9374"/>
    <w:rsid w:val="31ADC485"/>
    <w:rsid w:val="32C614C4"/>
    <w:rsid w:val="32E0530D"/>
    <w:rsid w:val="32F763D5"/>
    <w:rsid w:val="348A0E86"/>
    <w:rsid w:val="34D4E7BE"/>
    <w:rsid w:val="34E31A28"/>
    <w:rsid w:val="358C37C5"/>
    <w:rsid w:val="359797C8"/>
    <w:rsid w:val="35FA8415"/>
    <w:rsid w:val="37381582"/>
    <w:rsid w:val="37434F36"/>
    <w:rsid w:val="374FB468"/>
    <w:rsid w:val="379B86A2"/>
    <w:rsid w:val="37A3AF69"/>
    <w:rsid w:val="37C4D168"/>
    <w:rsid w:val="38BF9E19"/>
    <w:rsid w:val="3960A1C9"/>
    <w:rsid w:val="39877928"/>
    <w:rsid w:val="39F352A8"/>
    <w:rsid w:val="3AFC5E8F"/>
    <w:rsid w:val="3B6601C2"/>
    <w:rsid w:val="3BFA05D8"/>
    <w:rsid w:val="3C17FCA5"/>
    <w:rsid w:val="3C32400E"/>
    <w:rsid w:val="3D00126C"/>
    <w:rsid w:val="3D944AB5"/>
    <w:rsid w:val="3DBEB881"/>
    <w:rsid w:val="3DE304DF"/>
    <w:rsid w:val="3F4EC988"/>
    <w:rsid w:val="3F9445B4"/>
    <w:rsid w:val="411C2901"/>
    <w:rsid w:val="41F8A0B1"/>
    <w:rsid w:val="42D29B7B"/>
    <w:rsid w:val="44243302"/>
    <w:rsid w:val="45BDDA2C"/>
    <w:rsid w:val="462FF8BD"/>
    <w:rsid w:val="4666A194"/>
    <w:rsid w:val="468B587C"/>
    <w:rsid w:val="476B43A1"/>
    <w:rsid w:val="47A286FA"/>
    <w:rsid w:val="47D5FE99"/>
    <w:rsid w:val="486B2869"/>
    <w:rsid w:val="4930138C"/>
    <w:rsid w:val="49777870"/>
    <w:rsid w:val="4A77F215"/>
    <w:rsid w:val="4B845CFE"/>
    <w:rsid w:val="4BE35AA8"/>
    <w:rsid w:val="4DC4B8D1"/>
    <w:rsid w:val="4E156589"/>
    <w:rsid w:val="4E3924B2"/>
    <w:rsid w:val="514AC712"/>
    <w:rsid w:val="519A9177"/>
    <w:rsid w:val="51FDAF0C"/>
    <w:rsid w:val="520A2D79"/>
    <w:rsid w:val="52600556"/>
    <w:rsid w:val="53F2DA16"/>
    <w:rsid w:val="559D918F"/>
    <w:rsid w:val="55C7C426"/>
    <w:rsid w:val="56E16594"/>
    <w:rsid w:val="584EB9B0"/>
    <w:rsid w:val="5995F66D"/>
    <w:rsid w:val="5C01F130"/>
    <w:rsid w:val="5CD41869"/>
    <w:rsid w:val="5ED024CB"/>
    <w:rsid w:val="5FB77A82"/>
    <w:rsid w:val="5FE269A9"/>
    <w:rsid w:val="60B80179"/>
    <w:rsid w:val="61266A15"/>
    <w:rsid w:val="617E3A0A"/>
    <w:rsid w:val="630ACA30"/>
    <w:rsid w:val="650A94D8"/>
    <w:rsid w:val="650FC398"/>
    <w:rsid w:val="655105DF"/>
    <w:rsid w:val="659F50BA"/>
    <w:rsid w:val="65ACC4ED"/>
    <w:rsid w:val="66FAE9E9"/>
    <w:rsid w:val="6842359A"/>
    <w:rsid w:val="6930B32D"/>
    <w:rsid w:val="69D85906"/>
    <w:rsid w:val="6BC8F755"/>
    <w:rsid w:val="6D084478"/>
    <w:rsid w:val="6D15DAF1"/>
    <w:rsid w:val="6E4C87B3"/>
    <w:rsid w:val="6E66A534"/>
    <w:rsid w:val="6E92D854"/>
    <w:rsid w:val="6F413FCA"/>
    <w:rsid w:val="70137B3D"/>
    <w:rsid w:val="7197F3D1"/>
    <w:rsid w:val="719AC3D4"/>
    <w:rsid w:val="73381BBB"/>
    <w:rsid w:val="7352E98F"/>
    <w:rsid w:val="74545800"/>
    <w:rsid w:val="746AEA10"/>
    <w:rsid w:val="74A0677D"/>
    <w:rsid w:val="74C0F5BA"/>
    <w:rsid w:val="7647E54F"/>
    <w:rsid w:val="766F4043"/>
    <w:rsid w:val="76C86A2C"/>
    <w:rsid w:val="77232BB3"/>
    <w:rsid w:val="778C34B6"/>
    <w:rsid w:val="78298C30"/>
    <w:rsid w:val="786E3C8E"/>
    <w:rsid w:val="78F46F51"/>
    <w:rsid w:val="792D1C1F"/>
    <w:rsid w:val="7BFF9D13"/>
    <w:rsid w:val="7C79506C"/>
    <w:rsid w:val="7C8D1017"/>
    <w:rsid w:val="7F2CE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4A4C"/>
  <w14:defaultImageDpi w14:val="0"/>
  <w15:docId w15:val="{A49488FC-98AE-43CF-AE0F-285B3DEC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6D602A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/>
      <w:color w:val="auto"/>
    </w:rPr>
  </w:style>
  <w:style w:type="paragraph" w:styleId="Nadpis2">
    <w:name w:val="heading 2"/>
    <w:basedOn w:val="Normln"/>
    <w:next w:val="Normln"/>
    <w:link w:val="Nadpis2Char"/>
    <w:uiPriority w:val="9"/>
    <w:qFormat/>
    <w:rsid w:val="007D619A"/>
    <w:pPr>
      <w:keepNext/>
      <w:spacing w:before="120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2818CB"/>
    <w:pPr>
      <w:keepNext/>
      <w:overflowPunct w:val="0"/>
      <w:autoSpaceDE w:val="0"/>
      <w:autoSpaceDN w:val="0"/>
      <w:adjustRightInd w:val="0"/>
      <w:spacing w:before="120" w:after="0" w:line="240" w:lineRule="auto"/>
      <w:ind w:left="1440"/>
      <w:jc w:val="left"/>
      <w:textAlignment w:val="baseline"/>
      <w:outlineLvl w:val="3"/>
    </w:pPr>
    <w:rPr>
      <w:rFonts w:ascii="Times New Roman" w:hAnsi="Times New Roman"/>
      <w:color w:val="auto"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841669"/>
    <w:pPr>
      <w:keepNext/>
      <w:numPr>
        <w:ilvl w:val="4"/>
        <w:numId w:val="4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  <w:outlineLvl w:val="4"/>
    </w:pPr>
    <w:rPr>
      <w:rFonts w:ascii="Times New Roman" w:hAnsi="Times New Roman"/>
      <w:b/>
      <w:color w:val="auto"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84166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rFonts w:ascii="Times New Roman" w:hAnsi="Times New Roman"/>
      <w:b/>
      <w:bCs/>
      <w:color w:val="auto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4166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4166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hAnsi="Times New Roman"/>
      <w:i/>
      <w:iCs/>
      <w:color w:val="auto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4166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7D619A"/>
    <w:rPr>
      <w:rFonts w:ascii="Arial" w:hAnsi="Arial" w:cs="Arial"/>
      <w:bCs/>
      <w:iCs/>
      <w:noProof/>
      <w:color w:val="000000"/>
      <w:sz w:val="28"/>
      <w:szCs w:val="28"/>
      <w:lang w:val="pt-PT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pt-PT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818CB"/>
    <w:rPr>
      <w:rFonts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41669"/>
    <w:rPr>
      <w:rFonts w:cs="Times New Roman"/>
      <w:b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84166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84166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84166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841669"/>
    <w:rPr>
      <w:rFonts w:ascii="Arial" w:hAnsi="Arial" w:cs="Arial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ln"/>
    <w:next w:val="Normln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ln"/>
    <w:rsid w:val="003C3415"/>
    <w:pPr>
      <w:spacing w:before="1200"/>
      <w:ind w:left="142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character" w:customStyle="1" w:styleId="jmeno">
    <w:name w:val="jmeno"/>
    <w:rsid w:val="00AB640F"/>
  </w:style>
  <w:style w:type="character" w:styleId="Hypertextovodkaz">
    <w:name w:val="Hyperlink"/>
    <w:basedOn w:val="Standardnpsmoodstavce"/>
    <w:uiPriority w:val="99"/>
    <w:rsid w:val="00E15FE8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yhlky">
    <w:name w:val="nadpis vyhlášky"/>
    <w:basedOn w:val="Normln"/>
    <w:next w:val="Ministerstvo"/>
    <w:rsid w:val="00841669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color w:val="auto"/>
      <w:sz w:val="20"/>
      <w:szCs w:val="20"/>
    </w:rPr>
  </w:style>
  <w:style w:type="paragraph" w:customStyle="1" w:styleId="Ministerstvo">
    <w:name w:val="Ministerstvo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vrh">
    <w:name w:val="Návrh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hAnsi="Times New Roman"/>
      <w:color w:val="auto"/>
      <w:spacing w:val="40"/>
      <w:sz w:val="20"/>
      <w:szCs w:val="20"/>
    </w:rPr>
  </w:style>
  <w:style w:type="paragraph" w:customStyle="1" w:styleId="VYHLKA">
    <w:name w:val="VYHLÁŠKA"/>
    <w:basedOn w:val="Normln"/>
    <w:next w:val="nadpisvyhlky"/>
    <w:rsid w:val="00841669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Textodstavce">
    <w:name w:val="Text odstavce"/>
    <w:basedOn w:val="Normln"/>
    <w:uiPriority w:val="99"/>
    <w:rsid w:val="0084166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  <w:szCs w:val="20"/>
    </w:rPr>
  </w:style>
  <w:style w:type="paragraph" w:customStyle="1" w:styleId="Textbodu">
    <w:name w:val="Text bodu"/>
    <w:basedOn w:val="Normln"/>
    <w:uiPriority w:val="99"/>
    <w:rsid w:val="00841669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left="851" w:hanging="426"/>
      <w:jc w:val="left"/>
      <w:textAlignment w:val="baseline"/>
      <w:outlineLvl w:val="8"/>
    </w:pPr>
    <w:rPr>
      <w:rFonts w:ascii="Times New Roman" w:hAnsi="Times New Roman"/>
      <w:color w:val="auto"/>
      <w:sz w:val="20"/>
      <w:szCs w:val="20"/>
    </w:rPr>
  </w:style>
  <w:style w:type="paragraph" w:customStyle="1" w:styleId="Textpsmene">
    <w:name w:val="Text písmene"/>
    <w:basedOn w:val="Normln"/>
    <w:uiPriority w:val="99"/>
    <w:rsid w:val="00841669"/>
    <w:pPr>
      <w:tabs>
        <w:tab w:val="num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  <w:outlineLvl w:val="7"/>
    </w:pPr>
    <w:rPr>
      <w:rFonts w:ascii="Times New Roman" w:hAnsi="Times New Roman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41669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4166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4166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99"/>
    <w:qFormat/>
    <w:rsid w:val="00841669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86E4D"/>
  </w:style>
  <w:style w:type="paragraph" w:customStyle="1" w:styleId="Textparagrafu">
    <w:name w:val="Text paragrafu"/>
    <w:basedOn w:val="Normln"/>
    <w:uiPriority w:val="99"/>
    <w:rsid w:val="00277D34"/>
    <w:pPr>
      <w:spacing w:before="240" w:after="160" w:line="259" w:lineRule="auto"/>
      <w:ind w:firstLine="425"/>
      <w:jc w:val="left"/>
      <w:outlineLvl w:val="5"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277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lovn">
    <w:name w:val="číslování"/>
    <w:basedOn w:val="Normln"/>
    <w:rsid w:val="00786E4D"/>
    <w:pPr>
      <w:numPr>
        <w:numId w:val="19"/>
      </w:numPr>
      <w:spacing w:after="0" w:line="240" w:lineRule="auto"/>
      <w:jc w:val="center"/>
    </w:pPr>
    <w:rPr>
      <w:rFonts w:ascii="Times New Roman" w:hAnsi="Times New Roman"/>
      <w:color w:val="auto"/>
      <w:sz w:val="20"/>
      <w:szCs w:val="20"/>
    </w:rPr>
  </w:style>
  <w:style w:type="character" w:styleId="Siln">
    <w:name w:val="Strong"/>
    <w:basedOn w:val="Standardnpsmoodstavce"/>
    <w:uiPriority w:val="22"/>
    <w:qFormat/>
    <w:rsid w:val="00786E4D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786E4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Paragraf">
    <w:name w:val="Paragraf"/>
    <w:basedOn w:val="Normln"/>
    <w:next w:val="Textodstavce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Oddl">
    <w:name w:val="Oddíl"/>
    <w:basedOn w:val="Normln"/>
    <w:next w:val="Nadpisod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4"/>
    </w:pPr>
    <w:rPr>
      <w:rFonts w:ascii="Times New Roman" w:hAnsi="Times New Roman"/>
      <w:color w:val="auto"/>
      <w:sz w:val="20"/>
      <w:szCs w:val="20"/>
    </w:rPr>
  </w:style>
  <w:style w:type="paragraph" w:customStyle="1" w:styleId="Nadpisoddlu">
    <w:name w:val="Nadpis oddílu"/>
    <w:basedOn w:val="Normln"/>
    <w:next w:val="Paragraf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color w:val="auto"/>
      <w:sz w:val="20"/>
      <w:szCs w:val="20"/>
    </w:rPr>
  </w:style>
  <w:style w:type="paragraph" w:customStyle="1" w:styleId="Dl">
    <w:name w:val="Díl"/>
    <w:basedOn w:val="Normln"/>
    <w:next w:val="Nadpis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3"/>
    </w:pPr>
    <w:rPr>
      <w:rFonts w:ascii="Times New Roman" w:hAnsi="Times New Roman"/>
      <w:color w:val="auto"/>
      <w:sz w:val="20"/>
      <w:szCs w:val="20"/>
    </w:rPr>
  </w:style>
  <w:style w:type="paragraph" w:customStyle="1" w:styleId="Nadpisdlu">
    <w:name w:val="Nadpis dílu"/>
    <w:basedOn w:val="Normln"/>
    <w:next w:val="Od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/>
      <w:b/>
      <w:color w:val="auto"/>
      <w:sz w:val="20"/>
      <w:szCs w:val="20"/>
    </w:rPr>
  </w:style>
  <w:style w:type="paragraph" w:customStyle="1" w:styleId="Hlava">
    <w:name w:val="Hlava"/>
    <w:basedOn w:val="Normln"/>
    <w:next w:val="Nadpishlavy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2"/>
    </w:pPr>
    <w:rPr>
      <w:rFonts w:ascii="Times New Roman" w:hAnsi="Times New Roman"/>
      <w:color w:val="auto"/>
      <w:sz w:val="20"/>
      <w:szCs w:val="20"/>
    </w:rPr>
  </w:style>
  <w:style w:type="paragraph" w:customStyle="1" w:styleId="Nadpishlavy">
    <w:name w:val="Nadpis hlavy"/>
    <w:basedOn w:val="Normln"/>
    <w:next w:val="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">
    <w:name w:val="ČÁST"/>
    <w:basedOn w:val="Normln"/>
    <w:next w:val="NADPISSTI"/>
    <w:rsid w:val="002818CB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  <w:outlineLvl w:val="1"/>
    </w:pPr>
    <w:rPr>
      <w:rFonts w:ascii="Times New Roman" w:hAnsi="Times New Roman"/>
      <w:caps/>
      <w:color w:val="auto"/>
      <w:sz w:val="20"/>
      <w:szCs w:val="20"/>
    </w:rPr>
  </w:style>
  <w:style w:type="paragraph" w:customStyle="1" w:styleId="NADPISSTI">
    <w:name w:val="NADPIS ČÁSTI"/>
    <w:basedOn w:val="Normln"/>
    <w:next w:val="Hlava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Novelizanbod">
    <w:name w:val="Novelizační bod"/>
    <w:basedOn w:val="Normln"/>
    <w:next w:val="Normln"/>
    <w:rsid w:val="002818CB"/>
    <w:pPr>
      <w:keepNext/>
      <w:keepLines/>
      <w:numPr>
        <w:numId w:val="22"/>
      </w:numPr>
      <w:tabs>
        <w:tab w:val="left" w:pos="851"/>
      </w:tabs>
      <w:overflowPunct w:val="0"/>
      <w:autoSpaceDE w:val="0"/>
      <w:autoSpaceDN w:val="0"/>
      <w:adjustRightInd w:val="0"/>
      <w:spacing w:before="48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funkce">
    <w:name w:val="funkce"/>
    <w:basedOn w:val="Normln"/>
    <w:rsid w:val="002818CB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2818CB"/>
    <w:rPr>
      <w:rFonts w:cs="Times New Roman"/>
    </w:rPr>
  </w:style>
  <w:style w:type="paragraph" w:styleId="Titulek">
    <w:name w:val="caption"/>
    <w:basedOn w:val="Normln"/>
    <w:next w:val="Normln"/>
    <w:uiPriority w:val="35"/>
    <w:qFormat/>
    <w:rsid w:val="002818CB"/>
    <w:pPr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Podpis">
    <w:name w:val="Podpis_"/>
    <w:basedOn w:val="Normln"/>
    <w:next w:val="funkce"/>
    <w:rsid w:val="002818CB"/>
    <w:pPr>
      <w:keepNext/>
      <w:keepLines/>
      <w:numPr>
        <w:numId w:val="24"/>
      </w:numPr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adpisparagrafu">
    <w:name w:val="Nadpis paragrafu"/>
    <w:basedOn w:val="Paragraf"/>
    <w:next w:val="Textodstavce"/>
    <w:rsid w:val="002818CB"/>
    <w:pPr>
      <w:numPr>
        <w:numId w:val="23"/>
      </w:numPr>
    </w:pPr>
    <w:rPr>
      <w:b/>
    </w:rPr>
  </w:style>
  <w:style w:type="paragraph" w:customStyle="1" w:styleId="VARIANTA">
    <w:name w:val="VARIANTA"/>
    <w:basedOn w:val="Normln"/>
    <w:next w:val="Normln"/>
    <w:rsid w:val="002818CB"/>
    <w:pPr>
      <w:keepNext/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paragraph" w:customStyle="1" w:styleId="VARIANTA-konec">
    <w:name w:val="VARIANTA - konec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character" w:customStyle="1" w:styleId="Odkaznapoznpodarou">
    <w:name w:val="Odkaz na pozn. pod čarou"/>
    <w:rsid w:val="002818CB"/>
    <w:rPr>
      <w:vertAlign w:val="superscript"/>
    </w:rPr>
  </w:style>
  <w:style w:type="paragraph" w:customStyle="1" w:styleId="lnek">
    <w:name w:val="Článek"/>
    <w:basedOn w:val="Normln"/>
    <w:next w:val="Normln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Nadpislnku">
    <w:name w:val="Nadpis článku"/>
    <w:basedOn w:val="lnek"/>
    <w:next w:val="Normln"/>
    <w:rsid w:val="002818CB"/>
    <w:rPr>
      <w:b/>
    </w:rPr>
  </w:style>
  <w:style w:type="paragraph" w:customStyle="1" w:styleId="Textlnku">
    <w:name w:val="Text článku"/>
    <w:basedOn w:val="Normln"/>
    <w:rsid w:val="002818CB"/>
    <w:pPr>
      <w:overflowPunct w:val="0"/>
      <w:autoSpaceDE w:val="0"/>
      <w:autoSpaceDN w:val="0"/>
      <w:adjustRightInd w:val="0"/>
      <w:spacing w:before="240" w:after="0" w:line="240" w:lineRule="auto"/>
      <w:ind w:firstLine="425"/>
      <w:jc w:val="left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Textbodunovely">
    <w:name w:val="Text bodu novely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Anex-Nadpis">
    <w:name w:val="Anex - Nadpis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  <w:lang w:val="pt-PT"/>
    </w:rPr>
  </w:style>
  <w:style w:type="paragraph" w:customStyle="1" w:styleId="Styl1">
    <w:name w:val="Styl1"/>
    <w:basedOn w:val="Normln"/>
    <w:rsid w:val="002818CB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Times New Roman" w:hAnsi="Times New Roman" w:cs="Arial"/>
      <w:b/>
      <w:bCs/>
      <w:color w:val="auto"/>
      <w:sz w:val="20"/>
      <w:szCs w:val="28"/>
      <w:u w:val="single"/>
    </w:rPr>
  </w:style>
  <w:style w:type="paragraph" w:customStyle="1" w:styleId="dka">
    <w:name w:val="Řádka"/>
    <w:rsid w:val="002818CB"/>
    <w:pPr>
      <w:ind w:left="425"/>
      <w:jc w:val="both"/>
    </w:pPr>
    <w:rPr>
      <w:color w:val="000000"/>
      <w:sz w:val="24"/>
    </w:rPr>
  </w:style>
  <w:style w:type="paragraph" w:customStyle="1" w:styleId="Normln0">
    <w:name w:val="Norm‡ln’"/>
    <w:rsid w:val="002818CB"/>
    <w:pPr>
      <w:ind w:left="425"/>
      <w:jc w:val="both"/>
    </w:pPr>
  </w:style>
  <w:style w:type="paragraph" w:styleId="Textkomente">
    <w:name w:val="annotation text"/>
    <w:basedOn w:val="Normln"/>
    <w:link w:val="Textkomente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818C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818CB"/>
    <w:rPr>
      <w:rFonts w:cs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i/>
      <w:iCs/>
      <w:color w:val="auto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18CB"/>
    <w:rPr>
      <w:rFonts w:cs="Times New Roman"/>
      <w:i/>
      <w:iCs/>
    </w:rPr>
  </w:style>
  <w:style w:type="paragraph" w:customStyle="1" w:styleId="tunsted5">
    <w:name w:val="tučně střed 5"/>
    <w:basedOn w:val="Zkladntext"/>
    <w:rsid w:val="002818CB"/>
    <w:pPr>
      <w:spacing w:before="60" w:after="60"/>
      <w:jc w:val="center"/>
    </w:pPr>
    <w:rPr>
      <w:b/>
    </w:rPr>
  </w:style>
  <w:style w:type="paragraph" w:styleId="Zkladntext">
    <w:name w:val="Body Text"/>
    <w:basedOn w:val="Normln"/>
    <w:link w:val="ZkladntextChar"/>
    <w:uiPriority w:val="99"/>
    <w:rsid w:val="002818C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18CB"/>
    <w:rPr>
      <w:rFonts w:cs="Times New Roman"/>
    </w:rPr>
  </w:style>
  <w:style w:type="paragraph" w:customStyle="1" w:styleId="dka3">
    <w:name w:val="Řádka 3"/>
    <w:basedOn w:val="Zkladntext"/>
    <w:rsid w:val="002818CB"/>
    <w:pPr>
      <w:spacing w:before="120" w:after="0"/>
    </w:pPr>
  </w:style>
  <w:style w:type="paragraph" w:styleId="Zkladntext3">
    <w:name w:val="Body Text 3"/>
    <w:basedOn w:val="Normln"/>
    <w:link w:val="Zkladntext3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18C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818CB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18CB"/>
    <w:rPr>
      <w:rFonts w:cs="Times New Roman"/>
    </w:rPr>
  </w:style>
  <w:style w:type="paragraph" w:customStyle="1" w:styleId="nzevzkona">
    <w:name w:val="název zákona"/>
    <w:basedOn w:val="Nzev"/>
    <w:rsid w:val="002818CB"/>
    <w:pPr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2818CB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2818C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1">
    <w:name w:val="odstavec 1"/>
    <w:basedOn w:val="Normln"/>
    <w:rsid w:val="002818CB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12">
    <w:name w:val="12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bCs/>
      <w:color w:val="auto"/>
      <w:sz w:val="20"/>
      <w:szCs w:val="20"/>
    </w:rPr>
  </w:style>
  <w:style w:type="paragraph" w:customStyle="1" w:styleId="koln">
    <w:name w:val="školní"/>
    <w:basedOn w:val="Normln"/>
    <w:rsid w:val="002818CB"/>
    <w:pPr>
      <w:overflowPunct w:val="0"/>
      <w:autoSpaceDE w:val="0"/>
      <w:autoSpaceDN w:val="0"/>
      <w:adjustRightInd w:val="0"/>
      <w:spacing w:after="80" w:line="280" w:lineRule="atLeast"/>
      <w:ind w:firstLine="680"/>
      <w:jc w:val="left"/>
      <w:textAlignment w:val="baseline"/>
    </w:pPr>
    <w:rPr>
      <w:rFonts w:ascii="AT*Palm Springs" w:hAnsi="AT*Palm Springs"/>
      <w:color w:val="auto"/>
      <w:kern w:val="24"/>
      <w:sz w:val="24"/>
      <w:szCs w:val="20"/>
    </w:rPr>
  </w:style>
  <w:style w:type="paragraph" w:customStyle="1" w:styleId="Textnormy">
    <w:name w:val="Text normy"/>
    <w:rsid w:val="002818CB"/>
    <w:pPr>
      <w:spacing w:after="120"/>
      <w:ind w:left="425"/>
      <w:jc w:val="both"/>
    </w:pPr>
    <w:rPr>
      <w:rFonts w:ascii="Arial" w:hAnsi="Arial"/>
    </w:rPr>
  </w:style>
  <w:style w:type="paragraph" w:customStyle="1" w:styleId="adresa4">
    <w:name w:val="adresa 4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954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smeneChar">
    <w:name w:val="Text písmene Char"/>
    <w:rsid w:val="002818CB"/>
    <w:rPr>
      <w:sz w:val="24"/>
    </w:rPr>
  </w:style>
  <w:style w:type="character" w:customStyle="1" w:styleId="TextodstavceChar">
    <w:name w:val="Text odstavce Char"/>
    <w:rsid w:val="002818CB"/>
    <w:rPr>
      <w:sz w:val="24"/>
    </w:rPr>
  </w:style>
  <w:style w:type="paragraph" w:styleId="Prosttext">
    <w:name w:val="Plain Text"/>
    <w:basedOn w:val="Normln"/>
    <w:link w:val="Prost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818CB"/>
    <w:rPr>
      <w:rFonts w:ascii="Courier New" w:hAnsi="Courier New" w:cs="Courier New"/>
    </w:rPr>
  </w:style>
  <w:style w:type="character" w:customStyle="1" w:styleId="TextparagrafuChar">
    <w:name w:val="Text paragrafu Char"/>
    <w:rsid w:val="002818CB"/>
    <w:rPr>
      <w:sz w:val="24"/>
    </w:rPr>
  </w:style>
  <w:style w:type="paragraph" w:customStyle="1" w:styleId="CELEX">
    <w:name w:val="CELEX"/>
    <w:basedOn w:val="Normln"/>
    <w:next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jc w:val="left"/>
      <w:textAlignment w:val="baseline"/>
    </w:pPr>
    <w:rPr>
      <w:rFonts w:ascii="Times New Roman" w:hAnsi="Times New Roman"/>
      <w:i/>
      <w:color w:val="auto"/>
      <w:sz w:val="20"/>
      <w:szCs w:val="20"/>
    </w:rPr>
  </w:style>
  <w:style w:type="paragraph" w:customStyle="1" w:styleId="l5">
    <w:name w:val="l5"/>
    <w:basedOn w:val="Normln"/>
    <w:rsid w:val="002818C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left"/>
      <w:textAlignment w:val="baseline"/>
    </w:pPr>
    <w:rPr>
      <w:rFonts w:ascii="Times New Roman" w:hAnsi="Times New Roman"/>
      <w:color w:val="auto"/>
      <w:sz w:val="20"/>
    </w:rPr>
  </w:style>
  <w:style w:type="character" w:styleId="Odkazintenzivn">
    <w:name w:val="Intense Reference"/>
    <w:basedOn w:val="Standardnpsmoodstavce"/>
    <w:uiPriority w:val="32"/>
    <w:qFormat/>
    <w:rsid w:val="002818CB"/>
    <w:rPr>
      <w:rFonts w:cs="Times New Roman"/>
      <w:b/>
      <w:smallCaps/>
      <w:color w:val="4472C4"/>
      <w:spacing w:val="5"/>
    </w:rPr>
  </w:style>
  <w:style w:type="character" w:styleId="Odkaznakoment">
    <w:name w:val="annotation reference"/>
    <w:basedOn w:val="Standardnpsmoodstavce"/>
    <w:uiPriority w:val="99"/>
    <w:semiHidden/>
    <w:rsid w:val="002818CB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8CB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MS Mincho" w:hAnsi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2818CB"/>
    <w:rPr>
      <w:rFonts w:eastAsia="MS Mincho" w:cs="Times New Roman"/>
      <w:color w:val="5A5A5A"/>
      <w:spacing w:val="15"/>
    </w:rPr>
  </w:style>
  <w:style w:type="character" w:styleId="Sledovanodkaz">
    <w:name w:val="FollowedHyperlink"/>
    <w:basedOn w:val="Standardnpsmoodstavce"/>
    <w:uiPriority w:val="99"/>
    <w:semiHidden/>
    <w:rsid w:val="002818CB"/>
    <w:rPr>
      <w:rFonts w:cs="Times New Roman"/>
      <w:color w:val="954F72"/>
      <w:u w:val="single"/>
    </w:rPr>
  </w:style>
  <w:style w:type="character" w:styleId="Odkaznavysvtlivky">
    <w:name w:val="endnote reference"/>
    <w:basedOn w:val="Standardnpsmoodstavce"/>
    <w:uiPriority w:val="99"/>
    <w:semiHidden/>
    <w:unhideWhenUsed/>
    <w:rsid w:val="002818CB"/>
    <w:rPr>
      <w:rFonts w:cs="Times New Roman"/>
      <w:vertAlign w:val="superscript"/>
    </w:rPr>
  </w:style>
  <w:style w:type="character" w:customStyle="1" w:styleId="TextvysvtlivekChar">
    <w:name w:val="Text vysvětlivek Char"/>
    <w:semiHidden/>
    <w:rsid w:val="002818CB"/>
    <w:rPr>
      <w:sz w:val="20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2818CB"/>
    <w:rPr>
      <w:rFonts w:cs="Times New Roman"/>
    </w:rPr>
  </w:style>
  <w:style w:type="paragraph" w:styleId="Revize">
    <w:name w:val="Revision"/>
    <w:hidden/>
    <w:uiPriority w:val="99"/>
    <w:semiHidden/>
    <w:rsid w:val="002818CB"/>
    <w:rPr>
      <w:rFonts w:ascii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18CB"/>
    <w:rPr>
      <w:rFonts w:cs="Times New Roman"/>
      <w:color w:val="605E5C"/>
      <w:shd w:val="clear" w:color="auto" w:fill="E1DFDD"/>
    </w:rPr>
  </w:style>
  <w:style w:type="paragraph" w:customStyle="1" w:styleId="sporn">
    <w:name w:val="úsporný"/>
    <w:basedOn w:val="Normln"/>
    <w:rsid w:val="002818CB"/>
    <w:pPr>
      <w:overflowPunct w:val="0"/>
      <w:autoSpaceDE w:val="0"/>
      <w:autoSpaceDN w:val="0"/>
      <w:adjustRightInd w:val="0"/>
      <w:spacing w:after="40" w:line="240" w:lineRule="atLeast"/>
      <w:ind w:firstLine="284"/>
      <w:jc w:val="left"/>
      <w:textAlignment w:val="baseline"/>
    </w:pPr>
    <w:rPr>
      <w:rFonts w:ascii="AT*Palm Springs" w:hAnsi="AT*Palm Springs"/>
      <w:color w:val="auto"/>
      <w:kern w:val="24"/>
      <w:sz w:val="20"/>
      <w:szCs w:val="20"/>
    </w:rPr>
  </w:style>
  <w:style w:type="paragraph" w:customStyle="1" w:styleId="Nadpis20">
    <w:name w:val="Nadpis2"/>
    <w:basedOn w:val="Normln"/>
    <w:next w:val="koln"/>
    <w:rsid w:val="002818CB"/>
    <w:pPr>
      <w:overflowPunct w:val="0"/>
      <w:autoSpaceDE w:val="0"/>
      <w:autoSpaceDN w:val="0"/>
      <w:adjustRightInd w:val="0"/>
      <w:spacing w:after="0" w:line="240" w:lineRule="atLeast"/>
      <w:ind w:left="284" w:firstLine="284"/>
      <w:jc w:val="center"/>
      <w:textAlignment w:val="baseline"/>
    </w:pPr>
    <w:rPr>
      <w:rFonts w:ascii="GaramondE" w:hAnsi="GaramondE"/>
      <w:b/>
      <w:smallCaps/>
      <w:color w:val="auto"/>
      <w:sz w:val="36"/>
      <w:szCs w:val="20"/>
      <w:u w:val="single"/>
    </w:rPr>
  </w:style>
  <w:style w:type="paragraph" w:customStyle="1" w:styleId="NadpisV">
    <w:name w:val="Nadpis V."/>
    <w:basedOn w:val="koln"/>
    <w:rsid w:val="002818CB"/>
    <w:rPr>
      <w:b/>
    </w:rPr>
  </w:style>
  <w:style w:type="paragraph" w:customStyle="1" w:styleId="NadpisIV">
    <w:name w:val="Nadpis IV."/>
    <w:basedOn w:val="koln"/>
    <w:next w:val="koln"/>
    <w:rsid w:val="002818CB"/>
    <w:pPr>
      <w:keepNext/>
      <w:keepLines/>
      <w:suppressAutoHyphens/>
      <w:spacing w:line="320" w:lineRule="atLeast"/>
      <w:ind w:left="680" w:firstLine="0"/>
    </w:pPr>
    <w:rPr>
      <w:b/>
      <w:sz w:val="28"/>
    </w:rPr>
  </w:style>
  <w:style w:type="paragraph" w:customStyle="1" w:styleId="NadpisIII">
    <w:name w:val="Nadpis III."/>
    <w:basedOn w:val="Normln"/>
    <w:next w:val="koln"/>
    <w:rsid w:val="002818CB"/>
    <w:pPr>
      <w:keepNext/>
      <w:keepLines/>
      <w:suppressAutoHyphens/>
      <w:overflowPunct w:val="0"/>
      <w:autoSpaceDE w:val="0"/>
      <w:autoSpaceDN w:val="0"/>
      <w:adjustRightInd w:val="0"/>
      <w:spacing w:line="360" w:lineRule="atLeast"/>
      <w:ind w:left="284"/>
      <w:jc w:val="left"/>
      <w:textAlignment w:val="baseline"/>
    </w:pPr>
    <w:rPr>
      <w:rFonts w:ascii="GaramondE" w:hAnsi="GaramondE"/>
      <w:b/>
      <w:color w:val="auto"/>
      <w:kern w:val="24"/>
      <w:sz w:val="32"/>
      <w:szCs w:val="20"/>
    </w:rPr>
  </w:style>
  <w:style w:type="paragraph" w:customStyle="1" w:styleId="NadpisII">
    <w:name w:val="Nadpis II."/>
    <w:basedOn w:val="Normln"/>
    <w:next w:val="koln"/>
    <w:rsid w:val="002818CB"/>
    <w:pPr>
      <w:keepNext/>
      <w:keepLines/>
      <w:pageBreakBefore/>
      <w:pBdr>
        <w:bottom w:val="single" w:sz="12" w:space="0" w:color="auto"/>
      </w:pBdr>
      <w:suppressAutoHyphens/>
      <w:overflowPunct w:val="0"/>
      <w:autoSpaceDE w:val="0"/>
      <w:autoSpaceDN w:val="0"/>
      <w:adjustRightInd w:val="0"/>
      <w:spacing w:line="440" w:lineRule="atLeast"/>
      <w:jc w:val="center"/>
      <w:textAlignment w:val="baseline"/>
    </w:pPr>
    <w:rPr>
      <w:rFonts w:ascii="AT*Palm Springs" w:hAnsi="AT*Palm Springs"/>
      <w:b/>
      <w:smallCaps/>
      <w:color w:val="auto"/>
      <w:spacing w:val="-20"/>
      <w:kern w:val="28"/>
      <w:sz w:val="40"/>
      <w:szCs w:val="20"/>
    </w:rPr>
  </w:style>
  <w:style w:type="paragraph" w:customStyle="1" w:styleId="NadpisI">
    <w:name w:val="Nadpis I."/>
    <w:basedOn w:val="Normln"/>
    <w:next w:val="koln"/>
    <w:rsid w:val="002818CB"/>
    <w:pPr>
      <w:keepLines/>
      <w:pageBreakBefore/>
      <w:suppressAutoHyphens/>
      <w:overflowPunct w:val="0"/>
      <w:autoSpaceDE w:val="0"/>
      <w:autoSpaceDN w:val="0"/>
      <w:adjustRightInd w:val="0"/>
      <w:spacing w:after="0" w:line="440" w:lineRule="atLeast"/>
      <w:jc w:val="center"/>
      <w:textAlignment w:val="baseline"/>
    </w:pPr>
    <w:rPr>
      <w:rFonts w:ascii="GaramondE" w:hAnsi="GaramondE"/>
      <w:b/>
      <w:color w:val="auto"/>
      <w:kern w:val="32"/>
      <w:sz w:val="40"/>
      <w:szCs w:val="20"/>
    </w:rPr>
  </w:style>
  <w:style w:type="paragraph" w:customStyle="1" w:styleId="citace">
    <w:name w:val="citace"/>
    <w:basedOn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jc w:val="left"/>
      <w:textAlignment w:val="baseline"/>
    </w:pPr>
    <w:rPr>
      <w:rFonts w:ascii="Times New Roman" w:hAnsi="Times New Roman"/>
      <w:color w:val="auto"/>
      <w:sz w:val="24"/>
      <w:szCs w:val="20"/>
    </w:rPr>
  </w:style>
  <w:style w:type="paragraph" w:customStyle="1" w:styleId="koln2">
    <w:name w:val="Školní2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ind w:firstLine="284"/>
      <w:jc w:val="left"/>
      <w:textAlignment w:val="baseline"/>
    </w:pPr>
    <w:rPr>
      <w:rFonts w:ascii="AT*Palm Springs" w:hAnsi="AT*Palm Springs"/>
      <w:color w:val="auto"/>
      <w:sz w:val="24"/>
      <w:szCs w:val="20"/>
    </w:rPr>
  </w:style>
  <w:style w:type="paragraph" w:customStyle="1" w:styleId="CM1">
    <w:name w:val="CM1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Zkladntextodsazen21">
    <w:name w:val="Základní text odsazený 21"/>
    <w:basedOn w:val="Normln"/>
    <w:rsid w:val="00536DAC"/>
    <w:pPr>
      <w:suppressAutoHyphens/>
      <w:spacing w:line="480" w:lineRule="auto"/>
      <w:ind w:left="283"/>
      <w:jc w:val="left"/>
    </w:pPr>
    <w:rPr>
      <w:szCs w:val="22"/>
      <w:lang w:eastAsia="ar-SA"/>
    </w:rPr>
  </w:style>
  <w:style w:type="paragraph" w:customStyle="1" w:styleId="Typedudocument">
    <w:name w:val="Type du document"/>
    <w:basedOn w:val="Normln"/>
    <w:next w:val="Normln"/>
    <w:rsid w:val="00536DAC"/>
    <w:pPr>
      <w:spacing w:before="360" w:after="160" w:line="259" w:lineRule="auto"/>
      <w:jc w:val="center"/>
    </w:pPr>
    <w:rPr>
      <w:rFonts w:ascii="Calibri" w:hAnsi="Calibri"/>
      <w:b/>
      <w:color w:val="auto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EFEF827AD9D42AE73C0B38051EF70" ma:contentTypeVersion="2" ma:contentTypeDescription="Vytvoří nový dokument" ma:contentTypeScope="" ma:versionID="b2f8142ad5c5112f0493733a2619e4f8">
  <xsd:schema xmlns:xsd="http://www.w3.org/2001/XMLSchema" xmlns:xs="http://www.w3.org/2001/XMLSchema" xmlns:p="http://schemas.microsoft.com/office/2006/metadata/properties" xmlns:ns2="fcebf3c6-5a33-44a9-b648-6b8de97661a3" targetNamespace="http://schemas.microsoft.com/office/2006/metadata/properties" ma:root="true" ma:fieldsID="83f647610ad7b1f9b0fdf61d444e3dec" ns2:_="">
    <xsd:import namespace="fcebf3c6-5a33-44a9-b648-6b8de976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f3c6-5a33-44a9-b648-6b8de976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FFD2-80C5-4C66-89FF-B7B0195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bf3c6-5a33-44a9-b648-6b8de976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174B0-D943-40E2-A7C7-4A6D0A731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C8563-690C-4B09-87C0-48122DFF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798AD-8151-4DD4-8362-4801C8600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2191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ÚNMZ</cp:lastModifiedBy>
  <cp:revision>2</cp:revision>
  <cp:lastPrinted>2022-07-19T09:26:00Z</cp:lastPrinted>
  <dcterms:created xsi:type="dcterms:W3CDTF">2023-01-17T14:38:00Z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0x010100796EFEF827AD9D42AE73C0B38051EF70</vt:lpwstr>
  </property>
</Properties>
</file>