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2A" w:rsidRPr="00372A96" w:rsidRDefault="00624C2A" w:rsidP="00624C2A">
      <w:pPr>
        <w:spacing w:after="120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</w:rPr>
        <w:t>1. ------IND- 2019 0340 PL- MT- ------ 20190729 --- --- PROJET</w:t>
      </w:r>
    </w:p>
    <w:p w:rsidR="00E4313A" w:rsidRPr="003136B9" w:rsidRDefault="00E4313A" w:rsidP="00624C2A">
      <w:pPr>
        <w:pStyle w:val="OZNPROJEKTUwskazaniedatylubwersjiprojektu"/>
      </w:pPr>
      <w:r>
        <w:t>Abbozz</w:t>
      </w:r>
    </w:p>
    <w:p w:rsidR="00E4313A" w:rsidRPr="00C71DFB" w:rsidRDefault="00E4313A" w:rsidP="00624C2A">
      <w:pPr>
        <w:pStyle w:val="OZNRODZAKTUtznustawalubrozporzdzenieiorganwydajcy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tal-ATT</w:t>
      </w:r>
    </w:p>
    <w:p w:rsidR="00E4313A" w:rsidRPr="00072863" w:rsidRDefault="00E4313A" w:rsidP="00624C2A">
      <w:pPr>
        <w:pStyle w:val="DATAAKTUdatauchwalenialubwydaniaaktu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ta’ [data] [xahar] [sena]</w:t>
      </w:r>
    </w:p>
    <w:p w:rsidR="00E4313A" w:rsidRPr="00C12D18" w:rsidRDefault="00E4313A" w:rsidP="00624C2A">
      <w:pPr>
        <w:pStyle w:val="TYTDZPRZEDMprzedmiotregulacjitytuulubdziau"/>
        <w:keepNext w:val="0"/>
        <w:rPr>
          <w:rStyle w:val="IGindeksgrny"/>
        </w:rPr>
      </w:pPr>
      <w:r>
        <w:rPr>
          <w:rFonts w:ascii="Times New Roman" w:hAnsi="Times New Roman"/>
        </w:rPr>
        <w:t>li jemenda l-Att dwar l-organizzazzjoni ta’ ċerti swieq agrikoli u l-Att dwar il-ġlieda kontra l-użu frodulenti ta’ vantaġġ kuntrattwali fil-kummerċjalizzazzjoni ta’ prodotti agrikoli u alimentari.</w:t>
      </w:r>
      <w:r>
        <w:rPr>
          <w:rStyle w:val="FootnoteReference"/>
          <w:rFonts w:ascii="Times New Roman" w:hAnsi="Times New Roman"/>
          <w:b w:val="0"/>
        </w:rPr>
        <w:footnoteReference w:id="1"/>
      </w:r>
      <w:r>
        <w:rPr>
          <w:rStyle w:val="IGindeksgrny"/>
          <w:b w:val="0"/>
        </w:rPr>
        <w:t>)</w:t>
      </w:r>
    </w:p>
    <w:p w:rsidR="00E4313A" w:rsidRPr="00072863" w:rsidRDefault="00B0048D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L-Artikolu 1</w:t>
      </w:r>
      <w:r>
        <w:rPr>
          <w:rFonts w:ascii="Times New Roman" w:hAnsi="Times New Roman"/>
        </w:rPr>
        <w:t xml:space="preserve"> tal-Att tal-11 ta’ Marzu 2004 dwar l-organizzazzjoni ta’ ċerti swieq agrikoli (Ġurnal tal-Liġijiet 2018, il-punt 945) huwa emendat kif ġej:</w:t>
      </w:r>
    </w:p>
    <w:p w:rsidR="00F515DA" w:rsidRPr="00072863" w:rsidRDefault="00B0048D" w:rsidP="00624C2A">
      <w:pPr>
        <w:pStyle w:val="PKTpunkt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1)</w:t>
      </w:r>
      <w:r>
        <w:tab/>
      </w:r>
      <w:r>
        <w:rPr>
          <w:rFonts w:ascii="Times New Roman" w:hAnsi="Times New Roman"/>
        </w:rPr>
        <w:t>fl-Artikolu 38q:</w:t>
      </w:r>
    </w:p>
    <w:p w:rsidR="00F515DA" w:rsidRPr="00072863" w:rsidRDefault="00F515DA" w:rsidP="00624C2A">
      <w:pPr>
        <w:pStyle w:val="LITlitera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a)</w:t>
      </w:r>
      <w:r>
        <w:tab/>
      </w:r>
      <w:r>
        <w:rPr>
          <w:rFonts w:ascii="Times New Roman" w:hAnsi="Times New Roman"/>
        </w:rPr>
        <w:t>il-paragrafu 1 jiġi sostitwit b’dan li ġej:</w:t>
      </w:r>
    </w:p>
    <w:p w:rsidR="00FD19C8" w:rsidRDefault="00FD19C8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“1. Kull każ ta’ provvista ta’ prodotti agrikoli li jappartjenu għas-setturi msemmija fl-Artikolu 1(2)(a) tar-Regolament 1308/2013, il-punt (c) ta’ dak ir-Regolament esklussivament fir-rigward tal-pitrava ħelwa, il-punti (f), (h), (i), (n), (o) ta’ dak ir-Regolament, il-punt (p) ta’ dak ir-Regolament, esklussivament fir-rigward ta’ ħalib mhux ipproċessat, il-punti (q), (r), (s), (t) ta’ dak ir-Regolament, u l-punt (x) ta’ dak ir-Regolament esklussivament fir-rigward tal-patata, il-kolza u l-kolza tan-nevew, bl-eċċezzjoni tal-provvista diretta u l-bejgħ bl-imnut tal-prodotti agrikoli fit-tifsira tal-Att tal-25 ta’ Awwissu 2006 dwar is-sikurezza alimentari u tal-għalf (Ġurnal tal-Liġijiet 2018, il-punt 1541, kif emendat</w:t>
      </w:r>
      <w:r>
        <w:rPr>
          <w:rFonts w:ascii="Times New Roman" w:hAnsi="Times New Roman"/>
          <w:vertAlign w:val="superscript"/>
        </w:rPr>
        <w:footnoteReference w:id="2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) u l-bejgħ dirett fit-tifsira tal-Att tas-16 ta’ Diċembru 2005 dwar prodotti li joriġinaw mill-annimali (Ġurnal tal-Liġijiet 2019, il-punt 824) minn produttur li huwa bidwi fit-tifsira tal-Artikolu 4(1)(a) tar-Regolament (UE) Nru 1307/2013 tal-Parlament Ewropew u tal-Kunsill tas-17 ta’ Diċembru 2013 li jistabbilixxi regoli għal pagamenti diretti lill-bdiewa taħt skemi ta’ appoġġ fil-qafas tal-politika agrikola komuni u li jħassar ir-Regolament tal-Kunsill (KE) Nru 637/2008 u r-Regolament tal-Kunsill (KE) </w:t>
      </w:r>
      <w:r>
        <w:rPr>
          <w:rFonts w:ascii="Times New Roman" w:hAnsi="Times New Roman"/>
        </w:rPr>
        <w:lastRenderedPageBreak/>
        <w:t>Nru 73/2009 (ĠU UE L 347 tal-20.12.2013, p. 608, kif emendat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), li l-impriża tiegħu tinsab fit-territorju tar-Repubblika tal-Polonja, lill-ewwel xerrej li huwa proċessur jew distributur li ma jiddisponix minn dawn il-prodotti agrikoli direttament lill-konsumaturi finali, minn hawn ’il quddiem imsejjaħ “distributur”, jew intermedjarju li ma jiddisponix minn dawn il-prodotti agrikoli direttament lill-konsumaturi finali, minn hawn ’il quddiem imsejjaħ “intermedjarju”, jeħtieġ li jikkonkludi kuntratt li jkopri kunsinna waħda jew iktar li jissodisfa r-rekwiżiti stabbiliti:</w:t>
      </w:r>
    </w:p>
    <w:p w:rsidR="00BB0015" w:rsidRDefault="00BB0015" w:rsidP="00624C2A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1)</w:t>
      </w:r>
      <w:r>
        <w:tab/>
      </w:r>
      <w:r>
        <w:rPr>
          <w:rFonts w:ascii="Times New Roman" w:hAnsi="Times New Roman"/>
        </w:rPr>
        <w:t>fl-Artikolu 125 u fl-Anness X għar-Regolament 1308/2013 — għall-prodotti agrikoli li jappartjenu għas-settur imsemmi fl-Artikolu 1(2)(c) tar-Regolament 1308/2013 esklussivament fir-rigward tal-pitravi ħelwa;</w:t>
      </w:r>
    </w:p>
    <w:p w:rsidR="00E4313A" w:rsidRPr="00072863" w:rsidRDefault="00BB0015" w:rsidP="00624C2A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2)</w:t>
      </w:r>
      <w:r>
        <w:tab/>
      </w:r>
      <w:r>
        <w:rPr>
          <w:rFonts w:ascii="Times New Roman" w:hAnsi="Times New Roman"/>
        </w:rPr>
        <w:t>fl-Artikolu 148(2) tar-Regolament 1308/2013 — għall-prodotti agrikoli li jappartjenu għas-settur imsemmi fl-Artikolu 1(2)(p) tar-Regolament 1308/2013 esklussivament fir-rigward tal-ħalib mhux ipproċessat;</w:t>
      </w:r>
    </w:p>
    <w:p w:rsidR="00E4313A" w:rsidRPr="00072863" w:rsidRDefault="00BB0015" w:rsidP="00624C2A">
      <w:pPr>
        <w:pStyle w:val="ZLITPKTzmpk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3)</w:t>
      </w:r>
      <w:r>
        <w:tab/>
      </w:r>
      <w:r>
        <w:rPr>
          <w:rFonts w:ascii="Times New Roman" w:hAnsi="Times New Roman"/>
        </w:rPr>
        <w:t>fl-Artikolu 168(4) u (6) tar-Regolament 1308/2013 — għal prodotti agrikoli li jappartjenu għas-setturi msemmija fl-Artikolu 1(2)(a), (f), (h), (i), ( n), (o), (q), (r), (s) u (t) tar-Regolament 1308/2013 u l-punt (x) tar-Regolament 1308/2013 esklussivament fir-rigward ta’ patata, kolza u kolza tan-nevew,”,</w:t>
      </w:r>
    </w:p>
    <w:p w:rsidR="00E4313A" w:rsidRPr="00072863" w:rsidRDefault="003B48AC" w:rsidP="00624C2A">
      <w:pPr>
        <w:pStyle w:val="LITlitera"/>
      </w:pPr>
      <w:r>
        <w:t>b)</w:t>
      </w:r>
      <w:r>
        <w:tab/>
        <w:t>fil-paragrafu 1a, jiġu sostitwiti l-kliem “tal-Annessi X u XI” b’“tal-Anness X”,</w:t>
      </w:r>
    </w:p>
    <w:p w:rsidR="00EF6289" w:rsidRDefault="009809DC" w:rsidP="00624C2A">
      <w:pPr>
        <w:pStyle w:val="LITlitera"/>
        <w:keepNext/>
        <w:keepLines/>
      </w:pPr>
      <w:r>
        <w:t>c)</w:t>
      </w:r>
      <w:r>
        <w:tab/>
        <w:t>fil-paragrafu 1b:</w:t>
      </w:r>
    </w:p>
    <w:p w:rsidR="00B01B0A" w:rsidRPr="00072863" w:rsidRDefault="00B01B0A" w:rsidP="00624C2A">
      <w:pPr>
        <w:pStyle w:val="TIRtiret"/>
      </w:pPr>
      <w:r>
        <w:t>–</w:t>
      </w:r>
      <w:r>
        <w:tab/>
        <w:t>il-punt 2 huwa mħassar,</w:t>
      </w:r>
    </w:p>
    <w:p w:rsidR="00803781" w:rsidRPr="00072863" w:rsidRDefault="00EF6289" w:rsidP="00624C2A">
      <w:pPr>
        <w:pStyle w:val="TIRtire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–</w:t>
      </w:r>
      <w:r>
        <w:tab/>
      </w:r>
      <w:r>
        <w:rPr>
          <w:rFonts w:ascii="Times New Roman" w:hAnsi="Times New Roman"/>
        </w:rPr>
        <w:t>fil-parti komuni tal-enumerazzjoni, il-kliem “l-Artikolu 125 jew l-Artikolu 127 tar-Regolament 1308/2013 u, rispettivament, fl-Anness X jew XI” jiġu sostitwiti b’“l-Artikolu 125 tar-Regolament 1308/2013 u, rispettivament, fl-Anness X”,</w:t>
      </w:r>
    </w:p>
    <w:p w:rsidR="00BF55CF" w:rsidRPr="00072863" w:rsidRDefault="00B01B0A" w:rsidP="00624C2A">
      <w:pPr>
        <w:pStyle w:val="LITlitera"/>
        <w:keepNext/>
        <w:keepLines/>
      </w:pPr>
      <w:r>
        <w:t>d)</w:t>
      </w:r>
      <w:r>
        <w:tab/>
        <w:t>wara l-paragrafu 1b, jiżdied il-paragrafu 1ba li ġej:</w:t>
      </w:r>
    </w:p>
    <w:p w:rsidR="002B5992" w:rsidRPr="00072863" w:rsidRDefault="00A77843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“1ba. Id-dispożizzjonijiet tal-paragrafu 1 ma għandhomx japplikaw meta l-produttur imsemmi fil-paragrafu 1 ibigħ prodotti agrikoli permezz ta’ skambju ta’ komoditajiet fit-tifsira tad-dispożizzjonijiet dwar skambju ta’ komoditajiet, permezz ta’ sistema ta’ kummerċ ta’ strument finanzjarju fit-tifsira tad-dispożizzjonijiet dwar </w:t>
      </w:r>
      <w:r>
        <w:rPr>
          <w:rFonts w:ascii="Times New Roman" w:hAnsi="Times New Roman"/>
        </w:rPr>
        <w:lastRenderedPageBreak/>
        <w:t>kummerċ fi strumenti finanzjarji, jew fil-bini ta’ swieq tal-bejgħ bl-ingrossa ta’ prodotti agroalimentari mħaddma minn kumpaniji kummerċjali li l-attività prinċipali tagħhom tikkonsisti fil-kiri ta’ proprjetajiet għall-bejgħ bl-ingrossa agroalimentari u fl-immaniġġjar ta’ dawk il-proprjetajiet.”,</w:t>
      </w:r>
    </w:p>
    <w:p w:rsidR="003B0EDD" w:rsidRDefault="00C95BB7" w:rsidP="00E22990">
      <w:pPr>
        <w:pStyle w:val="LITlitera"/>
        <w:keepNext/>
        <w:keepLines/>
      </w:pPr>
      <w:r>
        <w:t>e)</w:t>
      </w:r>
      <w:r>
        <w:tab/>
        <w:t>il-paragrafu 1c jiġi sostitwit b’dan li ġej:</w:t>
      </w:r>
    </w:p>
    <w:p w:rsidR="00E4313A" w:rsidRPr="00072863" w:rsidRDefault="003B0EDD" w:rsidP="00624C2A">
      <w:pPr>
        <w:pStyle w:val="ZLITUSTzmustliter"/>
      </w:pPr>
      <w:r>
        <w:t>“1c. Il-kuntratt imsemmi fil-paragrafu 1 għandu jinżamm mill-produttur u mix-xerrej imsemmi fil-paragrafu 1 għal sentejn mill-aħħar tas-sena meta tkun twettqet l-aħħar kunsinna koperta minn dak il-kuntratt.”,</w:t>
      </w:r>
    </w:p>
    <w:p w:rsidR="00CB5759" w:rsidRPr="00072863" w:rsidRDefault="00B91D09" w:rsidP="00624C2A">
      <w:pPr>
        <w:pStyle w:val="LITlitera"/>
        <w:keepNext/>
        <w:keepLines/>
      </w:pPr>
      <w:r>
        <w:t>f)</w:t>
      </w:r>
      <w:r>
        <w:tab/>
        <w:t>il-paragrafu 4 jiġi sostitwit b’dan li ġej:</w:t>
      </w:r>
    </w:p>
    <w:p w:rsidR="00CB5759" w:rsidRPr="00072863" w:rsidRDefault="00CB5759" w:rsidP="00624C2A">
      <w:pPr>
        <w:pStyle w:val="ZLITUSTzmustliter"/>
      </w:pPr>
      <w:r>
        <w:t>“4. Il-Ministru responsabbli għas-swieq agrikoli jista’ jiddefinixxi, permezz ta’ regolament:</w:t>
      </w:r>
    </w:p>
    <w:p w:rsidR="00137BB1" w:rsidRPr="00072863" w:rsidRDefault="00137BB1" w:rsidP="00624C2A">
      <w:pPr>
        <w:pStyle w:val="ZLITPKTzmpktliter"/>
      </w:pPr>
      <w:r>
        <w:t>1)</w:t>
      </w:r>
      <w:r>
        <w:tab/>
        <w:t>it-tul minimu tal-kuntratt imsemmi fil-paragrafu 1 jew</w:t>
      </w:r>
    </w:p>
    <w:p w:rsidR="0035086C" w:rsidRPr="00924BC2" w:rsidRDefault="00137BB1" w:rsidP="00624C2A">
      <w:pPr>
        <w:pStyle w:val="ZLITPKTzmpktliter"/>
      </w:pPr>
      <w:r>
        <w:t>2)</w:t>
      </w:r>
      <w:r>
        <w:tab/>
        <w:t>il-perjodu minimu bejn il-konklużjoni tal-kuntratt imsemmi fil-paragrafu 1 u l-kunsinna tal-prodotti agrikoli, jew</w:t>
      </w:r>
    </w:p>
    <w:p w:rsidR="00774693" w:rsidRPr="00924BC2" w:rsidRDefault="00774693" w:rsidP="00624C2A">
      <w:pPr>
        <w:pStyle w:val="ZLITPKTzmpktliter"/>
      </w:pPr>
      <w:r>
        <w:t>3)</w:t>
      </w:r>
      <w:r>
        <w:tab/>
        <w:t>id-data tal-konklużjoni tal-kuntratt imsemmi fil-paragrafu 1</w:t>
      </w:r>
    </w:p>
    <w:p w:rsidR="00137BB1" w:rsidRPr="00072863" w:rsidRDefault="00942A4A" w:rsidP="00624C2A">
      <w:pPr>
        <w:pStyle w:val="ZLITCZWSPPKTzmczciwsppktliter"/>
      </w:pPr>
      <w:r>
        <w:t>– fir-rigward tal-prodotti agrikoli magħżula mil-lista ta’ prodotti agrikoli li jappartjenu għas-setturi msemmija fl-Artikolu 1(2)(a) tar-Regolament 1308/2013, il-punt (c) ta’ dak ir-Regolament, esklussivament fir-rigward tal-pitravi ħelwa, il-punti (f), (h), (i), (n), (o) ta’ dak ir-Regolament, il-punt (p) ta’ dak ir-Regolament, esklussivament fir-rigward ta’ ħalib mhux ipproċessat, il-punti (q), (r), (s), (t) ta’ dak ir-Regolament, u l-punt (x) ta’ dak ir-Regolament esklussivament fir-rigward tal-patata, il-kolza u l-kolza tan-nevew, filwaqt li jitqies l-iżgurar tal-funzjonament korrett tas-suq uniku fir-rigward ta’ dawn is-setturi.”,</w:t>
      </w:r>
    </w:p>
    <w:p w:rsidR="00996DE9" w:rsidRPr="00072863" w:rsidRDefault="00D11CF7" w:rsidP="00624C2A">
      <w:pPr>
        <w:pStyle w:val="LITlitera"/>
        <w:keepNext/>
        <w:keepLines/>
      </w:pPr>
      <w:r>
        <w:t>g)</w:t>
      </w:r>
      <w:r>
        <w:tab/>
        <w:t>jiżdied il-paragrafu 5 li ġej:</w:t>
      </w:r>
    </w:p>
    <w:p w:rsidR="00E4313A" w:rsidRPr="00072863" w:rsidRDefault="00996DE9" w:rsidP="00624C2A">
      <w:pPr>
        <w:pStyle w:val="ZLITUSTzmustliter"/>
      </w:pPr>
      <w:r>
        <w:t>“5. Meta skont il-paragrafu 4 il-Ministru responsabbli għas-swieq agrikoli jistabbilixxi dispożizzjonijiet li jistipulaw il-perjodu minimu bejn il-konklużjoni tal-kuntratt imsemmi fil-paragrafu 1 u l-kunsinna tal-prodotti agrikoli li jappartjenu għas-setturi msemmija fl-Artikolu 1(2)(a) tar-Regolament 1308/2013, il-punt (c) ta’ dak ir-Regolament esklussivament fir-rigward tal-pitravi ħelwa, il-punti (f), (h), (i), (n), (o) ta’ dak ir-Regolament, il-punt (p) ta’ dak ir-Regolament, esklussivament fir-rigward ta’ ħalib mhux ipproċessat, il-punti (q), (r), (s), (t) ta’ dak ir-Regolament, u l-punt (x) ta’ dak ir-Regolament esklussivament fir-rigward ta’ patata, kolza u kolza tan-nevew, jew id-data tal-konklużjoni tal-kuntratt imsemmi fil-paragrafu 1, id-</w:t>
      </w:r>
      <w:r>
        <w:lastRenderedPageBreak/>
        <w:t>dispożizzjonijiet maħruġa skont il-paragrafu 4 ma għandhomx jiġu applikati jekk, rispettivament, it-tielet taqsima tal-Artikolu 148(4) jew it-tielet taqsima tal-Artikolu 168(6) tar-Regolament 1308/2013 tkun ġiet applikata.”;</w:t>
      </w:r>
    </w:p>
    <w:p w:rsidR="00E4313A" w:rsidRPr="00072863" w:rsidRDefault="00241148" w:rsidP="00624C2A">
      <w:pPr>
        <w:pStyle w:val="PKTpunkt"/>
        <w:keepNext/>
        <w:keepLines/>
      </w:pPr>
      <w:r>
        <w:t>2)</w:t>
      </w:r>
      <w:r>
        <w:tab/>
        <w:t xml:space="preserve">fl-Artikolu 40i: </w:t>
      </w:r>
    </w:p>
    <w:p w:rsidR="00E4313A" w:rsidRPr="00072863" w:rsidRDefault="00241148" w:rsidP="00624C2A">
      <w:pPr>
        <w:pStyle w:val="LITlitera"/>
      </w:pPr>
      <w:r>
        <w:t>a)</w:t>
      </w:r>
      <w:r>
        <w:tab/>
        <w:t>fil-paragrafu 1, il-kelma “distributur” tiġi sostitwita b’“distributur jew intermedjarju”,</w:t>
      </w:r>
    </w:p>
    <w:p w:rsidR="00480DDC" w:rsidRDefault="008A5910" w:rsidP="00624C2A">
      <w:pPr>
        <w:pStyle w:val="LITlitera"/>
      </w:pPr>
      <w:r>
        <w:t>b)</w:t>
      </w:r>
      <w:r>
        <w:tab/>
        <w:t>fil-paragrafu 1a, il-kliem “xiri mid-distributur, kuntrarju għad-dispożizzjonijiet tal-Artikolu 38q(1) jew (1a)” jiġi sostitwit b’“xiri mid-distributur jew intermedjarju, kuntrarju għad-dispożizzjonijiet tal-Artikolu 38q(1)”,</w:t>
      </w:r>
    </w:p>
    <w:p w:rsidR="00F847AB" w:rsidRPr="00072863" w:rsidRDefault="00480DDC" w:rsidP="00624C2A">
      <w:pPr>
        <w:pStyle w:val="LITlitera"/>
        <w:keepNext/>
        <w:keepLines/>
      </w:pPr>
      <w:r>
        <w:t>c)</w:t>
      </w:r>
      <w:r>
        <w:tab/>
        <w:t>il-paragrafi 1b u 1c jiġu sostitwiti b’dan li ġej:</w:t>
      </w:r>
    </w:p>
    <w:p w:rsidR="002A571F" w:rsidRPr="002A571F" w:rsidRDefault="00F847AB" w:rsidP="00624C2A">
      <w:pPr>
        <w:pStyle w:val="ZLITUSTzmustliter"/>
      </w:pPr>
      <w:r>
        <w:t>“1b. L-ewwel proċessur jew distributur jew intermedjarju li, kuntrarjament għad-dispożizzjonijiet tal-Artikolu 38q(1), jixtri prodotti agrikoli li jappartjenu għas-setturi msemmija fl-Artikolu 38q(1) fuq il-bażi ta’ kuntratt li ma jissodisfax ir-rekwiżiti stabbiliti:</w:t>
      </w:r>
    </w:p>
    <w:p w:rsidR="002A571F" w:rsidRPr="002A571F" w:rsidRDefault="002A571F" w:rsidP="00624C2A">
      <w:pPr>
        <w:pStyle w:val="ZLITPKTzmpktliter"/>
      </w:pPr>
      <w:r>
        <w:t>1)</w:t>
      </w:r>
      <w:r>
        <w:tab/>
        <w:t>fl-Artikolu 148(2)(a) u (c)(i) tar-Regolament 1308/2013 — għal prodotti agrikoli li jappartjenu għas-settur imsemmi fl-Artikolu 1(2)(p) tar-Regolament 1308/2013 esklussivament fir-rigward tal-ħalib mhux ipproċessat,</w:t>
      </w:r>
    </w:p>
    <w:p w:rsidR="002A571F" w:rsidRPr="002A571F" w:rsidRDefault="002A571F" w:rsidP="00624C2A">
      <w:pPr>
        <w:pStyle w:val="ZLITPKTzmpktliter"/>
      </w:pPr>
      <w:r>
        <w:t>2)</w:t>
      </w:r>
      <w:r>
        <w:tab/>
        <w:t xml:space="preserve">fl-Artikolu 168(4)(a) u (c)(i) tar-Regolament 1308/2013 — għal prodotti agrikoli li jappartjenu għas-setturi msemmija fl-Artikolu 1(2)(a), (f), (h), (i), (n), (o), (q), (r), (s) u (t) tar-Regolament 1308/2013 u l-punt (x) tar-Regolament 1308/2013 esklussivament fir-rigward tal-patata, il-kolza u l-kolza tan-nevew </w:t>
      </w:r>
    </w:p>
    <w:p w:rsidR="002A571F" w:rsidRPr="00B44A77" w:rsidRDefault="002A571F" w:rsidP="00624C2A">
      <w:pPr>
        <w:pStyle w:val="ZLITCZWSPPKTzmczciwsppktliter"/>
      </w:pPr>
      <w:r>
        <w:t>— għandhom ikunu soġġetti għal sanzjoni finanzjarja ta’ 4 % tal-ħlas fit-tifsira tal-Artikolu 29a(1) tal-Att tal-11 ta’ Marzu 2004 dwar it-Taxxa fuq il-Valur Miżjud għall-prodotti mixtrija bħala riżultat ta’ tali kuntratt — għal kull rekwiżit mhux sodisfatt.</w:t>
      </w:r>
    </w:p>
    <w:p w:rsidR="00955DCD" w:rsidRDefault="00AC7836" w:rsidP="00624C2A">
      <w:pPr>
        <w:pStyle w:val="ZLITUSTzmustliter"/>
      </w:pPr>
      <w:r>
        <w:t xml:space="preserve">1c. L-ewwel proċessur jew distributur jew intermedjarju li, kuntrarju għad-dispożizzjonijiet tal-Artikolu 38q(1), jixtri prodotti agrikoli li jappartjenu għas-setturi msemmija fl-Artikolu 38q(1) fuq il-bażi ta’ kuntratt li ma jissodisfax ir-rekwiżiti stabbiliti fl-Artikolu 125 tar-Regolament 1308/2013 u fl-Anness X għar-Regolament 1308/2013, bl-eċċezzjoni tar-rekwiżit stipulat fis-subparagrafu I(1) ta’ dak l-Anness — għal prodotti agrikoli li jappartjenu għas-settur imsemmi fl-Artikolu 1(2)(c) tar-Regolament 1308/2013 esklussivament fir-rigward tal-pitravi </w:t>
      </w:r>
      <w:r>
        <w:lastRenderedPageBreak/>
        <w:t>ħelwa, għandu jkun soġġett għal sanzjoni finanzjarja ta’ 8 % tal-ħlas fit-tifsira tal-Artikolu 29a(1) tal-Att tal-11 ta’ Marzu 2004 dwar it-Taxxa fuq il-Valur Miżjud għall-prodotti mixtrija bħala riżultat ta’ kuntratt bħal dan.”,</w:t>
      </w:r>
    </w:p>
    <w:p w:rsidR="00694E98" w:rsidRPr="00072863" w:rsidRDefault="00480DDC" w:rsidP="00624C2A">
      <w:pPr>
        <w:pStyle w:val="LITlitera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d)</w:t>
      </w:r>
      <w:r>
        <w:tab/>
      </w:r>
      <w:r>
        <w:rPr>
          <w:rFonts w:ascii="Times New Roman" w:hAnsi="Times New Roman"/>
        </w:rPr>
        <w:t>wara l-paragrafu 1c, jiżdiedu l-paragrafi 1ca–1cc li ġejjin:</w:t>
      </w:r>
    </w:p>
    <w:p w:rsidR="003C7670" w:rsidRPr="00072863" w:rsidRDefault="00694E98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“1ca. Kull produttur li huwa bidwi fit-tifsira tal-Artikolu 4(1)(a) tar-Regolament (KE) Nru 1307/2013 tal-Parlament Ewropew u tal-Kunsill tas-17 ta’ Diċembru 2013 li jistabbilixxi regoli għal pagamenti diretti lill-bdiewa taħt skemi ta’ appoġġ fil-qafas tal-politika agrikola komuni u li jħassar ir-Regolament tal-Kunsill (KE) Nru 637/2008 u r-Regolament tal-Kunsill (KE) Nru 73/2009, li jiddisponi minn prodotti agrikoli li jappartjenu għas-setturi msemmija fl-Artikolu 38q(1) kuntrarju għad-dispożizzjonijiet tal-Artikolu 38q(1) jew (1a), mingħajr kuntratt bil-miktub jew mingħajr kuntratt f’format stampat jew f’forma elettronika, għandu jkun soġġetti għal sanzjoni finanzjarja ta’ 10 % tal-ħlas fit-tifsira tal-Artikolu 29a(1) tal-Att tal-11 ta’ Marzu 2004 dwar it-Taxxa fuq il-Valur Miżjud għall-prodotti li jkunu disposti mingħajr kuntratt bil-miktub jew mingħajr kuntratt f’format stampat jew f’forma elettronika.</w:t>
      </w:r>
    </w:p>
    <w:p w:rsidR="00150D74" w:rsidRPr="00072863" w:rsidRDefault="00EA3E9C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1cb. Kull min ma jirrispettax it-tul minimu tal-kuntratt imsemmi fl-Artikolu 38q(1) jew il-perjodu minimu bejn il-konklużjoni tal-kuntratt u l-kunsinna tal-prodotti agrikoli, jekk il-perjodi msemmija huma stabbiliti fid-dispożizzjonijiet skont l-Artikolu 38q(4)(1) jew (2), għandu jkun soġġett għal sanzjoni finanzjarja ta’ 10 % tal-pagament fit-tifsira tal-Artikolu 29a(1) tal-Att tal-11 ta’ Marzu 2004 dwar it-Taxxa fuq il-Valur Miżjud għall-prodotti jkunu disposti jew mixtrija fuq il-bażi ta’ dak il-kuntratt talli naqas milli jirrispetta kull wieħed minn dawn il-perjodi.</w:t>
      </w:r>
    </w:p>
    <w:p w:rsidR="00694E98" w:rsidRPr="00072863" w:rsidRDefault="00150D74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1cc. Kull min ma jirrispettax l-iskadenza msemmija fl-Artikolu 38q(3) jew id-data tal-konklużjoni tal-kuntratt imsemmi fl-Artikolu 38q(1), jekk il-perjodu msemmi huwa stabbilit fid-dispożizzjonijiet skont l-Artikolu 38q(4)(3), għandu jkun soġġett għal sanzjoni finanzjarja ta’ 0.5 % tal-ħlas fit-tifsira tal-Artikolu 29a(1) ta l-Att tal-11 ta’ Marzu 2004 dwar it-Taxxa fuq il-Valur Miżjud għall-prodotti li jkunu disposti jew mixtrija fuq il-bażi ta’ dak il-kuntratt għal kull jum li naqas milli jirrispetta dik l-iskadenza, imma mhux iktar minn 15 % ta’ dak il-ħlas.”,</w:t>
      </w:r>
    </w:p>
    <w:p w:rsidR="0056481C" w:rsidRPr="00072863" w:rsidRDefault="00F13A55" w:rsidP="00624C2A">
      <w:pPr>
        <w:pStyle w:val="LITlitera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e)</w:t>
      </w:r>
      <w:r>
        <w:tab/>
      </w:r>
      <w:r>
        <w:rPr>
          <w:rFonts w:ascii="Times New Roman" w:hAnsi="Times New Roman"/>
        </w:rPr>
        <w:t>il-paragrafu 1d jiġi sostitwit b’dan li ġej:</w:t>
      </w:r>
    </w:p>
    <w:p w:rsidR="00931317" w:rsidRPr="00072863" w:rsidRDefault="0056481C" w:rsidP="00624C2A">
      <w:pPr>
        <w:pStyle w:val="ZLITUSTzmustli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 xml:space="preserve">“1d. Fejn kuntratt imsemmi fl-Artikolu 38q(1) jonqos milli jissodisfa aktar minn waħda mill-kundizzjonijiet elenkati fil-paragrafi 1a u 1b, is-sanzjonijiet </w:t>
      </w:r>
      <w:r>
        <w:rPr>
          <w:rFonts w:ascii="Times New Roman" w:hAnsi="Times New Roman"/>
        </w:rPr>
        <w:lastRenderedPageBreak/>
        <w:t>finanzjarji għandhom ikunu kumulattivi; madankollu, is-sanzjoni totali m’għandhiex teċċedi t-8 % tal-ħlas fit-tifsira tal-Artikolu 29a(1) tal-Att tal-11 ta’ Marzu 2004 dwar it-Taxxa fuq il-Valur Miżjud għall-prodotti mixtrija bħala riżultat ta’ tali kuntratt.”;</w:t>
      </w:r>
    </w:p>
    <w:p w:rsidR="00F02D45" w:rsidRDefault="003C2687" w:rsidP="00624C2A">
      <w:pPr>
        <w:pStyle w:val="PKTpunkt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3)</w:t>
      </w:r>
      <w:r>
        <w:tab/>
      </w:r>
      <w:r>
        <w:rPr>
          <w:rFonts w:ascii="Times New Roman" w:hAnsi="Times New Roman"/>
        </w:rPr>
        <w:t>wara l-Artikolu 40i, jiżdied l-Artikolu 40ia li ġej:</w:t>
      </w:r>
    </w:p>
    <w:p w:rsidR="00F02D45" w:rsidRDefault="00F02D45" w:rsidP="00624C2A">
      <w:pPr>
        <w:pStyle w:val="ZARTzmartartykuempunktem"/>
      </w:pPr>
      <w:r>
        <w:t>“Artikolu 40ia. Kull min jonqos milli jirrispetta l-ftehim, id-deċiżjonijiet jew il-prattiċi miftiehma fi ħdan organizzazzjoni interprofessjonali rikonoxxuta, fejn tali ftehim, deċiżjonijiet jew prattiċi ġew introdotti f’dispożizzjonijiet maħruġa skont l-Artikolu 38o(3), għandu jkun soġġett għal sanzjoni finanzjarja ta’ PLN 5 000; madankollu, jekk tali ftehimiet, deċiżjonijiet jew prattiki ma jiġux rispettati fir-rigward tat-tfassil tal-kuntratti standard imsemmija fl-Artikolu 164(4)(c) tar-Regolament 1308/2013 — is-sanzjoni finanzjarja għandha tammonta għal 8 % tal-ħlas fit-tifsira tal-Artikolu 29a(1) tal-Att tal-11 ta’ Marzu 2004 dwar it-Taxxa fuq il-Valur Miżjud għall-prodotti li jkunu disposti jew mixtrija fuq bażi ta’ kuntratt partikolari.”;</w:t>
      </w:r>
    </w:p>
    <w:p w:rsidR="00627160" w:rsidRPr="00072863" w:rsidRDefault="00F02D45" w:rsidP="00624C2A">
      <w:pPr>
        <w:pStyle w:val="PKTpunkt"/>
        <w:keepNext/>
        <w:keepLines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</w:rPr>
        <w:t>4)</w:t>
      </w:r>
      <w:r w:rsidR="00E22990">
        <w:rPr>
          <w:rFonts w:ascii="Times New Roman" w:hAnsi="Times New Roman"/>
        </w:rPr>
        <w:tab/>
      </w:r>
      <w:r>
        <w:rPr>
          <w:rFonts w:ascii="Times New Roman" w:hAnsi="Times New Roman"/>
        </w:rPr>
        <w:t>fl-Artikolu 40j, il-paragrafu 1 jiġi sostitwit b’dan li ġej:</w:t>
      </w:r>
    </w:p>
    <w:p w:rsidR="000E419B" w:rsidRPr="000E419B" w:rsidRDefault="00284E0D" w:rsidP="00624C2A">
      <w:pPr>
        <w:pStyle w:val="ZUSTzmustartykuempunktem"/>
        <w:keepNext/>
        <w:keepLines/>
      </w:pPr>
      <w:r>
        <w:t>“1. Is-sanzjonijiet finanzjarji msemmija:</w:t>
      </w:r>
    </w:p>
    <w:p w:rsidR="000E419B" w:rsidRPr="000E419B" w:rsidRDefault="000E419B" w:rsidP="00624C2A">
      <w:pPr>
        <w:pStyle w:val="ZPKTzmpktartykuempunktem"/>
      </w:pPr>
      <w:r>
        <w:t>1)</w:t>
      </w:r>
      <w:r>
        <w:tab/>
        <w:t>fl-Artikolu 40i(1)–(1cc) u fl-Artikolu 40ia,</w:t>
      </w:r>
    </w:p>
    <w:p w:rsidR="000E419B" w:rsidRPr="000E419B" w:rsidRDefault="000E419B" w:rsidP="00624C2A">
      <w:pPr>
        <w:pStyle w:val="ZPKTzmpktartykuempunktem"/>
      </w:pPr>
      <w:r>
        <w:t>2)</w:t>
      </w:r>
      <w:r>
        <w:tab/>
        <w:t>fl-Artikolu 8 tar-Regolament 2017/40 fir-rigward tal-appoġġ imsemmi fl-Artikolu 38u(1)(2)</w:t>
      </w:r>
    </w:p>
    <w:p w:rsidR="000E419B" w:rsidRDefault="000E419B" w:rsidP="00624C2A">
      <w:pPr>
        <w:pStyle w:val="ZCZWSPPKTzmczciwsppktartykuempunktem"/>
      </w:pPr>
      <w:r>
        <w:t>— għandhom jiġu imposti, permezz ta’ deċiżjoni amministrattiva, mid-direttur tad-dipartiment reġjonali taċ-Ċentru Nazzjonali kompetenti fir-rigward tal-post tas-sede jew l-indirizz residenzjali tal-produttur, tax-xerrej jew tal-applikant.”</w:t>
      </w:r>
    </w:p>
    <w:p w:rsidR="001E1984" w:rsidRPr="00072863" w:rsidRDefault="001E1984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Artikolu 2</w:t>
      </w:r>
      <w:r>
        <w:rPr>
          <w:rFonts w:ascii="Times New Roman" w:hAnsi="Times New Roman"/>
        </w:rPr>
        <w:t xml:space="preserve"> L-Att tal-15 ta’ Diċembru 2016 dwar il-ġlieda kontra l-użu frodulenti ta’ vantaġġ kuntrattwali fil-kummerċjalizzazzjoni ta’ prodotti agrikoli u alimentari (Ġurnal tal-Liġijiet 2019, il-punt 517) huwa emendat kif ġej:</w:t>
      </w:r>
    </w:p>
    <w:p w:rsidR="001E1984" w:rsidRPr="00072863" w:rsidRDefault="001E1984" w:rsidP="00624C2A">
      <w:pPr>
        <w:pStyle w:val="PKTpunkt"/>
        <w:keepNext/>
        <w:keepLines/>
      </w:pPr>
      <w:r>
        <w:t>1)</w:t>
      </w:r>
      <w:r>
        <w:tab/>
        <w:t>l-Artikolu 2 jiġi sostitwit b’dan li ġej:</w:t>
      </w:r>
    </w:p>
    <w:p w:rsidR="001E1984" w:rsidRPr="00072863" w:rsidRDefault="001E1984" w:rsidP="00624C2A">
      <w:pPr>
        <w:pStyle w:val="ZARTzmartartykuempunktem"/>
      </w:pPr>
      <w:r>
        <w:t>“Artikolu 2. L-Att għandu japplika għal kuntratti għax-xiri ta’ prodotti agrikoli jew alimentari, minn hawn ’il quddiem “kuntratti”, bl-eċċezzjoni tal-provvista diretta u l-bejgħ bl-imnut agrikolu fit-tifsira tal-Att tal-25 ta’ Awwissu 2006 dwar is-sikurezza tal-ikel u l-għalf (Ġurnal tal-Liġijiet 2018, il-punt 1541, kif emendat</w:t>
      </w:r>
      <w:r>
        <w:rPr>
          <w:vertAlign w:val="superscript"/>
        </w:rPr>
        <w:t>2)</w:t>
      </w:r>
      <w:r>
        <w:t xml:space="preserve"> u l-bejgħ dirett fit-tifsira tal-Att tas-16 ta’ Diċembru 2005 dwar prodotti li joriġinaw mill-annimali (Ġurnal tal-Liġijiet 2019, il-punt 824) konkluż bejn ix-xerrejja ta’ tali prodotti u l-fornituri tagħhom.”;</w:t>
      </w:r>
    </w:p>
    <w:p w:rsidR="00F91F6E" w:rsidRPr="001B4D4B" w:rsidRDefault="001E1984" w:rsidP="00624C2A">
      <w:pPr>
        <w:pStyle w:val="PKTpunkt"/>
        <w:keepNext/>
        <w:keepLines/>
      </w:pPr>
      <w:r>
        <w:lastRenderedPageBreak/>
        <w:t>2)</w:t>
      </w:r>
      <w:r>
        <w:tab/>
        <w:t>fl-Artikolu 3(2):</w:t>
      </w:r>
    </w:p>
    <w:p w:rsidR="00F91F6E" w:rsidRDefault="00F91F6E" w:rsidP="00624C2A">
      <w:pPr>
        <w:pStyle w:val="LITlitera"/>
      </w:pPr>
      <w:r>
        <w:t>a)</w:t>
      </w:r>
      <w:r>
        <w:tab/>
        <w:t>il-punt (b) huwa mħassar,</w:t>
      </w:r>
    </w:p>
    <w:p w:rsidR="00930905" w:rsidRDefault="00930905" w:rsidP="00624C2A">
      <w:pPr>
        <w:pStyle w:val="LITlitera"/>
      </w:pPr>
      <w:r>
        <w:t>b)</w:t>
      </w:r>
      <w:r>
        <w:tab/>
        <w:t>fil-punt (c), il-punt jiġi sostitwit b’virgola, u jiżdiedu l-punti (d) u​(e) li ġejjin:</w:t>
      </w:r>
    </w:p>
    <w:p w:rsidR="00930905" w:rsidRPr="00BE3D19" w:rsidRDefault="00930905" w:rsidP="00624C2A">
      <w:pPr>
        <w:pStyle w:val="ZLITLITzmlitliter"/>
      </w:pPr>
      <w:r>
        <w:t>“d)</w:t>
      </w:r>
      <w:r>
        <w:tab/>
        <w:t>ta’ organizzazzjoni tal-produtturi rikonoxxuta fit-tifsira tad-dispożizzjonijiet dwar l-organizzazzjoni ta’ ċerti swieq agrikoli li jbigħu prodotti agrikoli jew alimentari lill-organizzazzjoni li tagħha huma membri,</w:t>
      </w:r>
    </w:p>
    <w:p w:rsidR="00930905" w:rsidRPr="00BE3D19" w:rsidRDefault="00930905" w:rsidP="00624C2A">
      <w:pPr>
        <w:pStyle w:val="ZLITLITzmlitliter"/>
      </w:pPr>
      <w:r>
        <w:t>e)</w:t>
      </w:r>
      <w:r>
        <w:tab/>
        <w:t>ta’ organizzazzjoni tal-produtturi rikonoxxuta fit-tifsira tad-dispożizzjonijiet dwar l-organizzazzjoni tas-suq tal-ħalib u tal-prodotti tal-ħalib li jbigħu prodotti agrikoli jew alimentari lill-organizzazzjoni li tagħha huma membri;”,</w:t>
      </w:r>
    </w:p>
    <w:p w:rsidR="001E1984" w:rsidRPr="00072863" w:rsidRDefault="00930905" w:rsidP="00624C2A">
      <w:pPr>
        <w:pStyle w:val="LITlitera"/>
        <w:keepNext/>
        <w:keepLines/>
      </w:pPr>
      <w:r>
        <w:t>c)</w:t>
      </w:r>
      <w:r>
        <w:tab/>
        <w:t>jiżdied il-punt 3 li ġej:</w:t>
      </w:r>
    </w:p>
    <w:p w:rsidR="001E1984" w:rsidRDefault="001E1984" w:rsidP="00624C2A">
      <w:pPr>
        <w:pStyle w:val="ZLITPKTzmpktliter"/>
      </w:pPr>
      <w:r>
        <w:t>“3)</w:t>
      </w:r>
      <w:r>
        <w:tab/>
        <w:t>il-fornitur ibigħ prodotti agrikoli jew alimentari permezz ta’ skambju ta’ komoditajiet fit-tifsira tad-dispożizzjonijiet dwar skambji ta’ komoditajiet jew permezz ta’ sistema ta’ kummerċ ta’ strumenti finanzjarji fit-tifsira tad-dispożizzjonijiet dwar il-kummerċ fi strumenti finanzjarji.”;</w:t>
      </w:r>
    </w:p>
    <w:p w:rsidR="00F65C42" w:rsidRDefault="00F65C42" w:rsidP="00624C2A">
      <w:pPr>
        <w:pStyle w:val="PKTpunkt"/>
        <w:keepNext/>
        <w:keepLines/>
      </w:pPr>
      <w:r>
        <w:t>3)</w:t>
      </w:r>
      <w:r>
        <w:tab/>
        <w:t>fl-Artikolu 5, il-punt 3 jiġi sostitwit b’dan li ġej:</w:t>
      </w:r>
    </w:p>
    <w:p w:rsidR="00F65C42" w:rsidRDefault="00F65C42" w:rsidP="00624C2A">
      <w:pPr>
        <w:pStyle w:val="ZPKTzmpktartykuempunktem"/>
      </w:pPr>
      <w:r>
        <w:t>“3)</w:t>
      </w:r>
      <w:r>
        <w:tab/>
        <w:t>prodott agrikolu jew alimentari — prodott elenkat fl-Anness I għat-Trattat dwar il-Funzjonament tal-Unjoni Ewropea, jew prodott mhux elenkat f’dak l-Anness iżda pproċessat għall-konsum bl-użu tal-prodotti elenkati fih;”;</w:t>
      </w:r>
    </w:p>
    <w:p w:rsidR="000F1029" w:rsidRDefault="00F121DD" w:rsidP="00624C2A">
      <w:pPr>
        <w:pStyle w:val="PKTpunkt"/>
        <w:keepNext/>
        <w:keepLines/>
      </w:pPr>
      <w:r>
        <w:t>4)</w:t>
      </w:r>
      <w:r>
        <w:tab/>
        <w:t>fl-Artikolu 7:</w:t>
      </w:r>
    </w:p>
    <w:p w:rsidR="00F121DD" w:rsidRDefault="000F1029" w:rsidP="00624C2A">
      <w:pPr>
        <w:pStyle w:val="LITlitera"/>
      </w:pPr>
      <w:r>
        <w:t>a)</w:t>
      </w:r>
      <w:r>
        <w:tab/>
        <w:t>fil-paragrafu 2, wara l-kliem “kuntrarju għal”, jiżdiedu l-kliem “id-dispożizzjonijiet dwar il-ġlieda kontra l-użu frodulenti tal-vantaġġ kuntrattwali fil-kummerċjalizzazzjoni tal-prodotti agrikoli u alimentari jew”,</w:t>
      </w:r>
    </w:p>
    <w:p w:rsidR="001E1984" w:rsidRPr="00072863" w:rsidRDefault="000F1029" w:rsidP="00624C2A">
      <w:pPr>
        <w:pStyle w:val="LITlitera"/>
        <w:keepNext/>
        <w:keepLines/>
      </w:pPr>
      <w:r>
        <w:t>b)</w:t>
      </w:r>
      <w:r>
        <w:tab/>
        <w:t>fil-paragrafu 3(4), il-punt jiġi sostitwit b’punt u virgola, u jiġi miżjud il-punt 5 li ġej:</w:t>
      </w:r>
    </w:p>
    <w:p w:rsidR="0059066D" w:rsidRPr="008509D8" w:rsidRDefault="001E1984" w:rsidP="00624C2A">
      <w:pPr>
        <w:pStyle w:val="ZLITPKTzmpktliter"/>
      </w:pPr>
      <w:r>
        <w:t>“5)</w:t>
      </w:r>
      <w:r>
        <w:tab/>
        <w:t>ix-xiri ta’ prodott agrikolu jew alimentari fit-territorju tar-Repubblika tal-Polonja li huwa prodott elenkat fl-Anness I għat-Trattat dwar il-Funzjonament tal-Unjoni Ewropea, minn hawn ’il quddiem f’dan il-kapitolu msejjaħ “prodott”, jew subkategorija ta’ prodott, li għaliha ġie stabbilit prezz ta’ referenza taħt dan il-prezz, minn xerrej li jixtri dak il-prodott jew subkategorija ta’ prodott direttament mill-fornitur li pproduċa dak il-prodott jew is-subkategorija tal-prodott, jew minn:</w:t>
      </w:r>
    </w:p>
    <w:p w:rsidR="0059066D" w:rsidRPr="0059066D" w:rsidRDefault="002A68BF" w:rsidP="00624C2A">
      <w:pPr>
        <w:pStyle w:val="ZLITLITwPKTzmlitwpktliter"/>
      </w:pPr>
      <w:r>
        <w:t>a)</w:t>
      </w:r>
      <w:r>
        <w:tab/>
        <w:t>kooperattivi ta’ dawn il-fornituri,</w:t>
      </w:r>
    </w:p>
    <w:p w:rsidR="0059066D" w:rsidRPr="008509D8" w:rsidRDefault="002A68BF" w:rsidP="00624C2A">
      <w:pPr>
        <w:pStyle w:val="ZLITLITwPKTzmlitwpktliter"/>
      </w:pPr>
      <w:r>
        <w:t>b)</w:t>
      </w:r>
      <w:r>
        <w:tab/>
        <w:t>gruppi ta’ produtturi agrikoli fit-tifsira tad-dispożizzjonijiet dwar gruppi ta’ produtturi agrikoli u l-assoċjazzjonijiet tagħhom,</w:t>
      </w:r>
    </w:p>
    <w:p w:rsidR="0059066D" w:rsidRPr="008509D8" w:rsidRDefault="002A68BF" w:rsidP="00624C2A">
      <w:pPr>
        <w:pStyle w:val="ZLITLITwPKTzmlitwpktliter"/>
      </w:pPr>
      <w:r>
        <w:lastRenderedPageBreak/>
        <w:t>c)</w:t>
      </w:r>
      <w:r>
        <w:tab/>
        <w:t>organizzazzjoni rikonoxxuta tal-produtturi tal-frott u l-ħaxix fit-tifsira tad-dispożizzjonijiet dwar l-organizzazzjoni tas-swieq tal-frott u l-ħaxix u tas-suq tal-ħops,</w:t>
      </w:r>
    </w:p>
    <w:p w:rsidR="0059066D" w:rsidRPr="008509D8" w:rsidRDefault="002A68BF" w:rsidP="00624C2A">
      <w:pPr>
        <w:pStyle w:val="ZLITLITwPKTzmlitwpktliter"/>
      </w:pPr>
      <w:r>
        <w:t>d)</w:t>
      </w:r>
      <w:r>
        <w:tab/>
        <w:t>organizzazzjoni rikonoxxuta tal-produtturi fit-tifsira tad-dispożizzjonijiet dwar l-organizzazzjoni ta’ ċerti swieq agrikoli,</w:t>
      </w:r>
    </w:p>
    <w:p w:rsidR="001E1984" w:rsidRPr="008509D8" w:rsidRDefault="003C344E" w:rsidP="00624C2A">
      <w:pPr>
        <w:pStyle w:val="ZLITLITwPKTzmlitwpktliter"/>
      </w:pPr>
      <w:r>
        <w:t>e)</w:t>
      </w:r>
      <w:r>
        <w:tab/>
        <w:t>organizzazzjoni rikonoxxuta tal-produtturi fit-tifsira tad-dispożizzjonijiet dwar l-organizzazzjoni tas-suq tal-ħalib u tal-prodotti tal-ħalib.”;</w:t>
      </w:r>
    </w:p>
    <w:p w:rsidR="001E1984" w:rsidRPr="008509D8" w:rsidRDefault="00294536" w:rsidP="00624C2A">
      <w:pPr>
        <w:pStyle w:val="PKTpunkt"/>
        <w:keepNext/>
        <w:keepLines/>
      </w:pPr>
      <w:r>
        <w:t>5)</w:t>
      </w:r>
      <w:r>
        <w:tab/>
        <w:t>wara l-Artikolu 7, jiżdied l-Artikolu 7a li ġej:</w:t>
      </w:r>
    </w:p>
    <w:p w:rsidR="007B149B" w:rsidRDefault="007B149B" w:rsidP="00624C2A">
      <w:pPr>
        <w:pStyle w:val="ZARTzmartartykuempunktem"/>
        <w:rPr>
          <w:rFonts w:eastAsia="Times New Roman"/>
        </w:rPr>
      </w:pPr>
      <w:r>
        <w:t>“Artikolu 7a. 1. Il-prezz ta’ referenza ta’ prodott u kategorija ta’ prodott partikolari għandu jiġi stabbilit mill-Ministru responsabbli għas-swieq agrikoli sal-31 ta’ Marzu ta’ kull sena għall-perjodu mill-1 ta’ April ta’ dik is-sena sal-31 ta’ Marzu tas-sena ta’ wara skont il-formula li ġejja:</w:t>
      </w:r>
    </w:p>
    <w:p w:rsidR="007B149B" w:rsidRPr="007B149B" w:rsidRDefault="007B149B" w:rsidP="00624C2A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</w:p>
    <w:p w:rsidR="007B149B" w:rsidRPr="007B149B" w:rsidRDefault="007B149B" w:rsidP="00624C2A">
      <w:pPr>
        <w:pStyle w:val="ZWMATFIZCHEMzmwzorumatfizlubchemartykuempunktem"/>
        <w:rPr>
          <w:rFonts w:ascii="Times" w:eastAsia="Times New Roman" w:hAnsi="Times"/>
        </w:rPr>
      </w:pPr>
      <m:oMathPara>
        <m:oMath>
          <m:r>
            <w:rPr>
              <w:rFonts w:ascii="Cambria Math" w:eastAsia="Times New Roman" w:hAnsi="Cambria Math"/>
            </w:rPr>
            <m:t>C</m:t>
          </m:r>
          <m:r>
            <m:rPr>
              <m:sty m:val="p"/>
            </m:rPr>
            <w:rPr>
              <w:rFonts w:ascii="Cambria Math" w:eastAsia="Times New Roman" w:hAnsi="Cambria Math"/>
            </w:rPr>
            <m:t>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/3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)/3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</w:rPr>
                        <m:t>-1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/3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-3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p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)/3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*</m:t>
          </m:r>
          <m:sSub>
            <m:sSubPr>
              <m:ctrlPr>
                <w:rPr>
                  <w:rFonts w:ascii="Cambria Math" w:eastAsia="Times New Roman" w:hAnsi="Cambria Math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g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-2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>*</m:t>
          </m:r>
          <m:sSub>
            <m:sSubPr>
              <m:ctrlPr>
                <w:rPr>
                  <w:rFonts w:ascii="Cambria Math" w:eastAsia="Times New Roman" w:hAnsi="Cambria Math"/>
                </w:rPr>
              </m:ctrlPr>
            </m:sSubPr>
            <m:e>
              <m:r>
                <w:rPr>
                  <w:rFonts w:ascii="Cambria Math" w:eastAsia="Times New Roman" w:hAnsi="Cambria Math"/>
                </w:rPr>
                <m:t>i</m:t>
              </m:r>
            </m:e>
            <m:sub>
              <m:r>
                <w:rPr>
                  <w:rFonts w:ascii="Cambria Math" w:eastAsia="Times New Roman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-1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</w:rPr>
            <m:t xml:space="preserve"> </m:t>
          </m:r>
        </m:oMath>
      </m:oMathPara>
    </w:p>
    <w:p w:rsidR="007B149B" w:rsidRPr="007B149B" w:rsidRDefault="007B149B" w:rsidP="00624C2A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</w:p>
    <w:p w:rsidR="007B149B" w:rsidRPr="008509D8" w:rsidRDefault="007B149B" w:rsidP="00624C2A">
      <w:pPr>
        <w:pStyle w:val="ZLEGWMATFIZCHEMzmlegendywzorumatfizlubchemartykuempunktem"/>
        <w:keepNext/>
        <w:keepLines/>
        <w:rPr>
          <w:rFonts w:ascii="Times" w:hAnsi="Times"/>
          <w:bCs/>
        </w:rPr>
      </w:pPr>
      <w:r>
        <w:rPr>
          <w:rFonts w:ascii="Times" w:hAnsi="Times"/>
        </w:rPr>
        <w:t>billi: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C —</w:t>
      </w:r>
      <w:r>
        <w:tab/>
        <w:t>huwa l-prezz ta’ referenza ta’, rispettivament, il-prodott jew is-subkategorija tal-prodott f’PLN għal kull kilogramma,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k</w:t>
      </w:r>
      <w:r>
        <w:rPr>
          <w:vertAlign w:val="subscript"/>
        </w:rPr>
        <w:t xml:space="preserve">n-1 </w:t>
      </w:r>
      <w:r>
        <w:t>—</w:t>
      </w:r>
      <w:r>
        <w:tab/>
        <w:t>jirrappreżenta l-ispejjeż tal-produzzjoni medji ta’, rispettivament, il-prodott jew is-subkategorija tal-prodott f’impriża kummerċjali, esklużi l-kostijiet lavorattivi imġarrba fis-sena preċedenti, f’PLN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k</w:t>
      </w:r>
      <w:r>
        <w:rPr>
          <w:vertAlign w:val="subscript"/>
        </w:rPr>
        <w:t xml:space="preserve">n-2 </w:t>
      </w:r>
      <w:r>
        <w:t>—</w:t>
      </w:r>
      <w:r>
        <w:tab/>
        <w:t>jirrappreżenta l-ispejjeż tal-produzzjoni medji ta’, rispettivament, il-prodott jew is-subkategorija tal-prodott f’impriża kummerċjali, minbarra l-kostijiet lavorattivi imġarrba fit-tieni sena preċedenti, f’PLN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k</w:t>
      </w:r>
      <w:r>
        <w:rPr>
          <w:vertAlign w:val="subscript"/>
        </w:rPr>
        <w:t xml:space="preserve">n-3 </w:t>
      </w:r>
      <w:r>
        <w:t>—</w:t>
      </w:r>
      <w:r>
        <w:tab/>
        <w:t>jirrappreżenta l-ispejjeż tal-produzzjoni medji ta’, rispettivament, il-prodott jew is-subkategorija tal-prodott f’impriża kummerċjali, esklużi l-kostijiet lavorattivi imġarrba fit-tielet sena preċedenti, f’PLN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p</w:t>
      </w:r>
      <w:r>
        <w:rPr>
          <w:vertAlign w:val="subscript"/>
        </w:rPr>
        <w:t xml:space="preserve">n-1 </w:t>
      </w:r>
      <w:r>
        <w:t>—</w:t>
      </w:r>
      <w:r>
        <w:tab/>
        <w:t>jirrappreżenta r-rendiment medju ta’, rispettivament, il-prodott jew is-subkategorija tal-prodott f’impriża kummerċjali fis-sena preċedenti, f’kg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lastRenderedPageBreak/>
        <w:t>p</w:t>
      </w:r>
      <w:r>
        <w:rPr>
          <w:vertAlign w:val="subscript"/>
        </w:rPr>
        <w:t xml:space="preserve">n-2 </w:t>
      </w:r>
      <w:r>
        <w:t>—</w:t>
      </w:r>
      <w:r>
        <w:tab/>
        <w:t>jirrappreżenta r-rendiment medju ta’, rispettivament, il-prodott jew is-subkategorija tal-prodott f’impriża kummerċjali fit-tieni sena preċedenti, f’kg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p</w:t>
      </w:r>
      <w:r>
        <w:rPr>
          <w:vertAlign w:val="subscript"/>
        </w:rPr>
        <w:t xml:space="preserve">n-3 </w:t>
      </w:r>
      <w:r>
        <w:t>—</w:t>
      </w:r>
      <w:r>
        <w:tab/>
        <w:t>jirrappreżenta r-rendiment medju ta’, rispettivament, il-prodott jew is-subkategorija tal-prodott f’impriża kummerċjali fit-tielet sena preċedenti, f’kg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t</w:t>
      </w:r>
      <w:r>
        <w:rPr>
          <w:vertAlign w:val="subscript"/>
        </w:rPr>
        <w:t xml:space="preserve">n-1 </w:t>
      </w:r>
      <w:r>
        <w:t>—</w:t>
      </w:r>
      <w:r>
        <w:tab/>
        <w:t>jirrappreżenta l-ħin medju tax-xogħol iddedikat għall-produzzjoni ta’, rispettivament, il-prodott jew is-subkategorija tal-prodott f’impriża kummerċjali fis-sena preċedenti, f’sigħat għal kull ettaru,</w:t>
      </w:r>
    </w:p>
    <w:p w:rsidR="007B149B" w:rsidRP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t</w:t>
      </w:r>
      <w:r>
        <w:rPr>
          <w:vertAlign w:val="subscript"/>
        </w:rPr>
        <w:t xml:space="preserve">n-2 </w:t>
      </w:r>
      <w:r>
        <w:t>—</w:t>
      </w:r>
      <w:r>
        <w:tab/>
        <w:t>jirrappreżenta l-ħin medju tax-xogħol iddedikat għall-produzzjoni ta’, rispettivament, il-prodott jew is-subkategorija tal-prodott f’impriża kummerċjali fit-tieni sena preċedenti, f’sigħat għal kull ettaru,</w:t>
      </w:r>
    </w:p>
    <w:p w:rsidR="007B149B" w:rsidRDefault="007B149B" w:rsidP="00624C2A">
      <w:pPr>
        <w:pStyle w:val="ZLEGWMATFIZCHEMzmlegendywzorumatfizlubchemartykuempunktem"/>
        <w:rPr>
          <w:rFonts w:eastAsia="Times New Roman"/>
        </w:rPr>
      </w:pPr>
      <w:r>
        <w:t>t</w:t>
      </w:r>
      <w:r>
        <w:rPr>
          <w:vertAlign w:val="subscript"/>
        </w:rPr>
        <w:t xml:space="preserve">n-3 </w:t>
      </w:r>
      <w:r>
        <w:t>—</w:t>
      </w:r>
      <w:r>
        <w:tab/>
        <w:t>jirrappreżenta l-ħin medju tax-xogħol iddedikat għall-produzzjoni ta’, rispettivament, il-prodott jew is-subkategorija tal-prodott f’impriża kummerċjali fit-tielet sena preċedenti, f’sigħat għal kull ettaru,</w:t>
      </w:r>
    </w:p>
    <w:p w:rsidR="007B149B" w:rsidRDefault="007F6A12" w:rsidP="00624C2A">
      <w:pPr>
        <w:pStyle w:val="ZLEGWMATFIZCHEMzmlegendywzorumatfizlubchemartykuempunktem"/>
        <w:rPr>
          <w:rFonts w:eastAsia="Times New Roman"/>
        </w:rPr>
      </w:pPr>
      <w:r>
        <w:t>g</w:t>
      </w:r>
      <w:r>
        <w:rPr>
          <w:vertAlign w:val="subscript"/>
        </w:rPr>
        <w:t xml:space="preserve">n-2 </w:t>
      </w:r>
      <w:r>
        <w:t>—</w:t>
      </w:r>
      <w:r>
        <w:tab/>
        <w:t>jirrappreżenta l-ispejjeż tax-xogħol fit-tieni sena preċedenti, f’PLN għal kull ettaru,</w:t>
      </w:r>
    </w:p>
    <w:p w:rsidR="007B149B" w:rsidRPr="007B149B" w:rsidRDefault="00ED5616" w:rsidP="00624C2A">
      <w:pPr>
        <w:pStyle w:val="ZLEGWMATFIZCHEMzmlegendywzorumatfizlubchemartykuempunktem"/>
        <w:rPr>
          <w:rFonts w:eastAsia="Times New Roman"/>
        </w:rPr>
      </w:pPr>
      <w:r>
        <w:t>i</w:t>
      </w:r>
      <w:r>
        <w:rPr>
          <w:vertAlign w:val="subscript"/>
        </w:rPr>
        <w:t>n-1</w:t>
      </w:r>
      <w:r>
        <w:t xml:space="preserve"> —</w:t>
      </w:r>
      <w:r>
        <w:tab/>
        <w:t>huwa l-indiċi li jirrifletti l-bidliet fis-salarji fis-settur tal-ipproċessar industrijali fis-sena preċedenti b’relazzjoni mat-tieni sena preċedenti.</w:t>
      </w:r>
    </w:p>
    <w:p w:rsidR="007B149B" w:rsidRPr="007B149B" w:rsidRDefault="007B149B" w:rsidP="00900942">
      <w:pPr>
        <w:pStyle w:val="ZUSTzmustartykuempunktem"/>
        <w:keepNext/>
        <w:keepLines/>
        <w:rPr>
          <w:rFonts w:eastAsia="Times New Roman"/>
        </w:rPr>
      </w:pPr>
      <w:r>
        <w:t>2. Meta tkun qed tistabbilixxi prezz ta’ referenza:</w:t>
      </w:r>
    </w:p>
    <w:p w:rsidR="007B149B" w:rsidRPr="007B149B" w:rsidRDefault="007B149B" w:rsidP="00624C2A">
      <w:pPr>
        <w:pStyle w:val="ZPKTzmpktartykuempunktem"/>
        <w:rPr>
          <w:rFonts w:eastAsia="Times New Roman"/>
        </w:rPr>
      </w:pPr>
      <w:r>
        <w:t>1)</w:t>
      </w:r>
      <w:r>
        <w:tab/>
        <w:t>impriża kummerċjali għandha tinftiehem bħala impriża msemmija fl-ewwel taqsima tal-Artikolu 5(1)tar-Regolament tal-Kunsill (KE) Nru 1217/2009 tat-30 ta’ Novembru 2009 li jistabbilixxi netwerk għall-ġbir ta’ informazzjoni tal-kontabilità dwar id-dħul u l-operazzjoni kummerċjali ta’ azjendi agrikoli fl-Unjoni Ewropea (ĠU UE L 328 tal-15.12.2009, p. 27, kif emendat</w:t>
      </w:r>
      <w:r>
        <w:rPr>
          <w:rStyle w:val="FootnoteReference"/>
        </w:rPr>
        <w:footnoteReference w:id="4"/>
      </w:r>
      <w:r>
        <w:rPr>
          <w:rStyle w:val="IGindeksgrny"/>
        </w:rPr>
        <w:t>)</w:t>
      </w:r>
      <w:r>
        <w:t>);</w:t>
      </w:r>
    </w:p>
    <w:p w:rsidR="007B149B" w:rsidRPr="007B149B" w:rsidRDefault="007B149B" w:rsidP="00624C2A">
      <w:pPr>
        <w:pStyle w:val="ZPKTzmpktartykuempunktem"/>
        <w:rPr>
          <w:rFonts w:eastAsia="Times New Roman"/>
        </w:rPr>
      </w:pPr>
      <w:r>
        <w:t>2)</w:t>
      </w:r>
      <w:r>
        <w:tab/>
        <w:t>il-kostijiet lavorattivi għandhom jinftiehmu bħala r-remunerazzjoni medja għax-xogħol f’impriża kummerċjali.</w:t>
      </w:r>
    </w:p>
    <w:p w:rsidR="007B149B" w:rsidRPr="007B149B" w:rsidRDefault="007B149B" w:rsidP="00624C2A">
      <w:pPr>
        <w:pStyle w:val="ZUSTzmustartykuempunktem"/>
        <w:rPr>
          <w:rFonts w:eastAsia="Times New Roman"/>
        </w:rPr>
      </w:pPr>
      <w:r>
        <w:t>3. Il-prezz ta’ referenza ta’ prodott partikolari u subkategorija ta’ prodott għandu jiġi stabbilit fuq il-bażi tad-</w:t>
      </w:r>
      <w:r>
        <w:rPr>
          <w:i/>
        </w:rPr>
        <w:t>data</w:t>
      </w:r>
      <w:r>
        <w:t xml:space="preserve"> miksuba bħala riżultat tar-riċerka mwettqa mill-Istitut tal-Ekonomija Agrikola u Alimentari — l-Istitut Nazzjonali għar-Riċerka, filwaqt li l-indiċi </w:t>
      </w:r>
      <w:r>
        <w:lastRenderedPageBreak/>
        <w:t>li jirrifletti l-bidliet fis-salarji fis-settur tal-ipproċessar industrijali fis-sena preċedenti fir-rigward tat-tieni sena preċedenti għandhom jiġu stabbiliti fuq il-bażi tar-riżultati statistiċi ppubblikati, magħmula disponibbli jew imqassma skont id-dispożizzjonijiet dwar l-istatistiċi uffiċjali.</w:t>
      </w:r>
    </w:p>
    <w:p w:rsidR="00225E1D" w:rsidRDefault="007B149B" w:rsidP="00624C2A">
      <w:pPr>
        <w:pStyle w:val="ZUSTzmustartykuempunktem"/>
      </w:pPr>
      <w:r>
        <w:t>4. L-Istitut tal-Ekonomija Agrikola u Alimentari — l-Istitut Nazzjonali għar-Riċerka għandu jippubblika d-</w:t>
      </w:r>
      <w:r>
        <w:rPr>
          <w:i/>
        </w:rPr>
        <w:t>data</w:t>
      </w:r>
      <w:r>
        <w:t xml:space="preserve"> msemmija fil-paragrafu 3 fuq il-paġna tiegħu fuq is-sit web tal-Bullettin tal-Informazzjoni Pubblika sal-10 ta’ Marzu ta’ kull sena.</w:t>
      </w:r>
    </w:p>
    <w:p w:rsidR="001E1984" w:rsidRPr="002016C0" w:rsidRDefault="003B7577" w:rsidP="00624C2A">
      <w:pPr>
        <w:pStyle w:val="ZUSTzmustartykuempunktem"/>
      </w:pPr>
      <w:r>
        <w:t>5. Il-Ministru responsabbli għas-swieq agrikoli għandu jiddefinixxi, permezz ta’ regolament, il-lista tal-prodotti jew subkategoriji tal-prodott li għalihom huma stabbiliti l-prezzijiet ta’ referenza, filwaqt li jqis il-produzzjoni agrikola nazzjonali ta’ prodotti u subkategoriji tal-prodott partikolari, kif ukoll il-mod li bih huma ġestiti u r-riskju ta’ użu frodulenti ta’ vantaġġ kuntrattwali.</w:t>
      </w:r>
    </w:p>
    <w:p w:rsidR="00CB4B38" w:rsidRPr="00721BB9" w:rsidRDefault="003B7577" w:rsidP="00624C2A">
      <w:pPr>
        <w:pStyle w:val="ZUSTzmustartykuempunktem"/>
      </w:pPr>
      <w:r>
        <w:t>6. Il-Ministru responsabbli għas-swieq agrikoli għandu jħabbar, permezz ta’ avviż, il-prezz ta’ referenza tal-prodotti u tas-subkategoriji tal-prodotti inklużi fil-lista msemmija fil-paragrafu 5 sal-31 ta’ Marzu ta’ kull sena.”</w:t>
      </w:r>
    </w:p>
    <w:p w:rsidR="00C418F0" w:rsidRPr="00072863" w:rsidRDefault="00C418F0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Artikolu 3.</w:t>
      </w:r>
      <w:r>
        <w:rPr>
          <w:rFonts w:ascii="Times New Roman" w:hAnsi="Times New Roman"/>
        </w:rPr>
        <w:t xml:space="preserve"> Il-kuntratti għall-provvista ta’ prodotti agrikoli li jappartjenu għas-setturi msemmija fl-Artikolu 1(2) tar-Regolament (UE) Nru 1308/2013 tal-Parlament Ewropew u tal-Kunsill tas-17 ta’ Diċembru 2013 li jistabbilixxi organizzazzjoni komuni tas-swieq fi prodotti agrikoli u li jħassar ir-Regolamenti tal-Kunsill (KEE) Nru 922/72, (KEE) Nru 234/79, (KE) Nru 1037/2001 u (KE) Nru 1234/2007 (ĠU UE L 347 tal-20.12.2013, p. 671, kif emendata</w:t>
      </w:r>
      <w:r>
        <w:rPr>
          <w:rStyle w:val="FootnoteReference"/>
          <w:rFonts w:ascii="Times New Roman" w:hAnsi="Times New Roman"/>
        </w:rPr>
        <w:footnoteReference w:id="5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), li kienu konklużi qabel id-data tad-dħul fis-seħħ ta’ dan l-Att, għandhom ikunu soġġetti għad-dispożizzjonijiet tal-Att emendat fl-Artikolu 1 kif inhu miktub bħalissa.</w:t>
      </w:r>
    </w:p>
    <w:p w:rsidR="00F73BFC" w:rsidRPr="00072863" w:rsidRDefault="00C418F0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t>Artikolu 4.</w:t>
      </w:r>
      <w:r>
        <w:rPr>
          <w:rFonts w:ascii="Times New Roman" w:hAnsi="Times New Roman"/>
        </w:rPr>
        <w:t xml:space="preserve"> Fil-każ ta’ proċedimenti li jikkonċernaw l-impożizzjoni ta’ sanzjonijiet finanzjarji mibdija skont l-Att emendat fl-Artikolu 1 u mhux konklużi permezz ta’ deċiżjoni finali bid-dħul fis-seħħ ta’ dan l-Att, id-dispożizzjonijiet tal-Att emendati fl-Artikolu 1 kif inhuma miktuba bħalissa għandhom japplikaw.</w:t>
      </w:r>
    </w:p>
    <w:p w:rsidR="00A85504" w:rsidRDefault="00A85504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Style w:val="Ppogrubienie"/>
          <w:rFonts w:ascii="Times New Roman" w:hAnsi="Times New Roman"/>
        </w:rPr>
        <w:lastRenderedPageBreak/>
        <w:t>Artikolu 5.</w:t>
      </w:r>
      <w:r>
        <w:rPr>
          <w:rFonts w:ascii="Times New Roman" w:hAnsi="Times New Roman"/>
        </w:rPr>
        <w:t xml:space="preserve"> Fil-każ ta kuntratti għax-xiri ta’ prodotti agrikoli jew alimentari konklużi qabel il-jum tat-tħabbira tal-avviż imsemmi fl-Artikolu 6, għandhom japplikaw id-dispożizzjonijiet tal-Att emendat fl-Artikolu 2 kif inhuma miktuba bħalissa.</w:t>
      </w:r>
    </w:p>
    <w:p w:rsidR="000B07C9" w:rsidRDefault="005C67D3" w:rsidP="00624C2A">
      <w:pPr>
        <w:pStyle w:val="ARTartustawynprozporzdzeni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</w:rPr>
        <w:t>Artikolu 6.</w:t>
      </w:r>
      <w:r>
        <w:rPr>
          <w:rFonts w:ascii="Times New Roman" w:hAnsi="Times New Roman"/>
        </w:rPr>
        <w:t xml:space="preserve"> Fl-2019, il-Ministru responsabbli għas-swieq agrikoli għandu jħabbar, permezz ta’ avviż, il-prezzijiet ta’ referenza tal-prodotti u s-subkategoriji tal-prodotti inklużi fil-lista msemmija fl-Artikolu 7a(5) tal-Att emendat fl-Artikolu 2 bil-kliem introdott b’dan l-Att, għall-perjodu mid-data tat-tħabbira ta’ dak l-avviż sal-31 ta’ Marzu 2020, fi żmien 14-il jum mid-data tad-dħul fis-seħħ tal-Att.</w:t>
      </w:r>
    </w:p>
    <w:p w:rsidR="00062717" w:rsidRDefault="00C418F0" w:rsidP="00624C2A">
      <w:pPr>
        <w:pStyle w:val="ARTartustawynprozporzdzenia"/>
      </w:pPr>
      <w:r>
        <w:rPr>
          <w:rStyle w:val="Ppogrubienie"/>
          <w:rFonts w:ascii="Times New Roman" w:hAnsi="Times New Roman"/>
        </w:rPr>
        <w:t>Artikolu 7.</w:t>
      </w:r>
      <w:r>
        <w:t xml:space="preserve"> Dan l-Att għandu jidħol fis-seħħ fi żmien 14-il jum mill-pubblikazzjoni tiegħu.</w:t>
      </w:r>
    </w:p>
    <w:sectPr w:rsidR="0006271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CCE450" w16cid:durableId="20AD10E8"/>
  <w16cid:commentId w16cid:paraId="7D75BD56" w16cid:durableId="20AD2F3A"/>
  <w16cid:commentId w16cid:paraId="605FBAC9" w16cid:durableId="20AD10E9"/>
  <w16cid:commentId w16cid:paraId="538D962C" w16cid:durableId="20AD10EA"/>
  <w16cid:commentId w16cid:paraId="61277519" w16cid:durableId="20AD10EB"/>
  <w16cid:commentId w16cid:paraId="30209739" w16cid:durableId="20AD2462"/>
  <w16cid:commentId w16cid:paraId="730A8891" w16cid:durableId="20AD271E"/>
  <w16cid:commentId w16cid:paraId="61C2E3DE" w16cid:durableId="20AD2D8F"/>
  <w16cid:commentId w16cid:paraId="1C1E35CA" w16cid:durableId="20AD26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A6" w:rsidRDefault="002841A6">
      <w:r>
        <w:separator/>
      </w:r>
    </w:p>
  </w:endnote>
  <w:endnote w:type="continuationSeparator" w:id="0">
    <w:p w:rsidR="002841A6" w:rsidRDefault="0028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A6" w:rsidRDefault="002841A6">
      <w:r>
        <w:separator/>
      </w:r>
    </w:p>
  </w:footnote>
  <w:footnote w:type="continuationSeparator" w:id="0">
    <w:p w:rsidR="002841A6" w:rsidRDefault="002841A6">
      <w:r>
        <w:continuationSeparator/>
      </w:r>
    </w:p>
  </w:footnote>
  <w:footnote w:id="1">
    <w:p w:rsidR="00717F00" w:rsidRDefault="00717F00" w:rsidP="00B44A77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In-notifika ta’ dan ir-Regolament saret lill-Kummissjoni Ewropea fi ……, taħt in-Nru …., skont l-§ 4 tar-Regolament tal-Kabinett tat-23 ta’ Diċembru 2002 dwar il-mod li bih tiffunzjona s-sistema tan-notifika nazzjonali tal-istandards u l-funzjonijiet tal-atti legali (Ġurnal tal-Liġijiet [Dziennik Ustaw], il-punt 2039 u tal-2004, il-punt 597), li jimplimenta d-dispożizzjonijiet tad-Direttiva (UE) 2015/1535 tal-Parlament Ewropew u tal-Kunsill tad-9 ta’ Settembru 2015 li tistabbilixxi proċedura għall-għoti ta’ informazzjoni fil-qasam tar-regolamenti tekniċi u tar-regoli dwar is-servizzi tas-Soċjetà tal-Informatika (ĠU UE L 241 tas-17.9.2015, p. 1).</w:t>
      </w:r>
    </w:p>
  </w:footnote>
  <w:footnote w:id="2">
    <w:p w:rsidR="006E575F" w:rsidRDefault="006E575F" w:rsidP="006E575F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Emendi għat-test konsolidat tal-imsemmi Att kienu notifikati fil-Ġurnal tal-Liġijiet 2018, il-punti 1669, 2136, 2227, 2242, 2244 u 2245.</w:t>
      </w:r>
    </w:p>
  </w:footnote>
  <w:footnote w:id="3">
    <w:p w:rsidR="00753937" w:rsidRDefault="00753937" w:rsidP="00924BC2">
      <w:pPr>
        <w:pStyle w:val="ODNONIKtreodnonika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L-emendi għar-Regolament kienu notifikati fil-ĠU UE L 347 tal-20.12.2013, p. 865, ĠU UE L 181 tal-20.6.2014, p. 1, ĠU UE L 280 tal-24.9.2014, p. 1, ĠU UE L 281 tal-25.9.2014, p. 1, ĠU UE L 367 tat-23.12.2014, p. 16, ĠU UE L 135 tat-2.6.2015, p. 8, ĠU UE L 28 tal-4.2.2016, p. 8, ĠU UE L 130 tad-19.5.2016, p. 16, ĠU UE L 167 tat-30.6.2017, p. 1, ĠU UE L 350 tad-29.12.2017, p. 15, ĠU UE L 30 tat-2.2.2018, p. 6, ĠU UE L 16 tat-18.1.2019, p. 1, u ĠU UE L 53 tat-22.2.2019, p. 14.</w:t>
      </w:r>
    </w:p>
  </w:footnote>
  <w:footnote w:id="4">
    <w:p w:rsidR="00264817" w:rsidRDefault="00264817" w:rsidP="00FF7049">
      <w:pPr>
        <w:pStyle w:val="ODNONIKtreodnonika"/>
      </w:pPr>
      <w:r>
        <w:rPr>
          <w:rStyle w:val="FootnoteReference"/>
        </w:rPr>
        <w:footnoteRef/>
      </w:r>
      <w:r>
        <w:rPr>
          <w:rStyle w:val="IGindeksgrny"/>
        </w:rPr>
        <w:t>)</w:t>
      </w:r>
      <w:r>
        <w:tab/>
        <w:t>L-emendi għar-Regolament kienu notifikati fil-ĠU UE L 195 tas-27.7.2011, p 42, ĠU UE L 158 tal-10.6.2013, p. 1, ĠU UE L 340 tas-17.12.2013, p. 1, ĠU UE L 328 tat-12.12.2017, p. 1.</w:t>
      </w:r>
    </w:p>
  </w:footnote>
  <w:footnote w:id="5">
    <w:p w:rsidR="002647D7" w:rsidRPr="00F90C7E" w:rsidRDefault="002647D7" w:rsidP="00721BB9">
      <w:pPr>
        <w:pStyle w:val="ODNONIKtreodnonika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</w:r>
      <w:bookmarkStart w:id="0" w:name="_GoBack"/>
      <w:bookmarkEnd w:id="0"/>
      <w:r>
        <w:t xml:space="preserve">L-emendi għar-Regolament kienu notifikati f’ĠU UE L 347 tal-20.12.2013, p. 865, ĠU UE L 189 tas-27.6.2014, p. 261, ĠU UE L 130 tad-19.5.2016, p. 20, ĠU UE L 135 tal-24.5.2016, p. 1, ĠU UE L 193 tad-19.7.2016, p. 17, ĠU UE L 202 tat-28.7.2016, p. 5, ĠU UE L 91 tal-5.4.2017, p. 44, ĠU UE L 350 tad-29.12.2017, p. 15, ĠU UE L 114 tal-4.5.2018, p. 39.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Header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22990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B3D"/>
    <w:multiLevelType w:val="hybridMultilevel"/>
    <w:tmpl w:val="A2E476FC"/>
    <w:lvl w:ilvl="0" w:tplc="04150017">
      <w:start w:val="1"/>
      <w:numFmt w:val="lowerLetter"/>
      <w:lvlText w:val="%1)"/>
      <w:lvlJc w:val="left"/>
      <w:pPr>
        <w:ind w:left="1707" w:hanging="360"/>
      </w:p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" w15:restartNumberingAfterBreak="0">
    <w:nsid w:val="285048AD"/>
    <w:multiLevelType w:val="hybridMultilevel"/>
    <w:tmpl w:val="B038F9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0A6670"/>
    <w:multiLevelType w:val="hybridMultilevel"/>
    <w:tmpl w:val="67F222F4"/>
    <w:lvl w:ilvl="0" w:tplc="F968B8FA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6D50"/>
    <w:multiLevelType w:val="hybridMultilevel"/>
    <w:tmpl w:val="AFACF80E"/>
    <w:lvl w:ilvl="0" w:tplc="B150E068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" w15:restartNumberingAfterBreak="0">
    <w:nsid w:val="41052CD9"/>
    <w:multiLevelType w:val="hybridMultilevel"/>
    <w:tmpl w:val="89AAAC2A"/>
    <w:lvl w:ilvl="0" w:tplc="F968B8FA">
      <w:start w:val="1"/>
      <w:numFmt w:val="bullet"/>
      <w:lvlText w:val="–"/>
      <w:lvlJc w:val="left"/>
      <w:pPr>
        <w:ind w:left="1230" w:hanging="360"/>
      </w:p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5D7B0468"/>
    <w:multiLevelType w:val="hybridMultilevel"/>
    <w:tmpl w:val="A84E46BA"/>
    <w:lvl w:ilvl="0" w:tplc="8570C22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6" w15:restartNumberingAfterBreak="0">
    <w:nsid w:val="641A0835"/>
    <w:multiLevelType w:val="hybridMultilevel"/>
    <w:tmpl w:val="9190B77C"/>
    <w:lvl w:ilvl="0" w:tplc="0D860C7E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7" w15:restartNumberingAfterBreak="0">
    <w:nsid w:val="7BB9323A"/>
    <w:multiLevelType w:val="hybridMultilevel"/>
    <w:tmpl w:val="175C6FA8"/>
    <w:lvl w:ilvl="0" w:tplc="F968B8FA">
      <w:start w:val="1"/>
      <w:numFmt w:val="bullet"/>
      <w:lvlText w:val="–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170"/>
  <w:hyphenationZone w:val="425"/>
  <w:doNotHyphenateCaps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A"/>
    <w:rsid w:val="00000753"/>
    <w:rsid w:val="000012DA"/>
    <w:rsid w:val="0000163D"/>
    <w:rsid w:val="0000246E"/>
    <w:rsid w:val="00003862"/>
    <w:rsid w:val="000065DE"/>
    <w:rsid w:val="00007FB5"/>
    <w:rsid w:val="00012A35"/>
    <w:rsid w:val="00012FF7"/>
    <w:rsid w:val="000139A7"/>
    <w:rsid w:val="00013CBA"/>
    <w:rsid w:val="000152EF"/>
    <w:rsid w:val="00016099"/>
    <w:rsid w:val="00017DC2"/>
    <w:rsid w:val="00020934"/>
    <w:rsid w:val="00020D2D"/>
    <w:rsid w:val="00021522"/>
    <w:rsid w:val="00023471"/>
    <w:rsid w:val="00023F13"/>
    <w:rsid w:val="00026368"/>
    <w:rsid w:val="00030634"/>
    <w:rsid w:val="000319C1"/>
    <w:rsid w:val="00031A8B"/>
    <w:rsid w:val="00031BAF"/>
    <w:rsid w:val="00031BCA"/>
    <w:rsid w:val="00031E97"/>
    <w:rsid w:val="000330FA"/>
    <w:rsid w:val="0003362F"/>
    <w:rsid w:val="00033FF3"/>
    <w:rsid w:val="00036B63"/>
    <w:rsid w:val="000376E8"/>
    <w:rsid w:val="00037E1A"/>
    <w:rsid w:val="00041E80"/>
    <w:rsid w:val="000420B2"/>
    <w:rsid w:val="00042251"/>
    <w:rsid w:val="00043495"/>
    <w:rsid w:val="0004373B"/>
    <w:rsid w:val="00045030"/>
    <w:rsid w:val="000458F1"/>
    <w:rsid w:val="00046A75"/>
    <w:rsid w:val="00047312"/>
    <w:rsid w:val="000508BD"/>
    <w:rsid w:val="000517AB"/>
    <w:rsid w:val="00051FD3"/>
    <w:rsid w:val="0005339C"/>
    <w:rsid w:val="00055111"/>
    <w:rsid w:val="0005571B"/>
    <w:rsid w:val="00057AB3"/>
    <w:rsid w:val="00057C6A"/>
    <w:rsid w:val="00057F0C"/>
    <w:rsid w:val="00060076"/>
    <w:rsid w:val="00060432"/>
    <w:rsid w:val="00060CA9"/>
    <w:rsid w:val="00060D87"/>
    <w:rsid w:val="000615A5"/>
    <w:rsid w:val="00062717"/>
    <w:rsid w:val="00062C5F"/>
    <w:rsid w:val="00064BB2"/>
    <w:rsid w:val="00064E4C"/>
    <w:rsid w:val="0006630C"/>
    <w:rsid w:val="00066452"/>
    <w:rsid w:val="0006671C"/>
    <w:rsid w:val="00066901"/>
    <w:rsid w:val="0007128A"/>
    <w:rsid w:val="00071BEE"/>
    <w:rsid w:val="00072863"/>
    <w:rsid w:val="000736CD"/>
    <w:rsid w:val="0007533B"/>
    <w:rsid w:val="0007545D"/>
    <w:rsid w:val="00075AC8"/>
    <w:rsid w:val="000760BF"/>
    <w:rsid w:val="0007613E"/>
    <w:rsid w:val="00076547"/>
    <w:rsid w:val="00076BFC"/>
    <w:rsid w:val="00076FCD"/>
    <w:rsid w:val="000814A7"/>
    <w:rsid w:val="000816DA"/>
    <w:rsid w:val="00085494"/>
    <w:rsid w:val="0008557B"/>
    <w:rsid w:val="00085CE7"/>
    <w:rsid w:val="00086D90"/>
    <w:rsid w:val="000906EE"/>
    <w:rsid w:val="0009107A"/>
    <w:rsid w:val="00091801"/>
    <w:rsid w:val="00091BA2"/>
    <w:rsid w:val="000944EF"/>
    <w:rsid w:val="0009732D"/>
    <w:rsid w:val="000973F0"/>
    <w:rsid w:val="000A0DCF"/>
    <w:rsid w:val="000A1296"/>
    <w:rsid w:val="000A1C27"/>
    <w:rsid w:val="000A1DAD"/>
    <w:rsid w:val="000A21BD"/>
    <w:rsid w:val="000A2649"/>
    <w:rsid w:val="000A323B"/>
    <w:rsid w:val="000A47E4"/>
    <w:rsid w:val="000A4B03"/>
    <w:rsid w:val="000A5842"/>
    <w:rsid w:val="000A5A7C"/>
    <w:rsid w:val="000B07C9"/>
    <w:rsid w:val="000B298D"/>
    <w:rsid w:val="000B3341"/>
    <w:rsid w:val="000B5B2D"/>
    <w:rsid w:val="000B5DCE"/>
    <w:rsid w:val="000B5F1E"/>
    <w:rsid w:val="000B7455"/>
    <w:rsid w:val="000B768B"/>
    <w:rsid w:val="000B7A07"/>
    <w:rsid w:val="000C05BA"/>
    <w:rsid w:val="000C0E8F"/>
    <w:rsid w:val="000C18CB"/>
    <w:rsid w:val="000C4BC4"/>
    <w:rsid w:val="000D0110"/>
    <w:rsid w:val="000D04B4"/>
    <w:rsid w:val="000D2468"/>
    <w:rsid w:val="000D29E9"/>
    <w:rsid w:val="000D318A"/>
    <w:rsid w:val="000D5616"/>
    <w:rsid w:val="000D5944"/>
    <w:rsid w:val="000D6072"/>
    <w:rsid w:val="000D6173"/>
    <w:rsid w:val="000D6260"/>
    <w:rsid w:val="000D6F83"/>
    <w:rsid w:val="000D74A1"/>
    <w:rsid w:val="000D7B28"/>
    <w:rsid w:val="000E25CC"/>
    <w:rsid w:val="000E3694"/>
    <w:rsid w:val="000E419B"/>
    <w:rsid w:val="000E490F"/>
    <w:rsid w:val="000E6241"/>
    <w:rsid w:val="000F1029"/>
    <w:rsid w:val="000F2687"/>
    <w:rsid w:val="000F2BE3"/>
    <w:rsid w:val="000F3D0D"/>
    <w:rsid w:val="000F3DAE"/>
    <w:rsid w:val="000F47C5"/>
    <w:rsid w:val="000F6DB2"/>
    <w:rsid w:val="000F6DF1"/>
    <w:rsid w:val="000F6ED4"/>
    <w:rsid w:val="000F7A6E"/>
    <w:rsid w:val="001042BA"/>
    <w:rsid w:val="00106D03"/>
    <w:rsid w:val="00110465"/>
    <w:rsid w:val="00110628"/>
    <w:rsid w:val="0011245A"/>
    <w:rsid w:val="00113227"/>
    <w:rsid w:val="00113885"/>
    <w:rsid w:val="0011493E"/>
    <w:rsid w:val="00114C7C"/>
    <w:rsid w:val="00115A6E"/>
    <w:rsid w:val="00115B72"/>
    <w:rsid w:val="00116477"/>
    <w:rsid w:val="00117088"/>
    <w:rsid w:val="001209EC"/>
    <w:rsid w:val="00120A9E"/>
    <w:rsid w:val="00121714"/>
    <w:rsid w:val="001221F2"/>
    <w:rsid w:val="001254F3"/>
    <w:rsid w:val="00125697"/>
    <w:rsid w:val="00125A9C"/>
    <w:rsid w:val="00125B73"/>
    <w:rsid w:val="00125D0A"/>
    <w:rsid w:val="001270A2"/>
    <w:rsid w:val="00131237"/>
    <w:rsid w:val="001314F4"/>
    <w:rsid w:val="001316F8"/>
    <w:rsid w:val="001329AC"/>
    <w:rsid w:val="00134ACB"/>
    <w:rsid w:val="00134CA0"/>
    <w:rsid w:val="001362A2"/>
    <w:rsid w:val="00137BB1"/>
    <w:rsid w:val="0014026F"/>
    <w:rsid w:val="001453F0"/>
    <w:rsid w:val="001464DE"/>
    <w:rsid w:val="00147A47"/>
    <w:rsid w:val="00147AA1"/>
    <w:rsid w:val="00150D74"/>
    <w:rsid w:val="001520CF"/>
    <w:rsid w:val="00152A11"/>
    <w:rsid w:val="001537DF"/>
    <w:rsid w:val="0015667C"/>
    <w:rsid w:val="00157110"/>
    <w:rsid w:val="0015742A"/>
    <w:rsid w:val="0015794A"/>
    <w:rsid w:val="00157DA1"/>
    <w:rsid w:val="00161CD7"/>
    <w:rsid w:val="00163147"/>
    <w:rsid w:val="001635F8"/>
    <w:rsid w:val="0016432C"/>
    <w:rsid w:val="00164C57"/>
    <w:rsid w:val="00164C9D"/>
    <w:rsid w:val="001669D4"/>
    <w:rsid w:val="00166AA0"/>
    <w:rsid w:val="00172F7A"/>
    <w:rsid w:val="00173150"/>
    <w:rsid w:val="00173390"/>
    <w:rsid w:val="001736F0"/>
    <w:rsid w:val="00173BB3"/>
    <w:rsid w:val="001740D0"/>
    <w:rsid w:val="00174F2C"/>
    <w:rsid w:val="00176A45"/>
    <w:rsid w:val="00176DB5"/>
    <w:rsid w:val="00180F2A"/>
    <w:rsid w:val="00183562"/>
    <w:rsid w:val="00184B91"/>
    <w:rsid w:val="00184D4A"/>
    <w:rsid w:val="00185F40"/>
    <w:rsid w:val="00186EC1"/>
    <w:rsid w:val="00191E1F"/>
    <w:rsid w:val="001946FE"/>
    <w:rsid w:val="0019473B"/>
    <w:rsid w:val="00194D47"/>
    <w:rsid w:val="001952B1"/>
    <w:rsid w:val="00196E39"/>
    <w:rsid w:val="00197649"/>
    <w:rsid w:val="001A01FB"/>
    <w:rsid w:val="001A10E9"/>
    <w:rsid w:val="001A183D"/>
    <w:rsid w:val="001A2B65"/>
    <w:rsid w:val="001A3A93"/>
    <w:rsid w:val="001A3CD3"/>
    <w:rsid w:val="001A5BEF"/>
    <w:rsid w:val="001A7F15"/>
    <w:rsid w:val="001B16EA"/>
    <w:rsid w:val="001B1A26"/>
    <w:rsid w:val="001B312B"/>
    <w:rsid w:val="001B342E"/>
    <w:rsid w:val="001B4D4B"/>
    <w:rsid w:val="001B53A8"/>
    <w:rsid w:val="001B6630"/>
    <w:rsid w:val="001C1832"/>
    <w:rsid w:val="001C188C"/>
    <w:rsid w:val="001C1BCB"/>
    <w:rsid w:val="001C2842"/>
    <w:rsid w:val="001C5745"/>
    <w:rsid w:val="001C63F9"/>
    <w:rsid w:val="001C6693"/>
    <w:rsid w:val="001D1783"/>
    <w:rsid w:val="001D524C"/>
    <w:rsid w:val="001D53CD"/>
    <w:rsid w:val="001D55A3"/>
    <w:rsid w:val="001D5AF5"/>
    <w:rsid w:val="001E162A"/>
    <w:rsid w:val="001E1984"/>
    <w:rsid w:val="001E1E73"/>
    <w:rsid w:val="001E33F2"/>
    <w:rsid w:val="001E351B"/>
    <w:rsid w:val="001E4E0C"/>
    <w:rsid w:val="001E526D"/>
    <w:rsid w:val="001E5655"/>
    <w:rsid w:val="001E671E"/>
    <w:rsid w:val="001F034C"/>
    <w:rsid w:val="001F11A9"/>
    <w:rsid w:val="001F1832"/>
    <w:rsid w:val="001F220F"/>
    <w:rsid w:val="001F25B3"/>
    <w:rsid w:val="001F5310"/>
    <w:rsid w:val="001F6616"/>
    <w:rsid w:val="00200D7D"/>
    <w:rsid w:val="002013C9"/>
    <w:rsid w:val="002016C0"/>
    <w:rsid w:val="00202BD4"/>
    <w:rsid w:val="00202DF5"/>
    <w:rsid w:val="00204A97"/>
    <w:rsid w:val="0021047D"/>
    <w:rsid w:val="00210D63"/>
    <w:rsid w:val="002114EF"/>
    <w:rsid w:val="002121E0"/>
    <w:rsid w:val="002166AD"/>
    <w:rsid w:val="00217871"/>
    <w:rsid w:val="0022062F"/>
    <w:rsid w:val="00220D9C"/>
    <w:rsid w:val="00221ACB"/>
    <w:rsid w:val="00221ED8"/>
    <w:rsid w:val="00222927"/>
    <w:rsid w:val="002231EA"/>
    <w:rsid w:val="00223FDF"/>
    <w:rsid w:val="00225E1D"/>
    <w:rsid w:val="002279C0"/>
    <w:rsid w:val="00230624"/>
    <w:rsid w:val="00232989"/>
    <w:rsid w:val="0023727E"/>
    <w:rsid w:val="00240858"/>
    <w:rsid w:val="00241148"/>
    <w:rsid w:val="00241EA6"/>
    <w:rsid w:val="00242081"/>
    <w:rsid w:val="0024373E"/>
    <w:rsid w:val="00243777"/>
    <w:rsid w:val="00243EFD"/>
    <w:rsid w:val="002441CD"/>
    <w:rsid w:val="00244BF6"/>
    <w:rsid w:val="00245151"/>
    <w:rsid w:val="002501A3"/>
    <w:rsid w:val="0025166C"/>
    <w:rsid w:val="0025235F"/>
    <w:rsid w:val="002555D4"/>
    <w:rsid w:val="00255C2C"/>
    <w:rsid w:val="002567B6"/>
    <w:rsid w:val="00261A16"/>
    <w:rsid w:val="00263522"/>
    <w:rsid w:val="00263EB7"/>
    <w:rsid w:val="002647D7"/>
    <w:rsid w:val="00264817"/>
    <w:rsid w:val="00264EB4"/>
    <w:rsid w:val="00264EC6"/>
    <w:rsid w:val="0026742F"/>
    <w:rsid w:val="00271013"/>
    <w:rsid w:val="00271DD4"/>
    <w:rsid w:val="00273FE4"/>
    <w:rsid w:val="002765B4"/>
    <w:rsid w:val="002768F6"/>
    <w:rsid w:val="00276A94"/>
    <w:rsid w:val="00280E93"/>
    <w:rsid w:val="00281F76"/>
    <w:rsid w:val="00283424"/>
    <w:rsid w:val="002841A6"/>
    <w:rsid w:val="00284B95"/>
    <w:rsid w:val="00284E0D"/>
    <w:rsid w:val="002851B7"/>
    <w:rsid w:val="0029405D"/>
    <w:rsid w:val="00294536"/>
    <w:rsid w:val="00294BAC"/>
    <w:rsid w:val="00294FA6"/>
    <w:rsid w:val="00295A6F"/>
    <w:rsid w:val="00297F6C"/>
    <w:rsid w:val="002A1625"/>
    <w:rsid w:val="002A18FD"/>
    <w:rsid w:val="002A20C4"/>
    <w:rsid w:val="002A3055"/>
    <w:rsid w:val="002A3F0D"/>
    <w:rsid w:val="002A51B9"/>
    <w:rsid w:val="002A570F"/>
    <w:rsid w:val="002A571F"/>
    <w:rsid w:val="002A68BF"/>
    <w:rsid w:val="002A7292"/>
    <w:rsid w:val="002A7358"/>
    <w:rsid w:val="002A7902"/>
    <w:rsid w:val="002A79AD"/>
    <w:rsid w:val="002B0F6B"/>
    <w:rsid w:val="002B22C2"/>
    <w:rsid w:val="002B23B8"/>
    <w:rsid w:val="002B2A20"/>
    <w:rsid w:val="002B4429"/>
    <w:rsid w:val="002B5992"/>
    <w:rsid w:val="002B6831"/>
    <w:rsid w:val="002B68A6"/>
    <w:rsid w:val="002B7FAF"/>
    <w:rsid w:val="002C0337"/>
    <w:rsid w:val="002C129C"/>
    <w:rsid w:val="002C4851"/>
    <w:rsid w:val="002C4977"/>
    <w:rsid w:val="002C4B73"/>
    <w:rsid w:val="002D0C4F"/>
    <w:rsid w:val="002D1364"/>
    <w:rsid w:val="002D165B"/>
    <w:rsid w:val="002D2141"/>
    <w:rsid w:val="002D4D30"/>
    <w:rsid w:val="002D5000"/>
    <w:rsid w:val="002D598D"/>
    <w:rsid w:val="002D7188"/>
    <w:rsid w:val="002E1BA1"/>
    <w:rsid w:val="002E1DE3"/>
    <w:rsid w:val="002E2AB6"/>
    <w:rsid w:val="002E3F34"/>
    <w:rsid w:val="002E5F44"/>
    <w:rsid w:val="002E5F79"/>
    <w:rsid w:val="002E64FA"/>
    <w:rsid w:val="002E7572"/>
    <w:rsid w:val="002F0A00"/>
    <w:rsid w:val="002F0ABC"/>
    <w:rsid w:val="002F0CFA"/>
    <w:rsid w:val="002F3F25"/>
    <w:rsid w:val="002F3FE6"/>
    <w:rsid w:val="002F5E67"/>
    <w:rsid w:val="002F669F"/>
    <w:rsid w:val="002F785E"/>
    <w:rsid w:val="00301B46"/>
    <w:rsid w:val="00301C97"/>
    <w:rsid w:val="00305C0C"/>
    <w:rsid w:val="00306C91"/>
    <w:rsid w:val="00307CE0"/>
    <w:rsid w:val="0031004C"/>
    <w:rsid w:val="003105F6"/>
    <w:rsid w:val="00311297"/>
    <w:rsid w:val="003113BE"/>
    <w:rsid w:val="00312147"/>
    <w:rsid w:val="003122CA"/>
    <w:rsid w:val="003136B9"/>
    <w:rsid w:val="00313837"/>
    <w:rsid w:val="00313BB8"/>
    <w:rsid w:val="003148FD"/>
    <w:rsid w:val="0031657E"/>
    <w:rsid w:val="00317031"/>
    <w:rsid w:val="0031739C"/>
    <w:rsid w:val="00321080"/>
    <w:rsid w:val="00322346"/>
    <w:rsid w:val="00322D45"/>
    <w:rsid w:val="0032569A"/>
    <w:rsid w:val="00325A1F"/>
    <w:rsid w:val="003268F9"/>
    <w:rsid w:val="0032700A"/>
    <w:rsid w:val="0032745B"/>
    <w:rsid w:val="00330BAF"/>
    <w:rsid w:val="00331C3D"/>
    <w:rsid w:val="00334E3A"/>
    <w:rsid w:val="003361DD"/>
    <w:rsid w:val="00336D22"/>
    <w:rsid w:val="003406CE"/>
    <w:rsid w:val="00340B0E"/>
    <w:rsid w:val="00341A6A"/>
    <w:rsid w:val="00343AC7"/>
    <w:rsid w:val="003458E6"/>
    <w:rsid w:val="00345B9C"/>
    <w:rsid w:val="003465F0"/>
    <w:rsid w:val="0035086C"/>
    <w:rsid w:val="00352DAE"/>
    <w:rsid w:val="00354EB9"/>
    <w:rsid w:val="003602AE"/>
    <w:rsid w:val="00360929"/>
    <w:rsid w:val="0036192F"/>
    <w:rsid w:val="003647D5"/>
    <w:rsid w:val="003674B0"/>
    <w:rsid w:val="00367611"/>
    <w:rsid w:val="00367B70"/>
    <w:rsid w:val="0037146D"/>
    <w:rsid w:val="0037329C"/>
    <w:rsid w:val="003771E9"/>
    <w:rsid w:val="0037727C"/>
    <w:rsid w:val="00377E70"/>
    <w:rsid w:val="00380904"/>
    <w:rsid w:val="003818E3"/>
    <w:rsid w:val="0038202D"/>
    <w:rsid w:val="003823EE"/>
    <w:rsid w:val="00382960"/>
    <w:rsid w:val="003834A3"/>
    <w:rsid w:val="003846F7"/>
    <w:rsid w:val="003851ED"/>
    <w:rsid w:val="003852BC"/>
    <w:rsid w:val="00385B39"/>
    <w:rsid w:val="00386045"/>
    <w:rsid w:val="00386785"/>
    <w:rsid w:val="00390C5D"/>
    <w:rsid w:val="00390E89"/>
    <w:rsid w:val="00391B1A"/>
    <w:rsid w:val="00394423"/>
    <w:rsid w:val="0039556D"/>
    <w:rsid w:val="00396942"/>
    <w:rsid w:val="00396B49"/>
    <w:rsid w:val="00396E3E"/>
    <w:rsid w:val="003A1FC1"/>
    <w:rsid w:val="003A306E"/>
    <w:rsid w:val="003A4304"/>
    <w:rsid w:val="003A60DC"/>
    <w:rsid w:val="003A6A46"/>
    <w:rsid w:val="003A7A63"/>
    <w:rsid w:val="003B000C"/>
    <w:rsid w:val="003B0EDD"/>
    <w:rsid w:val="003B0F1D"/>
    <w:rsid w:val="003B1C64"/>
    <w:rsid w:val="003B330A"/>
    <w:rsid w:val="003B48AC"/>
    <w:rsid w:val="003B4A57"/>
    <w:rsid w:val="003B7577"/>
    <w:rsid w:val="003C0AD9"/>
    <w:rsid w:val="003C0ED0"/>
    <w:rsid w:val="003C1680"/>
    <w:rsid w:val="003C1D35"/>
    <w:rsid w:val="003C1D49"/>
    <w:rsid w:val="003C2687"/>
    <w:rsid w:val="003C344E"/>
    <w:rsid w:val="003C35C4"/>
    <w:rsid w:val="003C5872"/>
    <w:rsid w:val="003C7670"/>
    <w:rsid w:val="003C7BFB"/>
    <w:rsid w:val="003D12C2"/>
    <w:rsid w:val="003D31B9"/>
    <w:rsid w:val="003D3867"/>
    <w:rsid w:val="003D3C3D"/>
    <w:rsid w:val="003D5F8B"/>
    <w:rsid w:val="003E0D1A"/>
    <w:rsid w:val="003E1B23"/>
    <w:rsid w:val="003E2C72"/>
    <w:rsid w:val="003E2DA3"/>
    <w:rsid w:val="003E2EE1"/>
    <w:rsid w:val="003E793F"/>
    <w:rsid w:val="003F020D"/>
    <w:rsid w:val="003F03D9"/>
    <w:rsid w:val="003F05C8"/>
    <w:rsid w:val="003F2FBE"/>
    <w:rsid w:val="003F318D"/>
    <w:rsid w:val="003F5B77"/>
    <w:rsid w:val="003F5BAE"/>
    <w:rsid w:val="003F6ED7"/>
    <w:rsid w:val="003F730B"/>
    <w:rsid w:val="00401C84"/>
    <w:rsid w:val="00403210"/>
    <w:rsid w:val="004035BB"/>
    <w:rsid w:val="004035EB"/>
    <w:rsid w:val="0040604F"/>
    <w:rsid w:val="00407332"/>
    <w:rsid w:val="00407828"/>
    <w:rsid w:val="00413D8E"/>
    <w:rsid w:val="004140F2"/>
    <w:rsid w:val="004178E3"/>
    <w:rsid w:val="00417B22"/>
    <w:rsid w:val="00420BCD"/>
    <w:rsid w:val="00421085"/>
    <w:rsid w:val="00421433"/>
    <w:rsid w:val="0042465E"/>
    <w:rsid w:val="00424DF7"/>
    <w:rsid w:val="00425BDE"/>
    <w:rsid w:val="00427D24"/>
    <w:rsid w:val="00432286"/>
    <w:rsid w:val="00432B76"/>
    <w:rsid w:val="00432DBE"/>
    <w:rsid w:val="00434D01"/>
    <w:rsid w:val="00435D26"/>
    <w:rsid w:val="0043761E"/>
    <w:rsid w:val="00440C99"/>
    <w:rsid w:val="0044175C"/>
    <w:rsid w:val="00445A0E"/>
    <w:rsid w:val="00445B5E"/>
    <w:rsid w:val="00445F4D"/>
    <w:rsid w:val="004504C0"/>
    <w:rsid w:val="004550FB"/>
    <w:rsid w:val="00460E21"/>
    <w:rsid w:val="0046111A"/>
    <w:rsid w:val="00461542"/>
    <w:rsid w:val="0046164B"/>
    <w:rsid w:val="0046227C"/>
    <w:rsid w:val="00462946"/>
    <w:rsid w:val="00463379"/>
    <w:rsid w:val="00463F43"/>
    <w:rsid w:val="00464B94"/>
    <w:rsid w:val="004653A8"/>
    <w:rsid w:val="00465A0B"/>
    <w:rsid w:val="0047077C"/>
    <w:rsid w:val="00470B05"/>
    <w:rsid w:val="0047207C"/>
    <w:rsid w:val="00472890"/>
    <w:rsid w:val="00472CD6"/>
    <w:rsid w:val="00474A3D"/>
    <w:rsid w:val="00474E3C"/>
    <w:rsid w:val="00480A58"/>
    <w:rsid w:val="00480DDC"/>
    <w:rsid w:val="004817D3"/>
    <w:rsid w:val="00481835"/>
    <w:rsid w:val="00481F6E"/>
    <w:rsid w:val="00482151"/>
    <w:rsid w:val="00483CC4"/>
    <w:rsid w:val="00485FAD"/>
    <w:rsid w:val="00487AED"/>
    <w:rsid w:val="00491EDF"/>
    <w:rsid w:val="00492A3F"/>
    <w:rsid w:val="00494F62"/>
    <w:rsid w:val="00495F5A"/>
    <w:rsid w:val="004967AC"/>
    <w:rsid w:val="004A0D9E"/>
    <w:rsid w:val="004A1C85"/>
    <w:rsid w:val="004A2001"/>
    <w:rsid w:val="004A25A8"/>
    <w:rsid w:val="004A27BE"/>
    <w:rsid w:val="004A3590"/>
    <w:rsid w:val="004A4809"/>
    <w:rsid w:val="004B00A7"/>
    <w:rsid w:val="004B25E2"/>
    <w:rsid w:val="004B34D7"/>
    <w:rsid w:val="004B45B8"/>
    <w:rsid w:val="004B5037"/>
    <w:rsid w:val="004B52F4"/>
    <w:rsid w:val="004B531C"/>
    <w:rsid w:val="004B5B2F"/>
    <w:rsid w:val="004B626A"/>
    <w:rsid w:val="004B660E"/>
    <w:rsid w:val="004B6D9A"/>
    <w:rsid w:val="004C05BD"/>
    <w:rsid w:val="004C256B"/>
    <w:rsid w:val="004C3B06"/>
    <w:rsid w:val="004C3F97"/>
    <w:rsid w:val="004C5867"/>
    <w:rsid w:val="004C6CB1"/>
    <w:rsid w:val="004C7EE7"/>
    <w:rsid w:val="004D2DEE"/>
    <w:rsid w:val="004D2E1F"/>
    <w:rsid w:val="004D356D"/>
    <w:rsid w:val="004D4F76"/>
    <w:rsid w:val="004D7FD9"/>
    <w:rsid w:val="004E06C4"/>
    <w:rsid w:val="004E1324"/>
    <w:rsid w:val="004E19A5"/>
    <w:rsid w:val="004E37E5"/>
    <w:rsid w:val="004E3FDB"/>
    <w:rsid w:val="004E583C"/>
    <w:rsid w:val="004E5B3A"/>
    <w:rsid w:val="004E5BF6"/>
    <w:rsid w:val="004F199C"/>
    <w:rsid w:val="004F1F4A"/>
    <w:rsid w:val="004F296D"/>
    <w:rsid w:val="004F4490"/>
    <w:rsid w:val="004F508B"/>
    <w:rsid w:val="004F5AE0"/>
    <w:rsid w:val="004F6721"/>
    <w:rsid w:val="004F695F"/>
    <w:rsid w:val="004F6CA4"/>
    <w:rsid w:val="004F7B33"/>
    <w:rsid w:val="00500752"/>
    <w:rsid w:val="0050198A"/>
    <w:rsid w:val="00501A50"/>
    <w:rsid w:val="00502099"/>
    <w:rsid w:val="0050222D"/>
    <w:rsid w:val="00503AF3"/>
    <w:rsid w:val="00503D9E"/>
    <w:rsid w:val="00504827"/>
    <w:rsid w:val="0050696D"/>
    <w:rsid w:val="00510707"/>
    <w:rsid w:val="0051094B"/>
    <w:rsid w:val="005110D7"/>
    <w:rsid w:val="00511D99"/>
    <w:rsid w:val="00512277"/>
    <w:rsid w:val="005128D3"/>
    <w:rsid w:val="0051293B"/>
    <w:rsid w:val="005147E8"/>
    <w:rsid w:val="005158F2"/>
    <w:rsid w:val="00522776"/>
    <w:rsid w:val="00524DED"/>
    <w:rsid w:val="00525B87"/>
    <w:rsid w:val="00526DFC"/>
    <w:rsid w:val="00526F43"/>
    <w:rsid w:val="005274BF"/>
    <w:rsid w:val="00527651"/>
    <w:rsid w:val="00530346"/>
    <w:rsid w:val="00530426"/>
    <w:rsid w:val="005309F4"/>
    <w:rsid w:val="005331C0"/>
    <w:rsid w:val="00534EE1"/>
    <w:rsid w:val="005363AB"/>
    <w:rsid w:val="00542A15"/>
    <w:rsid w:val="0054309B"/>
    <w:rsid w:val="00544EF4"/>
    <w:rsid w:val="00545E53"/>
    <w:rsid w:val="0054784F"/>
    <w:rsid w:val="005479D9"/>
    <w:rsid w:val="0055151A"/>
    <w:rsid w:val="00552A58"/>
    <w:rsid w:val="005563CA"/>
    <w:rsid w:val="00556870"/>
    <w:rsid w:val="005572BD"/>
    <w:rsid w:val="00557A12"/>
    <w:rsid w:val="0056000B"/>
    <w:rsid w:val="00560AC7"/>
    <w:rsid w:val="00560E8C"/>
    <w:rsid w:val="00561AFB"/>
    <w:rsid w:val="00561FA8"/>
    <w:rsid w:val="005635ED"/>
    <w:rsid w:val="0056481C"/>
    <w:rsid w:val="00565253"/>
    <w:rsid w:val="005659EA"/>
    <w:rsid w:val="005664C0"/>
    <w:rsid w:val="00570191"/>
    <w:rsid w:val="00570570"/>
    <w:rsid w:val="00570827"/>
    <w:rsid w:val="00572512"/>
    <w:rsid w:val="0057385B"/>
    <w:rsid w:val="00573EE6"/>
    <w:rsid w:val="00574B35"/>
    <w:rsid w:val="0057547F"/>
    <w:rsid w:val="005754EE"/>
    <w:rsid w:val="00576040"/>
    <w:rsid w:val="0057617E"/>
    <w:rsid w:val="00576497"/>
    <w:rsid w:val="00577244"/>
    <w:rsid w:val="005777C3"/>
    <w:rsid w:val="00580AB4"/>
    <w:rsid w:val="00581BDF"/>
    <w:rsid w:val="00581D0D"/>
    <w:rsid w:val="005835E7"/>
    <w:rsid w:val="0058397F"/>
    <w:rsid w:val="00583BF8"/>
    <w:rsid w:val="00583F78"/>
    <w:rsid w:val="00585C4B"/>
    <w:rsid w:val="00585F33"/>
    <w:rsid w:val="0059066D"/>
    <w:rsid w:val="00590DD7"/>
    <w:rsid w:val="00591124"/>
    <w:rsid w:val="005935FF"/>
    <w:rsid w:val="0059423D"/>
    <w:rsid w:val="00595390"/>
    <w:rsid w:val="00597024"/>
    <w:rsid w:val="00597A23"/>
    <w:rsid w:val="005A0274"/>
    <w:rsid w:val="005A095C"/>
    <w:rsid w:val="005A13AF"/>
    <w:rsid w:val="005A17D6"/>
    <w:rsid w:val="005A3058"/>
    <w:rsid w:val="005A30EF"/>
    <w:rsid w:val="005A669D"/>
    <w:rsid w:val="005A6F3E"/>
    <w:rsid w:val="005A75D8"/>
    <w:rsid w:val="005B5BA6"/>
    <w:rsid w:val="005B713E"/>
    <w:rsid w:val="005C03B6"/>
    <w:rsid w:val="005C348E"/>
    <w:rsid w:val="005C51CA"/>
    <w:rsid w:val="005C67D3"/>
    <w:rsid w:val="005C68E1"/>
    <w:rsid w:val="005C7518"/>
    <w:rsid w:val="005D183B"/>
    <w:rsid w:val="005D3763"/>
    <w:rsid w:val="005D3C52"/>
    <w:rsid w:val="005D3F6A"/>
    <w:rsid w:val="005D55E1"/>
    <w:rsid w:val="005E1132"/>
    <w:rsid w:val="005E19F7"/>
    <w:rsid w:val="005E3C8F"/>
    <w:rsid w:val="005E42D1"/>
    <w:rsid w:val="005E4F04"/>
    <w:rsid w:val="005E5182"/>
    <w:rsid w:val="005E62C2"/>
    <w:rsid w:val="005E6C71"/>
    <w:rsid w:val="005F0963"/>
    <w:rsid w:val="005F2824"/>
    <w:rsid w:val="005F2EBA"/>
    <w:rsid w:val="005F35ED"/>
    <w:rsid w:val="005F43E1"/>
    <w:rsid w:val="005F7812"/>
    <w:rsid w:val="005F7A88"/>
    <w:rsid w:val="006006AD"/>
    <w:rsid w:val="00603A1A"/>
    <w:rsid w:val="006046D5"/>
    <w:rsid w:val="00607614"/>
    <w:rsid w:val="00607A93"/>
    <w:rsid w:val="00610C08"/>
    <w:rsid w:val="00611F74"/>
    <w:rsid w:val="00614AFC"/>
    <w:rsid w:val="0061563E"/>
    <w:rsid w:val="00615772"/>
    <w:rsid w:val="006201AA"/>
    <w:rsid w:val="00620E95"/>
    <w:rsid w:val="00621256"/>
    <w:rsid w:val="00621FCC"/>
    <w:rsid w:val="00622227"/>
    <w:rsid w:val="00622E4B"/>
    <w:rsid w:val="00623821"/>
    <w:rsid w:val="00624C2A"/>
    <w:rsid w:val="00625544"/>
    <w:rsid w:val="00627160"/>
    <w:rsid w:val="006317A4"/>
    <w:rsid w:val="00632423"/>
    <w:rsid w:val="00632479"/>
    <w:rsid w:val="00632E1F"/>
    <w:rsid w:val="006333DA"/>
    <w:rsid w:val="00634D37"/>
    <w:rsid w:val="00635134"/>
    <w:rsid w:val="006356E2"/>
    <w:rsid w:val="00635AC7"/>
    <w:rsid w:val="006424FF"/>
    <w:rsid w:val="00642A65"/>
    <w:rsid w:val="00645DCE"/>
    <w:rsid w:val="006465AC"/>
    <w:rsid w:val="006465BF"/>
    <w:rsid w:val="0065378B"/>
    <w:rsid w:val="00653B22"/>
    <w:rsid w:val="00655710"/>
    <w:rsid w:val="00657BF4"/>
    <w:rsid w:val="006603FB"/>
    <w:rsid w:val="006608DF"/>
    <w:rsid w:val="006615D5"/>
    <w:rsid w:val="006623AC"/>
    <w:rsid w:val="006678AF"/>
    <w:rsid w:val="0067005F"/>
    <w:rsid w:val="006701EF"/>
    <w:rsid w:val="00673131"/>
    <w:rsid w:val="00673BA5"/>
    <w:rsid w:val="00677B35"/>
    <w:rsid w:val="00680058"/>
    <w:rsid w:val="00681F9F"/>
    <w:rsid w:val="006840EA"/>
    <w:rsid w:val="006844E2"/>
    <w:rsid w:val="00685267"/>
    <w:rsid w:val="006872AE"/>
    <w:rsid w:val="006872E6"/>
    <w:rsid w:val="00690082"/>
    <w:rsid w:val="00690252"/>
    <w:rsid w:val="0069295D"/>
    <w:rsid w:val="006935F7"/>
    <w:rsid w:val="006946BB"/>
    <w:rsid w:val="00694E98"/>
    <w:rsid w:val="00696955"/>
    <w:rsid w:val="006969FA"/>
    <w:rsid w:val="006A17A3"/>
    <w:rsid w:val="006A35D5"/>
    <w:rsid w:val="006A399A"/>
    <w:rsid w:val="006A51D3"/>
    <w:rsid w:val="006A5799"/>
    <w:rsid w:val="006A6405"/>
    <w:rsid w:val="006A748A"/>
    <w:rsid w:val="006A7B0F"/>
    <w:rsid w:val="006B030B"/>
    <w:rsid w:val="006B5E29"/>
    <w:rsid w:val="006C0278"/>
    <w:rsid w:val="006C2DF8"/>
    <w:rsid w:val="006C419E"/>
    <w:rsid w:val="006C4A31"/>
    <w:rsid w:val="006C5AC2"/>
    <w:rsid w:val="006C6AFB"/>
    <w:rsid w:val="006C6C1D"/>
    <w:rsid w:val="006C730D"/>
    <w:rsid w:val="006D0DBE"/>
    <w:rsid w:val="006D1958"/>
    <w:rsid w:val="006D2735"/>
    <w:rsid w:val="006D28C4"/>
    <w:rsid w:val="006D4019"/>
    <w:rsid w:val="006D4351"/>
    <w:rsid w:val="006D45B2"/>
    <w:rsid w:val="006E03CC"/>
    <w:rsid w:val="006E0FCC"/>
    <w:rsid w:val="006E1E96"/>
    <w:rsid w:val="006E1F6B"/>
    <w:rsid w:val="006E2DA1"/>
    <w:rsid w:val="006E305A"/>
    <w:rsid w:val="006E32E1"/>
    <w:rsid w:val="006E382F"/>
    <w:rsid w:val="006E4AE7"/>
    <w:rsid w:val="006E53C2"/>
    <w:rsid w:val="006E575F"/>
    <w:rsid w:val="006E5A8D"/>
    <w:rsid w:val="006E5E21"/>
    <w:rsid w:val="006E6B60"/>
    <w:rsid w:val="006E75F5"/>
    <w:rsid w:val="006F2648"/>
    <w:rsid w:val="006F2ECB"/>
    <w:rsid w:val="006F2F10"/>
    <w:rsid w:val="006F482B"/>
    <w:rsid w:val="006F6311"/>
    <w:rsid w:val="00701952"/>
    <w:rsid w:val="0070244D"/>
    <w:rsid w:val="00702556"/>
    <w:rsid w:val="0070277E"/>
    <w:rsid w:val="0070318B"/>
    <w:rsid w:val="00704156"/>
    <w:rsid w:val="007069FC"/>
    <w:rsid w:val="00706B3A"/>
    <w:rsid w:val="00711221"/>
    <w:rsid w:val="00712675"/>
    <w:rsid w:val="0071290D"/>
    <w:rsid w:val="007129D6"/>
    <w:rsid w:val="00713808"/>
    <w:rsid w:val="0071517F"/>
    <w:rsid w:val="007151B6"/>
    <w:rsid w:val="0071520D"/>
    <w:rsid w:val="00715EDB"/>
    <w:rsid w:val="007160D5"/>
    <w:rsid w:val="007163FB"/>
    <w:rsid w:val="00717C2E"/>
    <w:rsid w:val="00717F00"/>
    <w:rsid w:val="007204FA"/>
    <w:rsid w:val="007213B3"/>
    <w:rsid w:val="00721BB9"/>
    <w:rsid w:val="00721FE1"/>
    <w:rsid w:val="0072457F"/>
    <w:rsid w:val="00725406"/>
    <w:rsid w:val="0072621B"/>
    <w:rsid w:val="00730555"/>
    <w:rsid w:val="007312CC"/>
    <w:rsid w:val="00731ACA"/>
    <w:rsid w:val="007350F1"/>
    <w:rsid w:val="007353FA"/>
    <w:rsid w:val="00735657"/>
    <w:rsid w:val="00736A64"/>
    <w:rsid w:val="00737F6A"/>
    <w:rsid w:val="00740C90"/>
    <w:rsid w:val="007410B6"/>
    <w:rsid w:val="007431E2"/>
    <w:rsid w:val="00744041"/>
    <w:rsid w:val="00744C6F"/>
    <w:rsid w:val="007457F6"/>
    <w:rsid w:val="00745ABB"/>
    <w:rsid w:val="00746E38"/>
    <w:rsid w:val="00747CD5"/>
    <w:rsid w:val="0075207B"/>
    <w:rsid w:val="007538F3"/>
    <w:rsid w:val="00753937"/>
    <w:rsid w:val="00753B51"/>
    <w:rsid w:val="00754B45"/>
    <w:rsid w:val="00756629"/>
    <w:rsid w:val="00756E4D"/>
    <w:rsid w:val="007575D2"/>
    <w:rsid w:val="00757B4F"/>
    <w:rsid w:val="00757B6A"/>
    <w:rsid w:val="007610E0"/>
    <w:rsid w:val="007621AA"/>
    <w:rsid w:val="0076260A"/>
    <w:rsid w:val="00763D47"/>
    <w:rsid w:val="00764A67"/>
    <w:rsid w:val="00764E25"/>
    <w:rsid w:val="00765131"/>
    <w:rsid w:val="00767723"/>
    <w:rsid w:val="00770F6B"/>
    <w:rsid w:val="00771883"/>
    <w:rsid w:val="00772C0F"/>
    <w:rsid w:val="00772EC2"/>
    <w:rsid w:val="00774693"/>
    <w:rsid w:val="00776DC2"/>
    <w:rsid w:val="00776E76"/>
    <w:rsid w:val="00780122"/>
    <w:rsid w:val="0078214B"/>
    <w:rsid w:val="0078498A"/>
    <w:rsid w:val="00792207"/>
    <w:rsid w:val="00792293"/>
    <w:rsid w:val="00792B64"/>
    <w:rsid w:val="00792E29"/>
    <w:rsid w:val="0079379A"/>
    <w:rsid w:val="00794953"/>
    <w:rsid w:val="007A16E0"/>
    <w:rsid w:val="007A1F2F"/>
    <w:rsid w:val="007A2A5C"/>
    <w:rsid w:val="007A3276"/>
    <w:rsid w:val="007A3CF5"/>
    <w:rsid w:val="007A5150"/>
    <w:rsid w:val="007A5373"/>
    <w:rsid w:val="007A5A56"/>
    <w:rsid w:val="007A789F"/>
    <w:rsid w:val="007A7F9D"/>
    <w:rsid w:val="007B149B"/>
    <w:rsid w:val="007B3C2A"/>
    <w:rsid w:val="007B418B"/>
    <w:rsid w:val="007B75BC"/>
    <w:rsid w:val="007C0BD6"/>
    <w:rsid w:val="007C2E14"/>
    <w:rsid w:val="007C3806"/>
    <w:rsid w:val="007C5BB7"/>
    <w:rsid w:val="007D07D5"/>
    <w:rsid w:val="007D198D"/>
    <w:rsid w:val="007D1C64"/>
    <w:rsid w:val="007D2351"/>
    <w:rsid w:val="007D32DD"/>
    <w:rsid w:val="007D463A"/>
    <w:rsid w:val="007D59CA"/>
    <w:rsid w:val="007D6903"/>
    <w:rsid w:val="007D6DCE"/>
    <w:rsid w:val="007D72C4"/>
    <w:rsid w:val="007D7400"/>
    <w:rsid w:val="007D7F62"/>
    <w:rsid w:val="007E1A7F"/>
    <w:rsid w:val="007E2CFE"/>
    <w:rsid w:val="007E304E"/>
    <w:rsid w:val="007E46DF"/>
    <w:rsid w:val="007E59C9"/>
    <w:rsid w:val="007E7370"/>
    <w:rsid w:val="007F0072"/>
    <w:rsid w:val="007F21F8"/>
    <w:rsid w:val="007F2EB6"/>
    <w:rsid w:val="007F4FA6"/>
    <w:rsid w:val="007F54C3"/>
    <w:rsid w:val="007F6128"/>
    <w:rsid w:val="007F657F"/>
    <w:rsid w:val="007F6A12"/>
    <w:rsid w:val="008002A3"/>
    <w:rsid w:val="00800762"/>
    <w:rsid w:val="00802949"/>
    <w:rsid w:val="0080301E"/>
    <w:rsid w:val="0080324A"/>
    <w:rsid w:val="0080365F"/>
    <w:rsid w:val="00803781"/>
    <w:rsid w:val="00804083"/>
    <w:rsid w:val="00804510"/>
    <w:rsid w:val="00804993"/>
    <w:rsid w:val="0080687A"/>
    <w:rsid w:val="00806885"/>
    <w:rsid w:val="00812BE5"/>
    <w:rsid w:val="00814ED0"/>
    <w:rsid w:val="00817429"/>
    <w:rsid w:val="008207CC"/>
    <w:rsid w:val="00821514"/>
    <w:rsid w:val="00821E35"/>
    <w:rsid w:val="00824591"/>
    <w:rsid w:val="00824AED"/>
    <w:rsid w:val="0082632C"/>
    <w:rsid w:val="008264C6"/>
    <w:rsid w:val="00827820"/>
    <w:rsid w:val="00831292"/>
    <w:rsid w:val="00831B8B"/>
    <w:rsid w:val="00832069"/>
    <w:rsid w:val="0083268E"/>
    <w:rsid w:val="0083405D"/>
    <w:rsid w:val="008352D4"/>
    <w:rsid w:val="00835788"/>
    <w:rsid w:val="00836321"/>
    <w:rsid w:val="00836D86"/>
    <w:rsid w:val="00836DB9"/>
    <w:rsid w:val="0083741B"/>
    <w:rsid w:val="00837C67"/>
    <w:rsid w:val="00837E2D"/>
    <w:rsid w:val="0084032E"/>
    <w:rsid w:val="008415B0"/>
    <w:rsid w:val="00842028"/>
    <w:rsid w:val="00842720"/>
    <w:rsid w:val="008436B8"/>
    <w:rsid w:val="00843C9A"/>
    <w:rsid w:val="008460B6"/>
    <w:rsid w:val="008509D8"/>
    <w:rsid w:val="00850C9D"/>
    <w:rsid w:val="00852731"/>
    <w:rsid w:val="00852B59"/>
    <w:rsid w:val="00854D4F"/>
    <w:rsid w:val="00856272"/>
    <w:rsid w:val="008563FF"/>
    <w:rsid w:val="00857614"/>
    <w:rsid w:val="0086018B"/>
    <w:rsid w:val="008611DD"/>
    <w:rsid w:val="008620DE"/>
    <w:rsid w:val="00864CA9"/>
    <w:rsid w:val="00866867"/>
    <w:rsid w:val="008673B1"/>
    <w:rsid w:val="0086759C"/>
    <w:rsid w:val="00872257"/>
    <w:rsid w:val="0087250D"/>
    <w:rsid w:val="00873D7A"/>
    <w:rsid w:val="008740DC"/>
    <w:rsid w:val="008748CD"/>
    <w:rsid w:val="008753E6"/>
    <w:rsid w:val="0087738C"/>
    <w:rsid w:val="008802AF"/>
    <w:rsid w:val="00880E74"/>
    <w:rsid w:val="00881293"/>
    <w:rsid w:val="00881926"/>
    <w:rsid w:val="008825D9"/>
    <w:rsid w:val="00883167"/>
    <w:rsid w:val="0088318F"/>
    <w:rsid w:val="0088331D"/>
    <w:rsid w:val="008852B0"/>
    <w:rsid w:val="00885AE7"/>
    <w:rsid w:val="00885CE5"/>
    <w:rsid w:val="00886B60"/>
    <w:rsid w:val="00887889"/>
    <w:rsid w:val="008918ED"/>
    <w:rsid w:val="008919C2"/>
    <w:rsid w:val="008920FF"/>
    <w:rsid w:val="008926E8"/>
    <w:rsid w:val="008942FB"/>
    <w:rsid w:val="00894F19"/>
    <w:rsid w:val="008962D1"/>
    <w:rsid w:val="0089630C"/>
    <w:rsid w:val="00896311"/>
    <w:rsid w:val="00896A10"/>
    <w:rsid w:val="008971B5"/>
    <w:rsid w:val="008A2B8F"/>
    <w:rsid w:val="008A5116"/>
    <w:rsid w:val="008A5910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259"/>
    <w:rsid w:val="008C1DD7"/>
    <w:rsid w:val="008C260F"/>
    <w:rsid w:val="008C3524"/>
    <w:rsid w:val="008C4061"/>
    <w:rsid w:val="008C4229"/>
    <w:rsid w:val="008C5BE0"/>
    <w:rsid w:val="008C7233"/>
    <w:rsid w:val="008D115B"/>
    <w:rsid w:val="008D2434"/>
    <w:rsid w:val="008D2C67"/>
    <w:rsid w:val="008D6006"/>
    <w:rsid w:val="008D60C4"/>
    <w:rsid w:val="008D63AD"/>
    <w:rsid w:val="008E0010"/>
    <w:rsid w:val="008E171D"/>
    <w:rsid w:val="008E2785"/>
    <w:rsid w:val="008E62C7"/>
    <w:rsid w:val="008E78A3"/>
    <w:rsid w:val="008E7EE2"/>
    <w:rsid w:val="008F0654"/>
    <w:rsid w:val="008F06CB"/>
    <w:rsid w:val="008F2E83"/>
    <w:rsid w:val="008F3553"/>
    <w:rsid w:val="008F49A8"/>
    <w:rsid w:val="008F5036"/>
    <w:rsid w:val="008F579A"/>
    <w:rsid w:val="008F612A"/>
    <w:rsid w:val="00900942"/>
    <w:rsid w:val="00901071"/>
    <w:rsid w:val="0090293D"/>
    <w:rsid w:val="009034DE"/>
    <w:rsid w:val="00905396"/>
    <w:rsid w:val="0090605D"/>
    <w:rsid w:val="00906419"/>
    <w:rsid w:val="00906771"/>
    <w:rsid w:val="009076F3"/>
    <w:rsid w:val="00907A44"/>
    <w:rsid w:val="00912889"/>
    <w:rsid w:val="00913A42"/>
    <w:rsid w:val="00914167"/>
    <w:rsid w:val="009143DB"/>
    <w:rsid w:val="00915065"/>
    <w:rsid w:val="00917CE5"/>
    <w:rsid w:val="00917DCE"/>
    <w:rsid w:val="009217C0"/>
    <w:rsid w:val="00922A9D"/>
    <w:rsid w:val="00923A09"/>
    <w:rsid w:val="00924BC2"/>
    <w:rsid w:val="00925241"/>
    <w:rsid w:val="00925CEC"/>
    <w:rsid w:val="00926A3F"/>
    <w:rsid w:val="00926E93"/>
    <w:rsid w:val="0092794E"/>
    <w:rsid w:val="009304CD"/>
    <w:rsid w:val="00930905"/>
    <w:rsid w:val="00930D30"/>
    <w:rsid w:val="00931317"/>
    <w:rsid w:val="009332A2"/>
    <w:rsid w:val="0093353B"/>
    <w:rsid w:val="00934918"/>
    <w:rsid w:val="00937598"/>
    <w:rsid w:val="0093790B"/>
    <w:rsid w:val="00942A4A"/>
    <w:rsid w:val="00942DF0"/>
    <w:rsid w:val="00943751"/>
    <w:rsid w:val="00945080"/>
    <w:rsid w:val="009460B8"/>
    <w:rsid w:val="00946DD0"/>
    <w:rsid w:val="009509E6"/>
    <w:rsid w:val="00952018"/>
    <w:rsid w:val="00952675"/>
    <w:rsid w:val="00952800"/>
    <w:rsid w:val="0095300D"/>
    <w:rsid w:val="00955DCD"/>
    <w:rsid w:val="00956812"/>
    <w:rsid w:val="0095719A"/>
    <w:rsid w:val="00961324"/>
    <w:rsid w:val="009623E9"/>
    <w:rsid w:val="00963EEB"/>
    <w:rsid w:val="009648BC"/>
    <w:rsid w:val="00964C2F"/>
    <w:rsid w:val="00965F88"/>
    <w:rsid w:val="009710BC"/>
    <w:rsid w:val="00972807"/>
    <w:rsid w:val="00973581"/>
    <w:rsid w:val="00974202"/>
    <w:rsid w:val="00976502"/>
    <w:rsid w:val="0098021E"/>
    <w:rsid w:val="009809DC"/>
    <w:rsid w:val="009812E5"/>
    <w:rsid w:val="00984489"/>
    <w:rsid w:val="00984E03"/>
    <w:rsid w:val="00986080"/>
    <w:rsid w:val="00987B64"/>
    <w:rsid w:val="00987E85"/>
    <w:rsid w:val="00990AFE"/>
    <w:rsid w:val="009914D7"/>
    <w:rsid w:val="00992504"/>
    <w:rsid w:val="00996C34"/>
    <w:rsid w:val="00996DE9"/>
    <w:rsid w:val="009A0D12"/>
    <w:rsid w:val="009A0FED"/>
    <w:rsid w:val="009A1987"/>
    <w:rsid w:val="009A2102"/>
    <w:rsid w:val="009A2223"/>
    <w:rsid w:val="009A2BEE"/>
    <w:rsid w:val="009A2D13"/>
    <w:rsid w:val="009A416F"/>
    <w:rsid w:val="009A5289"/>
    <w:rsid w:val="009A7A53"/>
    <w:rsid w:val="009B0402"/>
    <w:rsid w:val="009B0B75"/>
    <w:rsid w:val="009B16DF"/>
    <w:rsid w:val="009B2A12"/>
    <w:rsid w:val="009B4352"/>
    <w:rsid w:val="009B4852"/>
    <w:rsid w:val="009B4CB2"/>
    <w:rsid w:val="009B616F"/>
    <w:rsid w:val="009B6701"/>
    <w:rsid w:val="009B6EF7"/>
    <w:rsid w:val="009B7000"/>
    <w:rsid w:val="009B739C"/>
    <w:rsid w:val="009C04EC"/>
    <w:rsid w:val="009C10FD"/>
    <w:rsid w:val="009C328C"/>
    <w:rsid w:val="009C412C"/>
    <w:rsid w:val="009C4444"/>
    <w:rsid w:val="009C79AD"/>
    <w:rsid w:val="009C7CA6"/>
    <w:rsid w:val="009D04FA"/>
    <w:rsid w:val="009D1B0D"/>
    <w:rsid w:val="009D3316"/>
    <w:rsid w:val="009D55AA"/>
    <w:rsid w:val="009E3E77"/>
    <w:rsid w:val="009E3FAB"/>
    <w:rsid w:val="009E5B3F"/>
    <w:rsid w:val="009E65EA"/>
    <w:rsid w:val="009E7D90"/>
    <w:rsid w:val="009E7FFA"/>
    <w:rsid w:val="009F0A8D"/>
    <w:rsid w:val="009F0C73"/>
    <w:rsid w:val="009F1AB0"/>
    <w:rsid w:val="009F479E"/>
    <w:rsid w:val="009F501D"/>
    <w:rsid w:val="00A023C8"/>
    <w:rsid w:val="00A039D5"/>
    <w:rsid w:val="00A046AD"/>
    <w:rsid w:val="00A06C58"/>
    <w:rsid w:val="00A079C1"/>
    <w:rsid w:val="00A11019"/>
    <w:rsid w:val="00A12520"/>
    <w:rsid w:val="00A130FD"/>
    <w:rsid w:val="00A1319A"/>
    <w:rsid w:val="00A13D6D"/>
    <w:rsid w:val="00A14769"/>
    <w:rsid w:val="00A14D85"/>
    <w:rsid w:val="00A16151"/>
    <w:rsid w:val="00A16EC6"/>
    <w:rsid w:val="00A17C06"/>
    <w:rsid w:val="00A2126E"/>
    <w:rsid w:val="00A21706"/>
    <w:rsid w:val="00A22C27"/>
    <w:rsid w:val="00A24FCC"/>
    <w:rsid w:val="00A25390"/>
    <w:rsid w:val="00A267C3"/>
    <w:rsid w:val="00A26A90"/>
    <w:rsid w:val="00A26B27"/>
    <w:rsid w:val="00A30A2B"/>
    <w:rsid w:val="00A30E4F"/>
    <w:rsid w:val="00A32253"/>
    <w:rsid w:val="00A3310E"/>
    <w:rsid w:val="00A333A0"/>
    <w:rsid w:val="00A376BC"/>
    <w:rsid w:val="00A37AA0"/>
    <w:rsid w:val="00A37E70"/>
    <w:rsid w:val="00A437E1"/>
    <w:rsid w:val="00A4685E"/>
    <w:rsid w:val="00A50CD4"/>
    <w:rsid w:val="00A51191"/>
    <w:rsid w:val="00A52C4C"/>
    <w:rsid w:val="00A536DE"/>
    <w:rsid w:val="00A56535"/>
    <w:rsid w:val="00A56D62"/>
    <w:rsid w:val="00A56F07"/>
    <w:rsid w:val="00A5762C"/>
    <w:rsid w:val="00A57BA5"/>
    <w:rsid w:val="00A600FC"/>
    <w:rsid w:val="00A60BCA"/>
    <w:rsid w:val="00A638DA"/>
    <w:rsid w:val="00A63FFF"/>
    <w:rsid w:val="00A6444D"/>
    <w:rsid w:val="00A65B41"/>
    <w:rsid w:val="00A65E00"/>
    <w:rsid w:val="00A66A78"/>
    <w:rsid w:val="00A67918"/>
    <w:rsid w:val="00A7436E"/>
    <w:rsid w:val="00A74E96"/>
    <w:rsid w:val="00A75A8E"/>
    <w:rsid w:val="00A767CD"/>
    <w:rsid w:val="00A77843"/>
    <w:rsid w:val="00A77F2E"/>
    <w:rsid w:val="00A824DD"/>
    <w:rsid w:val="00A83676"/>
    <w:rsid w:val="00A83B7B"/>
    <w:rsid w:val="00A84274"/>
    <w:rsid w:val="00A850F3"/>
    <w:rsid w:val="00A85504"/>
    <w:rsid w:val="00A864E3"/>
    <w:rsid w:val="00A9429A"/>
    <w:rsid w:val="00A94571"/>
    <w:rsid w:val="00A94574"/>
    <w:rsid w:val="00A94722"/>
    <w:rsid w:val="00A94B2C"/>
    <w:rsid w:val="00A95936"/>
    <w:rsid w:val="00A96265"/>
    <w:rsid w:val="00A96295"/>
    <w:rsid w:val="00A96B74"/>
    <w:rsid w:val="00A97084"/>
    <w:rsid w:val="00A97EDD"/>
    <w:rsid w:val="00AA018B"/>
    <w:rsid w:val="00AA1A49"/>
    <w:rsid w:val="00AA1C2C"/>
    <w:rsid w:val="00AA1C3C"/>
    <w:rsid w:val="00AA3494"/>
    <w:rsid w:val="00AA35F6"/>
    <w:rsid w:val="00AA4D18"/>
    <w:rsid w:val="00AA667C"/>
    <w:rsid w:val="00AA699B"/>
    <w:rsid w:val="00AA6E91"/>
    <w:rsid w:val="00AA7439"/>
    <w:rsid w:val="00AB047E"/>
    <w:rsid w:val="00AB05E4"/>
    <w:rsid w:val="00AB0B0A"/>
    <w:rsid w:val="00AB0BB7"/>
    <w:rsid w:val="00AB11DD"/>
    <w:rsid w:val="00AB1E24"/>
    <w:rsid w:val="00AB22C6"/>
    <w:rsid w:val="00AB2AD0"/>
    <w:rsid w:val="00AB3EFE"/>
    <w:rsid w:val="00AB451B"/>
    <w:rsid w:val="00AB6598"/>
    <w:rsid w:val="00AB67FC"/>
    <w:rsid w:val="00AB7C14"/>
    <w:rsid w:val="00AC00F2"/>
    <w:rsid w:val="00AC09C4"/>
    <w:rsid w:val="00AC31B5"/>
    <w:rsid w:val="00AC4EA1"/>
    <w:rsid w:val="00AC515A"/>
    <w:rsid w:val="00AC5381"/>
    <w:rsid w:val="00AC5920"/>
    <w:rsid w:val="00AC5AD9"/>
    <w:rsid w:val="00AC6B8E"/>
    <w:rsid w:val="00AC7052"/>
    <w:rsid w:val="00AC7836"/>
    <w:rsid w:val="00AD024E"/>
    <w:rsid w:val="00AD03CB"/>
    <w:rsid w:val="00AD0E65"/>
    <w:rsid w:val="00AD2AFB"/>
    <w:rsid w:val="00AD2BF2"/>
    <w:rsid w:val="00AD4E90"/>
    <w:rsid w:val="00AD5422"/>
    <w:rsid w:val="00AD5E36"/>
    <w:rsid w:val="00AD7978"/>
    <w:rsid w:val="00AE1E43"/>
    <w:rsid w:val="00AE31C0"/>
    <w:rsid w:val="00AE4179"/>
    <w:rsid w:val="00AE4425"/>
    <w:rsid w:val="00AE4FBE"/>
    <w:rsid w:val="00AE650F"/>
    <w:rsid w:val="00AE6555"/>
    <w:rsid w:val="00AE6BF0"/>
    <w:rsid w:val="00AE7D16"/>
    <w:rsid w:val="00AF1EB8"/>
    <w:rsid w:val="00AF4CAA"/>
    <w:rsid w:val="00AF571A"/>
    <w:rsid w:val="00AF60A0"/>
    <w:rsid w:val="00AF67FC"/>
    <w:rsid w:val="00AF698D"/>
    <w:rsid w:val="00AF7A95"/>
    <w:rsid w:val="00AF7D9A"/>
    <w:rsid w:val="00AF7DF5"/>
    <w:rsid w:val="00B0048D"/>
    <w:rsid w:val="00B006E5"/>
    <w:rsid w:val="00B01B0A"/>
    <w:rsid w:val="00B024C2"/>
    <w:rsid w:val="00B0284C"/>
    <w:rsid w:val="00B0405B"/>
    <w:rsid w:val="00B04673"/>
    <w:rsid w:val="00B05CED"/>
    <w:rsid w:val="00B07700"/>
    <w:rsid w:val="00B1249F"/>
    <w:rsid w:val="00B13921"/>
    <w:rsid w:val="00B1528C"/>
    <w:rsid w:val="00B16ACD"/>
    <w:rsid w:val="00B206DE"/>
    <w:rsid w:val="00B20EC1"/>
    <w:rsid w:val="00B21487"/>
    <w:rsid w:val="00B232D1"/>
    <w:rsid w:val="00B241C8"/>
    <w:rsid w:val="00B2458A"/>
    <w:rsid w:val="00B24DB5"/>
    <w:rsid w:val="00B30490"/>
    <w:rsid w:val="00B31F9E"/>
    <w:rsid w:val="00B3268F"/>
    <w:rsid w:val="00B32C2C"/>
    <w:rsid w:val="00B33558"/>
    <w:rsid w:val="00B33A1A"/>
    <w:rsid w:val="00B33B24"/>
    <w:rsid w:val="00B33E6C"/>
    <w:rsid w:val="00B371CC"/>
    <w:rsid w:val="00B408EB"/>
    <w:rsid w:val="00B409D6"/>
    <w:rsid w:val="00B41684"/>
    <w:rsid w:val="00B41CD9"/>
    <w:rsid w:val="00B41E58"/>
    <w:rsid w:val="00B427E6"/>
    <w:rsid w:val="00B428A6"/>
    <w:rsid w:val="00B431DD"/>
    <w:rsid w:val="00B437A6"/>
    <w:rsid w:val="00B43E1F"/>
    <w:rsid w:val="00B44A77"/>
    <w:rsid w:val="00B45FBC"/>
    <w:rsid w:val="00B51A7D"/>
    <w:rsid w:val="00B535C2"/>
    <w:rsid w:val="00B55544"/>
    <w:rsid w:val="00B57DF1"/>
    <w:rsid w:val="00B62E95"/>
    <w:rsid w:val="00B639F7"/>
    <w:rsid w:val="00B64026"/>
    <w:rsid w:val="00B642FC"/>
    <w:rsid w:val="00B6434E"/>
    <w:rsid w:val="00B64D26"/>
    <w:rsid w:val="00B64D98"/>
    <w:rsid w:val="00B64FBB"/>
    <w:rsid w:val="00B668E8"/>
    <w:rsid w:val="00B677A5"/>
    <w:rsid w:val="00B70E22"/>
    <w:rsid w:val="00B71DBA"/>
    <w:rsid w:val="00B740A8"/>
    <w:rsid w:val="00B75A87"/>
    <w:rsid w:val="00B76497"/>
    <w:rsid w:val="00B76C5D"/>
    <w:rsid w:val="00B774CB"/>
    <w:rsid w:val="00B80220"/>
    <w:rsid w:val="00B80402"/>
    <w:rsid w:val="00B80B9A"/>
    <w:rsid w:val="00B830B7"/>
    <w:rsid w:val="00B848EA"/>
    <w:rsid w:val="00B84B2B"/>
    <w:rsid w:val="00B852D0"/>
    <w:rsid w:val="00B858B3"/>
    <w:rsid w:val="00B877A3"/>
    <w:rsid w:val="00B90500"/>
    <w:rsid w:val="00B90859"/>
    <w:rsid w:val="00B9176C"/>
    <w:rsid w:val="00B91D09"/>
    <w:rsid w:val="00B928D4"/>
    <w:rsid w:val="00B935A4"/>
    <w:rsid w:val="00B96084"/>
    <w:rsid w:val="00B96790"/>
    <w:rsid w:val="00B96C82"/>
    <w:rsid w:val="00BA287B"/>
    <w:rsid w:val="00BA3713"/>
    <w:rsid w:val="00BA561A"/>
    <w:rsid w:val="00BA6ED8"/>
    <w:rsid w:val="00BA7160"/>
    <w:rsid w:val="00BA7810"/>
    <w:rsid w:val="00BB0015"/>
    <w:rsid w:val="00BB0DC6"/>
    <w:rsid w:val="00BB15E4"/>
    <w:rsid w:val="00BB1E19"/>
    <w:rsid w:val="00BB21D1"/>
    <w:rsid w:val="00BB32F2"/>
    <w:rsid w:val="00BB4338"/>
    <w:rsid w:val="00BB637D"/>
    <w:rsid w:val="00BB6BEF"/>
    <w:rsid w:val="00BB6C0E"/>
    <w:rsid w:val="00BB705E"/>
    <w:rsid w:val="00BB7B38"/>
    <w:rsid w:val="00BC11E5"/>
    <w:rsid w:val="00BC4BC6"/>
    <w:rsid w:val="00BC52FD"/>
    <w:rsid w:val="00BC5763"/>
    <w:rsid w:val="00BC6E62"/>
    <w:rsid w:val="00BC7443"/>
    <w:rsid w:val="00BD0648"/>
    <w:rsid w:val="00BD0DAA"/>
    <w:rsid w:val="00BD1040"/>
    <w:rsid w:val="00BD34AA"/>
    <w:rsid w:val="00BD5584"/>
    <w:rsid w:val="00BD6F10"/>
    <w:rsid w:val="00BD7842"/>
    <w:rsid w:val="00BE0C44"/>
    <w:rsid w:val="00BE1B8B"/>
    <w:rsid w:val="00BE2A18"/>
    <w:rsid w:val="00BE2C01"/>
    <w:rsid w:val="00BE3D19"/>
    <w:rsid w:val="00BE41EC"/>
    <w:rsid w:val="00BE4B5C"/>
    <w:rsid w:val="00BE56FB"/>
    <w:rsid w:val="00BE5B56"/>
    <w:rsid w:val="00BE62F3"/>
    <w:rsid w:val="00BE7E3A"/>
    <w:rsid w:val="00BF1403"/>
    <w:rsid w:val="00BF3DDE"/>
    <w:rsid w:val="00BF55CF"/>
    <w:rsid w:val="00BF6589"/>
    <w:rsid w:val="00BF6F7F"/>
    <w:rsid w:val="00C00534"/>
    <w:rsid w:val="00C00647"/>
    <w:rsid w:val="00C02764"/>
    <w:rsid w:val="00C04CEF"/>
    <w:rsid w:val="00C0662F"/>
    <w:rsid w:val="00C069C0"/>
    <w:rsid w:val="00C10ED3"/>
    <w:rsid w:val="00C11943"/>
    <w:rsid w:val="00C12D18"/>
    <w:rsid w:val="00C12E96"/>
    <w:rsid w:val="00C14763"/>
    <w:rsid w:val="00C16141"/>
    <w:rsid w:val="00C17013"/>
    <w:rsid w:val="00C2363F"/>
    <w:rsid w:val="00C236C8"/>
    <w:rsid w:val="00C237DF"/>
    <w:rsid w:val="00C25468"/>
    <w:rsid w:val="00C260B1"/>
    <w:rsid w:val="00C26E56"/>
    <w:rsid w:val="00C2778B"/>
    <w:rsid w:val="00C31406"/>
    <w:rsid w:val="00C31D4D"/>
    <w:rsid w:val="00C31F2F"/>
    <w:rsid w:val="00C32172"/>
    <w:rsid w:val="00C3682E"/>
    <w:rsid w:val="00C37194"/>
    <w:rsid w:val="00C40637"/>
    <w:rsid w:val="00C40728"/>
    <w:rsid w:val="00C40F6C"/>
    <w:rsid w:val="00C418F0"/>
    <w:rsid w:val="00C418F2"/>
    <w:rsid w:val="00C41FAA"/>
    <w:rsid w:val="00C44426"/>
    <w:rsid w:val="00C445F3"/>
    <w:rsid w:val="00C4509B"/>
    <w:rsid w:val="00C451F4"/>
    <w:rsid w:val="00C45EB1"/>
    <w:rsid w:val="00C54A3A"/>
    <w:rsid w:val="00C55566"/>
    <w:rsid w:val="00C56448"/>
    <w:rsid w:val="00C57F7F"/>
    <w:rsid w:val="00C6295E"/>
    <w:rsid w:val="00C63F03"/>
    <w:rsid w:val="00C667BE"/>
    <w:rsid w:val="00C6766B"/>
    <w:rsid w:val="00C71DFB"/>
    <w:rsid w:val="00C72223"/>
    <w:rsid w:val="00C74E43"/>
    <w:rsid w:val="00C74F28"/>
    <w:rsid w:val="00C76417"/>
    <w:rsid w:val="00C7726F"/>
    <w:rsid w:val="00C823DA"/>
    <w:rsid w:val="00C8259F"/>
    <w:rsid w:val="00C82746"/>
    <w:rsid w:val="00C8312F"/>
    <w:rsid w:val="00C84C47"/>
    <w:rsid w:val="00C858A4"/>
    <w:rsid w:val="00C86981"/>
    <w:rsid w:val="00C86AFA"/>
    <w:rsid w:val="00C876C1"/>
    <w:rsid w:val="00C90F08"/>
    <w:rsid w:val="00C911E3"/>
    <w:rsid w:val="00C91888"/>
    <w:rsid w:val="00C95BB7"/>
    <w:rsid w:val="00CA24E3"/>
    <w:rsid w:val="00CA3407"/>
    <w:rsid w:val="00CA3589"/>
    <w:rsid w:val="00CA4F3F"/>
    <w:rsid w:val="00CA758E"/>
    <w:rsid w:val="00CA7EB9"/>
    <w:rsid w:val="00CB18D0"/>
    <w:rsid w:val="00CB1C8A"/>
    <w:rsid w:val="00CB2413"/>
    <w:rsid w:val="00CB24F5"/>
    <w:rsid w:val="00CB2663"/>
    <w:rsid w:val="00CB3BBE"/>
    <w:rsid w:val="00CB3BC9"/>
    <w:rsid w:val="00CB4B38"/>
    <w:rsid w:val="00CB5759"/>
    <w:rsid w:val="00CB59E9"/>
    <w:rsid w:val="00CB6EFC"/>
    <w:rsid w:val="00CB7655"/>
    <w:rsid w:val="00CC0D6A"/>
    <w:rsid w:val="00CC240E"/>
    <w:rsid w:val="00CC2582"/>
    <w:rsid w:val="00CC3831"/>
    <w:rsid w:val="00CC3E3D"/>
    <w:rsid w:val="00CC519B"/>
    <w:rsid w:val="00CC7181"/>
    <w:rsid w:val="00CD12C1"/>
    <w:rsid w:val="00CD214E"/>
    <w:rsid w:val="00CD3B7C"/>
    <w:rsid w:val="00CD46FA"/>
    <w:rsid w:val="00CD5973"/>
    <w:rsid w:val="00CD653E"/>
    <w:rsid w:val="00CE1600"/>
    <w:rsid w:val="00CE31A6"/>
    <w:rsid w:val="00CE5A85"/>
    <w:rsid w:val="00CE6B81"/>
    <w:rsid w:val="00CF09AA"/>
    <w:rsid w:val="00CF1996"/>
    <w:rsid w:val="00CF3D54"/>
    <w:rsid w:val="00CF4813"/>
    <w:rsid w:val="00CF5233"/>
    <w:rsid w:val="00CF7A27"/>
    <w:rsid w:val="00D01F18"/>
    <w:rsid w:val="00D029B8"/>
    <w:rsid w:val="00D02F60"/>
    <w:rsid w:val="00D0464E"/>
    <w:rsid w:val="00D04A96"/>
    <w:rsid w:val="00D07022"/>
    <w:rsid w:val="00D07148"/>
    <w:rsid w:val="00D0715E"/>
    <w:rsid w:val="00D07A7B"/>
    <w:rsid w:val="00D10AAC"/>
    <w:rsid w:val="00D10E06"/>
    <w:rsid w:val="00D115F7"/>
    <w:rsid w:val="00D119F9"/>
    <w:rsid w:val="00D11CF7"/>
    <w:rsid w:val="00D15197"/>
    <w:rsid w:val="00D15FD0"/>
    <w:rsid w:val="00D16820"/>
    <w:rsid w:val="00D169C8"/>
    <w:rsid w:val="00D16B2D"/>
    <w:rsid w:val="00D1793F"/>
    <w:rsid w:val="00D17C07"/>
    <w:rsid w:val="00D21BBB"/>
    <w:rsid w:val="00D2218F"/>
    <w:rsid w:val="00D22AF5"/>
    <w:rsid w:val="00D235EA"/>
    <w:rsid w:val="00D247A9"/>
    <w:rsid w:val="00D32721"/>
    <w:rsid w:val="00D328DC"/>
    <w:rsid w:val="00D32B22"/>
    <w:rsid w:val="00D33387"/>
    <w:rsid w:val="00D33F1C"/>
    <w:rsid w:val="00D34F2D"/>
    <w:rsid w:val="00D35B81"/>
    <w:rsid w:val="00D35C35"/>
    <w:rsid w:val="00D37B89"/>
    <w:rsid w:val="00D402FB"/>
    <w:rsid w:val="00D42903"/>
    <w:rsid w:val="00D4413B"/>
    <w:rsid w:val="00D445C3"/>
    <w:rsid w:val="00D466E3"/>
    <w:rsid w:val="00D46F36"/>
    <w:rsid w:val="00D47CB7"/>
    <w:rsid w:val="00D47D7A"/>
    <w:rsid w:val="00D47E67"/>
    <w:rsid w:val="00D50ABD"/>
    <w:rsid w:val="00D53266"/>
    <w:rsid w:val="00D55290"/>
    <w:rsid w:val="00D56409"/>
    <w:rsid w:val="00D56D25"/>
    <w:rsid w:val="00D570A3"/>
    <w:rsid w:val="00D57791"/>
    <w:rsid w:val="00D6046A"/>
    <w:rsid w:val="00D61C46"/>
    <w:rsid w:val="00D62870"/>
    <w:rsid w:val="00D62ADB"/>
    <w:rsid w:val="00D639F0"/>
    <w:rsid w:val="00D655D9"/>
    <w:rsid w:val="00D65872"/>
    <w:rsid w:val="00D66354"/>
    <w:rsid w:val="00D676F3"/>
    <w:rsid w:val="00D70EF5"/>
    <w:rsid w:val="00D71024"/>
    <w:rsid w:val="00D71A25"/>
    <w:rsid w:val="00D71FCF"/>
    <w:rsid w:val="00D7253D"/>
    <w:rsid w:val="00D72A54"/>
    <w:rsid w:val="00D72CC1"/>
    <w:rsid w:val="00D73653"/>
    <w:rsid w:val="00D76EC9"/>
    <w:rsid w:val="00D807CB"/>
    <w:rsid w:val="00D80E7D"/>
    <w:rsid w:val="00D81397"/>
    <w:rsid w:val="00D814BA"/>
    <w:rsid w:val="00D83304"/>
    <w:rsid w:val="00D83E52"/>
    <w:rsid w:val="00D848B9"/>
    <w:rsid w:val="00D8620E"/>
    <w:rsid w:val="00D86B19"/>
    <w:rsid w:val="00D90E69"/>
    <w:rsid w:val="00D91368"/>
    <w:rsid w:val="00D93106"/>
    <w:rsid w:val="00D933E9"/>
    <w:rsid w:val="00D9505D"/>
    <w:rsid w:val="00D953D0"/>
    <w:rsid w:val="00D959F5"/>
    <w:rsid w:val="00D96884"/>
    <w:rsid w:val="00D971B0"/>
    <w:rsid w:val="00DA3C10"/>
    <w:rsid w:val="00DA3FDD"/>
    <w:rsid w:val="00DA5282"/>
    <w:rsid w:val="00DA64E4"/>
    <w:rsid w:val="00DA7017"/>
    <w:rsid w:val="00DA7028"/>
    <w:rsid w:val="00DB0D5D"/>
    <w:rsid w:val="00DB1A80"/>
    <w:rsid w:val="00DB1AD2"/>
    <w:rsid w:val="00DB2B58"/>
    <w:rsid w:val="00DB5206"/>
    <w:rsid w:val="00DB5657"/>
    <w:rsid w:val="00DB6276"/>
    <w:rsid w:val="00DB63F5"/>
    <w:rsid w:val="00DC1C6B"/>
    <w:rsid w:val="00DC2C2E"/>
    <w:rsid w:val="00DC2EAD"/>
    <w:rsid w:val="00DC3360"/>
    <w:rsid w:val="00DC396C"/>
    <w:rsid w:val="00DC4AF0"/>
    <w:rsid w:val="00DC5941"/>
    <w:rsid w:val="00DC5BFA"/>
    <w:rsid w:val="00DC7886"/>
    <w:rsid w:val="00DD0CF2"/>
    <w:rsid w:val="00DD663F"/>
    <w:rsid w:val="00DE14E0"/>
    <w:rsid w:val="00DE1554"/>
    <w:rsid w:val="00DE1863"/>
    <w:rsid w:val="00DE1DF2"/>
    <w:rsid w:val="00DE2901"/>
    <w:rsid w:val="00DE2C0E"/>
    <w:rsid w:val="00DE590F"/>
    <w:rsid w:val="00DE7DC1"/>
    <w:rsid w:val="00DF38D0"/>
    <w:rsid w:val="00DF3F7E"/>
    <w:rsid w:val="00DF5F0A"/>
    <w:rsid w:val="00DF75AC"/>
    <w:rsid w:val="00DF7648"/>
    <w:rsid w:val="00E00E29"/>
    <w:rsid w:val="00E0133B"/>
    <w:rsid w:val="00E02BAB"/>
    <w:rsid w:val="00E04511"/>
    <w:rsid w:val="00E04CEB"/>
    <w:rsid w:val="00E060BC"/>
    <w:rsid w:val="00E11420"/>
    <w:rsid w:val="00E132FB"/>
    <w:rsid w:val="00E16B4B"/>
    <w:rsid w:val="00E170B7"/>
    <w:rsid w:val="00E177DD"/>
    <w:rsid w:val="00E20900"/>
    <w:rsid w:val="00E20C7F"/>
    <w:rsid w:val="00E22990"/>
    <w:rsid w:val="00E238A1"/>
    <w:rsid w:val="00E2396E"/>
    <w:rsid w:val="00E24728"/>
    <w:rsid w:val="00E2588B"/>
    <w:rsid w:val="00E276AC"/>
    <w:rsid w:val="00E30CEB"/>
    <w:rsid w:val="00E31211"/>
    <w:rsid w:val="00E32F1B"/>
    <w:rsid w:val="00E34A35"/>
    <w:rsid w:val="00E37C2F"/>
    <w:rsid w:val="00E41C28"/>
    <w:rsid w:val="00E41EA4"/>
    <w:rsid w:val="00E42B96"/>
    <w:rsid w:val="00E4313A"/>
    <w:rsid w:val="00E46308"/>
    <w:rsid w:val="00E5083F"/>
    <w:rsid w:val="00E51E17"/>
    <w:rsid w:val="00E52DAB"/>
    <w:rsid w:val="00E539B0"/>
    <w:rsid w:val="00E55994"/>
    <w:rsid w:val="00E56191"/>
    <w:rsid w:val="00E5661F"/>
    <w:rsid w:val="00E5769F"/>
    <w:rsid w:val="00E60606"/>
    <w:rsid w:val="00E60C66"/>
    <w:rsid w:val="00E6164D"/>
    <w:rsid w:val="00E618C9"/>
    <w:rsid w:val="00E62774"/>
    <w:rsid w:val="00E6307C"/>
    <w:rsid w:val="00E636FA"/>
    <w:rsid w:val="00E63E83"/>
    <w:rsid w:val="00E66C50"/>
    <w:rsid w:val="00E679D3"/>
    <w:rsid w:val="00E67B68"/>
    <w:rsid w:val="00E71208"/>
    <w:rsid w:val="00E71444"/>
    <w:rsid w:val="00E719AF"/>
    <w:rsid w:val="00E71C91"/>
    <w:rsid w:val="00E720A1"/>
    <w:rsid w:val="00E75DDA"/>
    <w:rsid w:val="00E773E8"/>
    <w:rsid w:val="00E778FF"/>
    <w:rsid w:val="00E82C03"/>
    <w:rsid w:val="00E83ADD"/>
    <w:rsid w:val="00E84F38"/>
    <w:rsid w:val="00E85623"/>
    <w:rsid w:val="00E85CF9"/>
    <w:rsid w:val="00E87441"/>
    <w:rsid w:val="00E91FAE"/>
    <w:rsid w:val="00E92D8C"/>
    <w:rsid w:val="00E934E4"/>
    <w:rsid w:val="00E949C3"/>
    <w:rsid w:val="00E96E3F"/>
    <w:rsid w:val="00EA1619"/>
    <w:rsid w:val="00EA270C"/>
    <w:rsid w:val="00EA30D6"/>
    <w:rsid w:val="00EA3E9C"/>
    <w:rsid w:val="00EA4974"/>
    <w:rsid w:val="00EA51B7"/>
    <w:rsid w:val="00EA532E"/>
    <w:rsid w:val="00EA5ABD"/>
    <w:rsid w:val="00EB02BC"/>
    <w:rsid w:val="00EB060B"/>
    <w:rsid w:val="00EB06D9"/>
    <w:rsid w:val="00EB0D44"/>
    <w:rsid w:val="00EB192B"/>
    <w:rsid w:val="00EB19ED"/>
    <w:rsid w:val="00EB1CAB"/>
    <w:rsid w:val="00EB20C4"/>
    <w:rsid w:val="00EB26B1"/>
    <w:rsid w:val="00EB2AD5"/>
    <w:rsid w:val="00EB353B"/>
    <w:rsid w:val="00EB3C25"/>
    <w:rsid w:val="00EC0954"/>
    <w:rsid w:val="00EC0F5A"/>
    <w:rsid w:val="00EC4265"/>
    <w:rsid w:val="00EC4CEB"/>
    <w:rsid w:val="00EC659E"/>
    <w:rsid w:val="00EC66D7"/>
    <w:rsid w:val="00ED175C"/>
    <w:rsid w:val="00ED2072"/>
    <w:rsid w:val="00ED2A2B"/>
    <w:rsid w:val="00ED2AD6"/>
    <w:rsid w:val="00ED2AE0"/>
    <w:rsid w:val="00ED4498"/>
    <w:rsid w:val="00ED5553"/>
    <w:rsid w:val="00ED5616"/>
    <w:rsid w:val="00ED5E36"/>
    <w:rsid w:val="00ED6961"/>
    <w:rsid w:val="00ED6A1C"/>
    <w:rsid w:val="00ED7BFB"/>
    <w:rsid w:val="00EE0A71"/>
    <w:rsid w:val="00EE25D6"/>
    <w:rsid w:val="00EE5A2C"/>
    <w:rsid w:val="00EF0B96"/>
    <w:rsid w:val="00EF3486"/>
    <w:rsid w:val="00EF4046"/>
    <w:rsid w:val="00EF47AF"/>
    <w:rsid w:val="00EF53B6"/>
    <w:rsid w:val="00EF6289"/>
    <w:rsid w:val="00F00B73"/>
    <w:rsid w:val="00F02D45"/>
    <w:rsid w:val="00F065C7"/>
    <w:rsid w:val="00F06B87"/>
    <w:rsid w:val="00F10E9B"/>
    <w:rsid w:val="00F115CA"/>
    <w:rsid w:val="00F121DD"/>
    <w:rsid w:val="00F13A55"/>
    <w:rsid w:val="00F14817"/>
    <w:rsid w:val="00F14831"/>
    <w:rsid w:val="00F14EBA"/>
    <w:rsid w:val="00F1510F"/>
    <w:rsid w:val="00F1533A"/>
    <w:rsid w:val="00F15E5A"/>
    <w:rsid w:val="00F17F0A"/>
    <w:rsid w:val="00F24325"/>
    <w:rsid w:val="00F2668F"/>
    <w:rsid w:val="00F2742F"/>
    <w:rsid w:val="00F2753B"/>
    <w:rsid w:val="00F27B17"/>
    <w:rsid w:val="00F306FB"/>
    <w:rsid w:val="00F33F05"/>
    <w:rsid w:val="00F33F8B"/>
    <w:rsid w:val="00F340B2"/>
    <w:rsid w:val="00F37DB7"/>
    <w:rsid w:val="00F415D3"/>
    <w:rsid w:val="00F420BE"/>
    <w:rsid w:val="00F4300B"/>
    <w:rsid w:val="00F43390"/>
    <w:rsid w:val="00F443B2"/>
    <w:rsid w:val="00F458D8"/>
    <w:rsid w:val="00F478DF"/>
    <w:rsid w:val="00F50196"/>
    <w:rsid w:val="00F50237"/>
    <w:rsid w:val="00F515DA"/>
    <w:rsid w:val="00F51A6B"/>
    <w:rsid w:val="00F51F89"/>
    <w:rsid w:val="00F53596"/>
    <w:rsid w:val="00F53ABF"/>
    <w:rsid w:val="00F54CA0"/>
    <w:rsid w:val="00F55BA8"/>
    <w:rsid w:val="00F55DB1"/>
    <w:rsid w:val="00F56ACA"/>
    <w:rsid w:val="00F600FE"/>
    <w:rsid w:val="00F62622"/>
    <w:rsid w:val="00F62E4D"/>
    <w:rsid w:val="00F64976"/>
    <w:rsid w:val="00F65C42"/>
    <w:rsid w:val="00F65E30"/>
    <w:rsid w:val="00F66B34"/>
    <w:rsid w:val="00F675B9"/>
    <w:rsid w:val="00F676ED"/>
    <w:rsid w:val="00F711C9"/>
    <w:rsid w:val="00F71F91"/>
    <w:rsid w:val="00F71FC3"/>
    <w:rsid w:val="00F73BFC"/>
    <w:rsid w:val="00F74C59"/>
    <w:rsid w:val="00F75C3A"/>
    <w:rsid w:val="00F76902"/>
    <w:rsid w:val="00F77207"/>
    <w:rsid w:val="00F80633"/>
    <w:rsid w:val="00F806B1"/>
    <w:rsid w:val="00F81A48"/>
    <w:rsid w:val="00F82E30"/>
    <w:rsid w:val="00F831CB"/>
    <w:rsid w:val="00F847AB"/>
    <w:rsid w:val="00F848A3"/>
    <w:rsid w:val="00F84ACF"/>
    <w:rsid w:val="00F85742"/>
    <w:rsid w:val="00F85BF8"/>
    <w:rsid w:val="00F871CE"/>
    <w:rsid w:val="00F87802"/>
    <w:rsid w:val="00F90C7E"/>
    <w:rsid w:val="00F91F6E"/>
    <w:rsid w:val="00F92C0A"/>
    <w:rsid w:val="00F9415B"/>
    <w:rsid w:val="00F9760C"/>
    <w:rsid w:val="00FA0FE7"/>
    <w:rsid w:val="00FA13C2"/>
    <w:rsid w:val="00FA55A6"/>
    <w:rsid w:val="00FA6D24"/>
    <w:rsid w:val="00FA7F91"/>
    <w:rsid w:val="00FB121C"/>
    <w:rsid w:val="00FB1CDD"/>
    <w:rsid w:val="00FB2C2F"/>
    <w:rsid w:val="00FB305C"/>
    <w:rsid w:val="00FB4AA9"/>
    <w:rsid w:val="00FC2E3D"/>
    <w:rsid w:val="00FC3BDE"/>
    <w:rsid w:val="00FD19C8"/>
    <w:rsid w:val="00FD1B62"/>
    <w:rsid w:val="00FD1DBE"/>
    <w:rsid w:val="00FD25A7"/>
    <w:rsid w:val="00FD27B6"/>
    <w:rsid w:val="00FD3689"/>
    <w:rsid w:val="00FD3A65"/>
    <w:rsid w:val="00FD42A3"/>
    <w:rsid w:val="00FD53D7"/>
    <w:rsid w:val="00FD7468"/>
    <w:rsid w:val="00FD7CE0"/>
    <w:rsid w:val="00FE0B3B"/>
    <w:rsid w:val="00FE1BE2"/>
    <w:rsid w:val="00FE4718"/>
    <w:rsid w:val="00FE730A"/>
    <w:rsid w:val="00FE7704"/>
    <w:rsid w:val="00FE7E0C"/>
    <w:rsid w:val="00FF1DD7"/>
    <w:rsid w:val="00FF2D5B"/>
    <w:rsid w:val="00FF31A6"/>
    <w:rsid w:val="00FF4453"/>
    <w:rsid w:val="00FF7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AB75EF-2AC8-4C32-A53D-41CF9689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mt-MT" w:eastAsia="mt-MT" w:bidi="mt-MT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A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FootnoteReference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</w:rPr>
  </w:style>
  <w:style w:type="character" w:customStyle="1" w:styleId="HeaderChar">
    <w:name w:val="Header Char"/>
    <w:link w:val="Header"/>
    <w:uiPriority w:val="99"/>
    <w:semiHidden/>
    <w:rsid w:val="00060076"/>
    <w:rPr>
      <w:rFonts w:eastAsiaTheme="minorEastAsia" w:cs="Arial"/>
      <w:kern w:val="1"/>
      <w:sz w:val="20"/>
      <w:szCs w:val="20"/>
      <w:lang w:eastAsia="mt-MT"/>
    </w:rPr>
  </w:style>
  <w:style w:type="paragraph" w:styleId="Footer">
    <w:name w:val="footer"/>
    <w:basedOn w:val="Normal"/>
    <w:link w:val="FooterChar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</w:rPr>
  </w:style>
  <w:style w:type="character" w:customStyle="1" w:styleId="FooterChar">
    <w:name w:val="Footer Char"/>
    <w:link w:val="Footer"/>
    <w:uiPriority w:val="99"/>
    <w:semiHidden/>
    <w:rsid w:val="00060076"/>
    <w:rPr>
      <w:rFonts w:eastAsiaTheme="minorEastAsia" w:cs="Arial"/>
      <w:kern w:val="1"/>
      <w:sz w:val="20"/>
      <w:szCs w:val="20"/>
      <w:lang w:eastAsia="mt-MT"/>
    </w:rPr>
  </w:style>
  <w:style w:type="paragraph" w:styleId="BalloonText">
    <w:name w:val="Balloon Text"/>
    <w:basedOn w:val="Normal"/>
    <w:link w:val="BalloonTextChar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mt-MT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Heading1Char">
    <w:name w:val="Heading 1 Char"/>
    <w:basedOn w:val="DefaultParagraphFont"/>
    <w:link w:val="Heading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mt-MT"/>
    </w:rPr>
  </w:style>
  <w:style w:type="paragraph" w:styleId="NoSpacing">
    <w:name w:val="No Spacing"/>
    <w:uiPriority w:val="99"/>
    <w:semiHidden/>
    <w:rsid w:val="004C3F97"/>
    <w:pPr>
      <w:widowControl w:val="0"/>
      <w:suppressAutoHyphens/>
    </w:pPr>
    <w:rPr>
      <w:kern w:val="1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FootnoteText">
    <w:name w:val="footnote text"/>
    <w:basedOn w:val="Normal"/>
    <w:link w:val="FootnoteTextChar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CommentReference">
    <w:name w:val="annotation reference"/>
    <w:basedOn w:val="DefaultParagraphFont"/>
    <w:uiPriority w:val="99"/>
    <w:semiHidden/>
    <w:rsid w:val="00023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3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efaultParagraphFont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efaultParagraphFont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efaultParagraphFont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efaultParagraphFont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efaultParagraphFont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efaultParagraphFont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efaultParagraphFont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efaultParagraphFont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efaultParagraphFont"/>
    <w:uiPriority w:val="1"/>
    <w:qFormat/>
    <w:rsid w:val="006A748A"/>
    <w:rPr>
      <w:b/>
    </w:rPr>
  </w:style>
  <w:style w:type="character" w:customStyle="1" w:styleId="Kkursywa">
    <w:name w:val="_K_ – kursywa"/>
    <w:basedOn w:val="DefaultParagraphFont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efaultParagraphFont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efaultParagraphFont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efaultParagraphFont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efaultParagraphFont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leGrid">
    <w:name w:val="Table Grid"/>
    <w:basedOn w:val="TableNormal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leElegant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leGrid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41A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1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13A"/>
    <w:pPr>
      <w:ind w:left="720"/>
      <w:contextualSpacing/>
    </w:pPr>
  </w:style>
  <w:style w:type="paragraph" w:styleId="Revision">
    <w:name w:val="Revision"/>
    <w:hidden/>
    <w:uiPriority w:val="99"/>
    <w:semiHidden/>
    <w:rsid w:val="005935FF"/>
    <w:pPr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481835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9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74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47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33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61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6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31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70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608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86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DC00B-9A2D-40D2-AFCC-DBFD57E8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12</TotalTime>
  <Pages>1</Pages>
  <Words>3356</Words>
  <Characters>19134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Mordas Remigiusz</dc:creator>
  <cp:lastModifiedBy>Ke, Tingting</cp:lastModifiedBy>
  <cp:revision>8</cp:revision>
  <cp:lastPrinted>2019-07-03T09:10:00Z</cp:lastPrinted>
  <dcterms:created xsi:type="dcterms:W3CDTF">2019-07-15T12:36:00Z</dcterms:created>
  <dcterms:modified xsi:type="dcterms:W3CDTF">2019-07-30T01:47:00Z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