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0" w:type="dxa"/>
        <w:tblInd w:w="-318" w:type="dxa"/>
        <w:tblLayout w:type="fixed"/>
        <w:tblCellMar>
          <w:left w:w="10" w:type="dxa"/>
          <w:right w:w="10" w:type="dxa"/>
        </w:tblCellMar>
        <w:tblLook w:val="04A0" w:firstRow="1" w:lastRow="0" w:firstColumn="1" w:lastColumn="0" w:noHBand="0" w:noVBand="1"/>
      </w:tblPr>
      <w:tblGrid>
        <w:gridCol w:w="9780"/>
      </w:tblGrid>
      <w:tr w:rsidR="00873667" w:rsidRPr="00404725" w14:paraId="0C3E33F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0BB20" w14:textId="6C1331AA" w:rsidR="00873667" w:rsidRDefault="00873667">
            <w:pPr>
              <w:pStyle w:val="Textbody"/>
              <w:spacing w:after="0" w:line="276" w:lineRule="auto"/>
              <w:jc w:val="both"/>
              <w:rPr>
                <w:rFonts w:ascii="Calibri" w:hAnsi="Calibri"/>
                <w:b/>
                <w:bCs/>
                <w:sz w:val="20"/>
                <w:szCs w:val="20"/>
              </w:rPr>
            </w:pPr>
            <w:r>
              <w:rPr>
                <w:rFonts w:ascii="Calibri" w:hAnsi="Calibri"/>
                <w:b/>
                <w:sz w:val="20"/>
              </w:rPr>
              <w:t>PROIECT PRELIMINAR DE ORDONANȚĂ DE MODIFICARE A ORDONANȚEI DIN 1 MARTIE 2007 PRIVIND PROTECȚIA MEDIULUI ÎMPOTRIVA POTENȚIALELOR EFECTE NOCIVE ȘI PERTURBĂRI CAUZATE DE RADIAȚIILE NEIONIZANTE, A ORDONANȚEI DIN 5 IUNIE 1997 PRIVIND AUTORIZAȚIILE DE MEDIU ȘI</w:t>
            </w:r>
            <w:r>
              <w:rPr>
                <w:rFonts w:ascii="Calibri" w:hAnsi="Calibri"/>
                <w:sz w:val="22"/>
              </w:rPr>
              <w:t xml:space="preserve"> </w:t>
            </w:r>
            <w:r>
              <w:rPr>
                <w:rFonts w:ascii="Calibri" w:hAnsi="Calibri"/>
                <w:b/>
                <w:sz w:val="20"/>
              </w:rPr>
              <w:t>A ORDONANȚEI DIN 2 MAI 2013 PRIVIND CODUL DE LA BRUXELLES PRIVIND GESTIONAREA AERULUI, A CLIMEI ȘI A ENERGIEI</w:t>
            </w:r>
          </w:p>
          <w:p w14:paraId="38F78F38" w14:textId="77777777" w:rsidR="00873667" w:rsidRDefault="00873667">
            <w:pPr>
              <w:pStyle w:val="Textbody"/>
              <w:spacing w:after="0" w:line="276" w:lineRule="auto"/>
              <w:jc w:val="both"/>
              <w:rPr>
                <w:rFonts w:ascii="Calibri" w:hAnsi="Calibri"/>
                <w:b/>
                <w:bCs/>
                <w:sz w:val="20"/>
                <w:szCs w:val="20"/>
                <w:lang w:val="fr-BE"/>
              </w:rPr>
            </w:pPr>
          </w:p>
        </w:tc>
      </w:tr>
      <w:tr w:rsidR="00873667" w14:paraId="34B1D41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C04F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Guvernul Regiunii Bruxelles-Capitală,</w:t>
            </w:r>
          </w:p>
          <w:p w14:paraId="6A372BBA" w14:textId="77777777" w:rsidR="00873667" w:rsidRPr="006C632D" w:rsidRDefault="00873667">
            <w:pPr>
              <w:spacing w:after="0" w:line="240" w:lineRule="auto"/>
              <w:jc w:val="both"/>
              <w:rPr>
                <w:rFonts w:asciiTheme="minorHAnsi" w:hAnsiTheme="minorHAnsi"/>
                <w:color w:val="000000" w:themeColor="text1"/>
                <w:sz w:val="20"/>
                <w:szCs w:val="20"/>
              </w:rPr>
            </w:pPr>
          </w:p>
          <w:p w14:paraId="61958105"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având în vedere raportul de evaluare, denumit „testul egalității de șanse”, prevăzut la articolul 2 alineatul (1) din Ordonanța din 4 octombrie 2018 de introducere a testului egalității de șanse în liniile de politică ale Regiunii Bruxelles-Capitală și la articolul 1 din Decretul Guvernului Regiunii Bruxelles-Capitală din 22 noiembrie 2018 de punere în aplicare a prezentei ordonanțe, </w:t>
            </w:r>
          </w:p>
          <w:p w14:paraId="3F837FB9" w14:textId="77777777" w:rsidR="00873667" w:rsidRPr="006C632D" w:rsidRDefault="00873667">
            <w:pPr>
              <w:spacing w:after="0" w:line="240" w:lineRule="auto"/>
              <w:jc w:val="both"/>
              <w:rPr>
                <w:rFonts w:asciiTheme="minorHAnsi" w:hAnsiTheme="minorHAnsi"/>
                <w:color w:val="000000" w:themeColor="text1"/>
                <w:sz w:val="20"/>
                <w:szCs w:val="20"/>
              </w:rPr>
            </w:pPr>
          </w:p>
          <w:p w14:paraId="32C7AD0E"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articolul 57 alineatul (5) din Directiva (UE) 2018/1972 a Parlamentului European și a Consiliului din 11 decembrie 2018 de instituire a Codului european al comunicațiilor electronice,</w:t>
            </w:r>
          </w:p>
          <w:p w14:paraId="3146CB8D" w14:textId="77777777" w:rsidR="00873667" w:rsidRPr="006C632D" w:rsidRDefault="00873667">
            <w:pPr>
              <w:spacing w:after="0" w:line="240" w:lineRule="auto"/>
              <w:jc w:val="both"/>
              <w:rPr>
                <w:rFonts w:asciiTheme="minorHAnsi" w:hAnsiTheme="minorHAnsi"/>
                <w:color w:val="000000" w:themeColor="text1"/>
                <w:sz w:val="20"/>
                <w:szCs w:val="20"/>
              </w:rPr>
            </w:pPr>
          </w:p>
          <w:p w14:paraId="03FBB56C" w14:textId="77777777" w:rsidR="00873667" w:rsidRPr="006C632D" w:rsidRDefault="00873667">
            <w:pPr>
              <w:spacing w:after="0" w:line="240" w:lineRule="auto"/>
              <w:jc w:val="both"/>
              <w:rPr>
                <w:rFonts w:asciiTheme="minorHAnsi" w:hAnsiTheme="minorHAnsi"/>
                <w:color w:val="000000" w:themeColor="text1"/>
                <w:sz w:val="20"/>
                <w:szCs w:val="20"/>
              </w:rPr>
            </w:pPr>
          </w:p>
          <w:p w14:paraId="6A6B918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Ordonanța din 1 martie 2007 privind protecția mediului împotriva potențialelor efecte nocive și perturbări cauzate de radiațiile neionizante, astfel cum a fost modificată prin Ordonanțele din 3 aprilie 2014, 8 mai 2014 și 27 iunie 2016,</w:t>
            </w:r>
          </w:p>
          <w:p w14:paraId="3BB9CE37" w14:textId="77777777" w:rsidR="00873667" w:rsidRPr="006C632D" w:rsidRDefault="00873667">
            <w:pPr>
              <w:spacing w:after="0" w:line="240" w:lineRule="auto"/>
              <w:jc w:val="both"/>
              <w:rPr>
                <w:rFonts w:asciiTheme="minorHAnsi" w:hAnsiTheme="minorHAnsi"/>
                <w:color w:val="000000" w:themeColor="text1"/>
                <w:sz w:val="20"/>
                <w:szCs w:val="20"/>
              </w:rPr>
            </w:pPr>
          </w:p>
          <w:p w14:paraId="6228F157"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având în vedere avizul Brupartners, emis la 18 noiembrie 2021, </w:t>
            </w:r>
          </w:p>
          <w:p w14:paraId="57BF7CE2" w14:textId="77777777" w:rsidR="00873667" w:rsidRPr="006C632D" w:rsidRDefault="00873667">
            <w:pPr>
              <w:spacing w:after="0" w:line="240" w:lineRule="auto"/>
              <w:jc w:val="both"/>
              <w:rPr>
                <w:rFonts w:asciiTheme="minorHAnsi" w:hAnsiTheme="minorHAnsi"/>
                <w:color w:val="000000" w:themeColor="text1"/>
                <w:sz w:val="20"/>
                <w:szCs w:val="20"/>
              </w:rPr>
            </w:pPr>
          </w:p>
          <w:p w14:paraId="6826C19E" w14:textId="77777777" w:rsidR="00873667" w:rsidRPr="006C632D" w:rsidRDefault="00873667">
            <w:pPr>
              <w:spacing w:after="0" w:line="240" w:lineRule="auto"/>
              <w:jc w:val="both"/>
              <w:rPr>
                <w:rFonts w:asciiTheme="minorHAnsi" w:hAnsiTheme="minorHAnsi"/>
                <w:color w:val="000000" w:themeColor="text1"/>
                <w:sz w:val="20"/>
                <w:szCs w:val="20"/>
              </w:rPr>
            </w:pPr>
          </w:p>
          <w:p w14:paraId="31DEAA3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avizul Consiliului pentru Mediu, emis la 25 noiembrie 2021,</w:t>
            </w:r>
          </w:p>
          <w:p w14:paraId="46357F7C" w14:textId="77777777" w:rsidR="00873667" w:rsidRPr="006C632D" w:rsidRDefault="00873667">
            <w:pPr>
              <w:spacing w:after="0" w:line="240" w:lineRule="auto"/>
              <w:jc w:val="both"/>
              <w:rPr>
                <w:rFonts w:asciiTheme="minorHAnsi" w:hAnsiTheme="minorHAnsi"/>
                <w:color w:val="000000" w:themeColor="text1"/>
                <w:sz w:val="20"/>
                <w:szCs w:val="20"/>
              </w:rPr>
            </w:pPr>
          </w:p>
          <w:p w14:paraId="0D68A106"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având în vedere avizul Comitetului de experți privind radiațiile neionizante, emis la 4 februarie 2022, </w:t>
            </w:r>
          </w:p>
          <w:p w14:paraId="01F62904" w14:textId="77777777" w:rsidR="00873667" w:rsidRPr="006C632D" w:rsidRDefault="00873667">
            <w:pPr>
              <w:spacing w:after="0" w:line="240" w:lineRule="auto"/>
              <w:jc w:val="both"/>
              <w:rPr>
                <w:rFonts w:asciiTheme="minorHAnsi" w:hAnsiTheme="minorHAnsi"/>
                <w:color w:val="000000" w:themeColor="text1"/>
                <w:sz w:val="20"/>
                <w:szCs w:val="20"/>
              </w:rPr>
            </w:pPr>
          </w:p>
          <w:p w14:paraId="5B903D04"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recomandările comisiei deliberative competente pentru formularea de recomandări privind punerea în aplicare a tehnologiei 5G în regiunea Bruxelles-Capitală, ținând seama de aspectele legate de mediu, sănătate, economie, ocuparea forței de muncă și tehnologie din 5 iunie 2021,</w:t>
            </w:r>
          </w:p>
          <w:p w14:paraId="4781B5FF" w14:textId="77777777" w:rsidR="00873667" w:rsidRPr="006C632D" w:rsidRDefault="00873667">
            <w:pPr>
              <w:spacing w:after="0" w:line="240" w:lineRule="auto"/>
              <w:jc w:val="both"/>
              <w:rPr>
                <w:rFonts w:asciiTheme="minorHAnsi" w:hAnsiTheme="minorHAnsi"/>
                <w:color w:val="000000" w:themeColor="text1"/>
                <w:sz w:val="20"/>
                <w:szCs w:val="20"/>
              </w:rPr>
            </w:pPr>
          </w:p>
          <w:p w14:paraId="562FC590"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având în vedere evaluarea de mediu efectuată în conformitate cu dispozițiile Ordonanței din 18 martie 2004 privind evaluarea efectelor anumitor planuri și programe asupra mediului, </w:t>
            </w:r>
          </w:p>
          <w:p w14:paraId="01BAFB8F" w14:textId="77777777" w:rsidR="00873667" w:rsidRPr="006C632D" w:rsidRDefault="00873667">
            <w:pPr>
              <w:spacing w:after="0" w:line="240" w:lineRule="auto"/>
              <w:jc w:val="both"/>
              <w:rPr>
                <w:rFonts w:asciiTheme="minorHAnsi" w:hAnsiTheme="minorHAnsi"/>
                <w:color w:val="000000" w:themeColor="text1"/>
                <w:sz w:val="20"/>
                <w:szCs w:val="20"/>
              </w:rPr>
            </w:pPr>
          </w:p>
          <w:p w14:paraId="7D51530B"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Legile privind Consiliul de Stat, coordonate la 12 ianuarie 1973, articolul 3 alineatele (1) și (2),</w:t>
            </w:r>
          </w:p>
          <w:p w14:paraId="33EBD2BF" w14:textId="77777777" w:rsidR="00873667" w:rsidRPr="006C632D" w:rsidRDefault="00873667">
            <w:pPr>
              <w:spacing w:after="0" w:line="240" w:lineRule="auto"/>
              <w:jc w:val="both"/>
              <w:rPr>
                <w:rFonts w:asciiTheme="minorHAnsi" w:hAnsiTheme="minorHAnsi"/>
                <w:color w:val="000000" w:themeColor="text1"/>
                <w:sz w:val="20"/>
                <w:szCs w:val="20"/>
                <w:lang w:val="it-IT"/>
              </w:rPr>
            </w:pPr>
          </w:p>
          <w:p w14:paraId="7900BCA1"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având în vedere avizul nr. [*] al Consiliului de Stat, emis la [*],</w:t>
            </w:r>
          </w:p>
          <w:p w14:paraId="2C516520" w14:textId="77777777" w:rsidR="00873667" w:rsidRPr="006C632D" w:rsidRDefault="00873667">
            <w:pPr>
              <w:spacing w:after="0" w:line="240" w:lineRule="auto"/>
              <w:jc w:val="both"/>
              <w:rPr>
                <w:rFonts w:asciiTheme="minorHAnsi" w:hAnsiTheme="minorHAnsi"/>
                <w:color w:val="000000" w:themeColor="text1"/>
                <w:sz w:val="20"/>
                <w:szCs w:val="20"/>
                <w:lang w:val="it-IT"/>
              </w:rPr>
            </w:pPr>
          </w:p>
          <w:p w14:paraId="49A1412F"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întrucât avizul Comitetului pentru confidențialitate nu este necesar, întrucât Regulamentul (UE) 2016/679 al Parlamentului European și al Consiliului din 27 aprilie 2016 privind protecția persoanelor fizice în ceea ce privește prelucrarea datelor cu caracter personal și privind libera circulație a acestor date se aplică numai datelor cu caracter personal ale persoanelor fizice, nu și celor ale persoanelor juridice, întrucât prezentul text se referă numai la persoanele juridice (operatori) fără a afecta datele cu caracter personal ale persoanelor fizice, </w:t>
            </w:r>
          </w:p>
          <w:p w14:paraId="4A4E89A1" w14:textId="77777777" w:rsidR="00873667" w:rsidRPr="006C632D" w:rsidRDefault="00873667">
            <w:pPr>
              <w:spacing w:after="0" w:line="240" w:lineRule="auto"/>
              <w:jc w:val="both"/>
              <w:rPr>
                <w:rFonts w:asciiTheme="minorHAnsi" w:hAnsiTheme="minorHAnsi"/>
                <w:color w:val="000000" w:themeColor="text1"/>
                <w:sz w:val="20"/>
                <w:szCs w:val="20"/>
                <w:lang w:val="it-IT"/>
              </w:rPr>
            </w:pPr>
          </w:p>
          <w:p w14:paraId="4202D25C"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la propunerea ministrului-președinte și a ministrului mediului,</w:t>
            </w:r>
          </w:p>
          <w:p w14:paraId="014CEA58" w14:textId="77777777" w:rsidR="00873667" w:rsidRPr="006C632D" w:rsidRDefault="00873667">
            <w:pPr>
              <w:spacing w:after="0" w:line="240" w:lineRule="auto"/>
              <w:jc w:val="both"/>
              <w:rPr>
                <w:rFonts w:asciiTheme="minorHAnsi" w:hAnsiTheme="minorHAnsi"/>
                <w:color w:val="000000" w:themeColor="text1"/>
                <w:sz w:val="20"/>
                <w:szCs w:val="20"/>
                <w:lang w:val="it-IT"/>
              </w:rPr>
            </w:pPr>
          </w:p>
          <w:p w14:paraId="7EC6DA0D"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în urma deliberărilor,</w:t>
            </w:r>
          </w:p>
          <w:p w14:paraId="2DA82BBF" w14:textId="77777777" w:rsidR="00873667" w:rsidRDefault="00873667">
            <w:pPr>
              <w:spacing w:after="0" w:line="240" w:lineRule="auto"/>
              <w:jc w:val="both"/>
              <w:rPr>
                <w:rFonts w:asciiTheme="minorHAnsi" w:hAnsiTheme="minorHAnsi"/>
                <w:color w:val="000000" w:themeColor="text1"/>
                <w:sz w:val="20"/>
                <w:szCs w:val="20"/>
                <w:lang w:val="nl-NL"/>
              </w:rPr>
            </w:pPr>
          </w:p>
          <w:p w14:paraId="27A3098B" w14:textId="77777777" w:rsidR="00873667" w:rsidRDefault="00873667">
            <w:pPr>
              <w:spacing w:after="0" w:line="240" w:lineRule="auto"/>
              <w:jc w:val="both"/>
              <w:rPr>
                <w:rFonts w:asciiTheme="minorHAnsi" w:eastAsiaTheme="minorHAnsi" w:hAnsiTheme="minorHAnsi" w:cs="TimesNewRoman"/>
                <w:kern w:val="0"/>
                <w:sz w:val="18"/>
                <w:szCs w:val="18"/>
                <w:lang w:val="nl-NL"/>
              </w:rPr>
            </w:pPr>
          </w:p>
        </w:tc>
      </w:tr>
      <w:tr w:rsidR="00873667" w14:paraId="1C5587B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251D8" w14:textId="77777777" w:rsidR="00873667" w:rsidRDefault="00873667">
            <w:pPr>
              <w:spacing w:after="0" w:line="240" w:lineRule="auto"/>
              <w:jc w:val="center"/>
              <w:rPr>
                <w:rFonts w:asciiTheme="minorHAnsi" w:hAnsiTheme="minorHAnsi"/>
                <w:b/>
                <w:color w:val="000000" w:themeColor="text1"/>
                <w:sz w:val="20"/>
                <w:szCs w:val="20"/>
              </w:rPr>
            </w:pPr>
            <w:r>
              <w:rPr>
                <w:rFonts w:asciiTheme="minorHAnsi" w:hAnsiTheme="minorHAnsi"/>
                <w:b/>
                <w:color w:val="000000" w:themeColor="text1"/>
                <w:sz w:val="20"/>
              </w:rPr>
              <w:t>hotărăște prin prezentul:</w:t>
            </w:r>
          </w:p>
          <w:p w14:paraId="30AA9CFE" w14:textId="77777777" w:rsidR="00873667" w:rsidRDefault="00873667">
            <w:pPr>
              <w:spacing w:after="0" w:line="240" w:lineRule="auto"/>
              <w:jc w:val="both"/>
              <w:rPr>
                <w:rFonts w:cs="Times New Roman"/>
                <w:b/>
                <w:sz w:val="20"/>
                <w:szCs w:val="20"/>
                <w:lang w:val="nl-NL"/>
              </w:rPr>
            </w:pPr>
          </w:p>
        </w:tc>
      </w:tr>
      <w:tr w:rsidR="00873667" w:rsidRPr="00404725" w14:paraId="5DCAAB3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4C10A" w14:textId="77777777" w:rsidR="00873667" w:rsidRDefault="00873667">
            <w:pPr>
              <w:spacing w:after="0" w:line="240" w:lineRule="auto"/>
              <w:jc w:val="both"/>
              <w:rPr>
                <w:rFonts w:asciiTheme="minorHAnsi" w:hAnsiTheme="minorHAnsi"/>
                <w:color w:val="000000" w:themeColor="text1"/>
                <w:sz w:val="20"/>
                <w:szCs w:val="20"/>
              </w:rPr>
            </w:pPr>
            <w:r>
              <w:rPr>
                <w:rFonts w:asciiTheme="minorHAnsi" w:hAnsiTheme="minorHAnsi"/>
                <w:color w:val="000000" w:themeColor="text1"/>
                <w:sz w:val="20"/>
              </w:rPr>
              <w:t xml:space="preserve">ministrul mediului are sarcina de a prezenta Parlamentului următorul proiect de ordonanță: </w:t>
            </w:r>
          </w:p>
          <w:p w14:paraId="20AE67A3" w14:textId="77777777" w:rsidR="00873667" w:rsidRPr="006C632D" w:rsidRDefault="00873667">
            <w:pPr>
              <w:spacing w:after="0" w:line="240" w:lineRule="auto"/>
              <w:jc w:val="both"/>
              <w:rPr>
                <w:bCs/>
                <w:sz w:val="20"/>
                <w:szCs w:val="20"/>
                <w:lang w:val="it-IT"/>
              </w:rPr>
            </w:pPr>
          </w:p>
        </w:tc>
      </w:tr>
      <w:tr w:rsidR="00873667" w14:paraId="0AD90BD2"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80087" w14:textId="77777777" w:rsidR="00873667" w:rsidRDefault="00873667">
            <w:pPr>
              <w:spacing w:after="0" w:line="240" w:lineRule="auto"/>
              <w:jc w:val="both"/>
              <w:rPr>
                <w:rFonts w:asciiTheme="minorHAnsi" w:hAnsiTheme="minorHAnsi"/>
                <w:b/>
                <w:bCs/>
                <w:color w:val="000000" w:themeColor="text1"/>
                <w:sz w:val="20"/>
                <w:szCs w:val="20"/>
              </w:rPr>
            </w:pPr>
            <w:r>
              <w:rPr>
                <w:rFonts w:asciiTheme="minorHAnsi" w:hAnsiTheme="minorHAnsi"/>
                <w:b/>
                <w:color w:val="000000" w:themeColor="text1"/>
                <w:sz w:val="20"/>
              </w:rPr>
              <w:t>Capitolul 1 Dispoziții introductive</w:t>
            </w:r>
          </w:p>
        </w:tc>
      </w:tr>
      <w:tr w:rsidR="00873667" w:rsidRPr="00404725" w14:paraId="4EDF49A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7236C" w14:textId="77777777" w:rsidR="00873667" w:rsidRDefault="00873667">
            <w:pPr>
              <w:spacing w:after="0" w:line="240" w:lineRule="auto"/>
              <w:jc w:val="both"/>
              <w:rPr>
                <w:rFonts w:asciiTheme="minorHAnsi" w:hAnsiTheme="minorHAnsi"/>
                <w:b/>
                <w:color w:val="000000" w:themeColor="text1"/>
                <w:sz w:val="20"/>
                <w:szCs w:val="20"/>
              </w:rPr>
            </w:pPr>
            <w:r>
              <w:rPr>
                <w:rFonts w:asciiTheme="minorHAnsi" w:hAnsiTheme="minorHAnsi"/>
                <w:b/>
                <w:color w:val="000000" w:themeColor="text1"/>
                <w:sz w:val="20"/>
              </w:rPr>
              <w:t>Articolul 1</w:t>
            </w:r>
          </w:p>
          <w:p w14:paraId="7E06BF8C"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Prezenta ordonanță reglementează o chestiune menționată la articolul 39 din Constituție. </w:t>
            </w:r>
          </w:p>
          <w:p w14:paraId="63EF4B7A" w14:textId="77777777" w:rsidR="00873667" w:rsidRPr="006C632D" w:rsidRDefault="00873667">
            <w:pPr>
              <w:spacing w:after="0" w:line="240" w:lineRule="auto"/>
              <w:jc w:val="both"/>
              <w:rPr>
                <w:rFonts w:asciiTheme="minorHAnsi" w:hAnsiTheme="minorHAnsi"/>
                <w:sz w:val="20"/>
                <w:szCs w:val="20"/>
                <w:lang w:val="it-IT"/>
              </w:rPr>
            </w:pPr>
          </w:p>
          <w:p w14:paraId="6E2F7DA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Prezenta ordonanță transpune parțial</w:t>
            </w:r>
            <w:r>
              <w:t xml:space="preserve"> </w:t>
            </w:r>
            <w:r>
              <w:rPr>
                <w:rFonts w:asciiTheme="minorHAnsi" w:hAnsiTheme="minorHAnsi"/>
                <w:sz w:val="20"/>
              </w:rPr>
              <w:t>și Directiva (UE) 2018/1972 a Parlamentului European și a Consiliului din 11 decembrie 2018 de instituire a Codului european al comunicațiilor electronice.</w:t>
            </w:r>
          </w:p>
          <w:p w14:paraId="2EF3826D" w14:textId="77777777" w:rsidR="00873667" w:rsidRPr="006C632D" w:rsidRDefault="00873667">
            <w:pPr>
              <w:spacing w:after="0" w:line="240" w:lineRule="auto"/>
              <w:jc w:val="both"/>
              <w:rPr>
                <w:bCs/>
                <w:sz w:val="20"/>
                <w:szCs w:val="20"/>
                <w:lang w:val="it-IT"/>
              </w:rPr>
            </w:pPr>
          </w:p>
        </w:tc>
      </w:tr>
      <w:tr w:rsidR="00873667" w:rsidRPr="00404725" w14:paraId="6A06A42B"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9F63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Capitolul 2 Modificarea Ordonanței din 1 martie 2007 privind protecția mediului împotriva potențialelor efecte nocive și perturbări cauzate de radiațiile neionizante</w:t>
            </w:r>
          </w:p>
        </w:tc>
      </w:tr>
      <w:tr w:rsidR="00873667" w:rsidRPr="00404725" w14:paraId="29C7DA7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F4D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2</w:t>
            </w:r>
          </w:p>
          <w:p w14:paraId="53C0BEA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La articolul 2 din Ordonanța din 1 martie 2007 privind protecția mediului împotriva potențialelor efecte nocive și perturbări cauzate de radiațiile neionizante, astfel cum a fost modificată prin Ordonanța din 3 aprilie 2014 și anulată parțial prin Decizia nr. 12/2016 a Curții Constituționale, se aduc următoarele modificări:</w:t>
            </w:r>
          </w:p>
          <w:p w14:paraId="2460015D" w14:textId="77777777" w:rsidR="00873667" w:rsidRPr="006C632D" w:rsidRDefault="00873667">
            <w:pPr>
              <w:spacing w:after="0" w:line="240" w:lineRule="auto"/>
              <w:jc w:val="both"/>
              <w:rPr>
                <w:rFonts w:asciiTheme="minorHAnsi" w:hAnsiTheme="minorHAnsi"/>
                <w:sz w:val="20"/>
                <w:szCs w:val="20"/>
              </w:rPr>
            </w:pPr>
          </w:p>
          <w:p w14:paraId="122112B2"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la alineatul (1), punctul 2 se înlocuiește cu următorul text: </w:t>
            </w:r>
          </w:p>
          <w:p w14:paraId="19D6FC33"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„zone accesibile publicului în interior” înseamnă spații dintr-o clădire în care oamenii pot sau li se permite să stea în mod regulat, în special unități de cazare, hoteluri, școli, creșe, spitale, cămine pentru persoanele în vârstă și clădiri dedicate practicării regulate a sportului sau a jocurilor;</w:t>
            </w:r>
          </w:p>
          <w:p w14:paraId="6795F99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2a. „zone accesibile publicului în aer liber” înseamnă locuri în aer liber sau similare accesibile publicului, în special grădini, curți interioare ale blocurilor, parcuri, terenuri de joacă și balcoane, terase acoperite și neacoperite ale clădirilor, boxe de garaj, magazii, grădini de iarnă, sere și alte verande similare;”;</w:t>
            </w:r>
          </w:p>
          <w:p w14:paraId="7F94A6C9" w14:textId="77777777" w:rsidR="00873667" w:rsidRPr="006C632D" w:rsidRDefault="00873667">
            <w:pPr>
              <w:spacing w:after="0" w:line="240" w:lineRule="auto"/>
              <w:jc w:val="both"/>
              <w:rPr>
                <w:rFonts w:asciiTheme="minorHAnsi" w:hAnsiTheme="minorHAnsi"/>
                <w:sz w:val="20"/>
                <w:szCs w:val="20"/>
              </w:rPr>
            </w:pPr>
          </w:p>
          <w:p w14:paraId="04CF6F2D"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la alineatul (1), punctul 4 litera (c), „.” se înlocuiește cu „;”;</w:t>
            </w:r>
          </w:p>
          <w:p w14:paraId="24E8B21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E0504A9" w14:textId="62473454"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alineatul (1) se completează cu punctele 5, 6, 7, 8, 9 și 10, care au următoarea formulare: </w:t>
            </w:r>
          </w:p>
          <w:p w14:paraId="719074E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„5. „antenă” înseamnă un sistem de emisie conceput să emită un semnal de radiotelecomunicații prin unde electromagnetice;</w:t>
            </w:r>
          </w:p>
          <w:p w14:paraId="4DE0990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6. „operator” înseamnă orice persoană juridică care deține dreptul de a emite, precum și societățile afiliate sau asociate în sensul Codului societăților comerciale și, în general, orice persoană care operează o antenă, cu excepția radiodifuzorilor;</w:t>
            </w:r>
          </w:p>
          <w:p w14:paraId="3C5B91D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7. „radiodifuzor” înseamnă operatorul de rețea menționat la articolul 1.3-1 punctul 33 din Decretul Comunității Franceze din 4 februarie 2021 privind serviciile mass-media audiovizuale și serviciile de partajare a materialelor video sau la articolul 2 punctul 22 din Decretul flamand din 27 martie 2009 privind radiodifuziunea și televiziunea;</w:t>
            </w:r>
          </w:p>
          <w:p w14:paraId="1FF7897A"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8. „situație de urgență” înseamnă orice eveniment punctual care provoacă sau este susceptibil să conducă la consecințe dăunătoare pentru viața socială, cum ar fi o problemă gravă de securitate publică, o amenințare gravă la adresa vieții sau sănătății persoanelor și/sau interese materiale importante și care necesită coordonarea actorilor competenți, inclusiv a disciplinelor, pentru a elimina amenințarea sau pentru a limita consecințele negative ale evenimentului;</w:t>
            </w:r>
          </w:p>
          <w:p w14:paraId="7661DE0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9. „ OMC (Centrul de operare și întreținere)” înseamnă un element tehnic de bază al unei rețele, instituit pentru a asigura gestionarea acesteia și care include, în special, reflectarea configurațiilor utilizate în rețea, contoare și statistici;</w:t>
            </w:r>
          </w:p>
          <w:p w14:paraId="238F3159" w14:textId="77777777" w:rsidR="00873667" w:rsidRPr="006C632D" w:rsidRDefault="00873667">
            <w:pPr>
              <w:spacing w:after="0" w:line="240" w:lineRule="auto"/>
              <w:ind w:left="352"/>
              <w:jc w:val="both"/>
              <w:rPr>
                <w:rFonts w:asciiTheme="minorHAnsi" w:hAnsiTheme="minorHAnsi"/>
                <w:sz w:val="20"/>
                <w:szCs w:val="20"/>
              </w:rPr>
            </w:pPr>
          </w:p>
          <w:p w14:paraId="4764DA67" w14:textId="768F3E3C"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10. „baza de date Urbis-Adm 3D” înseamnă o bancă de date care conține informații de valoare unică și originală pentru regiunea Bruxelles-Capitală și care oferă garanții specifice în ceea ce privește exactitatea, exhaustivitatea și disponibilitatea informațiilor, menționate în anexa la Acordul de cooperare din 18 aprilie 2014</w:t>
            </w:r>
            <w:r>
              <w:t xml:space="preserve"> </w:t>
            </w:r>
            <w:r>
              <w:rPr>
                <w:rFonts w:asciiTheme="minorHAnsi" w:hAnsiTheme="minorHAnsi"/>
                <w:sz w:val="20"/>
              </w:rPr>
              <w:t>încheiat între Statul Federal, Regiunea Flamandă, Regiunea Valonă și Regiunea Bruxelles-Capitală privind structura de coordonare a informațiilor privind patrimoniul.”;</w:t>
            </w:r>
          </w:p>
          <w:p w14:paraId="031B8EAB" w14:textId="77777777" w:rsidR="00873667" w:rsidRPr="006C632D" w:rsidRDefault="00873667">
            <w:pPr>
              <w:spacing w:after="0" w:line="240" w:lineRule="auto"/>
              <w:jc w:val="both"/>
              <w:rPr>
                <w:rFonts w:asciiTheme="minorHAnsi" w:hAnsiTheme="minorHAnsi"/>
                <w:sz w:val="20"/>
                <w:szCs w:val="20"/>
              </w:rPr>
            </w:pPr>
          </w:p>
          <w:p w14:paraId="533CE327" w14:textId="77777777" w:rsidR="00873667" w:rsidRDefault="00873667" w:rsidP="00242999">
            <w:pPr>
              <w:pStyle w:val="ListParagraph"/>
              <w:widowControl/>
              <w:numPr>
                <w:ilvl w:val="0"/>
                <w:numId w:val="1"/>
              </w:numPr>
              <w:suppressAutoHyphens w:val="0"/>
              <w:spacing w:after="0" w:line="240" w:lineRule="auto"/>
              <w:jc w:val="both"/>
              <w:rPr>
                <w:rFonts w:asciiTheme="minorHAnsi" w:hAnsiTheme="minorHAnsi"/>
                <w:sz w:val="20"/>
                <w:szCs w:val="20"/>
              </w:rPr>
            </w:pPr>
            <w:r>
              <w:rPr>
                <w:rFonts w:asciiTheme="minorHAnsi" w:hAnsiTheme="minorHAnsi"/>
                <w:sz w:val="20"/>
              </w:rPr>
              <w:t xml:space="preserve">la alineatul (2), punctul 2 se înlocuiește cu următorul text: </w:t>
            </w:r>
          </w:p>
          <w:p w14:paraId="61E32F60"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Dispozițiile prezentei ordonanțe nu se aplică în situații de urgență.”.</w:t>
            </w:r>
          </w:p>
          <w:p w14:paraId="639D6F68" w14:textId="77777777" w:rsidR="00873667" w:rsidRDefault="00873667">
            <w:pPr>
              <w:spacing w:after="0" w:line="240" w:lineRule="auto"/>
              <w:ind w:left="352"/>
              <w:jc w:val="both"/>
              <w:rPr>
                <w:rFonts w:asciiTheme="minorHAnsi" w:hAnsiTheme="minorHAnsi"/>
                <w:sz w:val="20"/>
                <w:szCs w:val="20"/>
                <w:lang w:val="fr-BE"/>
              </w:rPr>
            </w:pPr>
          </w:p>
        </w:tc>
      </w:tr>
      <w:tr w:rsidR="00873667" w:rsidRPr="00404725" w14:paraId="72ECC1B7"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4364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3</w:t>
            </w:r>
          </w:p>
          <w:p w14:paraId="697447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La articolul 3 din prezenta ordonanță se aduc următoarele modificări:</w:t>
            </w:r>
          </w:p>
          <w:p w14:paraId="2CF8E143" w14:textId="77777777" w:rsidR="00873667" w:rsidRPr="006C632D" w:rsidRDefault="00873667">
            <w:pPr>
              <w:spacing w:after="0" w:line="240" w:lineRule="auto"/>
              <w:jc w:val="both"/>
              <w:rPr>
                <w:rFonts w:asciiTheme="minorHAnsi" w:hAnsiTheme="minorHAnsi"/>
                <w:sz w:val="20"/>
                <w:szCs w:val="20"/>
                <w:lang w:val="it-IT"/>
              </w:rPr>
            </w:pPr>
          </w:p>
          <w:p w14:paraId="62E692B7"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la alineatul (1), alineatele (2)-(4) se abrogă;</w:t>
            </w:r>
          </w:p>
          <w:p w14:paraId="42976C58"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6243B18"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se introduce un alineat (1a) cu formularea următoare:</w:t>
            </w:r>
          </w:p>
          <w:p w14:paraId="76FBDA5D" w14:textId="47CF473E" w:rsidR="00873667" w:rsidRDefault="00873667">
            <w:pPr>
              <w:spacing w:after="0" w:line="240" w:lineRule="auto"/>
              <w:ind w:left="352"/>
              <w:jc w:val="both"/>
              <w:rPr>
                <w:rFonts w:asciiTheme="minorHAnsi" w:hAnsiTheme="minorHAnsi"/>
                <w:sz w:val="20"/>
              </w:rPr>
            </w:pPr>
            <w:r>
              <w:rPr>
                <w:rFonts w:asciiTheme="minorHAnsi" w:hAnsiTheme="minorHAnsi"/>
                <w:sz w:val="20"/>
              </w:rPr>
              <w:t>„(1a) Fără a aduce atingere alineatelor (1a) și (4), în toate zonele accesibile publicului în interior și în exterior, densitățile de putere ale radiațiilor neionizante nu trebuie să depășească în niciun moment următoarele valori în zonele accesibile publicului în interior (</w:t>
            </w: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r>
                <w:rPr>
                  <w:rFonts w:ascii="Cambria Math" w:eastAsia="Times New Roman" w:hAnsi="Cambria Math" w:cstheme="minorHAnsi"/>
                  <w:color w:val="000000"/>
                  <w:kern w:val="0"/>
                  <w:sz w:val="20"/>
                  <w:szCs w:val="20"/>
                </w:rPr>
                <m:t>)</m:t>
              </m:r>
            </m:oMath>
            <w:r>
              <w:t xml:space="preserve"> </w:t>
            </w:r>
            <w:r>
              <w:rPr>
                <w:rFonts w:asciiTheme="minorHAnsi" w:hAnsiTheme="minorHAnsi"/>
                <w:sz w:val="20"/>
              </w:rPr>
              <w:t>și în zonele accesibile publicului în aer liber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r>
                <w:rPr>
                  <w:rFonts w:ascii="Cambria Math" w:eastAsia="Times New Roman" w:hAnsi="Cambria Math" w:cstheme="minorHAnsi"/>
                  <w:sz w:val="20"/>
                  <w:szCs w:val="20"/>
                </w:rPr>
                <m:t>)</m:t>
              </m:r>
            </m:oMath>
            <w:r>
              <w:rPr>
                <w:rFonts w:asciiTheme="minorHAnsi" w:hAnsiTheme="minorHAnsi"/>
                <w:sz w:val="20"/>
              </w:rPr>
              <w:t xml:space="preserve">: </w:t>
            </w:r>
          </w:p>
          <w:p w14:paraId="75ECE59E" w14:textId="1C31E546" w:rsidR="00C4092C" w:rsidRDefault="00C4092C">
            <w:pPr>
              <w:spacing w:after="0" w:line="240" w:lineRule="auto"/>
              <w:ind w:left="352"/>
              <w:jc w:val="both"/>
              <w:rPr>
                <w:rFonts w:asciiTheme="minorHAnsi" w:hAnsiTheme="minorHAnsi"/>
                <w:sz w:val="20"/>
              </w:rPr>
            </w:pPr>
          </w:p>
          <w:p w14:paraId="4135601B" w14:textId="77777777" w:rsidR="00C4092C" w:rsidRDefault="00C4092C">
            <w:pPr>
              <w:spacing w:after="0" w:line="240" w:lineRule="auto"/>
              <w:ind w:left="352"/>
              <w:jc w:val="both"/>
              <w:rPr>
                <w:rFonts w:asciiTheme="minorHAnsi" w:hAnsiTheme="minorHAnsi"/>
                <w:sz w:val="20"/>
                <w:szCs w:val="20"/>
              </w:rPr>
            </w:pPr>
          </w:p>
          <w:tbl>
            <w:tblPr>
              <w:tblStyle w:val="TableGrid"/>
              <w:tblW w:w="4245" w:type="dxa"/>
              <w:tblInd w:w="342" w:type="dxa"/>
              <w:tblLayout w:type="fixed"/>
              <w:tblLook w:val="04A0" w:firstRow="1" w:lastRow="0" w:firstColumn="1" w:lastColumn="0" w:noHBand="0" w:noVBand="1"/>
            </w:tblPr>
            <w:tblGrid>
              <w:gridCol w:w="1553"/>
              <w:gridCol w:w="1223"/>
              <w:gridCol w:w="1469"/>
            </w:tblGrid>
            <w:tr w:rsidR="00873667" w14:paraId="5D540DF3"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36F5090A"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 xml:space="preserve">Frecvențe </w:t>
                  </w:r>
                </w:p>
              </w:tc>
              <w:tc>
                <w:tcPr>
                  <w:tcW w:w="1224" w:type="dxa"/>
                  <w:tcBorders>
                    <w:top w:val="single" w:sz="4" w:space="0" w:color="auto"/>
                    <w:left w:val="single" w:sz="4" w:space="0" w:color="auto"/>
                    <w:bottom w:val="single" w:sz="4" w:space="0" w:color="auto"/>
                    <w:right w:val="single" w:sz="4" w:space="0" w:color="auto"/>
                  </w:tcBorders>
                  <w:noWrap/>
                  <w:hideMark/>
                </w:tcPr>
                <w:p w14:paraId="716883C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ext</m:t>
                          </m:r>
                        </m:sub>
                      </m:sSub>
                    </m:oMath>
                  </m:oMathPara>
                </w:p>
              </w:tc>
              <w:tc>
                <w:tcPr>
                  <w:tcW w:w="1470" w:type="dxa"/>
                  <w:tcBorders>
                    <w:top w:val="single" w:sz="4" w:space="0" w:color="auto"/>
                    <w:left w:val="single" w:sz="4" w:space="0" w:color="auto"/>
                    <w:bottom w:val="single" w:sz="4" w:space="0" w:color="auto"/>
                    <w:right w:val="single" w:sz="4" w:space="0" w:color="auto"/>
                  </w:tcBorders>
                  <w:noWrap/>
                  <w:hideMark/>
                </w:tcPr>
                <w:p w14:paraId="519507AB" w14:textId="77777777" w:rsidR="00873667" w:rsidRDefault="00000000">
                  <w:pPr>
                    <w:widowControl/>
                    <w:suppressAutoHyphens w:val="0"/>
                    <w:spacing w:after="0" w:line="240" w:lineRule="auto"/>
                    <w:jc w:val="center"/>
                    <w:rPr>
                      <w:rFonts w:asciiTheme="minorHAnsi" w:eastAsia="Times New Roman" w:hAnsiTheme="minorHAnsi" w:cstheme="minorHAnsi"/>
                      <w:b/>
                      <w:bCs/>
                      <w:color w:val="000000"/>
                      <w:kern w:val="0"/>
                      <w:sz w:val="20"/>
                      <w:szCs w:val="20"/>
                    </w:rPr>
                  </w:pPr>
                  <m:oMathPara>
                    <m:oMath>
                      <m:sSub>
                        <m:sSubPr>
                          <m:ctrlPr>
                            <w:rPr>
                              <w:rFonts w:ascii="Cambria Math" w:eastAsia="Times New Roman" w:hAnsi="Cambria Math" w:cstheme="minorHAnsi"/>
                              <w:b/>
                              <w:bCs/>
                              <w:i/>
                              <w:color w:val="000000"/>
                              <w:lang w:val="nl-NL"/>
                            </w:rPr>
                          </m:ctrlPr>
                        </m:sSubPr>
                        <m:e>
                          <m:r>
                            <m:rPr>
                              <m:sty m:val="bi"/>
                            </m:rPr>
                            <w:rPr>
                              <w:rFonts w:ascii="Cambria Math" w:eastAsia="Times New Roman" w:hAnsi="Cambria Math" w:cstheme="minorHAnsi"/>
                              <w:color w:val="000000"/>
                              <w:kern w:val="0"/>
                              <w:sz w:val="20"/>
                              <w:szCs w:val="20"/>
                              <w:lang w:val="nl-NL"/>
                            </w:rPr>
                            <m:t>S</m:t>
                          </m:r>
                        </m:e>
                        <m:sub>
                          <m:r>
                            <m:rPr>
                              <m:sty m:val="bi"/>
                            </m:rPr>
                            <w:rPr>
                              <w:rFonts w:ascii="Cambria Math" w:eastAsia="Times New Roman" w:hAnsi="Cambria Math" w:cstheme="minorHAnsi"/>
                              <w:color w:val="000000"/>
                              <w:kern w:val="0"/>
                              <w:sz w:val="20"/>
                              <w:szCs w:val="20"/>
                              <w:lang w:val="nl-NL"/>
                            </w:rPr>
                            <m:t>int</m:t>
                          </m:r>
                        </m:sub>
                      </m:sSub>
                    </m:oMath>
                  </m:oMathPara>
                </w:p>
              </w:tc>
            </w:tr>
            <w:tr w:rsidR="00873667" w:rsidRPr="00404725" w14:paraId="651329AF"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7CA81384" w14:textId="77777777" w:rsidR="00873667" w:rsidRDefault="00873667">
                  <w:pPr>
                    <w:rPr>
                      <w:rFonts w:asciiTheme="minorHAnsi" w:eastAsia="Times New Roman" w:hAnsiTheme="minorHAnsi" w:cstheme="minorHAnsi"/>
                      <w:b/>
                      <w:bCs/>
                      <w:color w:val="000000"/>
                      <w:kern w:val="0"/>
                      <w:sz w:val="20"/>
                      <w:szCs w:val="20"/>
                      <w:lang w:val="nl-NL"/>
                    </w:rPr>
                  </w:pPr>
                </w:p>
              </w:tc>
              <w:tc>
                <w:tcPr>
                  <w:tcW w:w="1224" w:type="dxa"/>
                  <w:tcBorders>
                    <w:top w:val="single" w:sz="4" w:space="0" w:color="auto"/>
                    <w:left w:val="single" w:sz="4" w:space="0" w:color="auto"/>
                    <w:bottom w:val="single" w:sz="4" w:space="0" w:color="auto"/>
                    <w:right w:val="single" w:sz="4" w:space="0" w:color="auto"/>
                  </w:tcBorders>
                  <w:noWrap/>
                  <w:hideMark/>
                </w:tcPr>
                <w:p w14:paraId="5701B2E7"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c>
                <w:tcPr>
                  <w:tcW w:w="1470" w:type="dxa"/>
                  <w:tcBorders>
                    <w:top w:val="single" w:sz="4" w:space="0" w:color="auto"/>
                    <w:left w:val="single" w:sz="4" w:space="0" w:color="auto"/>
                    <w:bottom w:val="single" w:sz="4" w:space="0" w:color="auto"/>
                    <w:right w:val="single" w:sz="4" w:space="0" w:color="auto"/>
                  </w:tcBorders>
                  <w:noWrap/>
                  <w:hideMark/>
                </w:tcPr>
                <w:p w14:paraId="77391CCF" w14:textId="77777777" w:rsidR="00873667" w:rsidRDefault="00873667">
                  <w:pPr>
                    <w:widowControl/>
                    <w:suppressAutoHyphens w:val="0"/>
                    <w:spacing w:after="0" w:line="240" w:lineRule="auto"/>
                    <w:jc w:val="center"/>
                    <w:rPr>
                      <w:rFonts w:asciiTheme="minorHAnsi" w:eastAsia="Times New Roman" w:hAnsiTheme="minorHAnsi" w:cstheme="minorHAnsi"/>
                      <w:b/>
                      <w:bCs/>
                      <w:color w:val="000000"/>
                      <w:kern w:val="0"/>
                      <w:sz w:val="20"/>
                      <w:szCs w:val="20"/>
                    </w:rPr>
                  </w:pPr>
                  <w:r>
                    <w:rPr>
                      <w:rFonts w:asciiTheme="minorHAnsi" w:hAnsiTheme="minorHAnsi"/>
                      <w:b/>
                      <w:color w:val="000000"/>
                      <w:sz w:val="20"/>
                    </w:rPr>
                    <w:t>(W/m</w:t>
                  </w:r>
                  <w:r>
                    <w:rPr>
                      <w:rFonts w:asciiTheme="minorHAnsi" w:hAnsiTheme="minorHAnsi"/>
                      <w:b/>
                      <w:color w:val="000000"/>
                      <w:sz w:val="20"/>
                      <w:vertAlign w:val="superscript"/>
                    </w:rPr>
                    <w:t>2</w:t>
                  </w:r>
                  <w:r>
                    <w:rPr>
                      <w:rFonts w:asciiTheme="minorHAnsi" w:hAnsiTheme="minorHAnsi"/>
                      <w:b/>
                      <w:color w:val="000000"/>
                      <w:sz w:val="20"/>
                    </w:rPr>
                    <w:t>)</w:t>
                  </w:r>
                </w:p>
              </w:tc>
            </w:tr>
            <w:tr w:rsidR="00873667" w:rsidRPr="00404725" w14:paraId="3B896DC8"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B32FB69"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0,1-400 MHz</w:t>
                  </w:r>
                </w:p>
              </w:tc>
              <w:tc>
                <w:tcPr>
                  <w:tcW w:w="1224" w:type="dxa"/>
                  <w:tcBorders>
                    <w:top w:val="single" w:sz="4" w:space="0" w:color="auto"/>
                    <w:left w:val="single" w:sz="4" w:space="0" w:color="auto"/>
                    <w:bottom w:val="single" w:sz="4" w:space="0" w:color="auto"/>
                    <w:right w:val="single" w:sz="4" w:space="0" w:color="auto"/>
                  </w:tcBorders>
                  <w:noWrap/>
                  <w:hideMark/>
                </w:tcPr>
                <w:p w14:paraId="5DE3C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0,2497</w:t>
                  </w:r>
                </w:p>
              </w:tc>
              <w:tc>
                <w:tcPr>
                  <w:tcW w:w="1470" w:type="dxa"/>
                  <w:tcBorders>
                    <w:top w:val="single" w:sz="4" w:space="0" w:color="auto"/>
                    <w:left w:val="single" w:sz="4" w:space="0" w:color="auto"/>
                    <w:bottom w:val="single" w:sz="4" w:space="0" w:color="auto"/>
                    <w:right w:val="single" w:sz="4" w:space="0" w:color="auto"/>
                  </w:tcBorders>
                  <w:noWrap/>
                  <w:hideMark/>
                </w:tcPr>
                <w:p w14:paraId="065665BB"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0,0994</w:t>
                  </w:r>
                </w:p>
              </w:tc>
            </w:tr>
            <w:tr w:rsidR="00873667" w:rsidRPr="00404725" w14:paraId="093A4907" w14:textId="77777777">
              <w:trPr>
                <w:trHeight w:val="288"/>
              </w:trPr>
              <w:tc>
                <w:tcPr>
                  <w:tcW w:w="1554" w:type="dxa"/>
                  <w:tcBorders>
                    <w:top w:val="single" w:sz="4" w:space="0" w:color="auto"/>
                    <w:left w:val="single" w:sz="4" w:space="0" w:color="auto"/>
                    <w:bottom w:val="single" w:sz="4" w:space="0" w:color="auto"/>
                    <w:right w:val="single" w:sz="4" w:space="0" w:color="auto"/>
                  </w:tcBorders>
                  <w:noWrap/>
                  <w:hideMark/>
                </w:tcPr>
                <w:p w14:paraId="22456A00"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400-2000 MHz</w:t>
                  </w:r>
                </w:p>
              </w:tc>
              <w:tc>
                <w:tcPr>
                  <w:tcW w:w="1224" w:type="dxa"/>
                  <w:tcBorders>
                    <w:top w:val="single" w:sz="4" w:space="0" w:color="auto"/>
                    <w:left w:val="single" w:sz="4" w:space="0" w:color="auto"/>
                    <w:bottom w:val="single" w:sz="4" w:space="0" w:color="auto"/>
                    <w:right w:val="single" w:sz="4" w:space="0" w:color="auto"/>
                  </w:tcBorders>
                  <w:noWrap/>
                  <w:hideMark/>
                </w:tcPr>
                <w:p w14:paraId="5C003B65"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m:oMath>
                    <m:r>
                      <w:rPr>
                        <w:rFonts w:ascii="Cambria Math" w:eastAsia="Times New Roman" w:hAnsi="Cambria Math" w:cstheme="minorHAnsi"/>
                        <w:color w:val="000000"/>
                        <w:kern w:val="0"/>
                        <w:sz w:val="20"/>
                        <w:szCs w:val="20"/>
                        <w:lang w:val="nl-NL"/>
                      </w:rPr>
                      <m:t>f</m:t>
                    </m:r>
                    <m:r>
                      <w:rPr>
                        <w:rFonts w:ascii="Cambria Math" w:eastAsia="Times New Roman" w:hAnsi="Cambria Math" w:cstheme="minorHAnsi"/>
                        <w:color w:val="000000"/>
                        <w:kern w:val="0"/>
                        <w:sz w:val="20"/>
                        <w:szCs w:val="20"/>
                        <w:lang w:val="nl-NL"/>
                      </w:rPr>
                      <m:t xml:space="preserve"> </m:t>
                    </m:r>
                  </m:oMath>
                  <w:r>
                    <w:rPr>
                      <w:rFonts w:asciiTheme="minorHAnsi" w:hAnsiTheme="minorHAnsi"/>
                      <w:color w:val="000000"/>
                      <w:sz w:val="20"/>
                    </w:rPr>
                    <w:t>/1597,28</w:t>
                  </w:r>
                </w:p>
              </w:tc>
              <w:tc>
                <w:tcPr>
                  <w:tcW w:w="1470" w:type="dxa"/>
                  <w:tcBorders>
                    <w:top w:val="single" w:sz="4" w:space="0" w:color="auto"/>
                    <w:left w:val="single" w:sz="4" w:space="0" w:color="auto"/>
                    <w:bottom w:val="single" w:sz="4" w:space="0" w:color="auto"/>
                    <w:right w:val="single" w:sz="4" w:space="0" w:color="auto"/>
                  </w:tcBorders>
                  <w:noWrap/>
                  <w:hideMark/>
                </w:tcPr>
                <w:p w14:paraId="0FF370C7"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f / 4012,19</w:t>
                  </w:r>
                </w:p>
              </w:tc>
            </w:tr>
            <w:tr w:rsidR="00873667" w:rsidRPr="00404725" w14:paraId="4F14AD5C" w14:textId="77777777">
              <w:trPr>
                <w:trHeight w:val="324"/>
              </w:trPr>
              <w:tc>
                <w:tcPr>
                  <w:tcW w:w="1554" w:type="dxa"/>
                  <w:tcBorders>
                    <w:top w:val="single" w:sz="4" w:space="0" w:color="auto"/>
                    <w:left w:val="single" w:sz="4" w:space="0" w:color="auto"/>
                    <w:bottom w:val="single" w:sz="4" w:space="0" w:color="auto"/>
                    <w:right w:val="single" w:sz="4" w:space="0" w:color="auto"/>
                  </w:tcBorders>
                  <w:noWrap/>
                  <w:hideMark/>
                </w:tcPr>
                <w:p w14:paraId="1C105701"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2-300 GHz</w:t>
                  </w:r>
                </w:p>
              </w:tc>
              <w:tc>
                <w:tcPr>
                  <w:tcW w:w="1224" w:type="dxa"/>
                  <w:tcBorders>
                    <w:top w:val="single" w:sz="4" w:space="0" w:color="auto"/>
                    <w:left w:val="single" w:sz="4" w:space="0" w:color="auto"/>
                    <w:bottom w:val="single" w:sz="4" w:space="0" w:color="auto"/>
                    <w:right w:val="single" w:sz="4" w:space="0" w:color="auto"/>
                  </w:tcBorders>
                  <w:noWrap/>
                  <w:hideMark/>
                </w:tcPr>
                <w:p w14:paraId="39E68373"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1,2539</w:t>
                  </w:r>
                </w:p>
              </w:tc>
              <w:tc>
                <w:tcPr>
                  <w:tcW w:w="1470" w:type="dxa"/>
                  <w:tcBorders>
                    <w:top w:val="single" w:sz="4" w:space="0" w:color="auto"/>
                    <w:left w:val="single" w:sz="4" w:space="0" w:color="auto"/>
                    <w:bottom w:val="single" w:sz="4" w:space="0" w:color="auto"/>
                    <w:right w:val="single" w:sz="4" w:space="0" w:color="auto"/>
                  </w:tcBorders>
                  <w:noWrap/>
                  <w:hideMark/>
                </w:tcPr>
                <w:p w14:paraId="5B4DB48F" w14:textId="77777777" w:rsidR="00873667" w:rsidRDefault="00873667">
                  <w:pPr>
                    <w:widowControl/>
                    <w:suppressAutoHyphens w:val="0"/>
                    <w:spacing w:after="0" w:line="240" w:lineRule="auto"/>
                    <w:jc w:val="center"/>
                    <w:rPr>
                      <w:rFonts w:asciiTheme="minorHAnsi" w:eastAsia="Times New Roman" w:hAnsiTheme="minorHAnsi" w:cstheme="minorHAnsi"/>
                      <w:color w:val="000000"/>
                      <w:kern w:val="0"/>
                      <w:sz w:val="20"/>
                      <w:szCs w:val="20"/>
                    </w:rPr>
                  </w:pPr>
                  <w:r>
                    <w:rPr>
                      <w:rFonts w:asciiTheme="minorHAnsi" w:hAnsiTheme="minorHAnsi"/>
                      <w:color w:val="000000"/>
                      <w:sz w:val="20"/>
                    </w:rPr>
                    <w:t>0,4992</w:t>
                  </w:r>
                </w:p>
              </w:tc>
            </w:tr>
          </w:tbl>
          <w:p w14:paraId="674B9356" w14:textId="77777777" w:rsidR="00873667" w:rsidRDefault="00873667">
            <w:pPr>
              <w:spacing w:after="0" w:line="240" w:lineRule="auto"/>
              <w:ind w:left="352"/>
              <w:jc w:val="both"/>
              <w:rPr>
                <w:rFonts w:asciiTheme="minorHAnsi" w:hAnsiTheme="minorHAnsi"/>
                <w:sz w:val="20"/>
                <w:szCs w:val="20"/>
              </w:rPr>
            </w:pPr>
            <w:r>
              <w:rPr>
                <w:rFonts w:ascii="Times New Roman" w:hAnsi="Times New Roman"/>
                <w:sz w:val="20"/>
              </w:rPr>
              <w:t xml:space="preserve">unde </w:t>
            </w:r>
            <m:oMath>
              <m:r>
                <w:rPr>
                  <w:rFonts w:ascii="Cambria Math" w:hAnsi="Cambria Math"/>
                  <w:sz w:val="20"/>
                  <w:szCs w:val="20"/>
                  <w:lang w:val="nl-NL"/>
                </w:rPr>
                <m:t>f</m:t>
              </m:r>
              <m:r>
                <w:rPr>
                  <w:rFonts w:ascii="Cambria Math" w:hAnsi="Cambria Math"/>
                  <w:sz w:val="20"/>
                  <w:szCs w:val="20"/>
                  <w:lang w:val="nl-NL"/>
                </w:rPr>
                <m:t xml:space="preserve"> </m:t>
              </m:r>
            </m:oMath>
            <w:r>
              <w:rPr>
                <w:rFonts w:asciiTheme="minorHAnsi" w:hAnsiTheme="minorHAnsi"/>
                <w:sz w:val="20"/>
              </w:rPr>
              <w:t>este frecvența exprimată în MHz.</w:t>
            </w:r>
          </w:p>
          <w:p w14:paraId="2801D7D3" w14:textId="77777777" w:rsidR="00AC2FE0" w:rsidRDefault="00873667">
            <w:pPr>
              <w:pStyle w:val="ListParagraph"/>
              <w:widowControl/>
              <w:suppressAutoHyphens w:val="0"/>
              <w:spacing w:after="0" w:line="240" w:lineRule="auto"/>
              <w:ind w:left="360"/>
              <w:jc w:val="both"/>
              <w:rPr>
                <w:rFonts w:asciiTheme="minorHAnsi" w:eastAsia="Times New Roman" w:hAnsiTheme="minorHAnsi" w:cstheme="minorHAnsi"/>
                <w:sz w:val="20"/>
                <w:szCs w:val="20"/>
              </w:rPr>
            </w:pPr>
            <w:r>
              <w:rPr>
                <w:rFonts w:asciiTheme="minorHAnsi" w:hAnsiTheme="minorHAnsi"/>
                <w:sz w:val="20"/>
              </w:rPr>
              <w:t xml:space="preserve">Ca indicație, la 900 MHz, standardul </w:t>
            </w:r>
          </w:p>
          <w:p w14:paraId="5960402E" w14:textId="451DEC5F" w:rsidR="00873667" w:rsidRDefault="00000000">
            <w:pPr>
              <w:pStyle w:val="ListParagraph"/>
              <w:widowControl/>
              <w:suppressAutoHyphens w:val="0"/>
              <w:spacing w:after="0" w:line="240" w:lineRule="auto"/>
              <w:ind w:left="360"/>
              <w:jc w:val="both"/>
              <w:rPr>
                <w:rFonts w:asciiTheme="minorHAnsi" w:hAnsiTheme="minorHAnsi"/>
                <w:sz w:val="20"/>
                <w:szCs w:val="20"/>
              </w:rPr>
            </w:pPr>
            <m:oMath>
              <m:sSub>
                <m:sSubPr>
                  <m:ctrlPr>
                    <w:rPr>
                      <w:rFonts w:ascii="Cambria Math" w:eastAsia="Times New Roman" w:hAnsi="Cambria Math" w:cstheme="minorHAnsi"/>
                      <w:bCs/>
                      <w:i/>
                      <w:color w:val="000000"/>
                      <w:lang w:val="nl-NL"/>
                    </w:rPr>
                  </m:ctrlPr>
                </m:sSubPr>
                <m:e>
                  <m:r>
                    <w:rPr>
                      <w:rFonts w:ascii="Cambria Math" w:eastAsia="Times New Roman" w:hAnsi="Cambria Math" w:cstheme="minorHAnsi"/>
                      <w:color w:val="000000"/>
                      <w:kern w:val="0"/>
                      <w:sz w:val="20"/>
                      <w:szCs w:val="20"/>
                    </w:rPr>
                    <m:t>S</m:t>
                  </m:r>
                </m:e>
                <m:sub>
                  <m:r>
                    <w:rPr>
                      <w:rFonts w:ascii="Cambria Math" w:eastAsia="Times New Roman" w:hAnsi="Cambria Math" w:cstheme="minorHAnsi"/>
                      <w:color w:val="000000"/>
                      <w:kern w:val="0"/>
                      <w:sz w:val="20"/>
                      <w:szCs w:val="20"/>
                    </w:rPr>
                    <m:t>int</m:t>
                  </m:r>
                </m:sub>
              </m:sSub>
            </m:oMath>
            <w:r w:rsidR="00C4092C">
              <w:rPr>
                <w:rFonts w:asciiTheme="minorHAnsi" w:hAnsiTheme="minorHAnsi"/>
                <w:sz w:val="20"/>
              </w:rPr>
              <w:t xml:space="preserve"> = 0,2243 W/m² corespunde unui câmp electric,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int</m:t>
                  </m:r>
                </m:sub>
              </m:sSub>
            </m:oMath>
            <w:r w:rsidR="00C4092C">
              <w:rPr>
                <w:rFonts w:asciiTheme="minorHAnsi" w:hAnsiTheme="minorHAnsi"/>
                <w:sz w:val="20"/>
              </w:rPr>
              <w:t xml:space="preserve"> = 9,19 V/m; iar standardul </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S</m:t>
                  </m:r>
                </m:e>
                <m:sub>
                  <m:r>
                    <w:rPr>
                      <w:rFonts w:ascii="Cambria Math" w:eastAsia="Times New Roman" w:hAnsi="Cambria Math" w:cstheme="minorHAnsi"/>
                      <w:sz w:val="20"/>
                      <w:szCs w:val="20"/>
                    </w:rPr>
                    <m:t>ext</m:t>
                  </m:r>
                </m:sub>
              </m:sSub>
            </m:oMath>
            <w:r w:rsidR="00C4092C">
              <w:rPr>
                <w:rFonts w:asciiTheme="minorHAnsi" w:hAnsiTheme="minorHAnsi"/>
                <w:sz w:val="20"/>
              </w:rPr>
              <w:t>= 0,5635 W/m² corespunde unui câmp electric,</w:t>
            </w:r>
            <m:oMath>
              <m:sSub>
                <m:sSubPr>
                  <m:ctrlPr>
                    <w:rPr>
                      <w:rFonts w:ascii="Cambria Math" w:eastAsia="Times New Roman" w:hAnsi="Cambria Math" w:cstheme="minorHAnsi"/>
                      <w:i/>
                      <w:lang w:val="nl-NL"/>
                    </w:rPr>
                  </m:ctrlPr>
                </m:sSubPr>
                <m:e>
                  <m:r>
                    <w:rPr>
                      <w:rFonts w:ascii="Cambria Math" w:eastAsia="Times New Roman" w:hAnsi="Cambria Math" w:cstheme="minorHAnsi"/>
                      <w:sz w:val="20"/>
                      <w:szCs w:val="20"/>
                    </w:rPr>
                    <m:t>E</m:t>
                  </m:r>
                </m:e>
                <m:sub>
                  <m:r>
                    <w:rPr>
                      <w:rFonts w:ascii="Cambria Math" w:eastAsia="Times New Roman" w:hAnsi="Cambria Math" w:cstheme="minorHAnsi"/>
                      <w:sz w:val="20"/>
                      <w:szCs w:val="20"/>
                    </w:rPr>
                    <m:t>ext</m:t>
                  </m:r>
                </m:sub>
              </m:sSub>
            </m:oMath>
            <w:r w:rsidR="00C4092C">
              <w:rPr>
                <w:rFonts w:asciiTheme="minorHAnsi" w:hAnsiTheme="minorHAnsi"/>
                <w:sz w:val="20"/>
              </w:rPr>
              <w:t xml:space="preserve"> = 14,57 V/m.</w:t>
            </w:r>
          </w:p>
          <w:p w14:paraId="5C8AFAC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Spre deosebire de punctul anterior, densitățile de putere a radiațiilor neionizante aplicabile în zonele accesibile publicului în aer liber se aplică, de asemenea, în zonele accesibile publicului în interior atunci când, în zonele respective, ferestrele sau ușile care se deschid spre exterior sunt deschise.”;</w:t>
            </w:r>
          </w:p>
          <w:p w14:paraId="5AC47F5C" w14:textId="77777777" w:rsidR="00873667" w:rsidRPr="006C632D" w:rsidRDefault="00873667">
            <w:pPr>
              <w:widowControl/>
              <w:suppressAutoHyphens w:val="0"/>
              <w:spacing w:after="0" w:line="240" w:lineRule="auto"/>
              <w:jc w:val="both"/>
              <w:rPr>
                <w:rFonts w:asciiTheme="minorHAnsi" w:hAnsiTheme="minorHAnsi"/>
                <w:sz w:val="20"/>
                <w:szCs w:val="20"/>
              </w:rPr>
            </w:pPr>
          </w:p>
          <w:p w14:paraId="3F56D40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se introduce un alineat (1b), cu următoarea formulare:</w:t>
            </w:r>
          </w:p>
          <w:p w14:paraId="0111B2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„(1b) Pentru câmpurile electromagnetice compozite, se aplică următoarele limitări câmpurilor electromagnetice din zonele accesibile publicului în interior și în exterior:</w:t>
            </w:r>
          </w:p>
          <w:p w14:paraId="1EEECA5D" w14:textId="77777777" w:rsidR="00873667" w:rsidRDefault="00873667">
            <w:pPr>
              <w:spacing w:after="0" w:line="240" w:lineRule="auto"/>
              <w:ind w:left="352"/>
              <w:jc w:val="both"/>
              <w:rPr>
                <w:rFonts w:asciiTheme="minorHAnsi" w:hAnsiTheme="minorHAnsi"/>
                <w:sz w:val="20"/>
                <w:szCs w:val="20"/>
              </w:rPr>
            </w:pPr>
            <m:oMathPara>
              <m:oMath>
                <m:r>
                  <w:rPr>
                    <w:rFonts w:ascii="Cambria Math" w:hAnsi="Cambria Math"/>
                    <w:sz w:val="20"/>
                    <w:szCs w:val="20"/>
                  </w:rPr>
                  <m:t> </m:t>
                </m:r>
                <m:nary>
                  <m:naryPr>
                    <m:chr m:val="∑"/>
                    <m:ctrlPr>
                      <w:rPr>
                        <w:rFonts w:ascii="Cambria Math" w:hAnsi="Cambria Math"/>
                        <w:i/>
                        <w:iCs/>
                        <w:lang w:val="nl-NL"/>
                      </w:rPr>
                    </m:ctrlPr>
                  </m:naryPr>
                  <m:sub>
                    <m:r>
                      <w:rPr>
                        <w:rFonts w:ascii="Cambria Math" w:hAnsi="Cambria Math"/>
                        <w:sz w:val="20"/>
                        <w:szCs w:val="20"/>
                        <w:lang w:val="nl-NL"/>
                      </w:rPr>
                      <m:t>100 KHz</m:t>
                    </m:r>
                  </m:sub>
                  <m:sup>
                    <m:r>
                      <w:rPr>
                        <w:rFonts w:ascii="Cambria Math" w:hAnsi="Cambria Math"/>
                        <w:sz w:val="20"/>
                        <w:szCs w:val="20"/>
                        <w:lang w:val="nl-NL"/>
                      </w:rPr>
                      <m:t>300 GHz</m:t>
                    </m:r>
                  </m:sup>
                  <m:e>
                    <m:d>
                      <m:dPr>
                        <m:ctrlPr>
                          <w:rPr>
                            <w:rFonts w:ascii="Cambria Math" w:hAnsi="Cambria Math"/>
                            <w:i/>
                            <w:iCs/>
                            <w:lang w:val="nl-NL"/>
                          </w:rPr>
                        </m:ctrlPr>
                      </m:dPr>
                      <m:e>
                        <m:f>
                          <m:fPr>
                            <m:ctrlPr>
                              <w:rPr>
                                <w:rFonts w:ascii="Cambria Math" w:hAnsi="Cambria Math"/>
                                <w:i/>
                                <w:iCs/>
                                <w:lang w:val="nl-NL"/>
                              </w:rPr>
                            </m:ctrlPr>
                          </m:fPr>
                          <m:num>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i</m:t>
                                </m:r>
                              </m:sub>
                            </m:sSub>
                          </m:num>
                          <m:den>
                            <m:sSub>
                              <m:sSubPr>
                                <m:ctrlPr>
                                  <w:rPr>
                                    <w:rFonts w:ascii="Cambria Math" w:hAnsi="Cambria Math"/>
                                    <w:i/>
                                    <w:iCs/>
                                    <w:lang w:val="nl-NL"/>
                                  </w:rPr>
                                </m:ctrlPr>
                              </m:sSubPr>
                              <m:e>
                                <m:r>
                                  <w:rPr>
                                    <w:rFonts w:ascii="Cambria Math" w:hAnsi="Cambria Math"/>
                                    <w:sz w:val="20"/>
                                    <w:szCs w:val="20"/>
                                    <w:lang w:val="nl-NL"/>
                                  </w:rPr>
                                  <m:t>S</m:t>
                                </m:r>
                              </m:e>
                              <m:sub>
                                <m:r>
                                  <w:rPr>
                                    <w:rFonts w:ascii="Cambria Math" w:hAnsi="Cambria Math"/>
                                    <w:sz w:val="20"/>
                                    <w:szCs w:val="20"/>
                                    <w:lang w:val="nl-NL"/>
                                  </w:rPr>
                                  <m:t> r i</m:t>
                                </m:r>
                              </m:sub>
                            </m:sSub>
                          </m:den>
                        </m:f>
                      </m:e>
                    </m:d>
                  </m:e>
                </m:nary>
                <m:r>
                  <w:rPr>
                    <w:rFonts w:ascii="Cambria Math" w:hAnsi="Cambria Math"/>
                    <w:sz w:val="20"/>
                    <w:szCs w:val="20"/>
                    <w:lang w:val="nl-NL"/>
                  </w:rPr>
                  <m:t>≤1</m:t>
                </m:r>
              </m:oMath>
            </m:oMathPara>
          </w:p>
          <w:p w14:paraId="49D61838"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unde:</w:t>
            </w:r>
          </w:p>
          <w:p w14:paraId="356BF7CB"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lang w:val="nl-NL"/>
                    </w:rPr>
                    <m:t>S</m:t>
                  </m:r>
                </m:e>
                <m:sub>
                  <m:r>
                    <w:rPr>
                      <w:rFonts w:ascii="Cambria Math" w:hAnsi="Cambria Math"/>
                      <w:sz w:val="20"/>
                      <w:szCs w:val="20"/>
                      <w:lang w:val="nl-NL"/>
                    </w:rPr>
                    <m:t>i</m:t>
                  </m:r>
                </m:sub>
              </m:sSub>
            </m:oMath>
            <w:r w:rsidR="00C4092C">
              <w:rPr>
                <w:rFonts w:asciiTheme="minorHAnsi" w:hAnsiTheme="minorHAnsi"/>
                <w:sz w:val="20"/>
              </w:rPr>
              <w:t xml:space="preserve"> este densitatea puterii la frecvența i;</w:t>
            </w:r>
          </w:p>
          <w:p w14:paraId="0A0E0802" w14:textId="77777777" w:rsidR="00873667" w:rsidRDefault="00000000" w:rsidP="00242999">
            <w:pPr>
              <w:pStyle w:val="ListParagraph"/>
              <w:numPr>
                <w:ilvl w:val="0"/>
                <w:numId w:val="3"/>
              </w:numPr>
              <w:spacing w:after="0" w:line="240" w:lineRule="auto"/>
              <w:jc w:val="both"/>
              <w:rPr>
                <w:rFonts w:asciiTheme="minorHAnsi" w:hAnsiTheme="minorHAnsi"/>
                <w:sz w:val="20"/>
                <w:szCs w:val="20"/>
              </w:rPr>
            </w:pPr>
            <m:oMath>
              <m:sSub>
                <m:sSubPr>
                  <m:ctrlPr>
                    <w:rPr>
                      <w:rFonts w:ascii="Cambria Math" w:hAnsi="Cambria Math"/>
                      <w:i/>
                      <w:lang w:val="nl-NL"/>
                    </w:rPr>
                  </m:ctrlPr>
                </m:sSubPr>
                <m:e>
                  <m:r>
                    <w:rPr>
                      <w:rFonts w:ascii="Cambria Math" w:hAnsi="Cambria Math"/>
                      <w:sz w:val="20"/>
                      <w:szCs w:val="20"/>
                    </w:rPr>
                    <m:t>S</m:t>
                  </m:r>
                </m:e>
                <m:sub>
                  <m:r>
                    <w:rPr>
                      <w:rFonts w:ascii="Cambria Math" w:hAnsi="Cambria Math"/>
                      <w:sz w:val="20"/>
                      <w:szCs w:val="20"/>
                    </w:rPr>
                    <m:t>ri</m:t>
                  </m:r>
                </m:sub>
              </m:sSub>
            </m:oMath>
            <w:r w:rsidR="00C4092C">
              <w:rPr>
                <w:rFonts w:asciiTheme="minorHAnsi" w:hAnsiTheme="minorHAnsi"/>
                <w:sz w:val="20"/>
              </w:rPr>
              <w:t xml:space="preserve"> este limita densității puterii la frecvența i, astfel cum este definită în tabelul menționat la alineatul (1a) din prezentul articol. </w:t>
            </w:r>
          </w:p>
          <w:p w14:paraId="5755DF5C"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Densitatea de putere a radiației se calculează și/sau se măsoară în conformitate cu procedurile stabilite de guvern, în special în temeiul avizelor și recomandărilor autorităților internaționale competente.”;</w:t>
            </w:r>
          </w:p>
          <w:p w14:paraId="1466B3D3"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30D729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5F26CB0"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7040879B"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se introduce un alineat (1c), cu următoarea formulare: </w:t>
            </w:r>
          </w:p>
          <w:p w14:paraId="769F464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„(1c)  Sunt interzise antenele care generează radiații neionizante în gama de frecvențe cuprinse între 20 GHz și 300 GHz. Guvernul este împuternicit să autorizeze aceste antene în conformitate cu autorizațiile emise de alte niveluri de autoritate.</w:t>
            </w:r>
          </w:p>
          <w:p w14:paraId="5757430B"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Antenele cu releu cu microunde nu intră sub incidența interdicției menționate la paragraful precedent.”;</w:t>
            </w:r>
          </w:p>
          <w:p w14:paraId="49B3DA95"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13D55AF3"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la alineatul (2) primul paragraf, cuvântul „nouă” se înlocuiește cu „între șapte și treisprezece”;</w:t>
            </w:r>
          </w:p>
          <w:p w14:paraId="7B0EE76D"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05D147EC"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la alineatul (2) al treilea paragraf, cuvintele „motive imperative economice și de sănătate publică” se înlocuiesc cu cuvintele „motive imperative economice, de sănătate publică și de protecție a mediului”; </w:t>
            </w:r>
          </w:p>
          <w:p w14:paraId="48C0DE02"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2A11D230"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la alineatul (2) al treilea paragraf, teza „Raportul se publică pe site-ul Institutului de Gestionare a Mediului din Bruxelles în termen de trei luni de la primirea acestuia de către guvern.” se înlocuiește cu teza „Guvernul prezintă raportul anual Parlamentului, iar Brussels Mediu îl publică pe site-ul său în termen de trei luni de la acceptarea sa de către guvern.”;</w:t>
            </w:r>
          </w:p>
          <w:p w14:paraId="08B93EA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p>
          <w:p w14:paraId="45A53D85"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la alineatul (2) al treilea paragraf, teza „Primul raport se prezintă guvernului până la 1 septembrie 2014.” se abrogă;</w:t>
            </w:r>
          </w:p>
          <w:p w14:paraId="6F3601A3" w14:textId="77777777" w:rsidR="00873667" w:rsidRDefault="00873667">
            <w:pPr>
              <w:pStyle w:val="ListParagraph"/>
              <w:rPr>
                <w:rFonts w:asciiTheme="minorHAnsi" w:hAnsiTheme="minorHAnsi"/>
                <w:sz w:val="20"/>
                <w:szCs w:val="20"/>
              </w:rPr>
            </w:pPr>
          </w:p>
          <w:p w14:paraId="05E9C0C1"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la alineatul (2) punctul 4, cuvintele „operatorii instalațiilor care pot să producă sau să transmită radiații neionizante” și „Brussels Mediu” se înlocuiesc cu cuvintele „operatori și radiodifuzori” și „Bruxelles Mediu și Bruxelles Urbanism și Patrimoniu”;</w:t>
            </w:r>
          </w:p>
          <w:p w14:paraId="73946D5F" w14:textId="77777777" w:rsidR="00873667" w:rsidRDefault="00873667">
            <w:pPr>
              <w:pStyle w:val="ListParagraph"/>
              <w:rPr>
                <w:rFonts w:asciiTheme="minorHAnsi" w:hAnsiTheme="minorHAnsi"/>
                <w:sz w:val="20"/>
                <w:szCs w:val="20"/>
              </w:rPr>
            </w:pPr>
          </w:p>
          <w:p w14:paraId="2034DDBC" w14:textId="77777777" w:rsidR="00873667" w:rsidRDefault="00873667" w:rsidP="00C4092C">
            <w:pPr>
              <w:pStyle w:val="ListParagraph"/>
              <w:keepNext/>
              <w:widowControl/>
              <w:numPr>
                <w:ilvl w:val="0"/>
                <w:numId w:val="2"/>
              </w:numPr>
              <w:suppressAutoHyphens w:val="0"/>
              <w:spacing w:after="0" w:line="240" w:lineRule="auto"/>
              <w:ind w:left="357" w:hanging="357"/>
              <w:jc w:val="both"/>
              <w:rPr>
                <w:rFonts w:asciiTheme="minorHAnsi" w:hAnsiTheme="minorHAnsi"/>
                <w:sz w:val="20"/>
                <w:szCs w:val="20"/>
              </w:rPr>
            </w:pPr>
            <w:r>
              <w:rPr>
                <w:rFonts w:asciiTheme="minorHAnsi" w:hAnsiTheme="minorHAnsi"/>
                <w:sz w:val="20"/>
              </w:rPr>
              <w:lastRenderedPageBreak/>
              <w:t>alineatul (2) se completează cu un nou paragraf, care are următoarea formulare:</w:t>
            </w:r>
          </w:p>
          <w:p w14:paraId="272B3177"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 Comitetul emite un aviz cu privire la toate proiectele de modificare a prezentei ordonanțe și cu privire la adoptarea sau modificarea măsurilor de punere în aplicare a acesteia. </w:t>
            </w:r>
          </w:p>
          <w:p w14:paraId="3F15769A" w14:textId="77777777" w:rsidR="00873667" w:rsidRDefault="00873667">
            <w:pPr>
              <w:pStyle w:val="ListParagraph"/>
              <w:widowControl/>
              <w:suppressAutoHyphens w:val="0"/>
              <w:spacing w:after="0" w:line="240" w:lineRule="auto"/>
              <w:ind w:left="360"/>
              <w:jc w:val="both"/>
              <w:rPr>
                <w:rFonts w:asciiTheme="minorHAnsi" w:hAnsiTheme="minorHAnsi"/>
                <w:sz w:val="20"/>
                <w:szCs w:val="20"/>
              </w:rPr>
            </w:pPr>
            <w:r>
              <w:rPr>
                <w:rFonts w:asciiTheme="minorHAnsi" w:hAnsiTheme="minorHAnsi"/>
                <w:sz w:val="20"/>
              </w:rPr>
              <w:t>Comitetul poate colabora cu orice expert științific sau grup de experți înființat la nivel internațional, federal, regional sau local.”;</w:t>
            </w:r>
          </w:p>
          <w:p w14:paraId="3573B9A7" w14:textId="77777777" w:rsidR="00873667" w:rsidRPr="006C632D" w:rsidRDefault="00873667">
            <w:pPr>
              <w:widowControl/>
              <w:suppressAutoHyphens w:val="0"/>
              <w:spacing w:after="0" w:line="240" w:lineRule="auto"/>
              <w:jc w:val="both"/>
              <w:rPr>
                <w:rFonts w:asciiTheme="minorHAnsi" w:hAnsiTheme="minorHAnsi"/>
                <w:sz w:val="20"/>
                <w:szCs w:val="20"/>
              </w:rPr>
            </w:pPr>
          </w:p>
          <w:p w14:paraId="33A60EFD" w14:textId="77777777" w:rsidR="00873667" w:rsidRDefault="00873667" w:rsidP="00242999">
            <w:pPr>
              <w:pStyle w:val="ListParagraph"/>
              <w:widowControl/>
              <w:numPr>
                <w:ilvl w:val="0"/>
                <w:numId w:val="2"/>
              </w:numPr>
              <w:suppressAutoHyphens w:val="0"/>
              <w:spacing w:after="0" w:line="240" w:lineRule="auto"/>
              <w:jc w:val="both"/>
              <w:rPr>
                <w:rFonts w:asciiTheme="minorHAnsi" w:hAnsiTheme="minorHAnsi"/>
                <w:sz w:val="20"/>
                <w:szCs w:val="20"/>
              </w:rPr>
            </w:pPr>
            <w:r>
              <w:rPr>
                <w:rFonts w:asciiTheme="minorHAnsi" w:hAnsiTheme="minorHAnsi"/>
                <w:sz w:val="20"/>
              </w:rPr>
              <w:t xml:space="preserve">se introduce un alineat (3) cu următoarea formulare: </w:t>
            </w:r>
          </w:p>
          <w:p w14:paraId="0499D927"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„(3) Guvernul încheie cu operatorii o cartă de bună conduită menită, în special, să ofere cetățenilor cel mai mare nivel de transparență posibil în ceea ce privește dezvoltarea rețelelor de telefonie mobilă, să stabilească una sau mai multe linii de conduită pentru operatori, la nivel tehnic, de mediu și de sănătate publică și/sau să stabilească obiective pentru operatori în ceea ce privește gestionarea deșeurilor legate de dezvoltarea rețelelor de telefonie mobilă.</w:t>
            </w:r>
          </w:p>
          <w:p w14:paraId="1D2C6D7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Operatorii pot încheia, modifica sau reînnoi în mod colectiv un acord de mediu cu regiunea în conformitate cu dispozițiile Ordonanței din 29 aprilie 2004 privind acordurile de mediu.”;</w:t>
            </w:r>
          </w:p>
          <w:p w14:paraId="4C6FF580" w14:textId="77777777" w:rsidR="00873667" w:rsidRPr="006C632D" w:rsidRDefault="00873667">
            <w:pPr>
              <w:spacing w:after="0" w:line="240" w:lineRule="auto"/>
              <w:ind w:left="352"/>
              <w:jc w:val="both"/>
              <w:rPr>
                <w:rFonts w:asciiTheme="minorHAnsi" w:hAnsiTheme="minorHAnsi"/>
                <w:sz w:val="20"/>
                <w:szCs w:val="20"/>
              </w:rPr>
            </w:pPr>
          </w:p>
          <w:p w14:paraId="7E29FAB9" w14:textId="77777777" w:rsidR="00873667" w:rsidRDefault="00873667" w:rsidP="00242999">
            <w:pPr>
              <w:pStyle w:val="ListParagraph"/>
              <w:numPr>
                <w:ilvl w:val="0"/>
                <w:numId w:val="2"/>
              </w:numPr>
              <w:spacing w:after="0" w:line="240" w:lineRule="auto"/>
              <w:jc w:val="both"/>
              <w:rPr>
                <w:rFonts w:asciiTheme="minorHAnsi" w:hAnsiTheme="minorHAnsi"/>
                <w:sz w:val="20"/>
                <w:szCs w:val="20"/>
              </w:rPr>
            </w:pPr>
            <w:r>
              <w:rPr>
                <w:rFonts w:asciiTheme="minorHAnsi" w:hAnsiTheme="minorHAnsi"/>
                <w:sz w:val="20"/>
              </w:rPr>
              <w:t>se introduce un alineat (4) cu următoarea formulare:</w:t>
            </w:r>
          </w:p>
          <w:p w14:paraId="2B84997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„(4) În cazul în care standardele menționate la alineatul (1a) sunt depășite, se aplică prezentul alineat. </w:t>
            </w:r>
          </w:p>
          <w:p w14:paraId="19017495"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Operatorii ale căror antene contribuie la depășirea standardelor menționate la alineatul (1a) reduc câmpul electric emis de antenele lor, astfel încât standardele menționate la alineatul (1a) să fie respectate, după caz, prin consultarea reciprocă și a radiodifuzorilor.</w:t>
            </w:r>
          </w:p>
          <w:p w14:paraId="67E22AA1"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Radiodifuzorii ale căror antene contribuie la depășirea standardelor menționate la alineatul (1a) furnizează operatorilor și Bruxelles Mediu toate informațiile tehnice referitoare la radiațiile neionizante de la antenele în cauză, în cazul în care acestea sunt diferite de cele furnizate în temeiul articolului 4. </w:t>
            </w:r>
          </w:p>
          <w:p w14:paraId="6A8A4CA9"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Guvernul poate specifica condițiile acestei consultări și metoda care trebuie aplicată de operatori pentru a reduce, după caz, cota lor respectivă în raport cu densitatea de putere care implică depășirea standardelor menționate la alineatul (1a). Guvernul specifică termenii și condițiile în cazul unui acord între operatori și, în absența unui acord, obligațiile care le pot fi impuse. </w:t>
            </w:r>
          </w:p>
          <w:p w14:paraId="56ABD7FE"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 xml:space="preserve">Prin derogare de la alineatul (1a), în cazul în care obligațiile impuse operatorilor în temeiul paragrafului precedent sau orice alte măsuri puse în aplicare de operatori sau de radiodifuzor nu permit reducerea suficientă a densității de putere a antenelor în cauză pentru a asigura respectarea standardelor menționate la alineatul (1a), numai operatorii care depășesc densitatea de putere sunt obligați să respecte, împreună și ținând seama de informațiile furnizate în conformitate cu alineatul (3) și cu articolul 4, 42,6 % și, respectiv, 17 % din standardele menționate la alineatul (1a) în zonele accesibile publicului în interior și în zonele accesibile publicului în aer liber. </w:t>
            </w:r>
          </w:p>
          <w:p w14:paraId="198A1AFF" w14:textId="77777777" w:rsidR="00873667" w:rsidRDefault="00873667">
            <w:pPr>
              <w:pStyle w:val="ListParagraph"/>
              <w:spacing w:after="0" w:line="240" w:lineRule="auto"/>
              <w:ind w:left="360"/>
              <w:jc w:val="both"/>
              <w:rPr>
                <w:rFonts w:asciiTheme="minorHAnsi" w:hAnsiTheme="minorHAnsi"/>
                <w:sz w:val="20"/>
                <w:szCs w:val="20"/>
              </w:rPr>
            </w:pPr>
            <w:r>
              <w:rPr>
                <w:rFonts w:asciiTheme="minorHAnsi" w:hAnsiTheme="minorHAnsi"/>
                <w:sz w:val="20"/>
              </w:rPr>
              <w:t>Regimul de exceptare, menționat la paragraful anterior, nu poate implica în niciun moment densități de radiație ale radiațiilor neionizante în zone accesibile publicului în interior și în zone accesibile publicului în aer liber mai mari decât cele menționate în Recomandarea 1999/519/CE a Consiliului din 12 iulie 1999 privind limitarea expunerii publicului larg la câmpuri electromagnetice (0 Hz-300 GHz) și la evoluțiile sale viitoare și poate viza doar 0,0065 % din suprafețele solului și din anvelopele clădirilor din baza de date Urbis-Adm 3D. Guvernul are autoritatea de a stabili limite mai mici. Bruxelles Mediu menține o listă pentru guvern și comitet, enumerând cazurile de aplicare menționate la alineatul (5).”</w:t>
            </w:r>
          </w:p>
          <w:p w14:paraId="623A5571" w14:textId="77777777" w:rsidR="00873667" w:rsidRPr="006C632D" w:rsidRDefault="00873667">
            <w:pPr>
              <w:spacing w:after="0" w:line="240" w:lineRule="auto"/>
              <w:jc w:val="both"/>
              <w:rPr>
                <w:rFonts w:asciiTheme="minorHAnsi" w:hAnsiTheme="minorHAnsi"/>
                <w:sz w:val="20"/>
                <w:szCs w:val="20"/>
              </w:rPr>
            </w:pPr>
          </w:p>
        </w:tc>
      </w:tr>
      <w:tr w:rsidR="00873667" w:rsidRPr="00404725" w14:paraId="7F775EB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0785F"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Articolul 4</w:t>
            </w:r>
          </w:p>
          <w:p w14:paraId="7BA6CE1E"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În aceeași ordonanță, după articolul 3 se introduce următorul titlu: „ Obligația generală a operatorilor”.</w:t>
            </w:r>
          </w:p>
          <w:p w14:paraId="493E4D9C" w14:textId="77777777" w:rsidR="00873667" w:rsidRPr="006C632D" w:rsidRDefault="00873667">
            <w:pPr>
              <w:spacing w:after="0" w:line="240" w:lineRule="auto"/>
              <w:jc w:val="both"/>
              <w:rPr>
                <w:rFonts w:asciiTheme="minorHAnsi" w:hAnsiTheme="minorHAnsi"/>
                <w:sz w:val="20"/>
                <w:szCs w:val="20"/>
              </w:rPr>
            </w:pPr>
          </w:p>
          <w:p w14:paraId="7634251F" w14:textId="77777777" w:rsidR="00873667" w:rsidRPr="006C632D" w:rsidRDefault="00873667">
            <w:pPr>
              <w:spacing w:after="0" w:line="240" w:lineRule="auto"/>
              <w:jc w:val="both"/>
              <w:rPr>
                <w:rFonts w:asciiTheme="minorHAnsi" w:hAnsiTheme="minorHAnsi"/>
                <w:sz w:val="20"/>
                <w:szCs w:val="20"/>
              </w:rPr>
            </w:pPr>
          </w:p>
          <w:p w14:paraId="49811318"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(2) În aceeași ordonanță se introduce articolul 3a, sub titlul inserat de alineatul (1), cu următoarea formulare:</w:t>
            </w:r>
          </w:p>
          <w:p w14:paraId="77C64ADE"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Articolul 3a Fără a aduce atingere articolului 3, orice operator și radiodifuzor care operează o antenă pe teritoriul regiunii Bruxelles-Capitală trebuie să fie în orice moment în măsură să justifice respectarea standardului privind imisiile, menționat la articolul 3, și să ia imediat toate măsurile necesare în cazul în care ia cunoștință, prin orice mijloace, de faptul că standardul de imisii menționat la articolul 3 nu este respectat.”.</w:t>
            </w:r>
          </w:p>
          <w:p w14:paraId="0D332DF9" w14:textId="77777777" w:rsidR="00873667" w:rsidRPr="006C632D" w:rsidRDefault="00873667">
            <w:pPr>
              <w:spacing w:after="0" w:line="240" w:lineRule="auto"/>
              <w:jc w:val="both"/>
              <w:rPr>
                <w:rFonts w:asciiTheme="minorHAnsi" w:hAnsiTheme="minorHAnsi"/>
                <w:sz w:val="20"/>
                <w:szCs w:val="20"/>
              </w:rPr>
            </w:pPr>
          </w:p>
        </w:tc>
      </w:tr>
      <w:tr w:rsidR="00873667" w14:paraId="32D11D4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A0B6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5</w:t>
            </w:r>
          </w:p>
          <w:p w14:paraId="6213E50D"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(1) Titlul „Obligații de informare pentru operatori” aflat între articolul 3a și articolul 4 din respectiva ordonanță se înlocuiește cu titlul „Obligația de informare a operatorilor și a radiodifuzorilor”.</w:t>
            </w:r>
          </w:p>
          <w:p w14:paraId="304708E1" w14:textId="77777777" w:rsidR="00873667" w:rsidRPr="006C632D" w:rsidRDefault="00873667">
            <w:pPr>
              <w:spacing w:after="0" w:line="240" w:lineRule="auto"/>
              <w:jc w:val="both"/>
              <w:rPr>
                <w:rFonts w:asciiTheme="minorHAnsi" w:hAnsiTheme="minorHAnsi"/>
                <w:sz w:val="20"/>
                <w:szCs w:val="20"/>
              </w:rPr>
            </w:pPr>
          </w:p>
          <w:p w14:paraId="302C5B7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Articolul 4 din aceeași ordonanță se înlocuiește cu următorul text: </w:t>
            </w:r>
          </w:p>
          <w:p w14:paraId="30BD686D"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Articolul 4 (1)  Operatorii și radiodifuzorii sunt obligați să informeze Bruxelles Mediu, Bruxelles Urbanism și </w:t>
            </w:r>
            <w:r>
              <w:rPr>
                <w:rFonts w:asciiTheme="minorHAnsi" w:hAnsiTheme="minorHAnsi"/>
                <w:sz w:val="20"/>
              </w:rPr>
              <w:lastRenderedPageBreak/>
              <w:t xml:space="preserve">Patrimoniu și municipalitatea pe teritoriul căreia se află, cu privire la orice antenă care emite radiații neionizante, a cărei listă este stabilită de guvern, cu privire la caracteristicile de funcționare ale acestei antene. Aceste caracteristici includ, în special, locația exactă și poziția de instalare, diagrama de radiații, tipul de antenă, frecvențele de emisie, unghiul de înclinare a antenelor, înălțimea și dimensiunea antenei și puterea emisă a radiațiilor. Guvernul poate specifica lista acestor caracteristici, le poate diferenția în funcție de destinatari sau poate adăuga alte caracteristici. Bruxelles Mediu, Bruxelles Urbanism și Patrimoniu și municipalitățile pot prevedea utilizarea unui formular pentru a le trimite informațiile menționate. </w:t>
            </w:r>
          </w:p>
          <w:p w14:paraId="6D5BFE0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În cazul în care o antenă se află la mai puțin de 200 de metri de o limită municipală, această obligație se extinde în ceea ce privește municipalitatea limitrofă în cauză. </w:t>
            </w:r>
          </w:p>
          <w:p w14:paraId="7D2D49FA"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(2) Operatorii și organismele de radiodifuziune trebuie să transmită la Bruxelles Mediu, la prima cerere, orice informații solicitate, inclusiv, dacă este cazul, un extras din bazele lor de date de configurare a rețelei din OMC (Centrul de operare și întreținere). Acest extras sau orice alte informații pot viza toate antenele specificate de Bruxelles Mediu și vor fi furnizate în format electronic în termen de 20 de zile de la primirea cererii. Aceste informații trebuie să conțină cel puțin puterea maximă a balizelor la ieșirea din golfurile tehnice, a numărului de frecvențe purtătoare și a înclinărilor electrice, dacă acestea sunt configurate de la distanță de OMC (Centrul de operare și întreținere). Bruxelles Mediu poate specifica informațiile conținute în extras și formatul acestuia.</w:t>
            </w:r>
          </w:p>
          <w:p w14:paraId="4D7BEA57"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(3) Operatorii a căror listă este stabilită de guvern transmit anual la Bruxelles Mediu un raport privind eficiența energetică în funcție de tehnologie și de consumul de energie al antenelor și al rețelei acestora. Guvernul stabilește conținutul minim al raportului.”.</w:t>
            </w:r>
          </w:p>
          <w:p w14:paraId="25D9E273" w14:textId="77777777" w:rsidR="00873667" w:rsidRDefault="00873667">
            <w:pPr>
              <w:spacing w:after="0" w:line="240" w:lineRule="auto"/>
              <w:jc w:val="both"/>
              <w:rPr>
                <w:rFonts w:asciiTheme="minorHAnsi" w:hAnsiTheme="minorHAnsi"/>
                <w:sz w:val="20"/>
                <w:szCs w:val="20"/>
                <w:lang w:val="nl-NL"/>
              </w:rPr>
            </w:pPr>
          </w:p>
        </w:tc>
      </w:tr>
      <w:tr w:rsidR="00873667" w:rsidRPr="00404725" w14:paraId="39830A33"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51C2"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Articolul 6</w:t>
            </w:r>
          </w:p>
          <w:p w14:paraId="3FB93EB7"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Articolul 5 din prezenta ordonanță se completează cu un paragraf care are următoarea formulare: </w:t>
            </w:r>
          </w:p>
          <w:p w14:paraId="40A7D802"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xml:space="preserve">„ Guvernul poate prevedea regimuri diferențiate și specifice pentru anumite tipuri de antene, în funcție de caracteristicile lor specifice.” </w:t>
            </w:r>
          </w:p>
          <w:p w14:paraId="0216A34A" w14:textId="77777777" w:rsidR="00873667" w:rsidRPr="006C632D" w:rsidRDefault="00873667">
            <w:pPr>
              <w:spacing w:after="0" w:line="240" w:lineRule="auto"/>
              <w:jc w:val="both"/>
              <w:rPr>
                <w:rFonts w:asciiTheme="minorHAnsi" w:hAnsiTheme="minorHAnsi"/>
                <w:sz w:val="20"/>
                <w:szCs w:val="20"/>
              </w:rPr>
            </w:pPr>
          </w:p>
        </w:tc>
      </w:tr>
      <w:tr w:rsidR="00873667" w14:paraId="752366D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B28D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7</w:t>
            </w:r>
          </w:p>
          <w:p w14:paraId="59CA7035"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La articolul 8 din prezenta ordonanță se aduc următoarele modificări:</w:t>
            </w:r>
          </w:p>
          <w:p w14:paraId="463F92C5" w14:textId="77777777" w:rsidR="00873667" w:rsidRPr="006C632D" w:rsidRDefault="00873667">
            <w:pPr>
              <w:spacing w:after="0" w:line="240" w:lineRule="auto"/>
              <w:jc w:val="both"/>
              <w:rPr>
                <w:rFonts w:asciiTheme="minorHAnsi" w:hAnsiTheme="minorHAnsi"/>
                <w:sz w:val="20"/>
                <w:szCs w:val="20"/>
                <w:lang w:val="it-IT"/>
              </w:rPr>
            </w:pPr>
          </w:p>
          <w:p w14:paraId="0FEE7087"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alineatul (1) se înlocuiește cu următorul text: </w:t>
            </w:r>
          </w:p>
          <w:p w14:paraId="495FA02B"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 xml:space="preserve">„(1) Guvernul este responsabil pentru actualizarea și publicarea unui registru al antenelor, a căror listă va fi stabilită de guvern. Acest registru include datele tehnice ale fiecărei antene, în special amplasarea exactă a antenei, tipul, dimensiunile, orientarea, puterea de emisie și alte date tehnice pentru a determina densitatea de putere în zonele accesibile publicului. Guvernul poate specifica datele tehnice și poate adăuga alte caracteristici. </w:t>
            </w:r>
          </w:p>
          <w:p w14:paraId="74906324"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Acest registru al emițătorilor se publică pe site-ul Bruxelles Mediu pentru a permite oricărui cetățean să depună în orice moment o plângere la Bruxelles Mediu referitor la respectarea standardului privind imisiile, menționat la articolul 3 și/sau respectarea condițiilor de funcționare ale antenelor în cauză. Fără a aduce atingere sancțiunilor și altor măsuri aplicabile prevăzute în prezenta ordonanță, în cazul în care consideră că această plângere este întemeiată, Bruxelles Mediu ia măsurile necesare pentru a asigura respectarea dispozițiilor prezentei ordonanțe.”;</w:t>
            </w:r>
          </w:p>
          <w:p w14:paraId="62384DE4" w14:textId="77777777" w:rsidR="00873667" w:rsidRPr="006C632D" w:rsidRDefault="00873667">
            <w:pPr>
              <w:spacing w:after="0" w:line="240" w:lineRule="auto"/>
              <w:ind w:left="352"/>
              <w:jc w:val="both"/>
              <w:rPr>
                <w:rFonts w:asciiTheme="minorHAnsi" w:hAnsiTheme="minorHAnsi"/>
                <w:sz w:val="20"/>
                <w:szCs w:val="20"/>
              </w:rPr>
            </w:pPr>
          </w:p>
          <w:p w14:paraId="251120BC" w14:textId="77777777" w:rsidR="00873667" w:rsidRDefault="00873667" w:rsidP="00242999">
            <w:pPr>
              <w:pStyle w:val="ListParagraph"/>
              <w:widowControl/>
              <w:numPr>
                <w:ilvl w:val="0"/>
                <w:numId w:val="4"/>
              </w:numPr>
              <w:suppressAutoHyphens w:val="0"/>
              <w:spacing w:after="0" w:line="240" w:lineRule="auto"/>
              <w:jc w:val="both"/>
              <w:rPr>
                <w:rFonts w:asciiTheme="minorHAnsi" w:hAnsiTheme="minorHAnsi"/>
                <w:sz w:val="20"/>
                <w:szCs w:val="20"/>
              </w:rPr>
            </w:pPr>
            <w:r>
              <w:rPr>
                <w:rFonts w:asciiTheme="minorHAnsi" w:hAnsiTheme="minorHAnsi"/>
                <w:sz w:val="20"/>
              </w:rPr>
              <w:t xml:space="preserve">la alineatul (2), punctul 1 se înlocuiește cu următorul text: </w:t>
            </w:r>
          </w:p>
          <w:p w14:paraId="1D219E45" w14:textId="77777777" w:rsidR="00873667" w:rsidRDefault="00873667">
            <w:pPr>
              <w:spacing w:after="0" w:line="240" w:lineRule="auto"/>
              <w:ind w:left="352"/>
              <w:jc w:val="both"/>
              <w:rPr>
                <w:rFonts w:asciiTheme="minorHAnsi" w:hAnsiTheme="minorHAnsi"/>
                <w:sz w:val="20"/>
                <w:szCs w:val="20"/>
              </w:rPr>
            </w:pPr>
            <w:r>
              <w:rPr>
                <w:rFonts w:asciiTheme="minorHAnsi" w:hAnsiTheme="minorHAnsi"/>
                <w:sz w:val="20"/>
              </w:rPr>
              <w:t>„(2) Guvernul înființează un registru al acoperișurilor clădirilor ocupate de autoritățile publice și care ar putea găzdui antene. Acest registru este actualizat în mod periodic.”.</w:t>
            </w:r>
          </w:p>
          <w:p w14:paraId="2DC18BF8" w14:textId="77777777" w:rsidR="00873667" w:rsidRDefault="00873667">
            <w:pPr>
              <w:spacing w:after="0" w:line="240" w:lineRule="auto"/>
              <w:jc w:val="both"/>
              <w:rPr>
                <w:rFonts w:asciiTheme="minorHAnsi" w:hAnsiTheme="minorHAnsi"/>
                <w:sz w:val="20"/>
                <w:szCs w:val="20"/>
                <w:lang w:val="nl-NL"/>
              </w:rPr>
            </w:pPr>
          </w:p>
        </w:tc>
      </w:tr>
      <w:tr w:rsidR="00873667" w:rsidRPr="00404725" w14:paraId="3C371DE5"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CECFE"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8</w:t>
            </w:r>
          </w:p>
          <w:p w14:paraId="588CB09A"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În aceeași ordonanță, după articolul 8 se introduce următorul titlu: „ Obligația generală a operatorilor”.</w:t>
            </w:r>
          </w:p>
          <w:p w14:paraId="020B4B57" w14:textId="77777777" w:rsidR="00873667" w:rsidRPr="006C632D" w:rsidRDefault="00873667">
            <w:pPr>
              <w:spacing w:after="0" w:line="240" w:lineRule="auto"/>
              <w:jc w:val="both"/>
              <w:rPr>
                <w:rFonts w:asciiTheme="minorHAnsi" w:hAnsiTheme="minorHAnsi"/>
                <w:bCs/>
                <w:sz w:val="20"/>
                <w:szCs w:val="20"/>
              </w:rPr>
            </w:pPr>
          </w:p>
          <w:p w14:paraId="0655FE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(2) În aceeași ordonanță se introduce articolul 8a, sub titlul inserat de alineatul (1), cu următoarea formulare:</w:t>
            </w:r>
          </w:p>
          <w:p w14:paraId="2C135F09"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Articolul 8a Operatorii a căror listă este stabilită de guvern sunt obligați să înființeze și să sprijine campanii de informare în vederea sensibilizării cu privire la prevenirea generării deșeurilor rezultate din activitățile lor, în special având în vedere evoluțiile tehnologice și reînnoirea dispozitivelor conectate. </w:t>
            </w:r>
          </w:p>
          <w:p w14:paraId="7E31B7B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Aceste campanii de informare oferă publicului, în special, informații cu privire la utilizarea rațională din punct de vedere ecologic a dispozitivelor, la valoarea reutilizării și pregătirii pentru reutilizare a dispozitivelor conectate și, în cele din urmă, la sistemele de colectare și gestionare a deșeurilor. </w:t>
            </w:r>
          </w:p>
          <w:p w14:paraId="54630306"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Guvernul poate specifica conținutul, frecvența și termenii campaniilor de informare care urmează să fie puse în aplicare, precum și publicul țintă al acestora în funcție de obiectivele dorite.”;</w:t>
            </w:r>
          </w:p>
          <w:p w14:paraId="7577DD4F" w14:textId="77777777" w:rsidR="00873667" w:rsidRPr="006C632D" w:rsidRDefault="00873667">
            <w:pPr>
              <w:spacing w:after="0" w:line="240" w:lineRule="auto"/>
              <w:jc w:val="both"/>
              <w:rPr>
                <w:rFonts w:asciiTheme="minorHAnsi" w:hAnsiTheme="minorHAnsi"/>
                <w:bCs/>
                <w:sz w:val="20"/>
                <w:szCs w:val="20"/>
              </w:rPr>
            </w:pPr>
          </w:p>
          <w:p w14:paraId="127221A1"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(3) În aceeași ordonanță se introduce, sub titlul inserat de alineatul (1), articolul 8b, cu următoarea formulare: </w:t>
            </w:r>
          </w:p>
          <w:p w14:paraId="3F80CF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lastRenderedPageBreak/>
              <w:t xml:space="preserve">„ Articolul 8b Operatorii a căror listă este stabilită de guvern au obligația de a elabora statistici privind dispozitivele pe care le introduc pe piață și care sunt colectate ca deșeuri sau sunt reutilizate, în sensul dispozițiilor Ordonanței din 14 iunie 2012 privind deșeurile.”; </w:t>
            </w:r>
          </w:p>
          <w:p w14:paraId="4BAF6779" w14:textId="77777777" w:rsidR="00873667" w:rsidRPr="006C632D" w:rsidRDefault="00873667">
            <w:pPr>
              <w:spacing w:after="0" w:line="240" w:lineRule="auto"/>
              <w:jc w:val="both"/>
              <w:rPr>
                <w:rFonts w:asciiTheme="minorHAnsi" w:hAnsiTheme="minorHAnsi"/>
                <w:bCs/>
                <w:sz w:val="20"/>
                <w:szCs w:val="20"/>
              </w:rPr>
            </w:pPr>
          </w:p>
          <w:p w14:paraId="23215B8F"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(4) În aceeași ordonanță, articolul 8c, care are următorul cuprins, se inserează sub titlul introdus de alineatul (1): </w:t>
            </w:r>
          </w:p>
          <w:p w14:paraId="51C2452E"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Articolul 8c Cel târziu până la data de 1 aprilie a fiecărui an, operatorii, în mod individual sau colectiv, prezintă la Bruxelles Mediu un raport anual referitor la anul precedent (perioada cuprinsă între 1 ianuarie și 31 decembrie) care prezintă detalii, în special cu privire la acțiunile întreprinse, sumele cheltuite și impactul constatat în legătură cu măsurile puse în aplicare în temeiul articolului 8a, precum și un raport privind datele statistice menționate la articolul 8b.</w:t>
            </w:r>
          </w:p>
          <w:p w14:paraId="24E4D373"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Guvernul poate specifica conținutul raportului anual menționat la paragraful precedent și poate prevedea includerea în acest raport a unor informații suplimentare.”. </w:t>
            </w:r>
          </w:p>
          <w:p w14:paraId="79909F2B"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471265F9"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2BBF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Articolul 9</w:t>
            </w:r>
          </w:p>
          <w:p w14:paraId="17721AD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(1) Titlul „Încălcări și sancțiuni penale” aflat între articolul 8 și articolul 9 din respectiva ordonanță se înlocuiește cu titlul „Încălcări”. </w:t>
            </w:r>
          </w:p>
          <w:p w14:paraId="0F7DA792" w14:textId="77777777" w:rsidR="00873667" w:rsidRPr="006C632D" w:rsidRDefault="00873667">
            <w:pPr>
              <w:spacing w:after="0" w:line="240" w:lineRule="auto"/>
              <w:jc w:val="both"/>
              <w:rPr>
                <w:rFonts w:asciiTheme="minorHAnsi" w:hAnsiTheme="minorHAnsi"/>
                <w:sz w:val="20"/>
                <w:szCs w:val="20"/>
              </w:rPr>
            </w:pPr>
          </w:p>
          <w:p w14:paraId="6292353F"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(2) Articolul 9 din aceeași ordonanță se înlocuiește cu următorul text: </w:t>
            </w:r>
          </w:p>
          <w:p w14:paraId="1E11AE58" w14:textId="77777777" w:rsidR="00873667" w:rsidRDefault="00873667">
            <w:pPr>
              <w:spacing w:after="0" w:line="240" w:lineRule="auto"/>
              <w:ind w:left="200"/>
              <w:jc w:val="both"/>
              <w:rPr>
                <w:rFonts w:asciiTheme="minorHAnsi" w:hAnsiTheme="minorHAnsi"/>
                <w:sz w:val="20"/>
                <w:szCs w:val="20"/>
              </w:rPr>
            </w:pPr>
            <w:r>
              <w:rPr>
                <w:rFonts w:asciiTheme="minorHAnsi" w:hAnsiTheme="minorHAnsi"/>
                <w:sz w:val="20"/>
              </w:rPr>
              <w:t>„ Este pasibilă de sancțiunea prevăzută la articolul 31 alineatul (1) din Codul din 25 martie 1999 privind inspecția, prevenirea, depistarea și sancționarea infracțiunilor împotriva mediului și a răspunderii pentru mediul înconjurător, persoana care:</w:t>
            </w:r>
          </w:p>
          <w:p w14:paraId="275A347F"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nu respectă standardele menționate la articolul 3 sau măsurile de punere în aplicare a acestora;</w:t>
            </w:r>
          </w:p>
          <w:p w14:paraId="4A9CAD6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nu respectă obligațiile de informare menționate la articolul 4 sau măsurile de punere în aplicare a acestora;</w:t>
            </w:r>
          </w:p>
          <w:p w14:paraId="77B503E8"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nu respectă standardele de funcționare menționate la articolul 5 sau măsurile de punere în aplicare a acestora;</w:t>
            </w:r>
          </w:p>
          <w:p w14:paraId="7663E406"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 xml:space="preserve">nu respectă obligațiile de comunicare și raportare menționate la articolele 8a, 8b și 8c sau măsurile de punere în aplicare a acestora; </w:t>
            </w:r>
          </w:p>
          <w:p w14:paraId="712FA70C" w14:textId="77777777" w:rsidR="00873667" w:rsidRDefault="00873667" w:rsidP="00242999">
            <w:pPr>
              <w:pStyle w:val="ListParagraph"/>
              <w:numPr>
                <w:ilvl w:val="0"/>
                <w:numId w:val="5"/>
              </w:numPr>
              <w:spacing w:after="0" w:line="240" w:lineRule="auto"/>
              <w:jc w:val="both"/>
              <w:rPr>
                <w:rFonts w:asciiTheme="minorHAnsi" w:hAnsiTheme="minorHAnsi"/>
                <w:sz w:val="20"/>
                <w:szCs w:val="20"/>
              </w:rPr>
            </w:pPr>
            <w:r>
              <w:rPr>
                <w:rFonts w:asciiTheme="minorHAnsi" w:hAnsiTheme="minorHAnsi"/>
                <w:sz w:val="20"/>
              </w:rPr>
              <w:t>nu respectă standardele sau condițiile generale menționate la articolul 7 sau măsurile de punere în aplicare a acestuia.”.</w:t>
            </w:r>
          </w:p>
          <w:p w14:paraId="4C2874B7"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2D0293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EE4F7"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Capitolul 3 Modificarea Ordonanței privind autorizațiile de mediu din 5 iunie 1997</w:t>
            </w:r>
          </w:p>
        </w:tc>
      </w:tr>
      <w:tr w:rsidR="00873667" w:rsidRPr="00404725" w14:paraId="26B5069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53371"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10</w:t>
            </w:r>
          </w:p>
          <w:p w14:paraId="31F34E3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Articolul 100 alineatul (1) din Ordonanța din 5 iunie 1997 privind autorizațiile de mediu se completează cu un paragraf care are următorul cuprins: </w:t>
            </w:r>
          </w:p>
          <w:p w14:paraId="5E0D7258"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Prin derogare de la primul paragraf, nu se plătește nicio taxă de cerere pentru o declarație din clasa III sau clasa IC.”.</w:t>
            </w:r>
          </w:p>
          <w:p w14:paraId="44E8814B"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42769B2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C1B9"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Capitolul 4 Modificarea</w:t>
            </w:r>
            <w:r>
              <w:rPr>
                <w:b/>
                <w:sz w:val="20"/>
              </w:rPr>
              <w:t xml:space="preserve"> </w:t>
            </w:r>
            <w:r>
              <w:rPr>
                <w:rFonts w:asciiTheme="minorHAnsi" w:hAnsiTheme="minorHAnsi"/>
                <w:b/>
                <w:sz w:val="20"/>
              </w:rPr>
              <w:t>Ordonanței din 2 mai 2013 privind Codul de la Bruxelles privind gestionarea aerului, a climei și a energiei</w:t>
            </w:r>
          </w:p>
        </w:tc>
      </w:tr>
      <w:tr w:rsidR="00873667" w:rsidRPr="00404725" w14:paraId="7CDD59C4"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A921D"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Articolul 11 </w:t>
            </w:r>
          </w:p>
          <w:p w14:paraId="0B343ACE"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(1) În cartea 2 titlul 5 din Ordonanța din 2 mai 2013 privind Codul de la Bruxelles privind gestionarea aerului, a climei și a energiei, se introduce un capitol 3 intitulat „Capitolul 3. - Un plan digital durabil și responsabil”.</w:t>
            </w:r>
          </w:p>
          <w:p w14:paraId="6DC0A343" w14:textId="77777777" w:rsidR="00873667" w:rsidRPr="006C632D" w:rsidRDefault="00873667">
            <w:pPr>
              <w:spacing w:after="0" w:line="240" w:lineRule="auto"/>
              <w:jc w:val="both"/>
              <w:rPr>
                <w:rFonts w:asciiTheme="minorHAnsi" w:hAnsiTheme="minorHAnsi"/>
                <w:bCs/>
                <w:sz w:val="20"/>
                <w:szCs w:val="20"/>
              </w:rPr>
            </w:pPr>
          </w:p>
          <w:p w14:paraId="1244248C"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(2) În capitolul 3 introdus prin alineatul (1), articolul 2.5.8 se introduce cu următoarea formulare: </w:t>
            </w:r>
          </w:p>
          <w:p w14:paraId="5B3AD537"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 Articolul 2.5.8. Operatorii și radiodifuzorii menționați în Ordonanța din 1 martie 2007 privind protecția mediului împotriva potențialelor efecte nocive și perturbări cauzate de radiațiile neionizante și enumerate de guvern sunt obligați să pună în aplicare, până la data stabilită de guvern și cel târziu în termen de 2 ani de la intrarea în vigoare a prezentului articol, un „plan digital durabil și responsabil” în vederea reducerii consumului de energie și a emisiilor de gaze cu efect de seră generate din activitățile lor, în special prin sensibilizarea publicului cu privire la creșterea consumului de date mobile. Planul este destinat unei perioade de 5 ani și este reînnoit pentru fiecare perioadă succesivă de 5 ani. Planul este aprobat de Bruxelles Mediu înainte de punerea sa în aplicare. </w:t>
            </w:r>
          </w:p>
          <w:p w14:paraId="7B128E52"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 xml:space="preserve">Guvernul stabilește condițiile de elaborare și punere în aplicare a acestui plan. În special, guvernul stabilește conținutul minim al planului și condițiile de adoptare, modificare și reînnoire a acestuia, precum și obiectivele cuantificate care trebuie urmărite de plan. Guvernul poate extinde, de asemenea, obligația de a pune în aplicare un „plan digital durabil și responsabil” la alte persoane juridice. </w:t>
            </w:r>
          </w:p>
          <w:p w14:paraId="11EADCD9" w14:textId="77777777" w:rsidR="00873667" w:rsidRPr="006C632D" w:rsidRDefault="00873667">
            <w:pPr>
              <w:spacing w:after="0" w:line="240" w:lineRule="auto"/>
              <w:jc w:val="both"/>
              <w:rPr>
                <w:rFonts w:asciiTheme="minorHAnsi" w:hAnsiTheme="minorHAnsi"/>
                <w:b/>
                <w:sz w:val="20"/>
                <w:szCs w:val="20"/>
              </w:rPr>
            </w:pPr>
          </w:p>
          <w:p w14:paraId="7A272A73"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(3) Articolul 2.6.6 din aceeași ordonanță se completează cu litera (f) care are următoarea formulare:</w:t>
            </w:r>
          </w:p>
          <w:p w14:paraId="4B9471C4" w14:textId="77777777" w:rsidR="00873667" w:rsidRDefault="00873667">
            <w:pPr>
              <w:spacing w:after="0" w:line="240" w:lineRule="auto"/>
              <w:ind w:left="200"/>
              <w:jc w:val="both"/>
              <w:rPr>
                <w:rFonts w:asciiTheme="minorHAnsi" w:hAnsiTheme="minorHAnsi"/>
                <w:bCs/>
                <w:sz w:val="20"/>
                <w:szCs w:val="20"/>
              </w:rPr>
            </w:pPr>
            <w:r>
              <w:rPr>
                <w:rFonts w:asciiTheme="minorHAnsi" w:hAnsiTheme="minorHAnsi"/>
                <w:sz w:val="20"/>
              </w:rPr>
              <w:t>„(f) operatorii, radiodifuzorii și persoanele juridice care, fiind supuse obligației impuse de articolul 2.5.8 sau în temeiul articolului 2.5.8, nu respectă această obligație.”.</w:t>
            </w:r>
          </w:p>
          <w:p w14:paraId="18DD4CF0"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1FB6048C"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9B873"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lastRenderedPageBreak/>
              <w:t>Capitolul 5 Dispoziții de modificare, tranzitorii și de intrare în vigoare</w:t>
            </w:r>
          </w:p>
        </w:tc>
      </w:tr>
      <w:tr w:rsidR="00873667" w:rsidRPr="00404725" w14:paraId="75774D9A"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93080"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12</w:t>
            </w:r>
          </w:p>
          <w:p w14:paraId="3B265679" w14:textId="77777777" w:rsidR="00873667" w:rsidRDefault="00873667">
            <w:pPr>
              <w:spacing w:after="0" w:line="240" w:lineRule="auto"/>
              <w:jc w:val="both"/>
              <w:rPr>
                <w:rFonts w:asciiTheme="minorHAnsi" w:hAnsiTheme="minorHAnsi"/>
                <w:bCs/>
                <w:sz w:val="20"/>
                <w:szCs w:val="20"/>
              </w:rPr>
            </w:pPr>
            <w:r>
              <w:rPr>
                <w:rFonts w:asciiTheme="minorHAnsi" w:hAnsiTheme="minorHAnsi"/>
                <w:sz w:val="20"/>
              </w:rPr>
              <w:t xml:space="preserve">Articolul 10 din Ordonanța din 1 martie 2007 privind protecția mediului împotriva potențialelor efecte nocive și perturbări cauzate de radiațiile neionizante se abrogă. </w:t>
            </w:r>
          </w:p>
          <w:p w14:paraId="48D02DBB"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1453FE5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8F1A5"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Articolul 13</w:t>
            </w:r>
          </w:p>
          <w:p w14:paraId="0F8B4BF1"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În termen de 30 de zile de la intrarea în vigoare a prezentei ordonanțe, Bruxelles Mediu notifică operatorilor ale căror autorizații de mediu contribuie la orice depășire a standardelor menționate la articolul 3 alineatul (1a) din Ordonanța din 1 martie 2007 privind protecția mediului împotriva potențialelor efecte nocive și perturbări cauzate de radiațiile neionizante, astfel cum sunt introduse prin prezenta ordonanță, obligația acestora de a depune, în termen de două luni, o cerere de obținere a autorizației de mediu pentru a se conforma obligațiilor prevăzute de Ordonanța din 1 martie 2007 privind protecția mediului împotriva potențialelor efecte nocive și perturbări cauzate de radiațiile neionizante, astfel cum se modifică prin prezenta ordonanță. </w:t>
            </w:r>
          </w:p>
          <w:p w14:paraId="6DED1FE9" w14:textId="77777777" w:rsidR="00873667" w:rsidRDefault="00873667">
            <w:pPr>
              <w:spacing w:after="0" w:line="240" w:lineRule="auto"/>
              <w:jc w:val="both"/>
              <w:rPr>
                <w:rFonts w:asciiTheme="minorHAnsi" w:hAnsiTheme="minorHAnsi"/>
                <w:sz w:val="20"/>
                <w:szCs w:val="20"/>
              </w:rPr>
            </w:pPr>
            <w:r>
              <w:rPr>
                <w:rFonts w:asciiTheme="minorHAnsi" w:hAnsiTheme="minorHAnsi"/>
                <w:sz w:val="20"/>
              </w:rPr>
              <w:t xml:space="preserve">Exploatarea de către operatori a antenelor în cauză poate fi continuată fără a aduce atingere standardelor menționate la articolul 3 alineatul (1a) din Ordonanța din 1 martie 2007 privind protecția mediului împotriva potențialelor efecte nocive și perturbări cauzate de radiațiile neionizante, astfel cum sunt introduse prin prezenta ordonanță, până la notificarea deciziei privind cererea de autorizație de mediu. </w:t>
            </w:r>
          </w:p>
          <w:p w14:paraId="3CEE12CC" w14:textId="77777777" w:rsidR="00873667" w:rsidRPr="006C632D" w:rsidRDefault="00873667">
            <w:pPr>
              <w:spacing w:after="0" w:line="240" w:lineRule="auto"/>
              <w:jc w:val="both"/>
              <w:rPr>
                <w:rFonts w:asciiTheme="minorHAnsi" w:hAnsiTheme="minorHAnsi"/>
                <w:b/>
                <w:sz w:val="20"/>
                <w:szCs w:val="20"/>
              </w:rPr>
            </w:pPr>
          </w:p>
        </w:tc>
      </w:tr>
      <w:tr w:rsidR="00873667" w:rsidRPr="00404725" w14:paraId="6715F848" w14:textId="77777777" w:rsidTr="00873667">
        <w:tc>
          <w:tcPr>
            <w:tcW w:w="4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2E76" w14:textId="77777777" w:rsidR="00873667" w:rsidRDefault="00873667">
            <w:pPr>
              <w:spacing w:after="0" w:line="240" w:lineRule="auto"/>
              <w:jc w:val="both"/>
              <w:rPr>
                <w:rFonts w:asciiTheme="minorHAnsi" w:hAnsiTheme="minorHAnsi"/>
                <w:b/>
                <w:sz w:val="20"/>
                <w:szCs w:val="20"/>
              </w:rPr>
            </w:pPr>
            <w:r>
              <w:rPr>
                <w:rFonts w:asciiTheme="minorHAnsi" w:hAnsiTheme="minorHAnsi"/>
                <w:b/>
                <w:sz w:val="20"/>
              </w:rPr>
              <w:t xml:space="preserve">Articolul 14 </w:t>
            </w:r>
          </w:p>
          <w:p w14:paraId="4670636C" w14:textId="77777777" w:rsidR="00873667" w:rsidRDefault="00873667">
            <w:pPr>
              <w:spacing w:after="0" w:line="240" w:lineRule="auto"/>
              <w:jc w:val="both"/>
              <w:rPr>
                <w:rFonts w:asciiTheme="minorHAnsi" w:hAnsiTheme="minorHAnsi"/>
                <w:b/>
                <w:sz w:val="20"/>
                <w:szCs w:val="20"/>
              </w:rPr>
            </w:pPr>
            <w:r>
              <w:rPr>
                <w:rFonts w:asciiTheme="minorHAnsi" w:hAnsiTheme="minorHAnsi"/>
                <w:sz w:val="20"/>
              </w:rPr>
              <w:t xml:space="preserve">Prezenta ordonanță intră în vigoare în prima zi a lunii următoare expirării unui termen de zece zile care începe în ziua următoare datei publicării în Monitorul Oficial al Belgiei, cu excepția articolului 5 alineatul (2) [numai în ceea ce privește articolul 4 alineatul (3), care urmează după Ordonanța din 1 martie 2007 privind protecția mediului împotriva potențialelor efecte nocive și perturbări cauzate de radiațiile neionizante], a articolelor 8 și 11 a căror dată de intrare în vigoare este stabilită de guvern. </w:t>
            </w:r>
          </w:p>
          <w:p w14:paraId="60A2F821" w14:textId="77777777" w:rsidR="00873667" w:rsidRPr="006C632D" w:rsidRDefault="00873667">
            <w:pPr>
              <w:spacing w:after="0" w:line="240" w:lineRule="auto"/>
              <w:jc w:val="both"/>
              <w:rPr>
                <w:rFonts w:asciiTheme="minorHAnsi" w:hAnsiTheme="minorHAnsi"/>
                <w:b/>
                <w:sz w:val="20"/>
                <w:szCs w:val="20"/>
              </w:rPr>
            </w:pPr>
          </w:p>
        </w:tc>
      </w:tr>
    </w:tbl>
    <w:p w14:paraId="155A3904" w14:textId="414A1C9B" w:rsidR="00873667" w:rsidRPr="006C632D" w:rsidRDefault="00873667" w:rsidP="00873667"/>
    <w:tbl>
      <w:tblPr>
        <w:tblW w:w="9782" w:type="dxa"/>
        <w:tblInd w:w="-318" w:type="dxa"/>
        <w:tblLayout w:type="fixed"/>
        <w:tblCellMar>
          <w:left w:w="10" w:type="dxa"/>
          <w:right w:w="10" w:type="dxa"/>
        </w:tblCellMar>
        <w:tblLook w:val="04A0" w:firstRow="1" w:lastRow="0" w:firstColumn="1" w:lastColumn="0" w:noHBand="0" w:noVBand="1"/>
      </w:tblPr>
      <w:tblGrid>
        <w:gridCol w:w="4821"/>
        <w:gridCol w:w="4961"/>
      </w:tblGrid>
      <w:tr w:rsidR="00873667" w:rsidRPr="00746272" w14:paraId="3DDA5F8F" w14:textId="77777777" w:rsidTr="00242999">
        <w:trPr>
          <w:gridAfter w:val="1"/>
          <w:wAfter w:w="4961" w:type="dxa"/>
        </w:trPr>
        <w:tc>
          <w:tcPr>
            <w:tcW w:w="4821" w:type="dxa"/>
            <w:tcMar>
              <w:top w:w="0" w:type="dxa"/>
              <w:left w:w="108" w:type="dxa"/>
              <w:bottom w:w="0" w:type="dxa"/>
              <w:right w:w="108" w:type="dxa"/>
            </w:tcMar>
          </w:tcPr>
          <w:p w14:paraId="143E8754" w14:textId="77777777" w:rsidR="00873667" w:rsidRPr="00746272" w:rsidRDefault="00873667" w:rsidP="00242999">
            <w:pPr>
              <w:spacing w:after="0" w:line="240" w:lineRule="auto"/>
              <w:jc w:val="both"/>
              <w:rPr>
                <w:rFonts w:asciiTheme="minorHAnsi" w:hAnsiTheme="minorHAnsi"/>
                <w:sz w:val="20"/>
                <w:szCs w:val="20"/>
              </w:rPr>
            </w:pPr>
            <w:r>
              <w:rPr>
                <w:rFonts w:asciiTheme="minorHAnsi" w:hAnsiTheme="minorHAnsi"/>
                <w:sz w:val="20"/>
              </w:rPr>
              <w:t>Bruxelles,</w:t>
            </w:r>
          </w:p>
        </w:tc>
      </w:tr>
      <w:tr w:rsidR="00873667" w:rsidRPr="00404725" w14:paraId="334B20E3" w14:textId="77777777" w:rsidTr="00242999">
        <w:trPr>
          <w:gridAfter w:val="1"/>
          <w:wAfter w:w="4961" w:type="dxa"/>
        </w:trPr>
        <w:tc>
          <w:tcPr>
            <w:tcW w:w="4821" w:type="dxa"/>
            <w:tcMar>
              <w:top w:w="0" w:type="dxa"/>
              <w:left w:w="108" w:type="dxa"/>
              <w:bottom w:w="0" w:type="dxa"/>
              <w:right w:w="108" w:type="dxa"/>
            </w:tcMar>
          </w:tcPr>
          <w:p w14:paraId="7D90B3B5" w14:textId="77777777" w:rsidR="00873667" w:rsidRPr="00873667" w:rsidRDefault="00873667" w:rsidP="00242999">
            <w:pPr>
              <w:spacing w:after="0" w:line="240" w:lineRule="auto"/>
              <w:jc w:val="both"/>
              <w:rPr>
                <w:rFonts w:asciiTheme="minorHAnsi" w:hAnsiTheme="minorHAnsi"/>
                <w:sz w:val="20"/>
                <w:szCs w:val="20"/>
              </w:rPr>
            </w:pPr>
            <w:r>
              <w:rPr>
                <w:rFonts w:asciiTheme="minorHAnsi" w:hAnsiTheme="minorHAnsi"/>
                <w:sz w:val="20"/>
              </w:rPr>
              <w:t>Pentru Guvernul Regiunii Bruxelles-Capitală,</w:t>
            </w:r>
          </w:p>
        </w:tc>
      </w:tr>
      <w:tr w:rsidR="00873667" w:rsidRPr="00404725" w14:paraId="55B38421" w14:textId="77777777" w:rsidTr="00242999">
        <w:tc>
          <w:tcPr>
            <w:tcW w:w="4821" w:type="dxa"/>
            <w:shd w:val="clear" w:color="auto" w:fill="auto"/>
            <w:tcMar>
              <w:top w:w="0" w:type="dxa"/>
              <w:left w:w="108" w:type="dxa"/>
              <w:bottom w:w="0" w:type="dxa"/>
              <w:right w:w="108" w:type="dxa"/>
            </w:tcMar>
          </w:tcPr>
          <w:p w14:paraId="52DDBFBC" w14:textId="77777777" w:rsidR="00873667" w:rsidRPr="00873667" w:rsidRDefault="00873667" w:rsidP="00873667">
            <w:pPr>
              <w:spacing w:after="0" w:line="240" w:lineRule="auto"/>
              <w:rPr>
                <w:rFonts w:asciiTheme="minorHAnsi" w:hAnsiTheme="minorHAnsi"/>
                <w:sz w:val="20"/>
                <w:szCs w:val="20"/>
                <w:lang w:val="fr-BE"/>
              </w:rPr>
            </w:pPr>
          </w:p>
        </w:tc>
        <w:tc>
          <w:tcPr>
            <w:tcW w:w="4961" w:type="dxa"/>
            <w:shd w:val="clear" w:color="auto" w:fill="auto"/>
          </w:tcPr>
          <w:p w14:paraId="20116099" w14:textId="77777777" w:rsidR="00873667" w:rsidRPr="00873667" w:rsidRDefault="00873667" w:rsidP="00242999">
            <w:pPr>
              <w:suppressAutoHyphens w:val="0"/>
              <w:autoSpaceDE w:val="0"/>
              <w:adjustRightInd w:val="0"/>
              <w:spacing w:after="0" w:line="240" w:lineRule="auto"/>
              <w:jc w:val="both"/>
              <w:rPr>
                <w:rFonts w:asciiTheme="minorHAnsi" w:eastAsiaTheme="minorHAnsi" w:hAnsiTheme="minorHAnsi" w:cs="TimesNewRoman"/>
                <w:kern w:val="0"/>
                <w:sz w:val="20"/>
                <w:szCs w:val="20"/>
                <w:lang w:val="fr-BE"/>
              </w:rPr>
            </w:pPr>
          </w:p>
        </w:tc>
      </w:tr>
    </w:tbl>
    <w:p w14:paraId="62E0C8D1"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6484EA2B" w14:textId="77777777" w:rsidR="00873667" w:rsidRPr="00873667" w:rsidRDefault="00873667" w:rsidP="00873667">
      <w:pPr>
        <w:spacing w:after="0" w:line="240" w:lineRule="auto"/>
        <w:jc w:val="both"/>
        <w:rPr>
          <w:rFonts w:asciiTheme="minorHAnsi" w:hAnsiTheme="minorHAnsi" w:cstheme="minorHAnsi"/>
          <w:sz w:val="20"/>
          <w:szCs w:val="20"/>
          <w:lang w:val="fr-BE"/>
        </w:rPr>
      </w:pPr>
    </w:p>
    <w:p w14:paraId="5A18513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R. VERVOORT</w:t>
      </w:r>
    </w:p>
    <w:p w14:paraId="4D31CE76" w14:textId="3E9F61CF"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Ministru-președinte al Regiunii Bruxelles-Capitală.</w:t>
      </w:r>
    </w:p>
    <w:p w14:paraId="0ACA50B3" w14:textId="77777777" w:rsidR="00873667" w:rsidRPr="006C632D" w:rsidRDefault="00873667" w:rsidP="00873667">
      <w:pPr>
        <w:spacing w:after="0" w:line="240" w:lineRule="auto"/>
        <w:jc w:val="center"/>
        <w:rPr>
          <w:rFonts w:asciiTheme="minorHAnsi" w:hAnsiTheme="minorHAnsi" w:cstheme="minorHAnsi"/>
          <w:sz w:val="20"/>
          <w:szCs w:val="20"/>
          <w:lang w:val="it-IT"/>
        </w:rPr>
      </w:pPr>
    </w:p>
    <w:p w14:paraId="0E868F9D"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E. VAN DEN BRANDT</w:t>
      </w:r>
    </w:p>
    <w:p w14:paraId="0FD79330" w14:textId="037809FC" w:rsid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Ministrul mobilității, lucrărilor publice și siguranței rutiere.</w:t>
      </w:r>
    </w:p>
    <w:p w14:paraId="2F23BC79" w14:textId="77777777" w:rsidR="00873667" w:rsidRPr="006C632D" w:rsidRDefault="00873667" w:rsidP="00873667">
      <w:pPr>
        <w:spacing w:after="0" w:line="240" w:lineRule="auto"/>
        <w:jc w:val="center"/>
        <w:rPr>
          <w:rFonts w:asciiTheme="minorHAnsi" w:hAnsiTheme="minorHAnsi" w:cstheme="minorHAnsi"/>
          <w:sz w:val="20"/>
          <w:szCs w:val="20"/>
          <w:lang w:val="it-IT"/>
        </w:rPr>
      </w:pPr>
    </w:p>
    <w:p w14:paraId="5C36561A" w14:textId="77777777" w:rsidR="00873667" w:rsidRPr="00404725"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A. MARON</w:t>
      </w:r>
    </w:p>
    <w:p w14:paraId="67F20717" w14:textId="3CC9598F" w:rsidR="00873667" w:rsidRPr="00AD5588"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Ministrul tranziției climatice, mediului, energiei și democrației participative.</w:t>
      </w:r>
    </w:p>
    <w:p w14:paraId="4B06F6AA"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S. GATZ</w:t>
      </w:r>
    </w:p>
    <w:p w14:paraId="215BED01" w14:textId="5190AA1C"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Ministrul</w:t>
      </w:r>
      <w:r>
        <w:rPr>
          <w:rFonts w:asciiTheme="minorHAnsi" w:hAnsiTheme="minorHAnsi"/>
          <w:color w:val="333333"/>
          <w:sz w:val="20"/>
          <w:shd w:val="clear" w:color="auto" w:fill="FFFFFF"/>
        </w:rPr>
        <w:t xml:space="preserve"> </w:t>
      </w:r>
      <w:r>
        <w:rPr>
          <w:rFonts w:asciiTheme="minorHAnsi" w:hAnsiTheme="minorHAnsi"/>
          <w:sz w:val="20"/>
        </w:rPr>
        <w:t>finanțelor, bugetului, serviciului public, promovării multilingvismului și a imaginii Bruxelles-ului.</w:t>
      </w:r>
    </w:p>
    <w:p w14:paraId="5E9FF636" w14:textId="77777777" w:rsidR="00873667" w:rsidRPr="006C632D" w:rsidRDefault="00873667" w:rsidP="00873667">
      <w:pPr>
        <w:spacing w:after="0" w:line="240" w:lineRule="auto"/>
        <w:jc w:val="center"/>
        <w:rPr>
          <w:rFonts w:asciiTheme="minorHAnsi" w:hAnsiTheme="minorHAnsi" w:cstheme="minorHAnsi"/>
          <w:sz w:val="20"/>
          <w:szCs w:val="20"/>
        </w:rPr>
      </w:pPr>
    </w:p>
    <w:p w14:paraId="39B54DF5"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CERLFAYT</w:t>
      </w:r>
    </w:p>
    <w:p w14:paraId="5443ECE7" w14:textId="4C81C041" w:rsidR="00873667" w:rsidRPr="00873667"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Ministrul ocupării forței de muncă și formării profesionale, tranziției digitale, autorităților locale și protecției animalelor.</w:t>
      </w:r>
    </w:p>
    <w:p w14:paraId="76D391AC" w14:textId="77777777" w:rsidR="00873667" w:rsidRPr="006C632D" w:rsidRDefault="00873667" w:rsidP="00873667">
      <w:pPr>
        <w:spacing w:after="0" w:line="240" w:lineRule="auto"/>
        <w:jc w:val="center"/>
        <w:rPr>
          <w:rFonts w:asciiTheme="minorHAnsi" w:hAnsiTheme="minorHAnsi" w:cstheme="minorHAnsi"/>
          <w:sz w:val="20"/>
          <w:szCs w:val="20"/>
        </w:rPr>
      </w:pPr>
    </w:p>
    <w:p w14:paraId="2D887231"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N. BEN HAMOU</w:t>
      </w:r>
    </w:p>
    <w:p w14:paraId="66917B45"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Secretar de stat pentru locuințe și egalitate de șanse.</w:t>
      </w:r>
    </w:p>
    <w:p w14:paraId="6FA2FE24" w14:textId="77777777" w:rsidR="00873667" w:rsidRPr="00404725" w:rsidRDefault="00873667" w:rsidP="00873667">
      <w:pPr>
        <w:spacing w:after="0" w:line="240" w:lineRule="auto"/>
        <w:jc w:val="center"/>
        <w:rPr>
          <w:rFonts w:asciiTheme="minorHAnsi" w:hAnsiTheme="minorHAnsi" w:cstheme="minorHAnsi"/>
          <w:sz w:val="20"/>
          <w:szCs w:val="20"/>
          <w:lang w:val="fr-FR"/>
        </w:rPr>
      </w:pPr>
    </w:p>
    <w:p w14:paraId="5AFC9699"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B. TRACHTE</w:t>
      </w:r>
    </w:p>
    <w:p w14:paraId="272A5E99" w14:textId="77777777" w:rsidR="00873667" w:rsidRPr="00B93F33" w:rsidRDefault="00873667" w:rsidP="00873667">
      <w:pPr>
        <w:spacing w:after="0" w:line="240" w:lineRule="auto"/>
        <w:jc w:val="center"/>
        <w:rPr>
          <w:rFonts w:asciiTheme="minorHAnsi" w:hAnsiTheme="minorHAnsi" w:cstheme="minorHAnsi"/>
          <w:sz w:val="20"/>
          <w:szCs w:val="20"/>
        </w:rPr>
      </w:pPr>
      <w:r>
        <w:rPr>
          <w:rFonts w:asciiTheme="minorHAnsi" w:hAnsiTheme="minorHAnsi"/>
          <w:sz w:val="20"/>
        </w:rPr>
        <w:t>Secretar de stat pentru tranziția economică și cercetare științifică.</w:t>
      </w:r>
    </w:p>
    <w:p w14:paraId="42F74CF6" w14:textId="77777777" w:rsidR="00873667" w:rsidRPr="00404725" w:rsidRDefault="00873667" w:rsidP="00873667">
      <w:pPr>
        <w:spacing w:after="0" w:line="240" w:lineRule="auto"/>
        <w:rPr>
          <w:rFonts w:asciiTheme="minorHAnsi" w:hAnsiTheme="minorHAnsi" w:cstheme="minorHAnsi"/>
          <w:sz w:val="20"/>
          <w:szCs w:val="20"/>
          <w:lang w:val="fr-FR"/>
        </w:rPr>
      </w:pPr>
    </w:p>
    <w:p w14:paraId="03B3C3B2" w14:textId="77777777" w:rsidR="00873667" w:rsidRPr="00B93F33" w:rsidRDefault="00873667" w:rsidP="00873667">
      <w:pPr>
        <w:spacing w:after="0" w:line="240" w:lineRule="auto"/>
        <w:jc w:val="center"/>
        <w:rPr>
          <w:rFonts w:asciiTheme="minorHAnsi" w:hAnsiTheme="minorHAnsi" w:cstheme="minorHAnsi"/>
          <w:b/>
          <w:bCs/>
          <w:sz w:val="20"/>
          <w:szCs w:val="20"/>
        </w:rPr>
      </w:pPr>
      <w:r>
        <w:rPr>
          <w:rFonts w:asciiTheme="minorHAnsi" w:hAnsiTheme="minorHAnsi"/>
          <w:b/>
          <w:sz w:val="20"/>
        </w:rPr>
        <w:t>P. SMET</w:t>
      </w:r>
    </w:p>
    <w:p w14:paraId="53382B18" w14:textId="3C0D5FDC" w:rsidR="00873667" w:rsidRPr="00404725" w:rsidRDefault="00873667" w:rsidP="006C632D">
      <w:pPr>
        <w:spacing w:after="0" w:line="240" w:lineRule="auto"/>
        <w:jc w:val="center"/>
        <w:rPr>
          <w:lang w:val="fr-FR"/>
        </w:rPr>
      </w:pPr>
      <w:r>
        <w:rPr>
          <w:rFonts w:asciiTheme="minorHAnsi" w:hAnsiTheme="minorHAnsi"/>
          <w:sz w:val="20"/>
        </w:rPr>
        <w:t>Secretar de stat responsabil pentru urbanism și patrimoniu, relații europene și internaționale, comerț exterior și lupta împotriva incendiilor și ajutor medical de urgență.</w:t>
      </w:r>
    </w:p>
    <w:sectPr w:rsidR="00873667" w:rsidRPr="0040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79A7"/>
    <w:multiLevelType w:val="hybridMultilevel"/>
    <w:tmpl w:val="7E88C574"/>
    <w:lvl w:ilvl="0" w:tplc="3982BAE0">
      <w:numFmt w:val="bullet"/>
      <w:lvlText w:val="-"/>
      <w:lvlJc w:val="left"/>
      <w:pPr>
        <w:ind w:left="712" w:hanging="360"/>
      </w:pPr>
      <w:rPr>
        <w:rFonts w:ascii="Arial" w:eastAsia="Times New Roman" w:hAnsi="Arial" w:cs="Arial" w:hint="default"/>
      </w:rPr>
    </w:lvl>
    <w:lvl w:ilvl="1" w:tplc="080C0003">
      <w:start w:val="1"/>
      <w:numFmt w:val="bullet"/>
      <w:lvlText w:val="o"/>
      <w:lvlJc w:val="left"/>
      <w:pPr>
        <w:ind w:left="1432" w:hanging="360"/>
      </w:pPr>
      <w:rPr>
        <w:rFonts w:ascii="Courier New" w:hAnsi="Courier New" w:cs="Courier New" w:hint="default"/>
      </w:rPr>
    </w:lvl>
    <w:lvl w:ilvl="2" w:tplc="080C0005">
      <w:start w:val="1"/>
      <w:numFmt w:val="bullet"/>
      <w:lvlText w:val=""/>
      <w:lvlJc w:val="left"/>
      <w:pPr>
        <w:ind w:left="2152" w:hanging="360"/>
      </w:pPr>
      <w:rPr>
        <w:rFonts w:ascii="Wingdings" w:hAnsi="Wingdings" w:hint="default"/>
      </w:rPr>
    </w:lvl>
    <w:lvl w:ilvl="3" w:tplc="080C0001">
      <w:start w:val="1"/>
      <w:numFmt w:val="bullet"/>
      <w:lvlText w:val=""/>
      <w:lvlJc w:val="left"/>
      <w:pPr>
        <w:ind w:left="2872" w:hanging="360"/>
      </w:pPr>
      <w:rPr>
        <w:rFonts w:ascii="Symbol" w:hAnsi="Symbol" w:hint="default"/>
      </w:rPr>
    </w:lvl>
    <w:lvl w:ilvl="4" w:tplc="080C0003">
      <w:start w:val="1"/>
      <w:numFmt w:val="bullet"/>
      <w:lvlText w:val="o"/>
      <w:lvlJc w:val="left"/>
      <w:pPr>
        <w:ind w:left="3592" w:hanging="360"/>
      </w:pPr>
      <w:rPr>
        <w:rFonts w:ascii="Courier New" w:hAnsi="Courier New" w:cs="Courier New" w:hint="default"/>
      </w:rPr>
    </w:lvl>
    <w:lvl w:ilvl="5" w:tplc="080C0005">
      <w:start w:val="1"/>
      <w:numFmt w:val="bullet"/>
      <w:lvlText w:val=""/>
      <w:lvlJc w:val="left"/>
      <w:pPr>
        <w:ind w:left="4312" w:hanging="360"/>
      </w:pPr>
      <w:rPr>
        <w:rFonts w:ascii="Wingdings" w:hAnsi="Wingdings" w:hint="default"/>
      </w:rPr>
    </w:lvl>
    <w:lvl w:ilvl="6" w:tplc="080C0001">
      <w:start w:val="1"/>
      <w:numFmt w:val="bullet"/>
      <w:lvlText w:val=""/>
      <w:lvlJc w:val="left"/>
      <w:pPr>
        <w:ind w:left="5032" w:hanging="360"/>
      </w:pPr>
      <w:rPr>
        <w:rFonts w:ascii="Symbol" w:hAnsi="Symbol" w:hint="default"/>
      </w:rPr>
    </w:lvl>
    <w:lvl w:ilvl="7" w:tplc="080C0003">
      <w:start w:val="1"/>
      <w:numFmt w:val="bullet"/>
      <w:lvlText w:val="o"/>
      <w:lvlJc w:val="left"/>
      <w:pPr>
        <w:ind w:left="5752" w:hanging="360"/>
      </w:pPr>
      <w:rPr>
        <w:rFonts w:ascii="Courier New" w:hAnsi="Courier New" w:cs="Courier New" w:hint="default"/>
      </w:rPr>
    </w:lvl>
    <w:lvl w:ilvl="8" w:tplc="080C0005">
      <w:start w:val="1"/>
      <w:numFmt w:val="bullet"/>
      <w:lvlText w:val=""/>
      <w:lvlJc w:val="left"/>
      <w:pPr>
        <w:ind w:left="6472" w:hanging="360"/>
      </w:pPr>
      <w:rPr>
        <w:rFonts w:ascii="Wingdings" w:hAnsi="Wingdings" w:hint="default"/>
      </w:rPr>
    </w:lvl>
  </w:abstractNum>
  <w:abstractNum w:abstractNumId="1" w15:restartNumberingAfterBreak="0">
    <w:nsid w:val="358434A5"/>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2" w15:restartNumberingAfterBreak="0">
    <w:nsid w:val="35FC517B"/>
    <w:multiLevelType w:val="hybridMultilevel"/>
    <w:tmpl w:val="C5BE886A"/>
    <w:lvl w:ilvl="0" w:tplc="BB6A7E18">
      <w:start w:val="1"/>
      <w:numFmt w:val="decimal"/>
      <w:lvlText w:val="%1."/>
      <w:lvlJc w:val="left"/>
      <w:pPr>
        <w:ind w:left="560" w:hanging="360"/>
      </w:pPr>
    </w:lvl>
    <w:lvl w:ilvl="1" w:tplc="080C0019">
      <w:start w:val="1"/>
      <w:numFmt w:val="lowerLetter"/>
      <w:lvlText w:val="%2."/>
      <w:lvlJc w:val="left"/>
      <w:pPr>
        <w:ind w:left="1280" w:hanging="360"/>
      </w:pPr>
    </w:lvl>
    <w:lvl w:ilvl="2" w:tplc="080C001B">
      <w:start w:val="1"/>
      <w:numFmt w:val="lowerRoman"/>
      <w:lvlText w:val="%3."/>
      <w:lvlJc w:val="right"/>
      <w:pPr>
        <w:ind w:left="2000" w:hanging="180"/>
      </w:pPr>
    </w:lvl>
    <w:lvl w:ilvl="3" w:tplc="080C000F">
      <w:start w:val="1"/>
      <w:numFmt w:val="decimal"/>
      <w:lvlText w:val="%4."/>
      <w:lvlJc w:val="left"/>
      <w:pPr>
        <w:ind w:left="2720" w:hanging="360"/>
      </w:pPr>
    </w:lvl>
    <w:lvl w:ilvl="4" w:tplc="080C0019">
      <w:start w:val="1"/>
      <w:numFmt w:val="lowerLetter"/>
      <w:lvlText w:val="%5."/>
      <w:lvlJc w:val="left"/>
      <w:pPr>
        <w:ind w:left="3440" w:hanging="360"/>
      </w:pPr>
    </w:lvl>
    <w:lvl w:ilvl="5" w:tplc="080C001B">
      <w:start w:val="1"/>
      <w:numFmt w:val="lowerRoman"/>
      <w:lvlText w:val="%6."/>
      <w:lvlJc w:val="right"/>
      <w:pPr>
        <w:ind w:left="4160" w:hanging="180"/>
      </w:pPr>
    </w:lvl>
    <w:lvl w:ilvl="6" w:tplc="080C000F">
      <w:start w:val="1"/>
      <w:numFmt w:val="decimal"/>
      <w:lvlText w:val="%7."/>
      <w:lvlJc w:val="left"/>
      <w:pPr>
        <w:ind w:left="4880" w:hanging="360"/>
      </w:pPr>
    </w:lvl>
    <w:lvl w:ilvl="7" w:tplc="080C0019">
      <w:start w:val="1"/>
      <w:numFmt w:val="lowerLetter"/>
      <w:lvlText w:val="%8."/>
      <w:lvlJc w:val="left"/>
      <w:pPr>
        <w:ind w:left="5600" w:hanging="360"/>
      </w:pPr>
    </w:lvl>
    <w:lvl w:ilvl="8" w:tplc="080C001B">
      <w:start w:val="1"/>
      <w:numFmt w:val="lowerRoman"/>
      <w:lvlText w:val="%9."/>
      <w:lvlJc w:val="right"/>
      <w:pPr>
        <w:ind w:left="6320" w:hanging="180"/>
      </w:pPr>
    </w:lvl>
  </w:abstractNum>
  <w:abstractNum w:abstractNumId="3" w15:restartNumberingAfterBreak="0">
    <w:nsid w:val="4DB14E4F"/>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4" w15:restartNumberingAfterBreak="0">
    <w:nsid w:val="539B2EF4"/>
    <w:multiLevelType w:val="hybridMultilevel"/>
    <w:tmpl w:val="BDD2A55E"/>
    <w:lvl w:ilvl="0" w:tplc="080C0017">
      <w:start w:val="1"/>
      <w:numFmt w:val="lowerLetter"/>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num w:numId="1" w16cid:durableId="1961630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034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6330790">
    <w:abstractNumId w:val="0"/>
  </w:num>
  <w:num w:numId="4" w16cid:durableId="166369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91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67"/>
    <w:rsid w:val="003D1F7F"/>
    <w:rsid w:val="00404725"/>
    <w:rsid w:val="00457E53"/>
    <w:rsid w:val="006C632D"/>
    <w:rsid w:val="00873667"/>
    <w:rsid w:val="00AC2FE0"/>
    <w:rsid w:val="00C4092C"/>
    <w:rsid w:val="00DA34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94F7"/>
  <w15:chartTrackingRefBased/>
  <w15:docId w15:val="{36913070-18DD-44A6-BEE9-0B7FBDBF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67"/>
    <w:pPr>
      <w:widowControl w:val="0"/>
      <w:suppressAutoHyphens/>
      <w:autoSpaceDN w:val="0"/>
      <w:spacing w:after="200" w:line="276" w:lineRule="auto"/>
    </w:pPr>
    <w:rPr>
      <w:rFonts w:ascii="Calibri" w:eastAsia="SimSun" w:hAnsi="Calibri" w:cs="Calibri"/>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873667"/>
    <w:rPr>
      <w:rFonts w:ascii="Calibri" w:eastAsia="SimSun" w:hAnsi="Calibri" w:cs="Calibri"/>
      <w:kern w:val="3"/>
    </w:rPr>
  </w:style>
  <w:style w:type="paragraph" w:styleId="ListParagraph">
    <w:name w:val="List Paragraph"/>
    <w:basedOn w:val="Normal"/>
    <w:link w:val="ListParagraphChar"/>
    <w:uiPriority w:val="34"/>
    <w:qFormat/>
    <w:rsid w:val="00873667"/>
    <w:pPr>
      <w:ind w:left="720"/>
      <w:contextualSpacing/>
    </w:pPr>
  </w:style>
  <w:style w:type="paragraph" w:customStyle="1" w:styleId="Textbody">
    <w:name w:val="Text body"/>
    <w:basedOn w:val="Normal"/>
    <w:rsid w:val="00873667"/>
    <w:pPr>
      <w:widowControl/>
      <w:spacing w:after="120" w:line="200" w:lineRule="exact"/>
    </w:pPr>
    <w:rPr>
      <w:rFonts w:ascii="Times New Roman" w:eastAsia="Times New Roman" w:hAnsi="Times New Roman" w:cs="Times New Roman"/>
      <w:sz w:val="18"/>
      <w:szCs w:val="24"/>
      <w:lang w:eastAsia="ar-SA"/>
    </w:rPr>
  </w:style>
  <w:style w:type="table" w:styleId="TableGrid">
    <w:name w:val="Table Grid"/>
    <w:basedOn w:val="TableNormal"/>
    <w:uiPriority w:val="59"/>
    <w:rsid w:val="00873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73667"/>
    <w:pPr>
      <w:widowControl/>
      <w:suppressAutoHyphens w:val="0"/>
      <w:autoSpaceDN/>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7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4041</Words>
  <Characters>23039</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CHEIKH Naim</dc:creator>
  <cp:keywords/>
  <dc:description/>
  <cp:lastModifiedBy>Dimitris Dimitriadis</cp:lastModifiedBy>
  <cp:revision>6</cp:revision>
  <dcterms:created xsi:type="dcterms:W3CDTF">2022-10-04T13:25:00Z</dcterms:created>
  <dcterms:modified xsi:type="dcterms:W3CDTF">2022-10-19T14:28:00Z</dcterms:modified>
</cp:coreProperties>
</file>