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D43CB5" w:rsidRDefault="004D4E99" w:rsidP="000B4DE0">
      <w:pPr>
        <w:rPr>
          <w:rFonts w:ascii="Courier New" w:hAnsi="Courier New" w:cs="Courier New"/>
          <w:sz w:val="20"/>
        </w:rPr>
      </w:pPr>
      <w:bookmarkStart w:id="0" w:name="_GoBack"/>
      <w:r w:rsidRPr="00D43CB5">
        <w:rPr>
          <w:rFonts w:ascii="Courier New" w:hAnsi="Courier New"/>
          <w:sz w:val="20"/>
        </w:rPr>
        <w:t>1. ------IND- 2020 0111 D-- FI- ------ 20200318 --- --- PROJET</w:t>
      </w:r>
    </w:p>
    <w:p w14:paraId="73350666" w14:textId="25523EF7" w:rsidR="00AB116C" w:rsidRPr="00D43CB5" w:rsidRDefault="00AB116C" w:rsidP="004D4E99">
      <w:pPr>
        <w:pStyle w:val="VorblattDokumentstatus"/>
        <w:keepNext/>
        <w:keepLines/>
      </w:pPr>
      <w:r w:rsidRPr="00D43CB5">
        <w:t>Saksan liittotasavallan elintarvike- ja maatalousministeriön esitysluonnos</w:t>
      </w:r>
    </w:p>
    <w:p w14:paraId="54437F0C" w14:textId="77777777" w:rsidR="00DB61EB" w:rsidRPr="00D43CB5" w:rsidRDefault="00DB61EB" w:rsidP="004D4E99">
      <w:pPr>
        <w:pStyle w:val="VorblattBezeichnung"/>
        <w:keepNext/>
        <w:keepLines/>
      </w:pPr>
    </w:p>
    <w:p w14:paraId="3C6DE346" w14:textId="77777777" w:rsidR="00AB116C" w:rsidRPr="00D43CB5" w:rsidRDefault="00AB116C" w:rsidP="004D4E99">
      <w:pPr>
        <w:pStyle w:val="VorblattBezeichnung"/>
        <w:keepNext/>
        <w:keepLines/>
      </w:pPr>
      <w:r w:rsidRPr="00D43CB5">
        <w:t xml:space="preserve">Ensimmäinen asetus elintarviketietoja koskevan täytäntöönpanoasetuksen muuttamisesta </w:t>
      </w:r>
    </w:p>
    <w:p w14:paraId="5EB4CE31" w14:textId="77777777" w:rsidR="00AB116C" w:rsidRPr="00D43CB5" w:rsidRDefault="00AB116C" w:rsidP="004D4E99">
      <w:pPr>
        <w:pStyle w:val="VorblattTitelProblemundZiel"/>
        <w:keepNext/>
        <w:keepLines/>
      </w:pPr>
      <w:r w:rsidRPr="00D43CB5">
        <w:t>A. Ongelma ja tavoite</w:t>
      </w:r>
    </w:p>
    <w:p w14:paraId="59571EDE" w14:textId="77777777" w:rsidR="00AB116C" w:rsidRPr="00D43CB5" w:rsidRDefault="00AB116C" w:rsidP="004D4E99">
      <w:pPr>
        <w:pStyle w:val="Text"/>
        <w:rPr>
          <w:rStyle w:val="Marker"/>
          <w:color w:val="auto"/>
        </w:rPr>
      </w:pPr>
      <w:r w:rsidRPr="00D43CB5">
        <w:rPr>
          <w:rStyle w:val="Marker"/>
          <w:color w:val="auto"/>
        </w:rPr>
        <w:t>Saksassa 47 prosenttia naisista, 62 prosenttia miehistä ja 15 prosenttia lapsista ja nuorista on ylipainoisia. Yksi syy siihen on koostumukseltaan ravitsemusfysiologisesti epäedullisten elintarvikkeiden liiallinen kulutus.</w:t>
      </w:r>
    </w:p>
    <w:p w14:paraId="7E480828" w14:textId="77777777" w:rsidR="00AB116C" w:rsidRPr="00D43CB5" w:rsidRDefault="00AB116C" w:rsidP="004D4E99">
      <w:pPr>
        <w:pStyle w:val="Text"/>
        <w:rPr>
          <w:rStyle w:val="Marker"/>
          <w:color w:val="auto"/>
        </w:rPr>
      </w:pPr>
      <w:r w:rsidRPr="00D43CB5">
        <w:rPr>
          <w:rStyle w:val="Marker"/>
          <w:color w:val="auto"/>
        </w:rPr>
        <w:t xml:space="preserve">Tätä taustaa vasten liittohallitus on ottanut tavoitteekseen kehittää ravintoarvomerkintää edelleen Saksassa käyttöä varten, jotta kuluttajat saavat helposti käyttöönsä ymmärrettävää tietoa elintarvikkeen ravitsemusfysiologisista ominaisuuksista. </w:t>
      </w:r>
    </w:p>
    <w:p w14:paraId="2C6DDABF" w14:textId="77777777" w:rsidR="00AB116C" w:rsidRPr="00D43CB5" w:rsidRDefault="00AB116C" w:rsidP="004D4E99">
      <w:pPr>
        <w:pStyle w:val="Text"/>
        <w:rPr>
          <w:rStyle w:val="Marker"/>
          <w:color w:val="auto"/>
        </w:rPr>
      </w:pPr>
      <w:r w:rsidRPr="00D43CB5">
        <w:rPr>
          <w:rStyle w:val="Marker"/>
          <w:color w:val="auto"/>
        </w:rPr>
        <w:t xml:space="preserve">Kattavat tutkimukset (Max-Rubner-instituutin alustava raportti valitun Front-of-Pack-ravintoarvomerkintämallin arvioinnista; laajennettujen ravintoarvomerkintämallien arviointi: INFO GmbH:n edustajakyselyn ja fokusryhmäkeskustelujen tuloksia koskevat raportit) osoittavat, että Nutri-Score-merkintä on tieteellisesti validi ja parhaiten kuluttajien havaittavissa ja ymmärrettävissä. </w:t>
      </w:r>
    </w:p>
    <w:p w14:paraId="0D6DA0BD" w14:textId="77777777" w:rsidR="00AB116C" w:rsidRPr="00D43CB5" w:rsidRDefault="00AB116C" w:rsidP="004D4E99">
      <w:pPr>
        <w:pStyle w:val="Text"/>
      </w:pPr>
      <w:r w:rsidRPr="00D43CB5">
        <w:t>Nutri-Score on Euroopan unionin yhteisömerkki, jonka haltijaksi on rekisteröity Euroopan unionin teollis- ja tekijänoikeusvirastossa (EUIPO) Ranskan kansallinen julkisen terveydenhuollon virasto (Agènce nationale de la santé publique – Santé publique France), joka on Ranskan terveysministeriön järjestö. Jotta kolmannet osapuolet voivat käyttää Nutri-Score-merkintää, on ensisijaisesti otettava huomioon asiaankuuluvat tavaramerkkioikeudelliset vaatimukset ja tavaramerkin haltijan asettamat ehdot.</w:t>
      </w:r>
    </w:p>
    <w:p w14:paraId="41BC33D9" w14:textId="77777777" w:rsidR="004E3C6A" w:rsidRPr="00D43CB5" w:rsidRDefault="004E3C6A" w:rsidP="004D4E99">
      <w:pPr>
        <w:pStyle w:val="Text"/>
      </w:pPr>
      <w:r w:rsidRPr="00D43CB5">
        <w:t xml:space="preserve">Nutri-Score-merkinnässä viisiportainen skaala (A–E) osoittaa tuotteen kokonaisravintoarvon. Sitä varten lasketaan kalorimäärä ja eri ravintoarvot. </w:t>
      </w:r>
    </w:p>
    <w:p w14:paraId="6C1DE6B8" w14:textId="77777777" w:rsidR="00AB116C" w:rsidRPr="00D43CB5" w:rsidRDefault="00AB116C" w:rsidP="004D4E99">
      <w:pPr>
        <w:pStyle w:val="Text"/>
        <w:rPr>
          <w:rStyle w:val="Marker"/>
          <w:color w:val="auto"/>
        </w:rPr>
      </w:pPr>
      <w:r w:rsidRPr="00D43CB5">
        <w:rPr>
          <w:rStyle w:val="Marker"/>
          <w:color w:val="auto"/>
        </w:rPr>
        <w:t>Avauslausekkeella laaditaan elintarvikemerkintöjä koskevat oikeudelliset edellytykset</w:t>
      </w:r>
      <w:r w:rsidRPr="00D43CB5">
        <w:t xml:space="preserve"> Nutri-Score-merkinnän käytölle Saksassa. </w:t>
      </w:r>
    </w:p>
    <w:p w14:paraId="52290758" w14:textId="77777777" w:rsidR="00AB116C" w:rsidRPr="00D43CB5" w:rsidRDefault="00AB116C" w:rsidP="004D4E99">
      <w:pPr>
        <w:pStyle w:val="VorblattTitelLsung"/>
        <w:keepNext/>
        <w:keepLines/>
      </w:pPr>
      <w:r w:rsidRPr="00D43CB5">
        <w:t>B. Ratkaisu</w:t>
      </w:r>
    </w:p>
    <w:p w14:paraId="0B0BA765" w14:textId="77777777" w:rsidR="00AB116C" w:rsidRPr="00D43CB5" w:rsidRDefault="00AB116C" w:rsidP="004D4E99">
      <w:pPr>
        <w:pStyle w:val="Text"/>
      </w:pPr>
      <w:r w:rsidRPr="00D43CB5">
        <w:rPr>
          <w:rStyle w:val="Marker"/>
          <w:color w:val="auto"/>
        </w:rPr>
        <w:t xml:space="preserve">Oikeudellinen perusta Nutri-Score-merkinnän vapaaehtoiselle käytölle Saksassa. </w:t>
      </w:r>
    </w:p>
    <w:p w14:paraId="59217ACC" w14:textId="77777777" w:rsidR="00AB116C" w:rsidRPr="00D43CB5" w:rsidRDefault="00AB116C" w:rsidP="004D4E99">
      <w:pPr>
        <w:pStyle w:val="VorblattTitelAlternativen"/>
        <w:keepNext/>
        <w:keepLines/>
      </w:pPr>
      <w:r w:rsidRPr="00D43CB5">
        <w:t>C. Vaihtoehdot</w:t>
      </w:r>
    </w:p>
    <w:p w14:paraId="550B39B1" w14:textId="1C85B5AF" w:rsidR="00F047E3" w:rsidRPr="00D43CB5" w:rsidRDefault="00F047E3" w:rsidP="004D4E99">
      <w:pPr>
        <w:pStyle w:val="Text"/>
        <w:rPr>
          <w:rStyle w:val="Marker"/>
          <w:color w:val="auto"/>
        </w:rPr>
      </w:pPr>
      <w:r w:rsidRPr="00D43CB5">
        <w:rPr>
          <w:rStyle w:val="Marker"/>
          <w:color w:val="auto"/>
        </w:rPr>
        <w:t xml:space="preserve">Kohdassa A. mainituissa tutkimuksissa tarkasteltiin useita laajennettuja ravintoarvomerkintämalleja (muun muassa Keyhole®, elintarvikealan malli, Max-Rubner-instituutin malli). Tutkimusten mukaan Nutri-Score-merkintä on tieteellisesti validi ja parhaiten kuluttajien havaittavissa ja ymmärrettävissä. </w:t>
      </w:r>
    </w:p>
    <w:p w14:paraId="26338DEE" w14:textId="77777777" w:rsidR="00AB116C" w:rsidRPr="00D43CB5" w:rsidRDefault="00AB116C" w:rsidP="004D4E99">
      <w:pPr>
        <w:pStyle w:val="VorblattTitelHaushaltsausgabenohneErfllungsaufwand"/>
        <w:keepNext/>
        <w:keepLines/>
      </w:pPr>
      <w:r w:rsidRPr="00D43CB5">
        <w:t>D. Talousarviomenot ilman täytäntöönpanokustannuksia</w:t>
      </w:r>
    </w:p>
    <w:p w14:paraId="22D8B835" w14:textId="77777777" w:rsidR="00AB116C" w:rsidRPr="00D43CB5" w:rsidRDefault="00AB116C" w:rsidP="004D4E99">
      <w:pPr>
        <w:pStyle w:val="VorblattTitelErfllungsaufwand"/>
        <w:keepNext/>
        <w:keepLines/>
      </w:pPr>
      <w:r w:rsidRPr="00D43CB5">
        <w:t>E. Täytäntöönpanokustannukset</w:t>
      </w:r>
    </w:p>
    <w:p w14:paraId="6F1F8D70" w14:textId="77777777" w:rsidR="00AB116C" w:rsidRPr="00D43CB5" w:rsidRDefault="00AB116C" w:rsidP="004D4E99">
      <w:pPr>
        <w:pStyle w:val="VorblattTitelErfllungsaufwandBrgerinnenundBrger"/>
        <w:keepNext/>
        <w:keepLines/>
      </w:pPr>
      <w:r w:rsidRPr="00D43CB5">
        <w:t>E.1 Kansalaisille aiheutuvat täytäntöönpanokustannukset</w:t>
      </w:r>
    </w:p>
    <w:p w14:paraId="2881E6C4" w14:textId="77777777" w:rsidR="00AB116C" w:rsidRPr="00D43CB5" w:rsidRDefault="00AB116C" w:rsidP="004D4E99">
      <w:pPr>
        <w:pStyle w:val="Text"/>
      </w:pPr>
      <w:r w:rsidRPr="00D43CB5">
        <w:rPr>
          <w:rStyle w:val="Marker"/>
          <w:color w:val="auto"/>
        </w:rPr>
        <w:t xml:space="preserve">Kansalaisille ei aiheudu täytäntöönpanokustannuksia. </w:t>
      </w:r>
    </w:p>
    <w:p w14:paraId="1A7EC865" w14:textId="77777777" w:rsidR="00AB116C" w:rsidRPr="00D43CB5" w:rsidRDefault="00AB116C" w:rsidP="004D4E99">
      <w:pPr>
        <w:pStyle w:val="VorblattTitelErfllungsaufwandWirtschaft"/>
        <w:keepNext/>
        <w:keepLines/>
      </w:pPr>
      <w:r w:rsidRPr="00D43CB5">
        <w:lastRenderedPageBreak/>
        <w:t>E.2 Taloudellisille toimijoille aiheutuvat täytäntöönpanokustannukset</w:t>
      </w:r>
    </w:p>
    <w:p w14:paraId="357A658B" w14:textId="74D68949" w:rsidR="00AB116C" w:rsidRPr="00D43CB5" w:rsidRDefault="002F0011" w:rsidP="004D4E99">
      <w:pPr>
        <w:pStyle w:val="Text"/>
      </w:pPr>
      <w:r w:rsidRPr="00D43CB5">
        <w:t xml:space="preserve">Taloudellisille toimijoille ei aiheudu ylimääräisiä täytäntöönpanokustannuksia. </w:t>
      </w:r>
    </w:p>
    <w:p w14:paraId="33965A77" w14:textId="77777777" w:rsidR="00AB116C" w:rsidRPr="00D43CB5" w:rsidRDefault="00AB116C" w:rsidP="004D4E99">
      <w:pPr>
        <w:pStyle w:val="VorblattTitelErfllungsaufwandVerwaltung"/>
        <w:keepNext/>
        <w:keepLines/>
      </w:pPr>
      <w:r w:rsidRPr="00D43CB5">
        <w:t>E.3 Hallinnolle aiheutuvat täytäntöönpanokustannukset</w:t>
      </w:r>
    </w:p>
    <w:p w14:paraId="2A196052" w14:textId="015D0325" w:rsidR="00AB116C" w:rsidRPr="00D43CB5" w:rsidRDefault="002F0011" w:rsidP="004D4E99">
      <w:pPr>
        <w:pStyle w:val="Text"/>
      </w:pPr>
      <w:r w:rsidRPr="00D43CB5">
        <w:rPr>
          <w:rStyle w:val="Marker"/>
          <w:color w:val="auto"/>
        </w:rPr>
        <w:t xml:space="preserve">Hallinnolle ei aiheudu ylimääräisiä täytäntöönpanokustannuksia. </w:t>
      </w:r>
    </w:p>
    <w:p w14:paraId="2A910281" w14:textId="77777777" w:rsidR="00AB116C" w:rsidRPr="00D43CB5" w:rsidRDefault="00AB116C" w:rsidP="004D4E99">
      <w:pPr>
        <w:pStyle w:val="VorblattTitelWeitereKosten"/>
        <w:keepNext/>
        <w:keepLines/>
      </w:pPr>
      <w:r w:rsidRPr="00D43CB5">
        <w:t>F. Muut kustannukset</w:t>
      </w:r>
    </w:p>
    <w:p w14:paraId="1819EB1A" w14:textId="77777777" w:rsidR="00AB116C" w:rsidRPr="00D43CB5" w:rsidRDefault="00AB116C" w:rsidP="004D4E99">
      <w:pPr>
        <w:pStyle w:val="Text"/>
        <w:rPr>
          <w:rStyle w:val="Marker"/>
          <w:color w:val="auto"/>
        </w:rPr>
      </w:pPr>
      <w:r w:rsidRPr="00D43CB5">
        <w:rPr>
          <w:rStyle w:val="Marker"/>
          <w:color w:val="auto"/>
        </w:rPr>
        <w:t xml:space="preserve">Vähäistä vaikutusta vähittäishintoihin ei voida kokonaan sulkea pois. Vaikutusta yleiseen hintatasoon, etenkään kuluttajahintatasoon, ei ole kuitenkaan odotettavissa. </w:t>
      </w:r>
    </w:p>
    <w:p w14:paraId="355D0EED" w14:textId="44C49E7F" w:rsidR="002F0011" w:rsidRPr="00D43CB5" w:rsidRDefault="002F0011" w:rsidP="004D4E99">
      <w:pPr>
        <w:pStyle w:val="Text"/>
        <w:rPr>
          <w:rStyle w:val="Marker"/>
          <w:color w:val="auto"/>
        </w:rPr>
      </w:pPr>
      <w:r w:rsidRPr="00D43CB5">
        <w:rPr>
          <w:rStyle w:val="Marker"/>
          <w:color w:val="auto"/>
        </w:rPr>
        <w:t xml:space="preserve">Nutri-Score-merkinnän käytöstä voi aiheutua yrityksille lisäkustannuksia, joiden arvioidaan kuitenkin olevan kokonaisuudessaan vähäisiä. </w:t>
      </w:r>
    </w:p>
    <w:p w14:paraId="5EB6A175" w14:textId="77777777" w:rsidR="00AB116C" w:rsidRPr="00D43CB5" w:rsidRDefault="00AB116C" w:rsidP="004D4E99">
      <w:pPr>
        <w:pStyle w:val="Text"/>
        <w:rPr>
          <w:rStyle w:val="Marker"/>
          <w:color w:val="auto"/>
        </w:rPr>
      </w:pPr>
    </w:p>
    <w:p w14:paraId="4B8906C4" w14:textId="77777777" w:rsidR="00AB116C" w:rsidRPr="00D43CB5" w:rsidRDefault="00AB116C" w:rsidP="004D4E99">
      <w:pPr>
        <w:pStyle w:val="Dokumentstatus"/>
        <w:keepNext/>
        <w:keepLines/>
        <w:pageBreakBefore/>
      </w:pPr>
      <w:r w:rsidRPr="00D43CB5">
        <w:lastRenderedPageBreak/>
        <w:t>Saksan liittotasavallan elintarvike- ja maatalousministeriön esitysluonnos</w:t>
      </w:r>
    </w:p>
    <w:p w14:paraId="62D56DB5" w14:textId="77777777" w:rsidR="00AB116C" w:rsidRPr="00D43CB5" w:rsidRDefault="00AB116C" w:rsidP="004D4E99">
      <w:pPr>
        <w:pStyle w:val="Bezeichnungnderungsdokument"/>
        <w:keepNext/>
        <w:keepLines/>
      </w:pPr>
      <w:r w:rsidRPr="00D43CB5">
        <w:t>Ensimmäinen asetus elintarviketietoja koskevan täytäntöönpanoasetuksen muuttamisesta</w:t>
      </w:r>
      <w:r w:rsidRPr="00D43CB5">
        <w:rPr>
          <w:rStyle w:val="FootnoteReference"/>
        </w:rPr>
        <w:footnoteReference w:customMarkFollows="1" w:id="1"/>
        <w:t>*)</w:t>
      </w:r>
    </w:p>
    <w:p w14:paraId="30DEB729" w14:textId="77777777" w:rsidR="00AB116C" w:rsidRPr="00D43CB5" w:rsidRDefault="00AB116C" w:rsidP="004D4E99">
      <w:pPr>
        <w:pStyle w:val="Ausfertigungsdatumnderungsdokument"/>
      </w:pPr>
      <w:r w:rsidRPr="00D43CB5">
        <w:t>Annettu ... [päivämäärä]</w:t>
      </w:r>
    </w:p>
    <w:p w14:paraId="6B2563C7" w14:textId="33BC6EDA" w:rsidR="00AB116C" w:rsidRPr="00D43CB5" w:rsidRDefault="00AB116C" w:rsidP="004D4E99">
      <w:pPr>
        <w:pStyle w:val="EingangsformelStandardnderungsdokument"/>
      </w:pPr>
      <w:r w:rsidRPr="00D43CB5">
        <w:t>Elintarvikkeita ja rehua koskevan lainsäädännön, sellaisena kuin se on annettu tiedoksi 3 päivänä kesäkuuta 2013 (liittotasavallan virallinen lehti I, s. 1426), sellaisena kuin se on viimeksi muutettuna 31 päivänä elokuuta 2015 annetun asetuksen (liittotasavallan virallinen lehti I, s. 1474) 67 artiklan 6 kohdalla, 35 §:n 1 kohdan nojalla liittotasavallan elintarvike- ja maatalousministeriö säätää yhteisymmärryksessä liittotasavallan talous- ja energiaministeriön kanssa seuraavaa:</w:t>
      </w:r>
    </w:p>
    <w:p w14:paraId="4FB86449" w14:textId="6FEC2D31" w:rsidR="004D4E99" w:rsidRPr="00D43CB5" w:rsidRDefault="004D4E99" w:rsidP="004D4E99">
      <w:pPr>
        <w:pStyle w:val="Artikelberschrift"/>
        <w:keepLines/>
        <w:spacing w:before="480"/>
      </w:pPr>
      <w:r w:rsidRPr="00D43CB5">
        <w:t>1 artikla</w:t>
      </w:r>
    </w:p>
    <w:p w14:paraId="69CDBB97" w14:textId="77777777" w:rsidR="00AB116C" w:rsidRPr="00D43CB5" w:rsidRDefault="00AB116C" w:rsidP="004D4E99">
      <w:pPr>
        <w:pStyle w:val="Artikelberschrift"/>
        <w:keepLines/>
      </w:pPr>
      <w:bookmarkStart w:id="1" w:name="_Toc20911408"/>
      <w:r w:rsidRPr="00D43CB5">
        <w:t>Elintarviketietoja koskevan täytäntöönpanoasetuksen muuttaminen</w:t>
      </w:r>
      <w:bookmarkEnd w:id="1"/>
    </w:p>
    <w:p w14:paraId="14A290BC" w14:textId="77777777" w:rsidR="00AB116C" w:rsidRPr="00D43CB5" w:rsidRDefault="00AB116C" w:rsidP="004D4E99">
      <w:pPr>
        <w:pStyle w:val="JuristischerAbsatznichtnummeriert"/>
        <w:rPr>
          <w:rStyle w:val="Marker"/>
          <w:b/>
          <w:color w:val="auto"/>
          <w:sz w:val="28"/>
        </w:rPr>
      </w:pPr>
      <w:r w:rsidRPr="00D43CB5">
        <w:rPr>
          <w:rStyle w:val="Marker"/>
          <w:color w:val="auto"/>
        </w:rPr>
        <w:t xml:space="preserve">Muutetaan 5 päivänä heinäkuuta 2017 annettu elintarviketietoja koskeva täytäntöönpanoasetus (liittotasavallan virallinen lehti I, s. 2272) seuraavasti: </w:t>
      </w:r>
    </w:p>
    <w:p w14:paraId="3B973FF5" w14:textId="77777777" w:rsidR="00AB116C" w:rsidRPr="00D43CB5" w:rsidRDefault="00AB116C" w:rsidP="004D4E99">
      <w:pPr>
        <w:pStyle w:val="NummerierungStufe1"/>
        <w:rPr>
          <w:rStyle w:val="Marker"/>
          <w:color w:val="auto"/>
        </w:rPr>
      </w:pPr>
      <w:r w:rsidRPr="00D43CB5">
        <w:rPr>
          <w:rStyle w:val="Marker"/>
          <w:color w:val="auto"/>
        </w:rPr>
        <w:t>Lisätään 4 §:n jälkeen 4a § seuraavasti:</w:t>
      </w:r>
    </w:p>
    <w:p w14:paraId="347D74AB" w14:textId="77777777" w:rsidR="00AB116C" w:rsidRPr="00D43CB5" w:rsidRDefault="00AB116C" w:rsidP="004D4E99">
      <w:pPr>
        <w:pStyle w:val="RevisionParagraphBezeichnermanuell"/>
        <w:keepLines/>
        <w:ind w:left="432" w:hanging="75"/>
        <w:rPr>
          <w:color w:val="auto"/>
        </w:rPr>
      </w:pPr>
      <w:r w:rsidRPr="00D43CB5">
        <w:t>”4a §</w:t>
      </w:r>
    </w:p>
    <w:p w14:paraId="4BF195B8" w14:textId="77777777" w:rsidR="00AB116C" w:rsidRPr="00D43CB5" w:rsidRDefault="00AB116C" w:rsidP="004D4E99">
      <w:pPr>
        <w:pStyle w:val="RevisionParagraphberschrift"/>
        <w:keepLines/>
        <w:ind w:left="432"/>
        <w:rPr>
          <w:color w:val="auto"/>
        </w:rPr>
      </w:pPr>
      <w:r w:rsidRPr="00D43CB5">
        <w:rPr>
          <w:rStyle w:val="Marker"/>
          <w:color w:val="auto"/>
        </w:rPr>
        <w:t>Laajennettu ravintoarvomerkintä</w:t>
      </w:r>
    </w:p>
    <w:p w14:paraId="0E098645" w14:textId="77777777" w:rsidR="00AB116C" w:rsidRPr="00D43CB5" w:rsidRDefault="00AB116C" w:rsidP="004D4E99">
      <w:pPr>
        <w:pStyle w:val="RevisionJuristischerAbsatz"/>
        <w:tabs>
          <w:tab w:val="clear" w:pos="850"/>
          <w:tab w:val="num" w:pos="1275"/>
        </w:tabs>
        <w:ind w:left="425"/>
        <w:rPr>
          <w:color w:val="auto"/>
        </w:rPr>
      </w:pPr>
      <w:r w:rsidRPr="00D43CB5">
        <w:rPr>
          <w:color w:val="auto"/>
        </w:rPr>
        <w:t>Asetuksen (EU) N:o 1169/2011 8 artiklan 1 kohdan tai 4 kohdan toisen virkkeen mukainen vastuuhenkilö saa saattaa markkinoille elintarvikkeita, joilla on liitteessä kuvattu Nutri-Score-merkintä, joka on rekisteröity Euroopan unionin yhteisömerkiksi Euroopan unionin teollis- ja tekijänoikeusvirastossa.</w:t>
      </w:r>
    </w:p>
    <w:p w14:paraId="1E70B10D" w14:textId="77777777" w:rsidR="00AB116C" w:rsidRPr="00D43CB5" w:rsidRDefault="00AB116C" w:rsidP="004D4E99">
      <w:pPr>
        <w:pStyle w:val="RevisionJuristischerAbsatz"/>
        <w:tabs>
          <w:tab w:val="clear" w:pos="850"/>
          <w:tab w:val="num" w:pos="1275"/>
        </w:tabs>
        <w:ind w:left="425"/>
        <w:rPr>
          <w:color w:val="auto"/>
        </w:rPr>
      </w:pPr>
      <w:r w:rsidRPr="00D43CB5">
        <w:rPr>
          <w:color w:val="auto"/>
        </w:rPr>
        <w:t xml:space="preserve">Nutri-Score-merkinnän käyttö on vapaaehtoista. </w:t>
      </w:r>
    </w:p>
    <w:p w14:paraId="64450B19" w14:textId="77777777" w:rsidR="00AB116C" w:rsidRPr="00D43CB5" w:rsidRDefault="009E1F4C" w:rsidP="004D4E99">
      <w:pPr>
        <w:pStyle w:val="RevisionJuristischerAbsatz"/>
        <w:tabs>
          <w:tab w:val="clear" w:pos="850"/>
          <w:tab w:val="num" w:pos="1275"/>
        </w:tabs>
        <w:ind w:left="425"/>
        <w:rPr>
          <w:color w:val="auto"/>
        </w:rPr>
      </w:pPr>
      <w:r w:rsidRPr="00D43CB5">
        <w:rPr>
          <w:color w:val="auto"/>
        </w:rPr>
        <w:t xml:space="preserve">Nutri-Score-merkinnän käyttö edellyttää, että asetuksen (EU) N:o 1169/2011 8 artiklan 1 kohdan tai 4 kohdan toisen virkkeen mukainen vastuuhenkilö on erityisesti </w:t>
      </w:r>
    </w:p>
    <w:p w14:paraId="47C7B3F2" w14:textId="77777777" w:rsidR="00AB116C" w:rsidRPr="00D43CB5" w:rsidRDefault="00AB116C" w:rsidP="004D4E99">
      <w:pPr>
        <w:pStyle w:val="RevisionNummerierungStufe1"/>
        <w:tabs>
          <w:tab w:val="clear" w:pos="425"/>
          <w:tab w:val="num" w:pos="850"/>
        </w:tabs>
        <w:ind w:left="850"/>
        <w:rPr>
          <w:color w:val="auto"/>
        </w:rPr>
      </w:pPr>
      <w:r w:rsidRPr="00D43CB5">
        <w:rPr>
          <w:color w:val="auto"/>
        </w:rPr>
        <w:t>hankkinut tarvittavat luvat tavaramerkin haltijalta ja</w:t>
      </w:r>
    </w:p>
    <w:p w14:paraId="534F1A0A" w14:textId="77777777" w:rsidR="00AB116C" w:rsidRPr="00D43CB5" w:rsidRDefault="00AB116C" w:rsidP="004D4E99">
      <w:pPr>
        <w:pStyle w:val="RevisionNummerierungStufe1"/>
        <w:tabs>
          <w:tab w:val="clear" w:pos="425"/>
          <w:tab w:val="num" w:pos="850"/>
        </w:tabs>
        <w:ind w:left="850"/>
        <w:rPr>
          <w:color w:val="auto"/>
        </w:rPr>
      </w:pPr>
      <w:r w:rsidRPr="00D43CB5">
        <w:rPr>
          <w:color w:val="auto"/>
        </w:rPr>
        <w:t>noudattaa tavaramerkin haltijan käytölle asettamia ehtoja.</w:t>
      </w:r>
    </w:p>
    <w:p w14:paraId="1CA6C448" w14:textId="7093041E" w:rsidR="004E3C6A" w:rsidRPr="00D43CB5" w:rsidRDefault="004E3C6A" w:rsidP="004D4E99">
      <w:pPr>
        <w:pStyle w:val="RevisionJuristischerAbsatz"/>
        <w:tabs>
          <w:tab w:val="clear" w:pos="850"/>
          <w:tab w:val="num" w:pos="1275"/>
        </w:tabs>
        <w:ind w:left="425"/>
        <w:rPr>
          <w:color w:val="auto"/>
        </w:rPr>
      </w:pPr>
      <w:r w:rsidRPr="00D43CB5">
        <w:rPr>
          <w:color w:val="auto"/>
        </w:rPr>
        <w:t>Edellä olevan 3 momentin 1 alamomentin mukaisten lupien hankkimista varten liittotasavallan elintarvike- ja maatalousministeriö voi julkaista seuraavaa liittotasavallan virallisessa lehdessä:</w:t>
      </w:r>
    </w:p>
    <w:p w14:paraId="44C4BF0B" w14:textId="77777777" w:rsidR="004E3C6A" w:rsidRPr="00D43CB5" w:rsidRDefault="004E3C6A" w:rsidP="004D4E99">
      <w:pPr>
        <w:pStyle w:val="RevisionNummerierungStufe2"/>
        <w:numPr>
          <w:ilvl w:val="0"/>
          <w:numId w:val="0"/>
        </w:numPr>
        <w:ind w:left="425"/>
        <w:rPr>
          <w:color w:val="auto"/>
        </w:rPr>
      </w:pPr>
      <w:r w:rsidRPr="00D43CB5">
        <w:rPr>
          <w:color w:val="auto"/>
        </w:rPr>
        <w:t xml:space="preserve">1. </w:t>
      </w:r>
      <w:r w:rsidRPr="00D43CB5">
        <w:rPr>
          <w:color w:val="auto"/>
        </w:rPr>
        <w:tab/>
        <w:t>saksankieliset mallilomakkeet</w:t>
      </w:r>
    </w:p>
    <w:p w14:paraId="4AE1EE60" w14:textId="77777777" w:rsidR="004E3C6A" w:rsidRPr="00D43CB5" w:rsidRDefault="004E3C6A" w:rsidP="004D4E99">
      <w:pPr>
        <w:pStyle w:val="RevisionNummerierungStufe2"/>
        <w:numPr>
          <w:ilvl w:val="0"/>
          <w:numId w:val="0"/>
        </w:numPr>
        <w:ind w:left="425"/>
        <w:rPr>
          <w:color w:val="auto"/>
        </w:rPr>
      </w:pPr>
      <w:r w:rsidRPr="00D43CB5">
        <w:rPr>
          <w:color w:val="auto"/>
        </w:rPr>
        <w:t>2. tiedot saksan kielellä ja sähköpostiosoite, johon saapuvat sähköpostit välittyvät automaattisesti tavaramerkin haltijalle.”</w:t>
      </w:r>
    </w:p>
    <w:p w14:paraId="4CE137F5" w14:textId="77777777" w:rsidR="004D4E99" w:rsidRPr="00D43CB5" w:rsidRDefault="004D4E99" w:rsidP="004D4E99">
      <w:pPr>
        <w:pStyle w:val="RevisionNummerierungStufe2"/>
        <w:numPr>
          <w:ilvl w:val="0"/>
          <w:numId w:val="0"/>
        </w:numPr>
        <w:ind w:left="425"/>
        <w:rPr>
          <w:color w:val="auto"/>
        </w:rPr>
      </w:pPr>
    </w:p>
    <w:p w14:paraId="7784283B" w14:textId="77777777" w:rsidR="00C74E1B" w:rsidRPr="00D43CB5" w:rsidRDefault="000604EE" w:rsidP="004D4E99">
      <w:pPr>
        <w:pStyle w:val="NummerierungStufe1"/>
        <w:keepNext/>
        <w:keepLines/>
        <w:rPr>
          <w:rStyle w:val="Marker"/>
          <w:color w:val="auto"/>
        </w:rPr>
      </w:pPr>
      <w:r w:rsidRPr="00D43CB5">
        <w:rPr>
          <w:rStyle w:val="Marker"/>
          <w:color w:val="auto"/>
        </w:rPr>
        <w:lastRenderedPageBreak/>
        <w:t>Lisätään liite seuraavasti:</w:t>
      </w:r>
    </w:p>
    <w:p w14:paraId="24085CB7" w14:textId="77777777" w:rsidR="00C74E1B" w:rsidRPr="00D43CB5" w:rsidRDefault="00C74E1B" w:rsidP="004D4E99">
      <w:pPr>
        <w:keepNext/>
        <w:keepLines/>
      </w:pPr>
    </w:p>
    <w:p w14:paraId="6FD9A6EE" w14:textId="77777777" w:rsidR="00AB116C" w:rsidRPr="00D43CB5" w:rsidRDefault="00AB116C" w:rsidP="004D4E99">
      <w:pPr>
        <w:pStyle w:val="RevisionAnlageBezeichner"/>
        <w:keepNext/>
        <w:keepLines/>
        <w:rPr>
          <w:color w:val="auto"/>
        </w:rPr>
      </w:pPr>
      <w:r w:rsidRPr="00D43CB5">
        <w:rPr>
          <w:color w:val="auto"/>
        </w:rPr>
        <w:t>”Liite</w:t>
      </w:r>
    </w:p>
    <w:p w14:paraId="0BE5D91F" w14:textId="77777777" w:rsidR="00AB116C" w:rsidRPr="00D43CB5" w:rsidRDefault="00AB116C" w:rsidP="004D4E99">
      <w:pPr>
        <w:pStyle w:val="RevisionAnlageVerweis"/>
        <w:keepNext/>
        <w:keepLines/>
        <w:rPr>
          <w:color w:val="auto"/>
        </w:rPr>
      </w:pPr>
      <w:r w:rsidRPr="00D43CB5">
        <w:rPr>
          <w:color w:val="auto"/>
        </w:rPr>
        <w:t>(4a §:n 1 momentin osalta)</w:t>
      </w:r>
    </w:p>
    <w:p w14:paraId="0BC73A07" w14:textId="77777777" w:rsidR="00AB116C" w:rsidRPr="00D43CB5" w:rsidRDefault="00AB116C" w:rsidP="004D4E99">
      <w:pPr>
        <w:pStyle w:val="RevisionAnlageberschrift"/>
        <w:keepNext/>
        <w:keepLines/>
        <w:rPr>
          <w:color w:val="auto"/>
        </w:rPr>
      </w:pPr>
      <w:r w:rsidRPr="00D43CB5">
        <w:rPr>
          <w:color w:val="auto"/>
        </w:rPr>
        <w:t>Kuva Nutri-Score-merkinnästä</w:t>
      </w:r>
    </w:p>
    <w:p w14:paraId="7509E81F" w14:textId="77777777" w:rsidR="00AB116C" w:rsidRPr="00D43CB5" w:rsidRDefault="00AB116C" w:rsidP="004D4E99">
      <w:pPr>
        <w:pStyle w:val="RevisionAnlageberschrift"/>
        <w:rPr>
          <w:rStyle w:val="RevisionText"/>
          <w:color w:val="auto"/>
        </w:rPr>
      </w:pPr>
      <w:r w:rsidRPr="00D43CB5">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D43CB5">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D43CB5" w14:paraId="60D3C697" w14:textId="77777777" w:rsidTr="004D4E99">
        <w:tc>
          <w:tcPr>
            <w:tcW w:w="4502" w:type="dxa"/>
          </w:tcPr>
          <w:p w14:paraId="519728B4" w14:textId="1ED52059" w:rsidR="004D4E99" w:rsidRPr="00D43CB5" w:rsidRDefault="004D4E99" w:rsidP="004D4E99">
            <w:pPr>
              <w:spacing w:before="0" w:after="0"/>
            </w:pPr>
            <w:r w:rsidRPr="00D43CB5">
              <w:t>NUTRI-SCORE</w:t>
            </w:r>
          </w:p>
        </w:tc>
        <w:tc>
          <w:tcPr>
            <w:tcW w:w="4503" w:type="dxa"/>
          </w:tcPr>
          <w:p w14:paraId="2F0152D7" w14:textId="3F3DB840" w:rsidR="004D4E99" w:rsidRPr="00D43CB5" w:rsidRDefault="004D4E99" w:rsidP="004D4E99">
            <w:pPr>
              <w:spacing w:before="0" w:after="0"/>
            </w:pPr>
            <w:r w:rsidRPr="00D43CB5">
              <w:t>NUTRI-SCORE</w:t>
            </w:r>
          </w:p>
        </w:tc>
      </w:tr>
    </w:tbl>
    <w:p w14:paraId="4124E883" w14:textId="77777777" w:rsidR="004D4E99" w:rsidRPr="00D43CB5" w:rsidRDefault="004D4E99" w:rsidP="004D4E99"/>
    <w:p w14:paraId="181AD557" w14:textId="0348CC8A" w:rsidR="00AB116C" w:rsidRPr="00D43CB5" w:rsidRDefault="004D4E99" w:rsidP="004D4E99">
      <w:pPr>
        <w:pStyle w:val="Artikelberschrift"/>
        <w:keepLines/>
        <w:spacing w:before="480"/>
      </w:pPr>
      <w:r w:rsidRPr="00D43CB5">
        <w:t>2 artikla</w:t>
      </w:r>
    </w:p>
    <w:p w14:paraId="5877299E" w14:textId="77777777" w:rsidR="00AB116C" w:rsidRPr="00D43CB5" w:rsidRDefault="00AB116C" w:rsidP="004D4E99">
      <w:pPr>
        <w:pStyle w:val="Artikelberschrift"/>
        <w:keepLines/>
      </w:pPr>
      <w:bookmarkStart w:id="2" w:name="_Toc20911410"/>
      <w:r w:rsidRPr="00D43CB5">
        <w:rPr>
          <w:rStyle w:val="Marker"/>
          <w:color w:val="auto"/>
        </w:rPr>
        <w:t>Voimaantulo</w:t>
      </w:r>
      <w:bookmarkEnd w:id="2"/>
    </w:p>
    <w:p w14:paraId="6E848962" w14:textId="77777777" w:rsidR="00AB116C" w:rsidRPr="00D43CB5" w:rsidRDefault="00AB116C" w:rsidP="004D4E99">
      <w:pPr>
        <w:pStyle w:val="JuristischerAbsatznichtnummeriert"/>
      </w:pPr>
      <w:r w:rsidRPr="00D43CB5">
        <w:rPr>
          <w:rStyle w:val="Marker"/>
          <w:color w:val="auto"/>
        </w:rPr>
        <w:t xml:space="preserve">Tämä asetus tulee voimaan sen julkaisemista seuraavana päivänä. </w:t>
      </w:r>
    </w:p>
    <w:p w14:paraId="6D975F86" w14:textId="77777777" w:rsidR="00AB116C" w:rsidRPr="00D43CB5" w:rsidRDefault="00AB116C" w:rsidP="004D4E99">
      <w:pPr>
        <w:pStyle w:val="Hinweistext"/>
        <w:rPr>
          <w:color w:val="auto"/>
        </w:rPr>
      </w:pPr>
    </w:p>
    <w:p w14:paraId="6338794F" w14:textId="77777777" w:rsidR="00AB116C" w:rsidRPr="00D43CB5" w:rsidRDefault="00AB116C" w:rsidP="004D4E99">
      <w:pPr>
        <w:pStyle w:val="Schlussformel"/>
        <w:rPr>
          <w:rStyle w:val="Marker"/>
          <w:color w:val="auto"/>
        </w:rPr>
      </w:pPr>
      <w:r w:rsidRPr="00D43CB5">
        <w:rPr>
          <w:rStyle w:val="Marker"/>
          <w:color w:val="auto"/>
        </w:rPr>
        <w:t>Saksan liittoneuvosto on hyväksynyt tämän asetuksen.</w:t>
      </w:r>
    </w:p>
    <w:p w14:paraId="00CDC3CE" w14:textId="77777777" w:rsidR="00AB116C" w:rsidRPr="00D43CB5" w:rsidRDefault="00AB116C" w:rsidP="004D4E99">
      <w:pPr>
        <w:pStyle w:val="BegrndungTitel"/>
        <w:keepLines/>
        <w:pageBreakBefore/>
      </w:pPr>
      <w:r w:rsidRPr="00D43CB5">
        <w:lastRenderedPageBreak/>
        <w:t>Perustelut</w:t>
      </w:r>
    </w:p>
    <w:p w14:paraId="70DD5A2C" w14:textId="77777777" w:rsidR="00AB116C" w:rsidRPr="00D43CB5" w:rsidRDefault="00AB116C" w:rsidP="004D4E99">
      <w:pPr>
        <w:pStyle w:val="BegrndungAllgemeinerTeil"/>
        <w:keepLines/>
      </w:pPr>
      <w:r w:rsidRPr="00D43CB5">
        <w:t>A. Yleinen osa</w:t>
      </w:r>
    </w:p>
    <w:p w14:paraId="76D94DDB" w14:textId="77777777" w:rsidR="00AB116C" w:rsidRPr="00D43CB5" w:rsidRDefault="00AB116C" w:rsidP="004D4E99">
      <w:pPr>
        <w:pStyle w:val="berschriftrmischBegrndung"/>
        <w:keepLines/>
      </w:pPr>
      <w:r w:rsidRPr="00D43CB5">
        <w:t>Tavoitteiden asettelu ja sääntelyn tarpeellisuus</w:t>
      </w:r>
    </w:p>
    <w:p w14:paraId="098CCA51" w14:textId="5B7F5C28" w:rsidR="00AB116C" w:rsidRPr="00D43CB5" w:rsidRDefault="00AB116C" w:rsidP="004D4E99">
      <w:pPr>
        <w:pStyle w:val="Text"/>
        <w:rPr>
          <w:rStyle w:val="Marker"/>
          <w:color w:val="auto"/>
        </w:rPr>
      </w:pPr>
      <w:r w:rsidRPr="00D43CB5">
        <w:rPr>
          <w:rStyle w:val="Marker"/>
          <w:color w:val="auto"/>
        </w:rPr>
        <w:t>Saksassa 47 prosenttia naisista, 62 prosenttia miehistä ja 15 prosenttia lapsista ja nuorista on ylipainoisia. Yksi syy siihen on koostumukseltaan ravitsemusfysiologisesti epäedullisten elintarvikkeiden liiallinen kulutus.</w:t>
      </w:r>
    </w:p>
    <w:p w14:paraId="793A2D5C" w14:textId="77777777" w:rsidR="00AB116C" w:rsidRPr="00D43CB5" w:rsidRDefault="00AB116C" w:rsidP="004D4E99">
      <w:pPr>
        <w:pStyle w:val="Text"/>
        <w:rPr>
          <w:rStyle w:val="Marker"/>
          <w:color w:val="auto"/>
        </w:rPr>
      </w:pPr>
      <w:r w:rsidRPr="00D43CB5">
        <w:rPr>
          <w:rStyle w:val="Marker"/>
          <w:color w:val="auto"/>
        </w:rPr>
        <w:t>Tätä taustaa vasten liittohallitus on ottanut tavoitteekseen kehittää ravintoarvomerkintää edelleen Saksassa käyttöä varten, jotta kuluttajat saavat helposti käyttöönsä ymmärrettävää tietoa elintarvikkeen ravitsemusfysiologisista ominaisuuksista. On tehty kattavia tutkimuksia, joilla on selvitetty sekä ravitsemustieteellisiä kysymyksiä että kuluttajien ymmärrys- ja havainnointikykyä, ja saatujen tulosten perusteella on tarkoitus sallia Nutri-Score-merkinnän vapaaehtoinen käyttö Saksassa.</w:t>
      </w:r>
    </w:p>
    <w:p w14:paraId="47EB1B81" w14:textId="77777777" w:rsidR="00AB116C" w:rsidRPr="00D43CB5" w:rsidRDefault="00AB116C" w:rsidP="004D4E99">
      <w:pPr>
        <w:pStyle w:val="Text"/>
        <w:rPr>
          <w:rStyle w:val="Marker"/>
          <w:color w:val="auto"/>
        </w:rPr>
      </w:pPr>
      <w:r w:rsidRPr="00D43CB5">
        <w:rPr>
          <w:rStyle w:val="Marker"/>
          <w:color w:val="auto"/>
        </w:rPr>
        <w:t xml:space="preserve">Elintarvikkeita koskevista ravitsemus- ja terveysväitteistä annetussa asetuksessa (EY) N:o 1924/2006 (HCVO-asetus) kielletään lupavarauksella elintarvikkeita koskevat ravitsemus- ja terveysväitteet. Nutri-Score katsotaan yleisen oikeuskäsityksen mukaisesti HCVO-asetuksen 2 artiklan 2 kohdan 4 alakohdan mukaiseksi ravitsemusväitteeksi. Siksi Nutri-Score tarvitsee erityisen hyväksynnän, jota ei ole Euroopan tasolla. HCVO-asetuksen 23 artiklan 1 kohdan mukaan Euroopan unionin jäsenvaltion, joka haluaa antaa uusia säädöksiä HCVO-asetuksen soveltamisalalla, on ilmoitettava niistä komissiolle ja muille jäsenvaltioille. Sen lisäksi tämän asetuksen sisältämällä selvennyksellä on tarkoitus poistaa asetuksen (EU) N:o 1169/2011 mahdollisen ”kieltovaikutuksen” aiheuttama este vapaaehtoisen ravintoarvomerkinnän tietyiltä muodoilta. </w:t>
      </w:r>
    </w:p>
    <w:p w14:paraId="218B1216" w14:textId="77777777" w:rsidR="00AB116C" w:rsidRPr="00D43CB5" w:rsidRDefault="00AB116C" w:rsidP="004D4E99">
      <w:pPr>
        <w:pStyle w:val="Text"/>
      </w:pPr>
      <w:r w:rsidRPr="00D43CB5">
        <w:rPr>
          <w:rStyle w:val="Marker"/>
          <w:color w:val="auto"/>
        </w:rPr>
        <w:t>Nutri-Score on Euroopan unionin yhteisömerkki, jonka haltijaksi on rekisteröity Euroopan unionin teollis- ja tekijänoikeusvirastossa (EUIPO) ranskalainen Santé publique France. Jotta yksityiset kolmannet osapuolet voisivat käyttää Nutri-Score-merkintää,</w:t>
      </w:r>
      <w:r w:rsidRPr="00D43CB5">
        <w:t xml:space="preserve"> ensi kädessä ratkaisevia ovat asiaankuuluvat tavaramerkkioikeudelliset vaatimukset ja tavaramerkin haltijan asettamat ehdot merkin käytölle niin sanottujen valtuutettujen henkilöiden toimesta. Koska Nutri-Score-merkintä on sijoitettu yksityisen immateriaalioikeuden soveltamisalaan, on otettava huomioon yleisesti markkinasuojaa varten tarkistettavat markkinaoikeudelliset säännökset, hyvää kauppatapaa koskevat säännökset ja rikosoikeudelliset säännökset myös silloin, kun varmistetaan, että kolmannet osapuolet käyttävät Nutri-Score-merkintää asianmukaisella tavalla. </w:t>
      </w:r>
    </w:p>
    <w:p w14:paraId="6F4190E2" w14:textId="77777777" w:rsidR="00AB116C" w:rsidRPr="00D43CB5" w:rsidRDefault="00AB116C" w:rsidP="004D4E99">
      <w:pPr>
        <w:pStyle w:val="Text"/>
      </w:pPr>
      <w:r w:rsidRPr="00D43CB5">
        <w:t xml:space="preserve">Nutri-Score-merkinnässä viisiportainen skaala (A–E) osoittaa tuotteen kokonaisravintoarvon. Sitä varten lasketaan kalorimäärä ja eri ravintoarvot. </w:t>
      </w:r>
    </w:p>
    <w:p w14:paraId="41602576" w14:textId="77777777" w:rsidR="00AB116C" w:rsidRPr="00D43CB5" w:rsidRDefault="00AB116C" w:rsidP="004D4E99">
      <w:pPr>
        <w:pStyle w:val="Text"/>
        <w:rPr>
          <w:rStyle w:val="Marker"/>
          <w:color w:val="auto"/>
        </w:rPr>
      </w:pPr>
      <w:r w:rsidRPr="00D43CB5">
        <w:t xml:space="preserve">Avauslausekkeella laaditaan elintarvikemerkintöjä koskeva oikeudellinen perusta Nutri-Score-merkinnän käytölle Saksassa. </w:t>
      </w:r>
    </w:p>
    <w:p w14:paraId="208A0758" w14:textId="77777777" w:rsidR="00AB116C" w:rsidRPr="00D43CB5" w:rsidRDefault="00AB116C" w:rsidP="004D4E99">
      <w:pPr>
        <w:pStyle w:val="berschriftrmischBegrndung"/>
        <w:keepLines/>
        <w:ind w:left="706" w:hanging="706"/>
      </w:pPr>
      <w:r w:rsidRPr="00D43CB5">
        <w:t>Luonnoksen keskeinen sisältö</w:t>
      </w:r>
    </w:p>
    <w:p w14:paraId="6A488EE3" w14:textId="77777777" w:rsidR="00AB116C" w:rsidRPr="00D43CB5" w:rsidRDefault="00AB116C" w:rsidP="004D4E99">
      <w:pPr>
        <w:pStyle w:val="Text"/>
      </w:pPr>
      <w:r w:rsidRPr="00D43CB5">
        <w:rPr>
          <w:rStyle w:val="Marker"/>
          <w:color w:val="auto"/>
        </w:rPr>
        <w:t xml:space="preserve">Tällä asetuksella sallitaan Nutri-Score-merkinnän vapaaehtoinen käyttö elintarvikkeissa. </w:t>
      </w:r>
    </w:p>
    <w:p w14:paraId="7C9E8516" w14:textId="77777777" w:rsidR="00AB116C" w:rsidRPr="00D43CB5" w:rsidRDefault="00AB116C" w:rsidP="004D4E99">
      <w:pPr>
        <w:pStyle w:val="berschriftrmischBegrndung"/>
        <w:keepLines/>
        <w:ind w:left="706" w:hanging="706"/>
      </w:pPr>
      <w:r w:rsidRPr="00D43CB5">
        <w:t>Vaihtoehdot</w:t>
      </w:r>
    </w:p>
    <w:p w14:paraId="58DEC597" w14:textId="3907BAA9" w:rsidR="00F047E3" w:rsidRPr="00D43CB5" w:rsidRDefault="00F047E3" w:rsidP="004D4E99">
      <w:pPr>
        <w:pStyle w:val="Text"/>
        <w:rPr>
          <w:rStyle w:val="Marker"/>
          <w:color w:val="auto"/>
        </w:rPr>
      </w:pPr>
      <w:r w:rsidRPr="00D43CB5">
        <w:rPr>
          <w:rStyle w:val="Marker"/>
          <w:color w:val="auto"/>
        </w:rPr>
        <w:t xml:space="preserve">Kohdassa A. mainituissa tutkimuksissa tarkasteltiin useita laajennettuja ravintoarvomerkintämalleja (muun muassa Keyhole®, elintarvikealan malli, Max-Rubner-instituutin malli). Tutkimusten mukaan Nutri-Score-merkintä on tieteellisesti validi ja parhaiten kuluttajien havaittavissa ja ymmärrettävissä. </w:t>
      </w:r>
    </w:p>
    <w:p w14:paraId="73EA1BC6" w14:textId="77777777" w:rsidR="00AB116C" w:rsidRPr="00D43CB5" w:rsidRDefault="00AB116C" w:rsidP="004D4E99">
      <w:pPr>
        <w:pStyle w:val="berschriftrmischBegrndung"/>
        <w:keepLines/>
        <w:ind w:left="706" w:hanging="706"/>
      </w:pPr>
      <w:r w:rsidRPr="00D43CB5">
        <w:lastRenderedPageBreak/>
        <w:t>Asetusten antamisvalta</w:t>
      </w:r>
    </w:p>
    <w:p w14:paraId="77385E48" w14:textId="77777777" w:rsidR="00AB116C" w:rsidRPr="00D43CB5" w:rsidRDefault="00AB116C" w:rsidP="004D4E99">
      <w:pPr>
        <w:pStyle w:val="Text"/>
        <w:rPr>
          <w:rStyle w:val="Marker"/>
          <w:color w:val="auto"/>
        </w:rPr>
      </w:pPr>
      <w:r w:rsidRPr="00D43CB5">
        <w:rPr>
          <w:rStyle w:val="Marker"/>
          <w:color w:val="auto"/>
        </w:rPr>
        <w:t xml:space="preserve">Liittotasavallan elintarvike- ja maatalousministeriön asetusten antamisvalta perustuu elintarvikkeita ja rehua koskevan lainsäädännön 35 §:n 1 kohtaan, joka perustuu perustuslain 74 artiklan 1 kohdan 20 alakohtaan. </w:t>
      </w:r>
    </w:p>
    <w:p w14:paraId="4885EAF7" w14:textId="77777777" w:rsidR="00AB116C" w:rsidRPr="00D43CB5" w:rsidRDefault="00AB116C" w:rsidP="004D4E99">
      <w:pPr>
        <w:pStyle w:val="berschriftrmischBegrndung"/>
        <w:keepLines/>
        <w:ind w:left="706" w:hanging="706"/>
      </w:pPr>
      <w:r w:rsidRPr="00D43CB5">
        <w:t>Yhdenmukaisuus Euroopan unionin lainsäädännön ja kansainvälisten sopimusten kanssa</w:t>
      </w:r>
    </w:p>
    <w:p w14:paraId="5493D47B" w14:textId="77777777" w:rsidR="00AB116C" w:rsidRPr="00D43CB5" w:rsidRDefault="00AB116C" w:rsidP="004D4E99">
      <w:pPr>
        <w:pStyle w:val="Text"/>
      </w:pPr>
      <w:r w:rsidRPr="00D43CB5">
        <w:rPr>
          <w:rStyle w:val="Marker"/>
          <w:color w:val="auto"/>
        </w:rPr>
        <w:t xml:space="preserve">Asetus on yhdenmukainen Euroopan unionin lainsäädännön kanssa. Säännökset täyttävät asetuksen (EU) N:o 1169/2011 vaatimukset, jotka koskevat laajennettua ravintoarvomerkintää, ja asetuksen (EY) N:o 1924/2006 vaatimukset, jotka koskevat sääntelyä jäsenvaltioiden tasolla. </w:t>
      </w:r>
    </w:p>
    <w:p w14:paraId="464B48DA" w14:textId="77777777" w:rsidR="00AB116C" w:rsidRPr="00D43CB5" w:rsidRDefault="00AB116C" w:rsidP="004D4E99">
      <w:pPr>
        <w:pStyle w:val="berschriftrmischBegrndung"/>
        <w:keepLines/>
      </w:pPr>
      <w:r w:rsidRPr="00D43CB5">
        <w:t>Oikeusseuraamukset</w:t>
      </w:r>
    </w:p>
    <w:p w14:paraId="5136A8B0" w14:textId="77777777" w:rsidR="00AB116C" w:rsidRPr="00D43CB5" w:rsidRDefault="00AB116C" w:rsidP="004D4E99">
      <w:pPr>
        <w:pStyle w:val="berschriftarabischBegrndung"/>
        <w:keepLines/>
      </w:pPr>
      <w:r w:rsidRPr="00D43CB5">
        <w:t>Lainsäädännön ja hallinnon yksinkertaistaminen</w:t>
      </w:r>
    </w:p>
    <w:p w14:paraId="38F24B71" w14:textId="2F2206B6" w:rsidR="00AB116C" w:rsidRPr="00D43CB5" w:rsidRDefault="00AB116C" w:rsidP="004D4E99">
      <w:pPr>
        <w:pStyle w:val="Text"/>
        <w:rPr>
          <w:rStyle w:val="Marker"/>
          <w:color w:val="auto"/>
        </w:rPr>
      </w:pPr>
      <w:r w:rsidRPr="00D43CB5">
        <w:rPr>
          <w:rStyle w:val="Marker"/>
          <w:color w:val="auto"/>
        </w:rPr>
        <w:t xml:space="preserve">Tämän asetuksen säännöksillä on tarkoitus mahdollistaa elintarvikkeiden vapaaehtoinen merkitseminen Nutri-Score-merkinnällä. </w:t>
      </w:r>
    </w:p>
    <w:p w14:paraId="47684DE2" w14:textId="77777777" w:rsidR="0090263F" w:rsidRPr="00D43CB5" w:rsidRDefault="0090263F" w:rsidP="004D4E99">
      <w:pPr>
        <w:pStyle w:val="Text"/>
      </w:pPr>
    </w:p>
    <w:p w14:paraId="42451048" w14:textId="77777777" w:rsidR="00AB116C" w:rsidRPr="00D43CB5" w:rsidRDefault="00AB116C" w:rsidP="004D4E99">
      <w:pPr>
        <w:pStyle w:val="berschriftarabischBegrndung"/>
        <w:keepLines/>
      </w:pPr>
      <w:r w:rsidRPr="00D43CB5">
        <w:t>Kestävyysnäkökohdat</w:t>
      </w:r>
    </w:p>
    <w:p w14:paraId="6E8E7903" w14:textId="2A18BA1C" w:rsidR="00AB116C" w:rsidRPr="00D43CB5" w:rsidRDefault="00AB116C" w:rsidP="004D4E99">
      <w:pPr>
        <w:pStyle w:val="Text"/>
        <w:rPr>
          <w:rStyle w:val="Marker"/>
          <w:color w:val="auto"/>
        </w:rPr>
      </w:pPr>
      <w:r w:rsidRPr="00D43CB5">
        <w:rPr>
          <w:rStyle w:val="Marker"/>
          <w:color w:val="auto"/>
        </w:rPr>
        <w:t xml:space="preserve">Säännöksillä tuetaan erityisesti liittotasavallan hallituksen kestävyystavoitetta 2 paremman ravitsemuksen osalta ja kestävyystavoitetta 3 ”terveen elämän takaaminen kaikenikäisille ihmisille ja heidän hyvinvointinsa edistäminen” helpottamalla tietoista valintaa helposti ymmärrettävillä ja visuaalisesti hyvin havaittavilla tiedoilla elintarvikkeen ravitsemusfysiologisista ominaisuuksista. Ravitsemusfysiologiselta kannalta edullisempi elintarvike tunnistetaan nopeammin, kun vertailu on helpompaa. Näin merkintä edistää terveellistä ravitsemusta ja on siten yhdenmukainen kestävän kehityksen periaatteen 4.c. kanssa, jonka tavoitteena on kuluttajien terveyden suojelu. </w:t>
      </w:r>
    </w:p>
    <w:p w14:paraId="11A88643" w14:textId="77777777" w:rsidR="0090263F" w:rsidRPr="00D43CB5" w:rsidRDefault="0090263F" w:rsidP="004D4E99">
      <w:pPr>
        <w:pStyle w:val="Text"/>
      </w:pPr>
    </w:p>
    <w:p w14:paraId="6AC566A4" w14:textId="0AAF4A83" w:rsidR="00AB116C" w:rsidRPr="00D43CB5" w:rsidRDefault="00AB116C" w:rsidP="004D4E99">
      <w:pPr>
        <w:pStyle w:val="berschriftarabischBegrndung"/>
        <w:keepLines/>
      </w:pPr>
      <w:r w:rsidRPr="00D43CB5">
        <w:t>Talousarviomenot ilman täytäntöönpanokustannuksia</w:t>
      </w:r>
    </w:p>
    <w:p w14:paraId="01CA2DC7" w14:textId="77777777" w:rsidR="0090263F" w:rsidRPr="00D43CB5" w:rsidRDefault="0090263F" w:rsidP="004D4E99">
      <w:pPr>
        <w:pStyle w:val="Text"/>
      </w:pPr>
    </w:p>
    <w:p w14:paraId="31FF99D7" w14:textId="77777777" w:rsidR="00AB116C" w:rsidRPr="00D43CB5" w:rsidRDefault="00AB116C" w:rsidP="004D4E99">
      <w:pPr>
        <w:pStyle w:val="berschriftarabischBegrndung"/>
        <w:keepLines/>
      </w:pPr>
      <w:r w:rsidRPr="00D43CB5">
        <w:t>Täytäntöönpanokustannukset</w:t>
      </w:r>
    </w:p>
    <w:p w14:paraId="35BD951D" w14:textId="77777777" w:rsidR="00AB116C" w:rsidRPr="00D43CB5" w:rsidRDefault="00AB116C" w:rsidP="004D4E99">
      <w:pPr>
        <w:pStyle w:val="Text"/>
        <w:keepNext/>
        <w:keepLines/>
        <w:rPr>
          <w:b/>
        </w:rPr>
      </w:pPr>
      <w:r w:rsidRPr="00D43CB5">
        <w:rPr>
          <w:b/>
        </w:rPr>
        <w:t>a) Kansalaisille aiheutuvat täytäntöönpanokustannukset</w:t>
      </w:r>
    </w:p>
    <w:p w14:paraId="450E425E" w14:textId="643304CD" w:rsidR="00AB116C" w:rsidRPr="00D43CB5" w:rsidRDefault="00AB116C" w:rsidP="004D4E99">
      <w:pPr>
        <w:pStyle w:val="Text"/>
      </w:pPr>
      <w:r w:rsidRPr="00D43CB5">
        <w:rPr>
          <w:rStyle w:val="Marker"/>
          <w:color w:val="auto"/>
        </w:rPr>
        <w:t>Kansalaisille ei aiheudu täytäntöönpanokustannuksia.</w:t>
      </w:r>
    </w:p>
    <w:p w14:paraId="4F14D8E7" w14:textId="77777777" w:rsidR="00AB116C" w:rsidRPr="00D43CB5" w:rsidRDefault="00AB116C" w:rsidP="004D4E99">
      <w:pPr>
        <w:pStyle w:val="Text"/>
        <w:keepNext/>
        <w:keepLines/>
        <w:rPr>
          <w:b/>
        </w:rPr>
      </w:pPr>
      <w:r w:rsidRPr="00D43CB5">
        <w:rPr>
          <w:b/>
        </w:rPr>
        <w:t>b) Taloudellisille toimijoille aiheutuvat täytäntöönpanokustannukset</w:t>
      </w:r>
    </w:p>
    <w:p w14:paraId="6DD1FE11" w14:textId="6939DEE8" w:rsidR="002F0011" w:rsidRPr="00D43CB5" w:rsidRDefault="002F0011" w:rsidP="004D4E99">
      <w:pPr>
        <w:pStyle w:val="Text"/>
      </w:pPr>
      <w:r w:rsidRPr="00D43CB5">
        <w:t>Koska säännöksellä ainoastaan mahdollistetaan se, että taloudelliset toimijat käyttävät Nutri-Score-merkintää, jonka edellytyksiä säännellään markkinaoikeudella, taloudellisille toimijoille ei aiheudu välittömiä täytäntöönpanokustannuksia.</w:t>
      </w:r>
    </w:p>
    <w:p w14:paraId="296F30FD" w14:textId="77777777" w:rsidR="00AB116C" w:rsidRPr="00D43CB5" w:rsidRDefault="00AB116C" w:rsidP="004D4E99">
      <w:pPr>
        <w:pStyle w:val="Text"/>
        <w:rPr>
          <w:b/>
        </w:rPr>
      </w:pPr>
      <w:r w:rsidRPr="00D43CB5">
        <w:rPr>
          <w:b/>
        </w:rPr>
        <w:t>c)</w:t>
      </w:r>
      <w:r w:rsidRPr="00D43CB5">
        <w:rPr>
          <w:b/>
        </w:rPr>
        <w:tab/>
        <w:t>Hallinnolle aiheutuvat täytäntöönpanokustannukset</w:t>
      </w:r>
    </w:p>
    <w:p w14:paraId="29B73373" w14:textId="32175B75" w:rsidR="002F0011" w:rsidRPr="00D43CB5" w:rsidRDefault="002F0011" w:rsidP="004D4E99">
      <w:pPr>
        <w:pStyle w:val="Text"/>
      </w:pPr>
      <w:r w:rsidRPr="00D43CB5">
        <w:t xml:space="preserve">Liittotasavallan hallinnolle, osavaltioille tai kunnille ei aiheudu merkinnän käyttöluvasta lisäkustannuksia. </w:t>
      </w:r>
    </w:p>
    <w:p w14:paraId="7B07470F" w14:textId="77777777" w:rsidR="00AB116C" w:rsidRPr="00D43CB5" w:rsidRDefault="00AB116C" w:rsidP="004D4E99">
      <w:pPr>
        <w:pStyle w:val="Text"/>
      </w:pPr>
    </w:p>
    <w:p w14:paraId="613DFD9D" w14:textId="77777777" w:rsidR="00AB116C" w:rsidRPr="00D43CB5" w:rsidRDefault="00AB116C" w:rsidP="004D4E99">
      <w:pPr>
        <w:pStyle w:val="berschriftarabischBegrndung"/>
        <w:keepLines/>
      </w:pPr>
      <w:r w:rsidRPr="00D43CB5">
        <w:t>Muut kustannukset</w:t>
      </w:r>
    </w:p>
    <w:p w14:paraId="223750EB" w14:textId="77777777" w:rsidR="00AB116C" w:rsidRPr="00D43CB5" w:rsidRDefault="00AB116C" w:rsidP="004D4E99">
      <w:pPr>
        <w:pStyle w:val="Text"/>
        <w:rPr>
          <w:rStyle w:val="Marker"/>
          <w:color w:val="auto"/>
        </w:rPr>
      </w:pPr>
      <w:r w:rsidRPr="00D43CB5">
        <w:rPr>
          <w:rStyle w:val="Marker"/>
          <w:color w:val="auto"/>
        </w:rPr>
        <w:t xml:space="preserve">Vähäistä vaikutusta vähittäishintoihin ei voida kokonaan sulkea pois; vaikutusta yleiseen hintatasoon, etenkään kuluttajahintatasoon, ei ole kuitenkaan odotettavissa. </w:t>
      </w:r>
    </w:p>
    <w:p w14:paraId="3F281BE4" w14:textId="11971AB7" w:rsidR="0091346C" w:rsidRPr="00D43CB5" w:rsidRDefault="0091346C" w:rsidP="004D4E99">
      <w:pPr>
        <w:pStyle w:val="Text"/>
        <w:rPr>
          <w:rStyle w:val="Marker"/>
          <w:color w:val="auto"/>
        </w:rPr>
      </w:pPr>
      <w:r w:rsidRPr="00D43CB5">
        <w:rPr>
          <w:rStyle w:val="Marker"/>
          <w:color w:val="auto"/>
        </w:rPr>
        <w:t xml:space="preserve">Vapaaehtoiseen merkintäjärjestelmään osallistumisesta aiheutuu yrityksille mahdollisesti vähäisiä kustannuksia merkinnän laskemisessa tarvittavien tietojen rekisteröinnistä ja selvittämisestä. Digitaalinen hakemusmenettely rajoittuu muutamiin kysymyksiin, jotka </w:t>
      </w:r>
      <w:r w:rsidRPr="00D43CB5">
        <w:rPr>
          <w:rStyle w:val="Marker"/>
          <w:color w:val="auto"/>
        </w:rPr>
        <w:lastRenderedPageBreak/>
        <w:t xml:space="preserve">koskevat merkinnän käyttäjän ja tuotteiden tunnistamista, ja se on kokonaisuudessaan maksuton, eli rekisteröintimaksuja tai merkinnän käyttömaksuja ei ole. Konkreettisesti kysymykseen tulevan merkinnän laskenta perustuu jo olemassa olevan ravintoarvomerkinnän ja valmistusohjeen tietoihin. Uusia tietoja ei siis tarvita. Laskentaa varten on käytössä internet-laskin. </w:t>
      </w:r>
    </w:p>
    <w:p w14:paraId="00C2CF7A" w14:textId="43AC0F46" w:rsidR="00DE7B3A" w:rsidRPr="00D43CB5" w:rsidRDefault="00125614" w:rsidP="004D4E99">
      <w:pPr>
        <w:pStyle w:val="Text"/>
        <w:rPr>
          <w:rStyle w:val="Marker"/>
          <w:color w:val="auto"/>
        </w:rPr>
      </w:pPr>
      <w:r w:rsidRPr="00D43CB5">
        <w:rPr>
          <w:rStyle w:val="Marker"/>
          <w:color w:val="auto"/>
        </w:rPr>
        <w:t xml:space="preserve">Taloudellisille toimijoille voi aiheutua kertaluonteisia lisäkustannuksia Nutri-Score-merkinnän lisäämisestä pakkauksen painatukseen. Osa elintarvikealan taloudellisista toimijoista on ilmoittanut, että tästä ei aiheudu mitään kustannuksia. Toiset taloudelliset toimijat ovat ilmoittaneet, että lisäkustannuksia aiheutuu, mutta eivät ole maininneet selkeitä määriä tai laskentaperusteita. Elintarvikemerkinnästä saadut kokemukset osoittavat, että kertaluonteisesta painatusmallien muutoksesta aiheutuvat kustannukset ovat yleensä vähäisiä. </w:t>
      </w:r>
    </w:p>
    <w:p w14:paraId="4C9E2009" w14:textId="77777777" w:rsidR="0091346C" w:rsidRPr="00D43CB5" w:rsidRDefault="0091346C" w:rsidP="004D4E99">
      <w:pPr>
        <w:pStyle w:val="Text"/>
        <w:rPr>
          <w:rStyle w:val="Marker"/>
          <w:color w:val="auto"/>
        </w:rPr>
      </w:pPr>
    </w:p>
    <w:p w14:paraId="693FD342" w14:textId="77777777" w:rsidR="00AB116C" w:rsidRPr="00D43CB5" w:rsidRDefault="00AB116C" w:rsidP="004D4E99">
      <w:pPr>
        <w:pStyle w:val="berschriftarabischBegrndung"/>
        <w:keepLines/>
      </w:pPr>
      <w:r w:rsidRPr="00D43CB5">
        <w:t>Muut oikeusseuraamukset</w:t>
      </w:r>
    </w:p>
    <w:p w14:paraId="5098760C" w14:textId="77777777" w:rsidR="00AB116C" w:rsidRPr="00D43CB5" w:rsidRDefault="00AB116C" w:rsidP="004D4E99">
      <w:pPr>
        <w:pStyle w:val="Text"/>
        <w:rPr>
          <w:rStyle w:val="Marker"/>
          <w:color w:val="auto"/>
        </w:rPr>
      </w:pPr>
      <w:r w:rsidRPr="00D43CB5">
        <w:rPr>
          <w:rStyle w:val="Marker"/>
          <w:color w:val="auto"/>
        </w:rPr>
        <w:t xml:space="preserve">Asetuksen väestörakennetta koskevat seuraukset ja riskit on tarkastettu Saksan liittotasavallan sisäministeriön julkaisemien väestörakennetta koskevien tarkastusten perusteella. Menettelyllä ei ole välittömiä vaikutuksia väestörakenteeseen. </w:t>
      </w:r>
    </w:p>
    <w:p w14:paraId="03F599DB" w14:textId="77777777" w:rsidR="00AB116C" w:rsidRPr="00D43CB5" w:rsidRDefault="00AB116C" w:rsidP="004D4E99">
      <w:pPr>
        <w:pStyle w:val="Text"/>
      </w:pPr>
      <w:r w:rsidRPr="00D43CB5">
        <w:rPr>
          <w:rStyle w:val="Marker"/>
          <w:color w:val="auto"/>
        </w:rPr>
        <w:t xml:space="preserve">Asetuksella ei ole vaikutuksia miesten ja naisten tasa-arvoon. </w:t>
      </w:r>
    </w:p>
    <w:p w14:paraId="001C24D4" w14:textId="77777777" w:rsidR="00AB116C" w:rsidRPr="00D43CB5" w:rsidRDefault="00AB116C" w:rsidP="004D4E99">
      <w:pPr>
        <w:pStyle w:val="BegrndungBesondererTeil"/>
        <w:keepLines/>
      </w:pPr>
      <w:r w:rsidRPr="00D43CB5">
        <w:t>B. Erityinen osa</w:t>
      </w:r>
    </w:p>
    <w:p w14:paraId="52BD8A51" w14:textId="77777777" w:rsidR="00AB116C" w:rsidRPr="00D43CB5" w:rsidRDefault="00AB116C" w:rsidP="004D4E99">
      <w:pPr>
        <w:pStyle w:val="Text"/>
        <w:keepNext/>
        <w:keepLines/>
        <w:rPr>
          <w:rStyle w:val="Marker"/>
          <w:b/>
          <w:color w:val="auto"/>
        </w:rPr>
      </w:pPr>
      <w:r w:rsidRPr="00D43CB5">
        <w:rPr>
          <w:rStyle w:val="Marker"/>
          <w:b/>
          <w:color w:val="auto"/>
        </w:rPr>
        <w:t xml:space="preserve">4a §: </w:t>
      </w:r>
    </w:p>
    <w:p w14:paraId="4C703332" w14:textId="57443956" w:rsidR="00AB116C" w:rsidRPr="00D43CB5" w:rsidRDefault="00AB116C" w:rsidP="004D4E99">
      <w:pPr>
        <w:pStyle w:val="Text"/>
        <w:rPr>
          <w:rStyle w:val="Marker"/>
          <w:color w:val="auto"/>
        </w:rPr>
      </w:pPr>
      <w:r w:rsidRPr="00D43CB5">
        <w:rPr>
          <w:rStyle w:val="Marker"/>
          <w:color w:val="auto"/>
        </w:rPr>
        <w:t xml:space="preserve">Uudella 4a §:llä luodaan oikeusperusta elintarvikkeiden vapaaehtoiselle merkitsemiselle Nutri-Score-merkinnällä ja viitataan Euroopan unionin Nutri-Score-yhteisömerkin käytön markkinaoikeudellisiin edellytyksiin. </w:t>
      </w:r>
    </w:p>
    <w:p w14:paraId="0768F15D" w14:textId="77777777" w:rsidR="00AB116C" w:rsidRPr="00D43CB5" w:rsidRDefault="00AB116C" w:rsidP="004D4E99">
      <w:pPr>
        <w:pStyle w:val="Text"/>
        <w:rPr>
          <w:rStyle w:val="Marker"/>
          <w:color w:val="auto"/>
        </w:rPr>
      </w:pPr>
      <w:r w:rsidRPr="00D43CB5">
        <w:rPr>
          <w:rStyle w:val="Marker"/>
          <w:color w:val="auto"/>
        </w:rPr>
        <w:t xml:space="preserve">Pykälän 3 momentissa selvennetään, että merkinnän käytön yhteydessä on otettava huomioon teollis- ja tekijänoikeudet ja muut niiden suojaamiseen liittyvät Euroopan unionin tai sen jäsenvaltioiden oikeudet. </w:t>
      </w:r>
    </w:p>
    <w:p w14:paraId="60003B59" w14:textId="77777777" w:rsidR="00AB116C" w:rsidRPr="00D43CB5" w:rsidRDefault="00AB116C" w:rsidP="004D4E99">
      <w:pPr>
        <w:pStyle w:val="Text"/>
        <w:rPr>
          <w:rStyle w:val="Marker"/>
          <w:color w:val="auto"/>
        </w:rPr>
      </w:pPr>
      <w:r w:rsidRPr="00D43CB5">
        <w:rPr>
          <w:rStyle w:val="Marker"/>
          <w:color w:val="auto"/>
        </w:rPr>
        <w:t xml:space="preserve">Tavaramerkin haltija on Santé publique France. Sen käyttöehtojen mukaisesti vaaditaan muun muassa rekisteröintiä. Lisäksi merkinnän käyttäjän on noudatettava tavaramerkin haltijan asettamia yksittäisiä käyttöehtoja. </w:t>
      </w:r>
    </w:p>
    <w:p w14:paraId="5AC32D02" w14:textId="63AB5856" w:rsidR="002728DE" w:rsidRPr="004D4E99" w:rsidRDefault="00AB116C" w:rsidP="004D4E99">
      <w:pPr>
        <w:pStyle w:val="Text"/>
      </w:pPr>
      <w:r w:rsidRPr="00D43CB5">
        <w:rPr>
          <w:rStyle w:val="Marker"/>
          <w:color w:val="auto"/>
        </w:rPr>
        <w:t xml:space="preserve">Tällä hetkellä tavaramerkin haltijan käytölle asettamat ehdot on julkaistu ranskaksi ja/tai englanniksi. Merkitsemisen helpottamiseksi ja myös pienten ja keskisuurten yritysten auttamiseksi on tarkoitus mahdollistaa sähköisen yhteydenoton helpottaminen ranskalaiseen tavaramerkin haltijaan ja esimerkiksi julkaista liittotasavallan virallisessa lehdessä saksankieliset käännökset hakemusmalleista tai -tiedoista. </w:t>
      </w:r>
      <w:bookmarkEnd w:id="0"/>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t>Tästä asetuksesta on ilmoitettu teknisiä määräyksiä ja tietoyhteiskunnan palveluja koskevia määräyksiä koskevien tietojen toimittamisessa noudatettavasta menettelystä 9 päivänä syyskuuta 2015 annetun Euroopan parlamentin ja neuvoston direktiivin (EU) 2015/1535 (EUVL L 241, 17.9.2015, s. 1) mukaisesti.</w:t>
      </w:r>
      <w:r>
        <w:rPr>
          <w:sz w:val="18"/>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D43CB5">
      <w:rPr>
        <w:noProof/>
      </w:rPr>
      <w:t>1</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43CB5"/>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78C2D51-20D9-4CCE-BDD8-48DFE2E1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11364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ZAGHINI, Francesco</cp:lastModifiedBy>
  <cp:revision>3</cp:revision>
  <cp:lastPrinted>2020-03-04T10:36:00Z</cp:lastPrinted>
  <dcterms:created xsi:type="dcterms:W3CDTF">2020-03-10T09:45:00Z</dcterms:created>
  <dcterms:modified xsi:type="dcterms:W3CDTF">2020-03-18T15:04:00Z</dcterms:modified>
</cp:coreProperties>
</file>