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646BD8" w:rsidRDefault="00CA0774" w:rsidP="00CA0774">
      <w:pPr>
        <w:spacing w:line="360" w:lineRule="auto"/>
        <w:jc w:val="center"/>
        <w:rPr>
          <w:rFonts w:ascii="Courier New" w:hAnsi="Courier New" w:cs="Courier New"/>
          <w:sz w:val="20"/>
        </w:rPr>
      </w:pPr>
      <w:bookmarkStart w:id="0" w:name="_GoBack"/>
      <w:r w:rsidRPr="00646BD8">
        <w:rPr>
          <w:rFonts w:ascii="Courier New" w:hAnsi="Courier New"/>
          <w:sz w:val="20"/>
        </w:rPr>
        <w:t>1. ------IND- 2019 0551 HU- DE- ------ 20191114 --- --- PROJET</w:t>
      </w:r>
    </w:p>
    <w:bookmarkEnd w:id="0"/>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szCs w:val="24"/>
        </w:rPr>
        <w:t>Verordnung</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szCs w:val="24"/>
        </w:rPr>
        <w:t>Nr. .../2019 vom ... ... des Agrarministers</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szCs w:val="24"/>
        </w:rPr>
        <w:t>zur Änderung der</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szCs w:val="24"/>
        </w:rPr>
        <w:t>Verordnung Nr. 152/2009 des Ministeriums für Landwirtschaft und Entwicklung des ländlichen Raums (FVM) vom 12. November 2009 über die obligatorischen Vorschriften des Codex Alimentarius Hungaricus</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szCs w:val="24"/>
        </w:rPr>
        <w:t>Aufgrund der in § 76 Absatz 2 Nummer 5 des Gesetzes Nr. XLVI von 2008 über die Lebensmittelkette und deren behördliche Beaufsichtigung übertragenen Befugnis und in meiner Funktion gemäß § 79 Nummer 4 der Regierungsverordnung Nr. 94/2018 vom 22. Mai 2018 über die Aufgaben und Zuständigkeiten der Regierungsmitglieder wird verordnet:</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1</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szCs w:val="24"/>
        </w:rPr>
        <w:t xml:space="preserve">§ 1 Absatz 3 der Verordnung Nr. 152/2009 vom 12. November 2009 des Ministeriums für Landwirtschaft und Entwicklung des ländlichen Raums (FVM) über die obligatorischen Vorschriften des Codex Alimentarius Hungaricus (nachfolgend: „R.“) wird um folgenden Buchstaben e ergänzt: </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bCs/>
          <w:i/>
          <w:color w:val="000000"/>
          <w:sz w:val="24"/>
          <w:szCs w:val="24"/>
        </w:rPr>
        <w:t>[Die obligatorischen Vorschriften von Band I des Codex Alimentarius Hungaricus mit den nationalen Produktbeschreibungen werden in den folgenden Anhängen dieser Verordnung veröffentlicht:]</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lang w:eastAsia="hu-HU"/>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bCs/>
          <w:color w:val="000000"/>
          <w:sz w:val="24"/>
          <w:szCs w:val="24"/>
        </w:rPr>
        <w:t xml:space="preserve">„c) </w:t>
      </w:r>
      <w:r>
        <w:rPr>
          <w:rFonts w:ascii="Times New Roman" w:hAnsi="Times New Roman"/>
          <w:bCs/>
          <w:i/>
          <w:color w:val="000000"/>
          <w:sz w:val="24"/>
          <w:szCs w:val="24"/>
        </w:rPr>
        <w:t xml:space="preserve">Anhang 41 </w:t>
      </w:r>
      <w:r>
        <w:rPr>
          <w:rFonts w:ascii="Times New Roman" w:hAnsi="Times New Roman"/>
          <w:bCs/>
          <w:color w:val="000000"/>
          <w:sz w:val="24"/>
          <w:szCs w:val="24"/>
        </w:rPr>
        <w:t>über geräuchertes Gewürzpaprikapulver,”</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bCs/>
          <w:color w:val="000000"/>
          <w:sz w:val="24"/>
          <w:szCs w:val="24"/>
        </w:rPr>
        <w:t>An § 2 R. wird folgender Absatz 16 angefügt:</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color w:val="000000"/>
          <w:sz w:val="24"/>
          <w:szCs w:val="24"/>
        </w:rPr>
        <w:t>„(16) Produkte, die nicht den Bestimmungen von Anhang 41, festgelegt mit der Verordnung Nr. .../2019 des Agrarministers (AM) über die Änderung der Verordnung Nr. 152/2009 des Ministeriums für Landwirtschaft und Entwicklung des ländlichen Raums (FVM) vom 12. November 2009 über die obligatorischen Vorschriften des Codex Alimentarius Hungaricus (nachfolgend MódR6.) entsprechen, dürfen bis zu zwei Jahre nach Inkrafttreten der MódR6. hergestellt und bis zum Ablauf des Mindesthaltbarkeitsdatums in Verkehr gebracht werden.“</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bCs/>
          <w:color w:val="000000"/>
          <w:sz w:val="24"/>
          <w:szCs w:val="24"/>
        </w:rPr>
        <w:t>§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StandardWeb"/>
        <w:keepNext/>
        <w:keepLines/>
        <w:spacing w:before="0" w:beforeAutospacing="0" w:after="0" w:afterAutospacing="0"/>
        <w:jc w:val="both"/>
        <w:rPr>
          <w:bCs/>
        </w:rPr>
      </w:pPr>
      <w:r>
        <w:t>In die R. wird folgender § 6 eingefügt:</w:t>
      </w:r>
    </w:p>
    <w:p w:rsidR="000C70B4" w:rsidRPr="00562311" w:rsidRDefault="000C70B4" w:rsidP="0045040A">
      <w:pPr>
        <w:pStyle w:val="StandardWeb"/>
        <w:keepNext/>
        <w:keepLines/>
        <w:spacing w:before="0" w:beforeAutospacing="0" w:after="0" w:afterAutospacing="0"/>
        <w:jc w:val="both"/>
        <w:rPr>
          <w:bCs/>
        </w:rPr>
      </w:pPr>
    </w:p>
    <w:p w:rsidR="000C70B4" w:rsidRPr="00562311" w:rsidRDefault="000C70B4" w:rsidP="0045040A">
      <w:pPr>
        <w:pStyle w:val="StandardWeb"/>
        <w:spacing w:before="0" w:beforeAutospacing="0" w:after="0" w:afterAutospacing="0"/>
        <w:jc w:val="both"/>
        <w:rPr>
          <w:bCs/>
        </w:rPr>
      </w:pPr>
      <w:r>
        <w:t xml:space="preserve">„§ 6. Der Entwurf zu Anhang 41 wurde notifiziert gemäß Artikel 5 bis 7 der Richtlinie (EU) 2015/1535 des Europäischen Parlaments und des Rates vom 9. September 2015 über ein </w:t>
      </w:r>
      <w:r>
        <w:lastRenderedPageBreak/>
        <w:t>Informationsverfahren auf dem Gebiet der technischen Vorschriften und der Vorschriften für die Dienste der Informationsgesellschaft.“</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szCs w:val="24"/>
        </w:rPr>
        <w:t>An die R. wird Anhang 41 gemäß Anhang 1 angefügt.</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szCs w:val="24"/>
        </w:rPr>
        <w:t>Die vorliegende Verordnung tritt am dritten Tag nach ihrer Bekanntmachung in Kraft.</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szCs w:val="24"/>
        </w:rPr>
        <w:t>Die in den Artikeln 5 bis 7 der Richtlinie (EU) 2015/1535 des Europäischen Parlaments und des Rates vom 9. September 2015 über ein Informationsverfahren auf dem Gebiet der technischen Vorschriften und der Vorschriften für die Dienste der Informationsgesellschaft vorgeschriebene vorausgehende Notifizierung dieses Verordnungsentwurfs wurde durchgeführt.</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szCs w:val="24"/>
        </w:rPr>
        <w:t>Budapest, den … 2019</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334735"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szCs w:val="24"/>
        </w:rPr>
        <w:t>Dr.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szCs w:val="24"/>
        </w:rPr>
        <w:t>Agrarminister</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szCs w:val="24"/>
        </w:rPr>
        <w:lastRenderedPageBreak/>
        <w:t>Anhang 1 zur Verordnung Nr. .../2019 des Agrarministers (AM) vom … …</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szCs w:val="24"/>
        </w:rPr>
        <w:t>„Anhang 41 zur Verordnung Nr. 152/2009 des Ministeriums für Landwirtschaft und Entwicklung des ländlichen Raums (FVM) vom 12. November 2009</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szCs w:val="26"/>
        </w:rPr>
        <w:t>Vorschrift Nr. 1-3/18-1 des Codex Alimentarius Hungaricus über geräuchertes Gewürzpaprikapulver</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szCs w:val="26"/>
        </w:rPr>
        <w:t>Teil A</w:t>
      </w:r>
    </w:p>
    <w:p w:rsidR="00B94390" w:rsidRPr="00562311" w:rsidRDefault="00B94390" w:rsidP="0045040A">
      <w:pPr>
        <w:pStyle w:val="Default"/>
        <w:keepNext/>
        <w:keepLines/>
        <w:jc w:val="center"/>
        <w:rPr>
          <w:b/>
          <w:sz w:val="26"/>
          <w:szCs w:val="26"/>
        </w:rPr>
      </w:pPr>
      <w:r>
        <w:rPr>
          <w:b/>
          <w:sz w:val="26"/>
          <w:szCs w:val="26"/>
        </w:rPr>
        <w:t>ALLGEMEINE BESTIMMUNGEN</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 xml:space="preserve">I. </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szCs w:val="24"/>
        </w:rPr>
        <w:t xml:space="preserve">Diese Vorschrift legt aufgrund von § 66 Absatz 1 des Gesetzes Nr. XLVI von 2008 über die Lebensmittelkette und deren behördliche Beaufsichtigung die Anforderungen an die Qualität und Zusammensetzung der Produkte fest, die durch Räuchern und Mahlen der reifen, getrockneten Frucht von </w:t>
      </w:r>
      <w:r>
        <w:rPr>
          <w:rFonts w:ascii="Times New Roman" w:hAnsi="Times New Roman"/>
          <w:i/>
          <w:sz w:val="24"/>
          <w:szCs w:val="24"/>
        </w:rPr>
        <w:t>Capsicum annuum</w:t>
      </w:r>
      <w:r>
        <w:rPr>
          <w:rFonts w:ascii="Times New Roman" w:hAnsi="Times New Roman"/>
          <w:sz w:val="24"/>
          <w:szCs w:val="24"/>
        </w:rPr>
        <w:t xml:space="preserve"> L. var. longum DC., das zur Familie der Nachtschattengewächse (Solanaceae) gehört, hergestellt werden.</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szCs w:val="24"/>
        </w:rPr>
        <w:t>Die Vorschrift bezieht sich nicht auf die aufgrund der Verordnung (EU) Nr. 1151/2012 des Europäischen Parlaments und des Rates vom 21. November 2012 über Qualitätsregelungen für Agrarerzeugnisse und Lebensmittel geschützte Ursprungsbezeichnung von Gewürzpaprikapulver.</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szCs w:val="24"/>
        </w:rPr>
        <w:t xml:space="preserve">Die in der Vorschrift bestimmte Bezeichnung geräuchertes Gewürzpaprikapulver darf nur dann verwendet werden, wenn das Produkt den Anforderungen der vorliegenden Vorschrift entspricht. </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bCs/>
          <w:sz w:val="24"/>
          <w:szCs w:val="24"/>
        </w:rPr>
        <w:t xml:space="preserve">Die in der Vorschrift festgelegten Qualitätsparameter wurden mit den Prüfungsmethoden gemäß dem Anhang der Vorschrift bestimmt, so dass zur Kontrolle dieser Parameter die dort aufgeführten oder damit gleichwertige Prüfmethoden anzuwenden sind. </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bCs/>
          <w:sz w:val="24"/>
          <w:szCs w:val="24"/>
        </w:rPr>
        <w:t>Den in dieser Vorschrift festgelegten technischen Spezifikationen müssen solche Erzeugnisse nicht entsprechen, die in einem der Mitgliedstaaten der Europäischen Union oder in der Türkei hergestellt oder in Verkehr gebracht wurden oder die in einem der am Abkommen über den Europäischen Wirtschaftsraum beteiligten EFTA-Staaten gemäß den dort geltenden Vorschriften hergestellt wurden, vorausgesetzt, dass die maßgeblichen Vorschriften hinsichtlich des Verbraucherschutzes einen mit den Bestimmungen der vorliegenden Verordnung gleichwertigen Schutz gewährleisten.</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szCs w:val="24"/>
        </w:rPr>
        <w:t xml:space="preserve">II. </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szCs w:val="24"/>
        </w:rPr>
        <w:t>In Anwendung dieser Vorschrift gelten folgende Begriffsbestimmungen:</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Haut:</w:t>
      </w:r>
      <w:r>
        <w:rPr>
          <w:rFonts w:ascii="Times New Roman" w:hAnsi="Times New Roman"/>
          <w:sz w:val="24"/>
          <w:szCs w:val="24"/>
        </w:rPr>
        <w:t xml:space="preserve"> die Farbstoffe enthaltende Fruchtwand der Paprikafrucht.</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szCs w:val="24"/>
        </w:rPr>
        <w:t xml:space="preserve">Kerngehäuse: </w:t>
      </w:r>
      <w:r>
        <w:rPr>
          <w:rFonts w:ascii="Times New Roman" w:hAnsi="Times New Roman"/>
          <w:sz w:val="24"/>
          <w:szCs w:val="24"/>
        </w:rPr>
        <w:t>Grünes Gebilde, das durch das Zusammenwachsen von Fruchtstiel und Kelchblatt entsteht.</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iCs/>
          <w:sz w:val="24"/>
          <w:szCs w:val="24"/>
        </w:rPr>
        <w:t xml:space="preserve">Räuchern: </w:t>
      </w:r>
      <w:r>
        <w:rPr>
          <w:rFonts w:ascii="Times New Roman" w:hAnsi="Times New Roman"/>
          <w:sz w:val="24"/>
          <w:szCs w:val="24"/>
        </w:rPr>
        <w:t>ein Verfahren, dessen Ziel es ist, den Erzeugnissen mit dem erzeugten Rauch einen Rauchgeschmack und eine Räucherfarbe zu verleihen und einen Produktcharakter entstehen zu lassen. Dabei werden die Erzeugnisse direkt oder indirekt dem Rauch von Holzfeuer (Hartholz) ausgesetzt. Folgende Räucherverfahren können dabei angewendet werden:</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szCs w:val="24"/>
        </w:rPr>
        <w:lastRenderedPageBreak/>
        <w:t xml:space="preserve">3.1. </w:t>
      </w:r>
      <w:r>
        <w:rPr>
          <w:rFonts w:ascii="Times New Roman" w:hAnsi="Times New Roman"/>
          <w:b/>
          <w:sz w:val="24"/>
          <w:szCs w:val="24"/>
        </w:rPr>
        <w:t>Kalträuchern</w:t>
      </w:r>
      <w:r>
        <w:rPr>
          <w:rFonts w:ascii="Times New Roman" w:hAnsi="Times New Roman"/>
          <w:sz w:val="24"/>
          <w:szCs w:val="24"/>
        </w:rPr>
        <w:t>: erfolgt bei Temperaturen unter 40 °C. Dauer des Kalträucherns:</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szCs w:val="24"/>
        </w:rPr>
        <w:t xml:space="preserve">3.1.1. </w:t>
      </w:r>
      <w:r>
        <w:rPr>
          <w:rFonts w:ascii="Times New Roman" w:hAnsi="Times New Roman"/>
          <w:i/>
          <w:sz w:val="24"/>
          <w:szCs w:val="24"/>
        </w:rPr>
        <w:t>herkömmliches langes Kalträuchern</w:t>
      </w:r>
      <w:r>
        <w:rPr>
          <w:rFonts w:ascii="Times New Roman" w:hAnsi="Times New Roman"/>
          <w:sz w:val="24"/>
          <w:szCs w:val="24"/>
        </w:rPr>
        <w:t xml:space="preserve">, bei dem das Produkt über längere Zeit in mehreren Phasen dem verdünnten Rauch ausgesetzt wird; </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szCs w:val="24"/>
        </w:rPr>
        <w:t xml:space="preserve">3.1.2. </w:t>
      </w:r>
      <w:r>
        <w:rPr>
          <w:rFonts w:ascii="Times New Roman" w:hAnsi="Times New Roman"/>
          <w:i/>
          <w:sz w:val="24"/>
          <w:szCs w:val="24"/>
        </w:rPr>
        <w:t>kurzes Räucherverfahren</w:t>
      </w:r>
      <w:r>
        <w:rPr>
          <w:rFonts w:ascii="Times New Roman" w:hAnsi="Times New Roman"/>
          <w:sz w:val="24"/>
          <w:szCs w:val="24"/>
        </w:rPr>
        <w:t xml:space="preserve">, bei dem das Produkt – bei entsprechendem Durchröten – mit dichtem kalten Rauch über mehrere Tage geräuchert wird. </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szCs w:val="24"/>
        </w:rPr>
        <w:t xml:space="preserve">3.2. </w:t>
      </w:r>
      <w:r>
        <w:rPr>
          <w:rFonts w:ascii="Times New Roman" w:hAnsi="Times New Roman"/>
          <w:b/>
          <w:sz w:val="24"/>
          <w:szCs w:val="24"/>
        </w:rPr>
        <w:t>Warmräuchern</w:t>
      </w:r>
      <w:r>
        <w:rPr>
          <w:rFonts w:ascii="Times New Roman" w:hAnsi="Times New Roman"/>
          <w:sz w:val="24"/>
          <w:szCs w:val="24"/>
        </w:rPr>
        <w:t>: erfolgt bei einer Temperatur von 40 bis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Gewürzpaprika:</w:t>
      </w:r>
      <w:r>
        <w:rPr>
          <w:rFonts w:ascii="Times New Roman" w:hAnsi="Times New Roman"/>
          <w:sz w:val="24"/>
          <w:szCs w:val="24"/>
        </w:rPr>
        <w:t xml:space="preserve"> zur Familie der Nachtschattengewächse (</w:t>
      </w:r>
      <w:r>
        <w:rPr>
          <w:rFonts w:ascii="Times New Roman" w:hAnsi="Times New Roman"/>
          <w:i/>
          <w:sz w:val="24"/>
          <w:szCs w:val="24"/>
        </w:rPr>
        <w:t>Solanaceae</w:t>
      </w:r>
      <w:r>
        <w:rPr>
          <w:rFonts w:ascii="Times New Roman" w:hAnsi="Times New Roman"/>
          <w:sz w:val="24"/>
          <w:szCs w:val="24"/>
        </w:rPr>
        <w:t xml:space="preserve">) gehörende Pflanzenart </w:t>
      </w:r>
      <w:r>
        <w:rPr>
          <w:rFonts w:ascii="Times New Roman" w:hAnsi="Times New Roman"/>
          <w:i/>
          <w:sz w:val="24"/>
          <w:szCs w:val="24"/>
        </w:rPr>
        <w:t>Capsicum annuum</w:t>
      </w:r>
      <w:r>
        <w:rPr>
          <w:rFonts w:ascii="Times New Roman" w:hAnsi="Times New Roman"/>
          <w:sz w:val="24"/>
          <w:szCs w:val="24"/>
        </w:rPr>
        <w:t xml:space="preserve"> L. var. </w:t>
      </w:r>
      <w:r>
        <w:rPr>
          <w:rFonts w:ascii="Times New Roman" w:hAnsi="Times New Roman"/>
          <w:i/>
          <w:sz w:val="24"/>
          <w:szCs w:val="24"/>
        </w:rPr>
        <w:t>longum</w:t>
      </w:r>
      <w:r>
        <w:rPr>
          <w:rFonts w:ascii="Times New Roman" w:hAnsi="Times New Roman"/>
          <w:sz w:val="24"/>
          <w:szCs w:val="24"/>
        </w:rPr>
        <w:t xml:space="preserve"> DC., frisch oder getrocknet.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Geruch:</w:t>
      </w:r>
      <w:r>
        <w:rPr>
          <w:rFonts w:ascii="Times New Roman" w:hAnsi="Times New Roman"/>
          <w:sz w:val="24"/>
          <w:szCs w:val="24"/>
        </w:rPr>
        <w:t xml:space="preserve"> Duft, Geruchsharmonie und Würze des vorbereiteten Musters, die mit dem Geruchssinn wahrnehmbar sind.</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Geschmack:</w:t>
      </w:r>
      <w:r>
        <w:rPr>
          <w:rFonts w:ascii="Times New Roman" w:hAnsi="Times New Roman"/>
          <w:sz w:val="24"/>
          <w:szCs w:val="24"/>
        </w:rPr>
        <w:t xml:space="preserve"> Aroma, Würze, Geschmacksharmonie und Schärfe des Musters, die den Geschmack bilden und durch Verkosten des Musters wahrzunehmen sind.</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szCs w:val="24"/>
        </w:rPr>
        <w:t xml:space="preserve">Gesamt-Capsaicingehalt: </w:t>
      </w:r>
      <w:r>
        <w:rPr>
          <w:rFonts w:ascii="Times New Roman" w:hAnsi="Times New Roman"/>
          <w:sz w:val="24"/>
          <w:szCs w:val="24"/>
        </w:rPr>
        <w:t>Gesamtgehalt an Capsaicin und Dihydrocapsaicin.</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 xml:space="preserve">Äußere Erscheinung: </w:t>
      </w:r>
      <w:r>
        <w:rPr>
          <w:rFonts w:ascii="Times New Roman" w:hAnsi="Times New Roman"/>
          <w:sz w:val="24"/>
          <w:szCs w:val="24"/>
        </w:rPr>
        <w:t>Gesamtheit der visuellen (sichtbaren) Eigenschaften, insbesondere die Feinheit und Einheitlichkeit der Mahlung.</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 xml:space="preserve">Mosaikartig: </w:t>
      </w:r>
      <w:r>
        <w:rPr>
          <w:rFonts w:ascii="Times New Roman" w:hAnsi="Times New Roman"/>
          <w:sz w:val="24"/>
          <w:szCs w:val="24"/>
        </w:rPr>
        <w:t>Präsenz von gut zu unterscheidenden Stücken der Fruchtteile (Haut, Kerne, Gehäuse) auf der geglätteten Oberfläche in mit dem Auge wahrnehmbarem Maße.</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 xml:space="preserve">Farbe: </w:t>
      </w:r>
      <w:r>
        <w:rPr>
          <w:rFonts w:ascii="Times New Roman" w:hAnsi="Times New Roman"/>
          <w:sz w:val="24"/>
          <w:szCs w:val="24"/>
        </w:rPr>
        <w:t>die Farbempfindung des Prüfers in Bezug auf das vorbereitete Muster, ergänzt durch die Prüfung der Nuancen und Reinheit in natürlichem, gestreutem Licht oder in einem gleichwertigen künstlichen Licht.</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szCs w:val="24"/>
        </w:rPr>
        <w:t xml:space="preserve">Anbaugebiet: </w:t>
      </w:r>
      <w:r>
        <w:rPr>
          <w:rFonts w:ascii="Times New Roman" w:hAnsi="Times New Roman"/>
          <w:sz w:val="24"/>
          <w:szCs w:val="24"/>
        </w:rPr>
        <w:t>das Land, in dem der Gewürzpaprika, der die Grundlage des Pulvers bildet, angebaut wurde.</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szCs w:val="24"/>
        </w:rPr>
        <w:t>Teil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GERÄUCHERTES GEWÜRZPAPRIKAPULVER</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szCs w:val="24"/>
        </w:rPr>
        <w:t>1. Produktdefinition</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szCs w:val="24"/>
        </w:rPr>
        <w:t xml:space="preserve">Geräuchertes Gewürzpaprikapulver ist das aus der reifen, getrockneten Frucht der Gewürzpaprika durch Räuchern und Mahlen hergestellte Produkt. </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szCs w:val="24"/>
        </w:rPr>
        <w:t>2. Verwendbare Zutaten</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szCs w:val="24"/>
        </w:rPr>
        <w:t>Zur Herstellung von geräuchertem Gewürzpaprikapulver darf ausschließlich die Frucht von Gewürzpaprika verwendet werden: Haut, Fruchtknoten, Fasern, Kerne in der Frucht sowie in veränderlichen Anteilen andere Bestandteile der Frucht wie das Kelchblatt und der Fruchtstiel. Die Verwendung von Lebensmittelzusatzstoffen, Raucharoma und sonstigen Zutaten ist nicht gestattet.</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szCs w:val="24"/>
        </w:rPr>
        <w:t>3. Qualitätsmerkmale</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szCs w:val="24"/>
        </w:rPr>
        <w:t>3.1. Physikalische und chemische Merkmale</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ellenraster"/>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szCs w:val="24"/>
              </w:rPr>
              <w:t>A</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szCs w:val="24"/>
              </w:rPr>
              <w:t>B</w:t>
            </w:r>
          </w:p>
        </w:tc>
      </w:tr>
      <w:tr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szCs w:val="24"/>
              </w:rPr>
              <w:t>1.</w:t>
            </w: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szCs w:val="24"/>
              </w:rPr>
              <w:t>Physikalische und chemische Merkmale</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szCs w:val="24"/>
              </w:rPr>
              <w:t>Qualitätsanforderungen</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t>2.</w:t>
            </w:r>
          </w:p>
        </w:tc>
        <w:tc>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szCs w:val="24"/>
              </w:rPr>
              <w:t>Gehalt an natürlichen, färbenden Substanzen, in ASTA-Farbeinheiten</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100</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t>3.</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Feuchtigkeitsgehalt</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höchstens 11 % (m/m)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t>4.</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Gesamtasche, bezogen auf die Trockenmasse</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höchstens 8 % (m/m)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lastRenderedPageBreak/>
              <w:t>5.</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Gehalt an nicht säurelöslicher Asche, bezogen auf die Trockenmasse</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höchstens 0,7 % (m/m)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t>6.</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Mit Ether extrahierbare nicht flüchtige Bestandteile, bezogen auf die Trockenmasse</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höchstens 16 % (m/m)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szCs w:val="24"/>
              </w:rPr>
              <w:t>7.</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Mahlfeinheitsgrad, Teil der durch ein Sieb mit ø 0,500 (mm) fällt</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szCs w:val="24"/>
              </w:rPr>
              <w:t>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szCs w:val="24"/>
        </w:rPr>
        <w:t>3.2. Einteilung der Gewürzpaprikapulver nach Schärfe</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ellenraster"/>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szCs w:val="24"/>
              </w:rPr>
              <w:t>A</w:t>
            </w:r>
          </w:p>
        </w:tc>
        <w:tc>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szCs w:val="24"/>
              </w:rPr>
              <w:t>B</w:t>
            </w:r>
          </w:p>
        </w:tc>
      </w:tr>
      <w:tr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szCs w:val="24"/>
              </w:rPr>
              <w:t>1.</w:t>
            </w:r>
          </w:p>
        </w:tc>
        <w:tc>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szCs w:val="24"/>
              </w:rPr>
              <w:t>Bezeichnung des Schärfe</w:t>
            </w:r>
          </w:p>
        </w:tc>
        <w:tc>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szCs w:val="24"/>
              </w:rPr>
              <w:t>Gesamt-Capsaicingehalt (mg/kg)</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szCs w:val="24"/>
              </w:rPr>
              <w:t>2.</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szCs w:val="24"/>
              </w:rPr>
              <w:t>Nicht scharf (süß)</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szCs w:val="24"/>
              </w:rPr>
              <w:t>weniger als 30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szCs w:val="24"/>
              </w:rPr>
              <w:t>3.</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szCs w:val="24"/>
              </w:rPr>
              <w:t>Leicht scharf</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szCs w:val="24"/>
              </w:rPr>
              <w:t>30–200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szCs w:val="24"/>
              </w:rPr>
              <w:t>4.</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szCs w:val="24"/>
              </w:rPr>
              <w:t>Scharf</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szCs w:val="24"/>
              </w:rPr>
              <w:t>201-500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szCs w:val="24"/>
              </w:rPr>
              <w:t>5.</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szCs w:val="24"/>
              </w:rPr>
              <w:t>Sehr scharf</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szCs w:val="24"/>
              </w:rPr>
              <w:t>über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szCs w:val="24"/>
        </w:rPr>
        <w:t>3.3. Organoleptische Merkmale</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
        <w:gridCol w:w="1546"/>
        <w:gridCol w:w="1766"/>
        <w:gridCol w:w="1544"/>
        <w:gridCol w:w="1828"/>
        <w:gridCol w:w="1969"/>
        <w:gridCol w:w="6"/>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szCs w:val="20"/>
              </w:rPr>
              <w:t>A</w:t>
            </w:r>
          </w:p>
        </w:tc>
        <w:tc>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B</w:t>
            </w:r>
          </w:p>
        </w:tc>
        <w:tc>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C</w:t>
            </w:r>
          </w:p>
        </w:tc>
        <w:tc>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D</w:t>
            </w:r>
          </w:p>
        </w:tc>
        <w:tc>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szCs w:val="20"/>
              </w:rPr>
              <w:t>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Äußere Erscheinung</w:t>
            </w:r>
          </w:p>
        </w:tc>
        <w:tc>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Farbe</w:t>
            </w:r>
          </w:p>
        </w:tc>
        <w:tc>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Geruch</w:t>
            </w:r>
          </w:p>
        </w:tc>
        <w:tc>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szCs w:val="20"/>
              </w:rPr>
              <w:t>Geschmack</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szCs w:val="20"/>
              </w:rPr>
              <w:t>2.</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szCs w:val="20"/>
              </w:rPr>
              <w:t>Annehmbare Merkmale</w:t>
            </w:r>
          </w:p>
        </w:tc>
        <w:tc>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Homogen, feine Mahlung oder in nicht zu unterscheidenden Farbeffekten leicht mosaikartig. </w:t>
            </w:r>
          </w:p>
        </w:tc>
        <w:tc>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Gleichmäßig rot, dunkelrot, ziegelrot oder fuchsrot.</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Charakteristisch, klar, intensiv, würzig, leicht nach Karamell. Leicht bitter, leicht herb, zumindest ein leichter Rauchduft. Frei von sonstigem fremdem Geruch.</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Charakteristisch, aromatisch, klar, intensiv, harmonisch, leicht süßlich, leicht nach Karamell. </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Leicht schal oder leicht bitter, leicht herb.</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Zumindest ein leichter Rauchgeschmack. Frei von sonstigem fremdem Geschmack. </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Muss der auf der Verpackung angegebenen Schärfekategorie gut erkennbar entsprechen.</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szCs w:val="20"/>
              </w:rPr>
              <w:lastRenderedPageBreak/>
              <w:t>3.</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szCs w:val="20"/>
              </w:rPr>
              <w:t>Nicht annehmbare Merkmale</w:t>
            </w:r>
          </w:p>
        </w:tc>
        <w:tc>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Nicht homogene Mahlung. Mosaikartig in zu unterscheidenden Farbeffekten. </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Grobe Mahlung oder Zusammensetzung, nicht zerdrückbare, klumpige Körner, hoher Faseranteil. </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Mit bloßem Auge erkennbare Fremdstoffe.</w:t>
            </w:r>
          </w:p>
        </w:tc>
        <w:tc>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Gelblich oder bräunlich, oder rot mit schwarzen Nuancen. Gelb oder braun. Ungleichmäßige Farbeffekte. </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Verblasste helle Färbung oder braun verfärbt, verbrannt. </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Unscheinbar, sehr herb, leicht vergoren, zu stark oder gar nicht wahrnehmbarer Rauchgeruch. Auch nach Luftzufuhr noch schal, bitter, sauer, muffig, schimmelig, ranzig, verbrannt oder sonstiger fremder, für das Produkt untypischer oder widerlicher Geruch.</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Untypisch, schal, grasig, leicht sauer, bitter, ranzig, muffig, verbrannt, schimmelig. </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Der Rauchgeschmack ist zu stark oder gar nicht wahrnehmbar. </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szCs w:val="20"/>
              </w:rPr>
              <w:t xml:space="preserve">Für das Produkt untypischer fremder Geschmack. </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szCs w:val="20"/>
              </w:rPr>
              <w:t>Entspricht nicht der auf der Verpackung angegebenen Schärfekategorie.</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szCs w:val="24"/>
        </w:rPr>
        <w:t>4. Verpackung und Lagerung</w:t>
      </w:r>
    </w:p>
    <w:p w:rsidR="00EA4893" w:rsidRDefault="00EA4893" w:rsidP="0045040A">
      <w:pPr>
        <w:pStyle w:val="Textkrper2"/>
        <w:keepNext/>
        <w:keepLines/>
        <w:spacing w:after="0" w:line="240" w:lineRule="auto"/>
        <w:ind w:left="567"/>
        <w:jc w:val="both"/>
        <w:rPr>
          <w:rFonts w:ascii="Times New Roman" w:hAnsi="Times New Roman"/>
          <w:bCs/>
          <w:sz w:val="24"/>
          <w:szCs w:val="24"/>
        </w:rPr>
      </w:pPr>
    </w:p>
    <w:p w:rsidR="00214578" w:rsidRPr="00562311" w:rsidRDefault="00214578" w:rsidP="0045040A">
      <w:pPr>
        <w:pStyle w:val="Textkrper2"/>
        <w:spacing w:after="0" w:line="240" w:lineRule="auto"/>
        <w:ind w:left="567"/>
        <w:jc w:val="both"/>
        <w:rPr>
          <w:rFonts w:ascii="Times New Roman" w:hAnsi="Times New Roman"/>
          <w:bCs/>
          <w:sz w:val="24"/>
          <w:szCs w:val="24"/>
        </w:rPr>
      </w:pPr>
      <w:r>
        <w:rPr>
          <w:rFonts w:ascii="Times New Roman" w:hAnsi="Times New Roman"/>
          <w:bCs/>
          <w:sz w:val="24"/>
          <w:szCs w:val="24"/>
        </w:rPr>
        <w:t>In Verkehr zu bringendes geräuchertes Gewürzpaprikapulver ist in undurchlässigem Verpackungsmaterial mit Lichtschutz zu verpacken, das kein Fett absorbiert, und so zu verschließen, dass seine Echtheit garantiert ist, sofern keine Beschädigung des Verschlusses sichtbar ist.</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bCs/>
          <w:sz w:val="24"/>
          <w:szCs w:val="24"/>
        </w:rPr>
        <w:t>Das geräucherte Gewürzpaprikapulver ist trocken, kühl, gut belüftet, vor direkter Sonneneinstrahlung, Insekten und Nagetieren geschützt zu lagern.</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bCs/>
          <w:i/>
          <w:sz w:val="24"/>
          <w:szCs w:val="24"/>
        </w:rPr>
        <w:t>5. Kennzeichnung</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bCs/>
          <w:i/>
          <w:sz w:val="24"/>
          <w:szCs w:val="24"/>
        </w:rPr>
        <w:t>5.1. Bezeichnung</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5.1.1. Die Bezeichnung muss Folgendes enthalten:</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5.1.1.1. Den Begriff „geräuchertes Gewürzpaprikapulver“ oder „geräucherter, gemahlener Gewürzpaprika“ oder eine andere Bezeichnung mit der gleichen Bedeutung für den Verbraucher wie „geräucherter Paprika“ (z. B. geräucherter gemahlener Paprika);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bCs/>
          <w:sz w:val="24"/>
          <w:szCs w:val="24"/>
        </w:rPr>
        <w:t xml:space="preserve">5.1.1.2. den Hinweis auf die Schärfe des Produkts mit den Begriffen „nicht scharf“ oder „süß“, „leicht scharf“, „scharf“ oder „sehr scharf“. </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bCs/>
          <w:sz w:val="24"/>
          <w:szCs w:val="24"/>
        </w:rPr>
        <w:t>5.1.2. Es ist verboten, in der Bezeichnung und dem Markennamen des Produktes eine ungarische geographische Einheit anzugeben, wenn</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5.1.2.1. das Paprikapulver nicht ausschließlich unter Verwendung von in Ungarn angebautem Gewürzpaprika hergestellt wurde, oder</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5.1.2.2. es mit Gewürzpaprikapulver, dass nicht aus Ungarn stammt, gemischt wurde. </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bCs/>
          <w:i/>
          <w:sz w:val="24"/>
          <w:szCs w:val="24"/>
        </w:rPr>
        <w:t>5.2. Angabe der Schärfe</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bCs/>
          <w:sz w:val="24"/>
          <w:szCs w:val="24"/>
        </w:rPr>
        <w:t>Über die Bestimmungen in Nummer 5.1.1.2. hinaus muss auf der Produktverpackung ein Piktogramm zur Darstellung der Schärfe sowie der Gesamt-Capsaicingehalt in mg/kg enthalten sein.</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lang w:eastAsia="hu-HU"/>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bCs/>
          <w:i/>
          <w:sz w:val="24"/>
          <w:szCs w:val="24"/>
        </w:rPr>
        <w:t>5.3. Angabe des Anbaugebiets</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bCs/>
          <w:sz w:val="24"/>
          <w:szCs w:val="24"/>
        </w:rPr>
        <w:t>5.3.1. Das Anbaugebiet ist auf der Verpackung des geräucherten Gewürzpaprikapulvers anzugeben.</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lastRenderedPageBreak/>
        <w:t>5.3.1.1. Wird Gewürzpaprika(pulver) aus mehreren Anbaugebieten verwendet, so sind die entsprechenden Anbaugebiete in absteigender Reihenfolge der verwendeten Menge an Gewürzpaprika(pulver) und unter Angabe der verwendeten Menge an Gewürzpaprika(pulver) aus diesen Anbaugebieten in Masseprozent [z. B. Ungarn (70 %), Spanien (20 %), China (10 %)] anzugeben.</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 xml:space="preserve">5.3.1.2. Stammt das verwendete Paprikapulver aus nur einem Anbaugebiet, kann in der Bezeichnung des Produktes auch auf das Land verwiesen werden, in dem der Gewürzpaprika angebaut wurde (z. B. geräuchertes Gewürzpaprikapulver, Anbaugebiet: Spanien). </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szCs w:val="24"/>
        </w:rPr>
        <w:t>5.3.2. Das Anbaugebiet ist im Hauptsichtfeld in einer Größe, die mindestens 50 % der größten auf der Verpackung verwendeten Schriftgröße beträgt und nicht kleiner sein darf als die in Artikel 13 Absatz 2 und 3 der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für die verpflichtenden Angaben festgelegte Schriftgröße.</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bCs/>
        </w:rPr>
        <w:t>Teil C</w:t>
      </w:r>
    </w:p>
    <w:p w:rsidR="00DA67B6" w:rsidRDefault="00DA67B6" w:rsidP="0045040A">
      <w:pPr>
        <w:pStyle w:val="Default"/>
        <w:keepNext/>
        <w:keepLines/>
        <w:jc w:val="center"/>
        <w:rPr>
          <w:b/>
          <w:caps/>
        </w:rPr>
      </w:pPr>
      <w:r>
        <w:rPr>
          <w:b/>
          <w:caps/>
        </w:rPr>
        <w:t>Methodik</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szCs w:val="26"/>
        </w:rPr>
        <w:t>Bei der Kontrolle der in Teil B festgelegten Qualitätsmerkmale sind die nachfolgend aufgeführten oder damit gleichwertige Methoden anzuwenden.</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szCs w:val="24"/>
              </w:rPr>
              <w:t>A</w:t>
            </w:r>
          </w:p>
        </w:tc>
        <w:tc>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szCs w:val="24"/>
              </w:rPr>
              <w:t>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szCs w:val="24"/>
              </w:rPr>
              <w:t>1.</w:t>
            </w:r>
          </w:p>
        </w:tc>
        <w:tc>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szCs w:val="24"/>
              </w:rPr>
              <w:t>Physikalische und chemische Merkmale</w:t>
            </w:r>
          </w:p>
        </w:tc>
        <w:tc>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szCs w:val="24"/>
              </w:rPr>
              <w:t>Ziffer der Analysemethode</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2.</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Gehalt an natürlichen, färbenden Substanzen, in ASTA-Farbeinheiten</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3.</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Feuchtigkeitsgehalt</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(entsprechend dem Anhang)</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4.</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Gesamtasche, bezogen auf die Trockenmasse</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5.</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Gehalt an nicht säurelöslicher Asche, bezogen auf die Trockenmasse</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6.</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Mit Ether extrahierbare nicht flüchtige Bestandteile, bezogen auf die Trockenmasse</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7.</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Mahlfeinheitsgrad, Teil der durch ein ø 0,500 (mm) Sieb fällt</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lastRenderedPageBreak/>
              <w:t>8.</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Gesamt-Capsaicingehalt (Gesamtgehalt an Capsaicin und Dihydrocapsaicin)</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szCs w:val="24"/>
              </w:rPr>
              <w:t>9.</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szCs w:val="24"/>
              </w:rPr>
              <w:t>Organoleptische Merkmale</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szCs w:val="24"/>
              </w:rPr>
              <w:t>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4F" w:rsidRDefault="00255F4F" w:rsidP="00F90404">
      <w:pPr>
        <w:spacing w:after="0" w:line="240" w:lineRule="auto"/>
      </w:pPr>
      <w:r>
        <w:separator/>
      </w:r>
    </w:p>
  </w:endnote>
  <w:endnote w:type="continuationSeparator" w:id="0">
    <w:p w:rsidR="00255F4F" w:rsidRDefault="00255F4F" w:rsidP="00F90404">
      <w:pPr>
        <w:spacing w:after="0" w:line="240" w:lineRule="auto"/>
      </w:pPr>
      <w:r>
        <w:continuationSeparator/>
      </w:r>
    </w:p>
  </w:endnote>
  <w:endnote w:type="continuationNotice" w:id="1">
    <w:p w:rsidR="00255F4F" w:rsidRDefault="00255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uzeile"/>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4F" w:rsidRDefault="00255F4F" w:rsidP="00F90404">
      <w:pPr>
        <w:spacing w:after="0" w:line="240" w:lineRule="auto"/>
      </w:pPr>
      <w:r>
        <w:separator/>
      </w:r>
    </w:p>
  </w:footnote>
  <w:footnote w:type="continuationSeparator" w:id="0">
    <w:p w:rsidR="00255F4F" w:rsidRDefault="00255F4F" w:rsidP="00F90404">
      <w:pPr>
        <w:spacing w:after="0" w:line="240" w:lineRule="auto"/>
      </w:pPr>
      <w:r>
        <w:continuationSeparator/>
      </w:r>
    </w:p>
  </w:footnote>
  <w:footnote w:type="continuationNotice" w:id="1">
    <w:p w:rsidR="00255F4F" w:rsidRDefault="00255F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5277B4" w:rsidRDefault="00646BD8">
        <w:pPr>
          <w:pStyle w:val="Kopfzeile"/>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Pr>
            <w:rFonts w:ascii="Times New Roman" w:hAnsi="Times New Roman" w:cs="Times New Roman"/>
            <w:noProof/>
          </w:rPr>
          <w:t>8</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3F4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277B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46BD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43DD"/>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41420"/>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6D6D"/>
  </w:style>
  <w:style w:type="paragraph" w:styleId="berschrift1">
    <w:name w:val="heading 1"/>
    <w:basedOn w:val="Standard"/>
    <w:link w:val="berschrift1Zchn"/>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0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0404"/>
  </w:style>
  <w:style w:type="paragraph" w:styleId="Fuzeile">
    <w:name w:val="footer"/>
    <w:basedOn w:val="Standard"/>
    <w:link w:val="FuzeileZchn"/>
    <w:uiPriority w:val="99"/>
    <w:unhideWhenUsed/>
    <w:rsid w:val="00F90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404"/>
  </w:style>
  <w:style w:type="paragraph" w:styleId="Sprechblasentext">
    <w:name w:val="Balloon Text"/>
    <w:basedOn w:val="Standard"/>
    <w:link w:val="SprechblasentextZchn"/>
    <w:uiPriority w:val="99"/>
    <w:semiHidden/>
    <w:unhideWhenUsed/>
    <w:rsid w:val="00F904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404"/>
    <w:rPr>
      <w:rFonts w:ascii="Tahoma" w:hAnsi="Tahoma" w:cs="Tahoma"/>
      <w:sz w:val="16"/>
      <w:szCs w:val="16"/>
    </w:rPr>
  </w:style>
  <w:style w:type="character" w:styleId="Hyperlink">
    <w:name w:val="Hyperlink"/>
    <w:basedOn w:val="Absatz-Standardschriftart"/>
    <w:uiPriority w:val="99"/>
    <w:unhideWhenUsed/>
    <w:rsid w:val="00F90404"/>
    <w:rPr>
      <w:color w:val="0000FF" w:themeColor="hyperlink"/>
      <w:u w:val="single"/>
    </w:rPr>
  </w:style>
  <w:style w:type="table" w:styleId="Tabellenraster">
    <w:name w:val="Table Grid"/>
    <w:basedOn w:val="NormaleTabelle"/>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link w:val="StandardWebZchn"/>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andardWebZchn">
    <w:name w:val="Standard (Web) Zchn"/>
    <w:basedOn w:val="Absatz-Standardschriftart"/>
    <w:link w:val="StandardWeb"/>
    <w:uiPriority w:val="99"/>
    <w:rsid w:val="008A395D"/>
    <w:rPr>
      <w:rFonts w:ascii="Times New Roman" w:eastAsia="Times New Roman" w:hAnsi="Times New Roman" w:cs="Times New Roman"/>
      <w:sz w:val="24"/>
      <w:szCs w:val="24"/>
      <w:lang w:eastAsia="hu-HU"/>
    </w:rPr>
  </w:style>
  <w:style w:type="character" w:styleId="Kommentarzeichen">
    <w:name w:val="annotation reference"/>
    <w:basedOn w:val="Absatz-Standardschriftart"/>
    <w:uiPriority w:val="99"/>
    <w:semiHidden/>
    <w:unhideWhenUsed/>
    <w:rsid w:val="00E35087"/>
    <w:rPr>
      <w:sz w:val="16"/>
      <w:szCs w:val="16"/>
    </w:rPr>
  </w:style>
  <w:style w:type="paragraph" w:styleId="Kommentartext">
    <w:name w:val="annotation text"/>
    <w:basedOn w:val="Standard"/>
    <w:link w:val="KommentartextZchn"/>
    <w:uiPriority w:val="99"/>
    <w:unhideWhenUsed/>
    <w:rsid w:val="00B9756A"/>
    <w:pPr>
      <w:spacing w:line="240" w:lineRule="auto"/>
    </w:pPr>
    <w:rPr>
      <w:sz w:val="20"/>
      <w:szCs w:val="20"/>
    </w:rPr>
  </w:style>
  <w:style w:type="character" w:customStyle="1" w:styleId="KommentartextZchn">
    <w:name w:val="Kommentartext Zchn"/>
    <w:basedOn w:val="Absatz-Standardschriftart"/>
    <w:link w:val="Kommentartext"/>
    <w:uiPriority w:val="99"/>
    <w:rsid w:val="00E35087"/>
    <w:rPr>
      <w:sz w:val="20"/>
      <w:szCs w:val="20"/>
    </w:rPr>
  </w:style>
  <w:style w:type="paragraph" w:styleId="Kommentarthema">
    <w:name w:val="annotation subject"/>
    <w:basedOn w:val="Kommentartext"/>
    <w:next w:val="Kommentartext"/>
    <w:link w:val="KommentarthemaZchn"/>
    <w:uiPriority w:val="99"/>
    <w:semiHidden/>
    <w:unhideWhenUsed/>
    <w:rsid w:val="00E35087"/>
    <w:rPr>
      <w:b/>
      <w:bCs/>
    </w:rPr>
  </w:style>
  <w:style w:type="character" w:customStyle="1" w:styleId="KommentarthemaZchn">
    <w:name w:val="Kommentarthema Zchn"/>
    <w:basedOn w:val="KommentartextZchn"/>
    <w:link w:val="Kommentarthema"/>
    <w:uiPriority w:val="99"/>
    <w:semiHidden/>
    <w:rsid w:val="00E35087"/>
    <w:rPr>
      <w:b/>
      <w:bCs/>
      <w:sz w:val="20"/>
      <w:szCs w:val="20"/>
    </w:rPr>
  </w:style>
  <w:style w:type="paragraph" w:styleId="berarbeitung">
    <w:name w:val="Revision"/>
    <w:hidden/>
    <w:uiPriority w:val="99"/>
    <w:semiHidden/>
    <w:rsid w:val="006A27F4"/>
    <w:pPr>
      <w:spacing w:after="0" w:line="240" w:lineRule="auto"/>
    </w:pPr>
  </w:style>
  <w:style w:type="paragraph" w:styleId="Listenabsatz">
    <w:name w:val="List Paragraph"/>
    <w:basedOn w:val="Standard"/>
    <w:uiPriority w:val="34"/>
    <w:qFormat/>
    <w:rsid w:val="00D44D08"/>
    <w:pPr>
      <w:ind w:left="720"/>
      <w:contextualSpacing/>
    </w:pPr>
  </w:style>
  <w:style w:type="character" w:customStyle="1" w:styleId="berschrift1Zchn">
    <w:name w:val="Überschrift 1 Zchn"/>
    <w:basedOn w:val="Absatz-Standardschriftart"/>
    <w:link w:val="berschrift1"/>
    <w:uiPriority w:val="9"/>
    <w:rsid w:val="00961F94"/>
    <w:rPr>
      <w:rFonts w:ascii="Times New Roman" w:eastAsia="Times New Roman" w:hAnsi="Times New Roman" w:cs="Times New Roman"/>
      <w:b/>
      <w:bCs/>
      <w:kern w:val="36"/>
      <w:sz w:val="48"/>
      <w:szCs w:val="48"/>
      <w:lang w:eastAsia="hu-HU"/>
    </w:rPr>
  </w:style>
  <w:style w:type="paragraph" w:styleId="Textkrper2">
    <w:name w:val="Body Text 2"/>
    <w:basedOn w:val="Standard"/>
    <w:link w:val="Textkrper2Zchn"/>
    <w:uiPriority w:val="99"/>
    <w:semiHidden/>
    <w:rsid w:val="00214578"/>
    <w:pPr>
      <w:spacing w:after="120" w:line="480" w:lineRule="auto"/>
    </w:pPr>
    <w:rPr>
      <w:rFonts w:ascii="Calibri" w:eastAsia="Calibri" w:hAnsi="Calibri" w:cs="Times New Roman"/>
      <w:szCs w:val="20"/>
      <w:lang w:eastAsia="hu-HU"/>
    </w:rPr>
  </w:style>
  <w:style w:type="character" w:customStyle="1" w:styleId="Textkrper2Zchn">
    <w:name w:val="Textkörper 2 Zchn"/>
    <w:basedOn w:val="Absatz-Standardschriftart"/>
    <w:link w:val="Textkrper2"/>
    <w:uiPriority w:val="99"/>
    <w:semiHidden/>
    <w:rsid w:val="00214578"/>
    <w:rPr>
      <w:rFonts w:ascii="Calibri" w:eastAsia="Calibri" w:hAnsi="Calibri" w:cs="Times New Roman"/>
      <w:szCs w:val="20"/>
      <w:lang w:eastAsia="hu-HU"/>
    </w:rPr>
  </w:style>
  <w:style w:type="paragraph" w:customStyle="1" w:styleId="Borito">
    <w:name w:val="Borito"/>
    <w:basedOn w:val="Standard"/>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Standard"/>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lang w:eastAsia="hu-HU"/>
    </w:rPr>
  </w:style>
  <w:style w:type="paragraph" w:customStyle="1" w:styleId="1oldCodex3sor">
    <w:name w:val="1.oldCodex(3.sor)"/>
    <w:basedOn w:val="Standard"/>
    <w:uiPriority w:val="99"/>
    <w:rsid w:val="00214578"/>
    <w:pPr>
      <w:spacing w:before="480" w:after="0" w:line="240" w:lineRule="auto"/>
      <w:jc w:val="center"/>
    </w:pPr>
    <w:rPr>
      <w:rFonts w:ascii="Times New Roman" w:eastAsia="Times New Roman" w:hAnsi="Times New Roman" w:cs="Times New Roman"/>
      <w:b/>
      <w:sz w:val="48"/>
      <w:szCs w:val="20"/>
      <w:lang w:eastAsia="hu-HU"/>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6D6D"/>
  </w:style>
  <w:style w:type="paragraph" w:styleId="berschrift1">
    <w:name w:val="heading 1"/>
    <w:basedOn w:val="Standard"/>
    <w:link w:val="berschrift1Zchn"/>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0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0404"/>
  </w:style>
  <w:style w:type="paragraph" w:styleId="Fuzeile">
    <w:name w:val="footer"/>
    <w:basedOn w:val="Standard"/>
    <w:link w:val="FuzeileZchn"/>
    <w:uiPriority w:val="99"/>
    <w:unhideWhenUsed/>
    <w:rsid w:val="00F90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404"/>
  </w:style>
  <w:style w:type="paragraph" w:styleId="Sprechblasentext">
    <w:name w:val="Balloon Text"/>
    <w:basedOn w:val="Standard"/>
    <w:link w:val="SprechblasentextZchn"/>
    <w:uiPriority w:val="99"/>
    <w:semiHidden/>
    <w:unhideWhenUsed/>
    <w:rsid w:val="00F904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404"/>
    <w:rPr>
      <w:rFonts w:ascii="Tahoma" w:hAnsi="Tahoma" w:cs="Tahoma"/>
      <w:sz w:val="16"/>
      <w:szCs w:val="16"/>
    </w:rPr>
  </w:style>
  <w:style w:type="character" w:styleId="Hyperlink">
    <w:name w:val="Hyperlink"/>
    <w:basedOn w:val="Absatz-Standardschriftart"/>
    <w:uiPriority w:val="99"/>
    <w:unhideWhenUsed/>
    <w:rsid w:val="00F90404"/>
    <w:rPr>
      <w:color w:val="0000FF" w:themeColor="hyperlink"/>
      <w:u w:val="single"/>
    </w:rPr>
  </w:style>
  <w:style w:type="table" w:styleId="Tabellenraster">
    <w:name w:val="Table Grid"/>
    <w:basedOn w:val="NormaleTabelle"/>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link w:val="StandardWebZchn"/>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andardWebZchn">
    <w:name w:val="Standard (Web) Zchn"/>
    <w:basedOn w:val="Absatz-Standardschriftart"/>
    <w:link w:val="StandardWeb"/>
    <w:uiPriority w:val="99"/>
    <w:rsid w:val="008A395D"/>
    <w:rPr>
      <w:rFonts w:ascii="Times New Roman" w:eastAsia="Times New Roman" w:hAnsi="Times New Roman" w:cs="Times New Roman"/>
      <w:sz w:val="24"/>
      <w:szCs w:val="24"/>
      <w:lang w:eastAsia="hu-HU"/>
    </w:rPr>
  </w:style>
  <w:style w:type="character" w:styleId="Kommentarzeichen">
    <w:name w:val="annotation reference"/>
    <w:basedOn w:val="Absatz-Standardschriftart"/>
    <w:uiPriority w:val="99"/>
    <w:semiHidden/>
    <w:unhideWhenUsed/>
    <w:rsid w:val="00E35087"/>
    <w:rPr>
      <w:sz w:val="16"/>
      <w:szCs w:val="16"/>
    </w:rPr>
  </w:style>
  <w:style w:type="paragraph" w:styleId="Kommentartext">
    <w:name w:val="annotation text"/>
    <w:basedOn w:val="Standard"/>
    <w:link w:val="KommentartextZchn"/>
    <w:uiPriority w:val="99"/>
    <w:unhideWhenUsed/>
    <w:rsid w:val="00B9756A"/>
    <w:pPr>
      <w:spacing w:line="240" w:lineRule="auto"/>
    </w:pPr>
    <w:rPr>
      <w:sz w:val="20"/>
      <w:szCs w:val="20"/>
    </w:rPr>
  </w:style>
  <w:style w:type="character" w:customStyle="1" w:styleId="KommentartextZchn">
    <w:name w:val="Kommentartext Zchn"/>
    <w:basedOn w:val="Absatz-Standardschriftart"/>
    <w:link w:val="Kommentartext"/>
    <w:uiPriority w:val="99"/>
    <w:rsid w:val="00E35087"/>
    <w:rPr>
      <w:sz w:val="20"/>
      <w:szCs w:val="20"/>
    </w:rPr>
  </w:style>
  <w:style w:type="paragraph" w:styleId="Kommentarthema">
    <w:name w:val="annotation subject"/>
    <w:basedOn w:val="Kommentartext"/>
    <w:next w:val="Kommentartext"/>
    <w:link w:val="KommentarthemaZchn"/>
    <w:uiPriority w:val="99"/>
    <w:semiHidden/>
    <w:unhideWhenUsed/>
    <w:rsid w:val="00E35087"/>
    <w:rPr>
      <w:b/>
      <w:bCs/>
    </w:rPr>
  </w:style>
  <w:style w:type="character" w:customStyle="1" w:styleId="KommentarthemaZchn">
    <w:name w:val="Kommentarthema Zchn"/>
    <w:basedOn w:val="KommentartextZchn"/>
    <w:link w:val="Kommentarthema"/>
    <w:uiPriority w:val="99"/>
    <w:semiHidden/>
    <w:rsid w:val="00E35087"/>
    <w:rPr>
      <w:b/>
      <w:bCs/>
      <w:sz w:val="20"/>
      <w:szCs w:val="20"/>
    </w:rPr>
  </w:style>
  <w:style w:type="paragraph" w:styleId="berarbeitung">
    <w:name w:val="Revision"/>
    <w:hidden/>
    <w:uiPriority w:val="99"/>
    <w:semiHidden/>
    <w:rsid w:val="006A27F4"/>
    <w:pPr>
      <w:spacing w:after="0" w:line="240" w:lineRule="auto"/>
    </w:pPr>
  </w:style>
  <w:style w:type="paragraph" w:styleId="Listenabsatz">
    <w:name w:val="List Paragraph"/>
    <w:basedOn w:val="Standard"/>
    <w:uiPriority w:val="34"/>
    <w:qFormat/>
    <w:rsid w:val="00D44D08"/>
    <w:pPr>
      <w:ind w:left="720"/>
      <w:contextualSpacing/>
    </w:pPr>
  </w:style>
  <w:style w:type="character" w:customStyle="1" w:styleId="berschrift1Zchn">
    <w:name w:val="Überschrift 1 Zchn"/>
    <w:basedOn w:val="Absatz-Standardschriftart"/>
    <w:link w:val="berschrift1"/>
    <w:uiPriority w:val="9"/>
    <w:rsid w:val="00961F94"/>
    <w:rPr>
      <w:rFonts w:ascii="Times New Roman" w:eastAsia="Times New Roman" w:hAnsi="Times New Roman" w:cs="Times New Roman"/>
      <w:b/>
      <w:bCs/>
      <w:kern w:val="36"/>
      <w:sz w:val="48"/>
      <w:szCs w:val="48"/>
      <w:lang w:eastAsia="hu-HU"/>
    </w:rPr>
  </w:style>
  <w:style w:type="paragraph" w:styleId="Textkrper2">
    <w:name w:val="Body Text 2"/>
    <w:basedOn w:val="Standard"/>
    <w:link w:val="Textkrper2Zchn"/>
    <w:uiPriority w:val="99"/>
    <w:semiHidden/>
    <w:rsid w:val="00214578"/>
    <w:pPr>
      <w:spacing w:after="120" w:line="480" w:lineRule="auto"/>
    </w:pPr>
    <w:rPr>
      <w:rFonts w:ascii="Calibri" w:eastAsia="Calibri" w:hAnsi="Calibri" w:cs="Times New Roman"/>
      <w:szCs w:val="20"/>
      <w:lang w:eastAsia="hu-HU"/>
    </w:rPr>
  </w:style>
  <w:style w:type="character" w:customStyle="1" w:styleId="Textkrper2Zchn">
    <w:name w:val="Textkörper 2 Zchn"/>
    <w:basedOn w:val="Absatz-Standardschriftart"/>
    <w:link w:val="Textkrper2"/>
    <w:uiPriority w:val="99"/>
    <w:semiHidden/>
    <w:rsid w:val="00214578"/>
    <w:rPr>
      <w:rFonts w:ascii="Calibri" w:eastAsia="Calibri" w:hAnsi="Calibri" w:cs="Times New Roman"/>
      <w:szCs w:val="20"/>
      <w:lang w:eastAsia="hu-HU"/>
    </w:rPr>
  </w:style>
  <w:style w:type="paragraph" w:customStyle="1" w:styleId="Borito">
    <w:name w:val="Borito"/>
    <w:basedOn w:val="Standard"/>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Standard"/>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lang w:eastAsia="hu-HU"/>
    </w:rPr>
  </w:style>
  <w:style w:type="paragraph" w:customStyle="1" w:styleId="1oldCodex3sor">
    <w:name w:val="1.oldCodex(3.sor)"/>
    <w:basedOn w:val="Standard"/>
    <w:uiPriority w:val="99"/>
    <w:rsid w:val="00214578"/>
    <w:pPr>
      <w:spacing w:before="480" w:after="0" w:line="240" w:lineRule="auto"/>
      <w:jc w:val="center"/>
    </w:pPr>
    <w:rPr>
      <w:rFonts w:ascii="Times New Roman" w:eastAsia="Times New Roman" w:hAnsi="Times New Roman" w:cs="Times New Roman"/>
      <w:b/>
      <w:sz w:val="48"/>
      <w:szCs w:val="20"/>
      <w:lang w:eastAsia="hu-HU"/>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DD94-A9FB-4153-907A-1F1B0300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1886</Words>
  <Characters>11888</Characters>
  <Application>Microsoft Office Word</Application>
  <DocSecurity>0</DocSecurity>
  <Lines>99</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Blumbach, Silke</cp:lastModifiedBy>
  <cp:revision>4</cp:revision>
  <cp:lastPrinted>2019-09-23T10:13:00Z</cp:lastPrinted>
  <dcterms:created xsi:type="dcterms:W3CDTF">2019-11-11T10:20:00Z</dcterms:created>
  <dcterms:modified xsi:type="dcterms:W3CDTF">2019-11-14T10:10:00Z</dcterms:modified>
</cp:coreProperties>
</file>