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58" w14:textId="77777777" w:rsidR="002D4E30" w:rsidRPr="002D4E30" w:rsidRDefault="002D4E30" w:rsidP="002D4E3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Decretul din 10 mai 2019 de modificare a Decretului din 30 decembrie 2011 de stabilire a Regulamentului privind siguranța pentru construirea clădirilor înalte și protecția acestora împotriva riscurilor de incendiu și de panică</w:t>
      </w:r>
    </w:p>
    <w:p w14:paraId="3A3496B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Categorii de public vizate: operatorii și proprietarii de clădiri ale instituțiilor publice, întreprinderile de construcții, proiectanții, arhitecții, membri ai comisiilor de siguranță, inspectori tehnici, producători și instalatori de echipamente care folosesc agenți frigorifici.</w:t>
      </w:r>
      <w:r>
        <w:rPr>
          <w:color w:val="000000"/>
          <w:sz w:val="27"/>
          <w:rFonts w:ascii="Times New Roman" w:hAnsi="Times New Roman"/>
        </w:rPr>
        <w:br/>
      </w:r>
      <w:r>
        <w:rPr>
          <w:color w:val="000000"/>
          <w:sz w:val="27"/>
          <w:rFonts w:ascii="Times New Roman" w:hAnsi="Times New Roman"/>
        </w:rPr>
        <w:t xml:space="preserve">Obiect: modificarea unei dispoziții privind caracteristicile aparatelor electrice pentru producția de frig în clădiri înalte (IGH).</w:t>
      </w:r>
      <w:r>
        <w:rPr>
          <w:color w:val="000000"/>
          <w:sz w:val="27"/>
          <w:rFonts w:ascii="Times New Roman" w:hAnsi="Times New Roman"/>
        </w:rPr>
        <w:br/>
      </w:r>
      <w:r>
        <w:rPr>
          <w:color w:val="000000"/>
          <w:sz w:val="27"/>
          <w:rFonts w:ascii="Times New Roman" w:hAnsi="Times New Roman"/>
        </w:rPr>
        <w:t xml:space="preserve">Intrare în vigoare: ziua următoare publicării în Jurnalul Oficial al Republicii Franceze.</w:t>
      </w:r>
      <w:r>
        <w:rPr>
          <w:color w:val="000000"/>
          <w:sz w:val="27"/>
          <w:rFonts w:ascii="Times New Roman" w:hAnsi="Times New Roman"/>
        </w:rPr>
        <w:br/>
      </w:r>
      <w:r>
        <w:rPr>
          <w:color w:val="000000"/>
          <w:sz w:val="27"/>
          <w:rFonts w:ascii="Times New Roman" w:hAnsi="Times New Roman"/>
        </w:rPr>
        <w:t xml:space="preserve">Notă: Regulamentul privind siguranța la incendiu în clădirile publice (ERP) a fost modificat pentru a permite utilizarea agenților frigorifici inflamabili, interziși până acum, în special articolul CH 35.</w:t>
      </w:r>
      <w:r>
        <w:rPr>
          <w:color w:val="000000"/>
          <w:sz w:val="27"/>
          <w:rFonts w:ascii="Times New Roman" w:hAnsi="Times New Roman"/>
        </w:rPr>
        <w:t xml:space="preserve"> </w:t>
      </w:r>
      <w:r>
        <w:rPr>
          <w:color w:val="000000"/>
          <w:sz w:val="27"/>
          <w:rFonts w:ascii="Times New Roman" w:hAnsi="Times New Roman"/>
        </w:rPr>
        <w:t xml:space="preserve">Articolul GH 37 alineatul (2) din Regulamentul privind siguranța la incendiu în clădirile înalte face trimitere la dispozițiile articolului CH 35.</w:t>
      </w:r>
      <w:r>
        <w:rPr>
          <w:color w:val="000000"/>
          <w:sz w:val="27"/>
          <w:rFonts w:ascii="Times New Roman" w:hAnsi="Times New Roman"/>
        </w:rPr>
        <w:t xml:space="preserve"> </w:t>
      </w:r>
      <w:r>
        <w:rPr>
          <w:color w:val="000000"/>
          <w:sz w:val="27"/>
          <w:rFonts w:ascii="Times New Roman" w:hAnsi="Times New Roman"/>
        </w:rPr>
        <w:t xml:space="preserve">În așteptarea unui studiu specific de analiză a riscului, este necesar să se mențină restricția utilizării lichidelor inflamabile în clădirile înalte și să se evite crearea unei portițe legislative nerecomandate prin intermediul trimiterii de la articolul GH 37 la articolul CH 35.</w:t>
      </w:r>
      <w:r>
        <w:rPr>
          <w:color w:val="000000"/>
          <w:sz w:val="27"/>
          <w:rFonts w:ascii="Times New Roman" w:hAnsi="Times New Roman"/>
        </w:rPr>
        <w:br/>
      </w:r>
      <w:r>
        <w:rPr>
          <w:color w:val="000000"/>
          <w:sz w:val="27"/>
          <w:rFonts w:ascii="Times New Roman" w:hAnsi="Times New Roman"/>
        </w:rPr>
        <w:t xml:space="preserve">Referințe: textul modificat prin prezentul decret poate fi consultat în versiunea rezultată care urmare a acestei modificări pe pagina de internet Légifrance (http://legifrance.gouv.fr).</w:t>
      </w:r>
    </w:p>
    <w:p w14:paraId="0E85CD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Ministrul de stat pentru tranziția ecologică și favorabilă incluziunii, păstrătorul sigiliilor, ministrul justiției, ministrul economiei și finanțelor, ministrul muncii, ministrul internelor, ministrul învățământului superior, cercetării și inovării, ministrul coeziunii teritoriale și relațiilor cu autoritățile locale și regionale, și ministrul culturii</w:t>
      </w:r>
      <w:r>
        <w:rPr>
          <w:color w:val="000000"/>
          <w:sz w:val="27"/>
          <w:rFonts w:ascii="Times New Roman" w:hAnsi="Times New Roman"/>
        </w:rPr>
        <w:br/>
      </w:r>
      <w:r>
        <w:rPr>
          <w:color w:val="000000"/>
          <w:sz w:val="27"/>
          <w:rFonts w:ascii="Times New Roman" w:hAnsi="Times New Roman"/>
        </w:rPr>
        <w:t xml:space="preserve">Având în vedere Directiva (UE) 2015/1535 a Parlamentului European și a Consiliului din 9 septembrie 2015 referitoare la procedura de furnizare de informații în domeniul reglementărilor tehnice și al normelor privind serviciile societății informaționale, în special, notificarea nr. 2018/469/F;</w:t>
      </w:r>
      <w:r>
        <w:rPr>
          <w:color w:val="000000"/>
          <w:sz w:val="27"/>
          <w:rFonts w:ascii="Times New Roman" w:hAnsi="Times New Roman"/>
        </w:rPr>
        <w:br/>
      </w:r>
      <w:r>
        <w:rPr>
          <w:color w:val="000000"/>
          <w:sz w:val="27"/>
          <w:rFonts w:ascii="Times New Roman" w:hAnsi="Times New Roman"/>
        </w:rPr>
        <w:t xml:space="preserve">având în vedere Codul construcțiilor și locuințelor, în special articolul R. 122-4,</w:t>
      </w:r>
      <w:r>
        <w:rPr>
          <w:color w:val="000000"/>
          <w:sz w:val="27"/>
          <w:rFonts w:ascii="Times New Roman" w:hAnsi="Times New Roman"/>
        </w:rPr>
        <w:br/>
      </w:r>
      <w:r>
        <w:rPr>
          <w:color w:val="000000"/>
          <w:sz w:val="27"/>
          <w:rFonts w:ascii="Times New Roman" w:hAnsi="Times New Roman"/>
        </w:rPr>
        <w:t xml:space="preserve">Având în vedere Decretul din 30 decembrie 2011 de reglementare a siguranței în construcția de clădiri înalte și protecția acestora împotriva riscurilor de incendiu și de panică,</w:t>
      </w:r>
      <w:r>
        <w:rPr>
          <w:color w:val="000000"/>
          <w:sz w:val="27"/>
          <w:rFonts w:ascii="Times New Roman" w:hAnsi="Times New Roman"/>
        </w:rPr>
        <w:br/>
      </w:r>
      <w:r>
        <w:rPr>
          <w:color w:val="000000"/>
          <w:sz w:val="27"/>
          <w:rFonts w:ascii="Times New Roman" w:hAnsi="Times New Roman"/>
        </w:rPr>
        <w:t xml:space="preserve">Având în vedere avizul Consiliului Superior al construcțiilor și eficienței energetice, emis la 16 octombrie 2018;</w:t>
      </w:r>
      <w:r>
        <w:rPr>
          <w:color w:val="000000"/>
          <w:sz w:val="27"/>
          <w:rFonts w:ascii="Times New Roman" w:hAnsi="Times New Roman"/>
        </w:rPr>
        <w:br/>
      </w:r>
      <w:r>
        <w:rPr>
          <w:color w:val="000000"/>
          <w:sz w:val="27"/>
          <w:rFonts w:ascii="Times New Roman" w:hAnsi="Times New Roman"/>
        </w:rPr>
        <w:t xml:space="preserve">Având în vedere avizul Consiliului Național de Evaluare a Standardelor din 11 octombrie 2018,</w:t>
      </w:r>
      <w:r>
        <w:rPr>
          <w:color w:val="000000"/>
          <w:sz w:val="27"/>
          <w:rFonts w:ascii="Times New Roman" w:hAnsi="Times New Roman"/>
        </w:rPr>
        <w:br/>
      </w:r>
      <w:r>
        <w:rPr>
          <w:color w:val="000000"/>
          <w:sz w:val="27"/>
          <w:rFonts w:ascii="Times New Roman" w:hAnsi="Times New Roman"/>
        </w:rPr>
        <w:t xml:space="preserve">Prin prezentul, dispune:</w:t>
      </w:r>
    </w:p>
    <w:p w14:paraId="3E2119D9"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Articolul 1</w:t>
      </w:r>
    </w:p>
    <w:p w14:paraId="16E979BE"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Secțiunea VII din capitolul II titlul 1 din Regulamentul de siguranță pentru construirea clădirilor înalte și protecția acestora împotriva riscurilor de incendiu și de panică, aprobat prin Decretul din 30 decembrie 2011 menționat anterior, se modifică în conformitate cu articolul 2.</w:t>
      </w:r>
    </w:p>
    <w:p w14:paraId="15F034AF"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Articolul 2</w:t>
      </w:r>
    </w:p>
    <w:p w14:paraId="3B21DC11"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La articolul GH 37 după cuvintele:</w:t>
      </w:r>
      <w:r>
        <w:rPr>
          <w:color w:val="000000"/>
          <w:sz w:val="27"/>
          <w:rFonts w:ascii="Times New Roman" w:hAnsi="Times New Roman"/>
        </w:rPr>
        <w:t xml:space="preserve"> </w:t>
      </w:r>
      <w:r>
        <w:rPr>
          <w:color w:val="000000"/>
          <w:sz w:val="27"/>
          <w:rFonts w:ascii="Times New Roman" w:hAnsi="Times New Roman"/>
        </w:rPr>
        <w:t xml:space="preserve">„appareils électriques de production de froid” („aparate electrice de răcire”); se introduc cuvintele:</w:t>
      </w:r>
      <w:r>
        <w:rPr>
          <w:color w:val="000000"/>
          <w:sz w:val="27"/>
          <w:rFonts w:ascii="Times New Roman" w:hAnsi="Times New Roman"/>
        </w:rPr>
        <w:t xml:space="preserve"> </w:t>
      </w:r>
      <w:r>
        <w:rPr>
          <w:color w:val="000000"/>
          <w:sz w:val="27"/>
          <w:rFonts w:ascii="Times New Roman" w:hAnsi="Times New Roman"/>
        </w:rPr>
        <w:t xml:space="preserve">„, n’utilisant pas de fluides frigorigènes inflammables,” („care nu utilizează agenți frigorifici inflamabili,”).</w:t>
      </w:r>
    </w:p>
    <w:p w14:paraId="1D043E63"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Articolul 3</w:t>
      </w:r>
    </w:p>
    <w:p w14:paraId="46DA1702"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Prezentul decret intră în vigoare în ziua următoare publicării sale în Jurnalul Oficial al Republicii Franceze.</w:t>
      </w:r>
    </w:p>
    <w:p w14:paraId="37B186A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Adoptat la 10 mai 2019.</w:t>
      </w:r>
    </w:p>
    <w:p w14:paraId="3087E08E" w14:textId="2E422699"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Ministrul Internelor,</w:t>
      </w:r>
      <w:r>
        <w:rPr>
          <w:color w:val="000000"/>
          <w:sz w:val="27"/>
          <w:rFonts w:ascii="Times New Roman" w:hAnsi="Times New Roman"/>
        </w:rPr>
        <w:br/>
      </w:r>
      <w:r>
        <w:rPr>
          <w:color w:val="000000"/>
          <w:sz w:val="27"/>
          <w:rFonts w:ascii="Times New Roman" w:hAnsi="Times New Roman"/>
        </w:rPr>
        <w:t xml:space="preserve">Pentru și în numele ministrului:</w:t>
      </w:r>
      <w:r>
        <w:rPr>
          <w:color w:val="000000"/>
          <w:sz w:val="27"/>
          <w:rFonts w:ascii="Times New Roman" w:hAnsi="Times New Roman"/>
        </w:rPr>
        <w:br/>
      </w:r>
      <w:r>
        <w:rPr>
          <w:color w:val="000000"/>
          <w:sz w:val="27"/>
          <w:rFonts w:ascii="Times New Roman" w:hAnsi="Times New Roman"/>
        </w:rPr>
        <w:t xml:space="preserve">Șeful serviciului, director general adjunct pentru securitate civilă și gestionarea crizelor, responsabil pentru Direcția pompieri,</w:t>
      </w:r>
      <w:r>
        <w:rPr>
          <w:color w:val="000000"/>
          <w:sz w:val="27"/>
          <w:rFonts w:ascii="Times New Roman" w:hAnsi="Times New Roman"/>
        </w:rPr>
        <w:br/>
      </w:r>
      <w:r>
        <w:rPr>
          <w:color w:val="000000"/>
          <w:sz w:val="27"/>
          <w:rFonts w:ascii="Times New Roman" w:hAnsi="Times New Roman"/>
        </w:rPr>
        <w:t xml:space="preserve">M. Marquer</w:t>
      </w:r>
    </w:p>
    <w:p w14:paraId="67BE75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Ministrul de Stat pentru Tranziția Ecologică și Favorabilă Incluziunii,</w:t>
      </w:r>
      <w:r>
        <w:rPr>
          <w:color w:val="000000"/>
          <w:sz w:val="27"/>
          <w:rFonts w:ascii="Times New Roman" w:hAnsi="Times New Roman"/>
        </w:rPr>
        <w:br/>
      </w:r>
      <w:r>
        <w:rPr>
          <w:color w:val="000000"/>
          <w:sz w:val="27"/>
          <w:rFonts w:ascii="Times New Roman" w:hAnsi="Times New Roman"/>
        </w:rPr>
        <w:t xml:space="preserve">Pentru și în numele ministrului de stat:</w:t>
      </w:r>
      <w:r>
        <w:rPr>
          <w:color w:val="000000"/>
          <w:sz w:val="27"/>
          <w:rFonts w:ascii="Times New Roman" w:hAnsi="Times New Roman"/>
        </w:rPr>
        <w:br/>
      </w:r>
      <w:r>
        <w:rPr>
          <w:color w:val="000000"/>
          <w:sz w:val="27"/>
          <w:rFonts w:ascii="Times New Roman" w:hAnsi="Times New Roman"/>
        </w:rPr>
        <w:t xml:space="preserve">Directorul Direcției Locuințe, Urbanism și Peisaje,</w:t>
      </w:r>
      <w:r>
        <w:rPr>
          <w:color w:val="000000"/>
          <w:sz w:val="27"/>
          <w:rFonts w:ascii="Times New Roman" w:hAnsi="Times New Roman"/>
        </w:rPr>
        <w:br/>
      </w:r>
      <w:r>
        <w:rPr>
          <w:color w:val="000000"/>
          <w:sz w:val="27"/>
          <w:rFonts w:ascii="Times New Roman" w:hAnsi="Times New Roman"/>
        </w:rPr>
        <w:t xml:space="preserve">F. Adam</w:t>
      </w:r>
    </w:p>
    <w:p w14:paraId="10A6593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Păstrătorul Sigiliilor, Ministrul Justiției,</w:t>
      </w:r>
      <w:r>
        <w:rPr>
          <w:color w:val="000000"/>
          <w:sz w:val="27"/>
          <w:rFonts w:ascii="Times New Roman" w:hAnsi="Times New Roman"/>
        </w:rPr>
        <w:br/>
      </w:r>
      <w:r>
        <w:rPr>
          <w:color w:val="000000"/>
          <w:sz w:val="27"/>
          <w:rFonts w:ascii="Times New Roman" w:hAnsi="Times New Roman"/>
        </w:rPr>
        <w:t xml:space="preserve">Pentru și în numele ministrului:</w:t>
      </w:r>
      <w:r>
        <w:rPr>
          <w:color w:val="000000"/>
          <w:sz w:val="27"/>
          <w:rFonts w:ascii="Times New Roman" w:hAnsi="Times New Roman"/>
        </w:rPr>
        <w:br/>
      </w:r>
      <w:r>
        <w:rPr>
          <w:color w:val="000000"/>
          <w:sz w:val="27"/>
          <w:rFonts w:ascii="Times New Roman" w:hAnsi="Times New Roman"/>
        </w:rPr>
        <w:t xml:space="preserve">Secretarul general,</w:t>
      </w:r>
      <w:r>
        <w:rPr>
          <w:color w:val="000000"/>
          <w:sz w:val="27"/>
          <w:rFonts w:ascii="Times New Roman" w:hAnsi="Times New Roman"/>
        </w:rPr>
        <w:br/>
      </w:r>
      <w:r>
        <w:rPr>
          <w:color w:val="000000"/>
          <w:sz w:val="27"/>
          <w:rFonts w:ascii="Times New Roman" w:hAnsi="Times New Roman"/>
        </w:rPr>
        <w:t xml:space="preserve">V. Malbec</w:t>
      </w:r>
    </w:p>
    <w:p w14:paraId="58B9A22B"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Ministrul Economiei și Finanțelor,</w:t>
      </w:r>
      <w:r>
        <w:rPr>
          <w:color w:val="000000"/>
          <w:sz w:val="27"/>
          <w:rFonts w:ascii="Times New Roman" w:hAnsi="Times New Roman"/>
        </w:rPr>
        <w:br/>
      </w:r>
      <w:r>
        <w:rPr>
          <w:color w:val="000000"/>
          <w:sz w:val="27"/>
          <w:rFonts w:ascii="Times New Roman" w:hAnsi="Times New Roman"/>
        </w:rPr>
        <w:t xml:space="preserve">Pentru și în numele ministrului:</w:t>
      </w:r>
      <w:r>
        <w:rPr>
          <w:color w:val="000000"/>
          <w:sz w:val="27"/>
          <w:rFonts w:ascii="Times New Roman" w:hAnsi="Times New Roman"/>
        </w:rPr>
        <w:br/>
      </w:r>
      <w:r>
        <w:rPr>
          <w:color w:val="000000"/>
          <w:sz w:val="27"/>
          <w:rFonts w:ascii="Times New Roman" w:hAnsi="Times New Roman"/>
        </w:rPr>
        <w:t xml:space="preserve">Șeful Departamentului Industrie,</w:t>
      </w:r>
      <w:r>
        <w:rPr>
          <w:color w:val="000000"/>
          <w:sz w:val="27"/>
          <w:rFonts w:ascii="Times New Roman" w:hAnsi="Times New Roman"/>
        </w:rPr>
        <w:br/>
      </w:r>
      <w:r>
        <w:rPr>
          <w:color w:val="000000"/>
          <w:sz w:val="27"/>
          <w:rFonts w:ascii="Times New Roman" w:hAnsi="Times New Roman"/>
        </w:rPr>
        <w:t xml:space="preserve">J. Tognola</w:t>
      </w:r>
    </w:p>
    <w:p w14:paraId="648F29E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Ministrul Muncii,</w:t>
      </w:r>
      <w:r>
        <w:rPr>
          <w:color w:val="000000"/>
          <w:sz w:val="27"/>
          <w:rFonts w:ascii="Times New Roman" w:hAnsi="Times New Roman"/>
        </w:rPr>
        <w:br/>
      </w:r>
      <w:r>
        <w:rPr>
          <w:color w:val="000000"/>
          <w:sz w:val="27"/>
          <w:rFonts w:ascii="Times New Roman" w:hAnsi="Times New Roman"/>
        </w:rPr>
        <w:t xml:space="preserve">Pentru ministru și prin delegare:</w:t>
      </w:r>
      <w:r>
        <w:rPr>
          <w:color w:val="000000"/>
          <w:sz w:val="27"/>
          <w:rFonts w:ascii="Times New Roman" w:hAnsi="Times New Roman"/>
        </w:rPr>
        <w:br/>
      </w:r>
      <w:r>
        <w:rPr>
          <w:color w:val="000000"/>
          <w:sz w:val="27"/>
          <w:rFonts w:ascii="Times New Roman" w:hAnsi="Times New Roman"/>
        </w:rPr>
        <w:t xml:space="preserve">Directorul General al Muncii,</w:t>
      </w:r>
      <w:r>
        <w:rPr>
          <w:color w:val="000000"/>
          <w:sz w:val="27"/>
          <w:rFonts w:ascii="Times New Roman" w:hAnsi="Times New Roman"/>
        </w:rPr>
        <w:br/>
      </w:r>
      <w:r>
        <w:rPr>
          <w:color w:val="000000"/>
          <w:sz w:val="27"/>
          <w:rFonts w:ascii="Times New Roman" w:hAnsi="Times New Roman"/>
        </w:rPr>
        <w:t xml:space="preserve">Y. Struillou</w:t>
      </w:r>
    </w:p>
    <w:p w14:paraId="634689E8"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Ministrul Învățământului Superior,</w:t>
      </w:r>
      <w:r>
        <w:rPr>
          <w:color w:val="000000"/>
          <w:sz w:val="27"/>
          <w:rFonts w:ascii="Times New Roman" w:hAnsi="Times New Roman"/>
        </w:rPr>
        <w:br/>
      </w:r>
      <w:r>
        <w:rPr>
          <w:color w:val="000000"/>
          <w:sz w:val="27"/>
          <w:rFonts w:ascii="Times New Roman" w:hAnsi="Times New Roman"/>
        </w:rPr>
        <w:t xml:space="preserve">Cercetării și Inovării,</w:t>
      </w:r>
      <w:r>
        <w:rPr>
          <w:color w:val="000000"/>
          <w:sz w:val="27"/>
          <w:rFonts w:ascii="Times New Roman" w:hAnsi="Times New Roman"/>
        </w:rPr>
        <w:br/>
      </w:r>
      <w:r>
        <w:rPr>
          <w:color w:val="000000"/>
          <w:sz w:val="27"/>
          <w:rFonts w:ascii="Times New Roman" w:hAnsi="Times New Roman"/>
        </w:rPr>
        <w:t xml:space="preserve">Pentru ministru și prin delegare:</w:t>
      </w:r>
      <w:r>
        <w:rPr>
          <w:color w:val="000000"/>
          <w:sz w:val="27"/>
          <w:rFonts w:ascii="Times New Roman" w:hAnsi="Times New Roman"/>
        </w:rPr>
        <w:br/>
      </w:r>
      <w:r>
        <w:rPr>
          <w:color w:val="000000"/>
          <w:sz w:val="27"/>
          <w:rFonts w:ascii="Times New Roman" w:hAnsi="Times New Roman"/>
        </w:rPr>
        <w:t xml:space="preserve">Director General pentru Învățământ Superior și Integrare Profesională,</w:t>
      </w:r>
      <w:r>
        <w:rPr>
          <w:color w:val="000000"/>
          <w:sz w:val="27"/>
          <w:rFonts w:ascii="Times New Roman" w:hAnsi="Times New Roman"/>
        </w:rPr>
        <w:br/>
      </w:r>
      <w:r>
        <w:rPr>
          <w:color w:val="000000"/>
          <w:sz w:val="27"/>
          <w:rFonts w:ascii="Times New Roman" w:hAnsi="Times New Roman"/>
        </w:rPr>
        <w:t xml:space="preserve">B. Plateau</w:t>
      </w:r>
    </w:p>
    <w:p w14:paraId="24257C13"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Ministrul Coeziunii Teritoriale și Relațiilor cu Autoritățile Locale și Regionale</w:t>
      </w:r>
      <w:r>
        <w:rPr>
          <w:color w:val="000000"/>
          <w:sz w:val="27"/>
          <w:rFonts w:ascii="Times New Roman" w:hAnsi="Times New Roman"/>
        </w:rPr>
        <w:br/>
      </w:r>
      <w:r>
        <w:rPr>
          <w:color w:val="000000"/>
          <w:sz w:val="27"/>
          <w:rFonts w:ascii="Times New Roman" w:hAnsi="Times New Roman"/>
        </w:rPr>
        <w:t xml:space="preserve">Pentru ministru și prin delegare:</w:t>
      </w:r>
      <w:r>
        <w:rPr>
          <w:color w:val="000000"/>
          <w:sz w:val="27"/>
          <w:rFonts w:ascii="Times New Roman" w:hAnsi="Times New Roman"/>
        </w:rPr>
        <w:br/>
      </w:r>
      <w:r>
        <w:rPr>
          <w:color w:val="000000"/>
          <w:sz w:val="27"/>
          <w:rFonts w:ascii="Times New Roman" w:hAnsi="Times New Roman"/>
        </w:rPr>
        <w:t xml:space="preserve">Directorul Direcției Locuințe, Urbanism și Peisaje,</w:t>
      </w:r>
      <w:r>
        <w:rPr>
          <w:color w:val="000000"/>
          <w:sz w:val="27"/>
          <w:rFonts w:ascii="Times New Roman" w:hAnsi="Times New Roman"/>
        </w:rPr>
        <w:br/>
      </w:r>
      <w:r>
        <w:rPr>
          <w:color w:val="000000"/>
          <w:sz w:val="27"/>
          <w:rFonts w:ascii="Times New Roman" w:hAnsi="Times New Roman"/>
        </w:rPr>
        <w:t xml:space="preserve">F. Adam</w:t>
      </w:r>
    </w:p>
    <w:p w14:paraId="4D15A2DE"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Ministrul Culturii,</w:t>
      </w:r>
      <w:r>
        <w:rPr>
          <w:color w:val="000000"/>
          <w:sz w:val="27"/>
          <w:rFonts w:ascii="Times New Roman" w:hAnsi="Times New Roman"/>
        </w:rPr>
        <w:br/>
      </w:r>
      <w:r>
        <w:rPr>
          <w:color w:val="000000"/>
          <w:sz w:val="27"/>
          <w:rFonts w:ascii="Times New Roman" w:hAnsi="Times New Roman"/>
        </w:rPr>
        <w:t xml:space="preserve">Pentru ministru și prin delegare:</w:t>
      </w:r>
      <w:r>
        <w:rPr>
          <w:color w:val="000000"/>
          <w:sz w:val="27"/>
          <w:rFonts w:ascii="Times New Roman" w:hAnsi="Times New Roman"/>
        </w:rPr>
        <w:br/>
      </w:r>
      <w:r>
        <w:rPr>
          <w:color w:val="000000"/>
          <w:sz w:val="27"/>
          <w:rFonts w:ascii="Times New Roman" w:hAnsi="Times New Roman"/>
        </w:rPr>
        <w:t xml:space="preserve">Directorul General al Patrimoniului,</w:t>
      </w:r>
      <w:r>
        <w:rPr>
          <w:color w:val="000000"/>
          <w:sz w:val="27"/>
          <w:rFonts w:ascii="Times New Roman" w:hAnsi="Times New Roman"/>
        </w:rPr>
        <w:br/>
      </w:r>
      <w:r>
        <w:rPr>
          <w:color w:val="000000"/>
          <w:sz w:val="27"/>
          <w:rFonts w:ascii="Times New Roman" w:hAnsi="Times New Roman"/>
        </w:rPr>
        <w:t xml:space="preserve">P. Barbat</w:t>
      </w:r>
    </w:p>
    <w:p w14:paraId="521600CE" w14:textId="77777777" w:rsidR="00A44B5B" w:rsidRDefault="00A44B5B"/>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30"/>
    <w:rsid w:val="002D4E30"/>
    <w:rsid w:val="007A46F7"/>
    <w:rsid w:val="00A44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9E2"/>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2021-08-25T12:30:00Z</dcterms:created>
  <dcterms:modified xsi:type="dcterms:W3CDTF">2021-11-21T13:25:00Z</dcterms:modified>
</cp:coreProperties>
</file>